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0"/>
        <w:jc w:val="center"/>
        <w:rPr>
          <w:rFonts w:hint="eastAsia" w:ascii="黑体" w:hAnsi="华文中宋" w:eastAsia="黑体"/>
          <w:bCs/>
          <w:color w:val="000000"/>
          <w:spacing w:val="20"/>
          <w:sz w:val="84"/>
          <w:szCs w:val="84"/>
          <w:highlight w:val="none"/>
          <w:lang w:val="en-US" w:eastAsia="zh-CN"/>
        </w:rPr>
      </w:pPr>
      <w:r>
        <w:rPr>
          <w:rFonts w:hint="eastAsia" w:ascii="黑体" w:hAnsi="华文中宋" w:eastAsia="黑体"/>
          <w:bCs/>
          <w:color w:val="000000"/>
          <w:spacing w:val="20"/>
          <w:sz w:val="84"/>
          <w:szCs w:val="84"/>
          <w:highlight w:val="none"/>
          <w:lang w:val="en-US" w:eastAsia="zh-CN"/>
        </w:rPr>
      </w:r>
      <w:r/>
    </w:p>
    <w:p>
      <w:pPr>
        <w:pStyle w:val="1070"/>
        <w:ind w:firstLine="0"/>
        <w:jc w:val="center"/>
        <w:rPr>
          <w:rFonts w:hint="default" w:ascii="黑体" w:hAnsi="华文中宋" w:eastAsia="黑体"/>
          <w:bCs/>
          <w:color w:val="000000"/>
          <w:spacing w:val="20"/>
          <w:sz w:val="84"/>
          <w:szCs w:val="84"/>
          <w:highlight w:val="none"/>
          <w:lang w:val="en-US" w:eastAsia="zh-CN"/>
        </w:rPr>
      </w:pPr>
      <w:r>
        <w:rPr>
          <w:rFonts w:hint="eastAsia" w:ascii="黑体" w:hAnsi="华文中宋" w:eastAsia="黑体"/>
          <w:bCs/>
          <w:color w:val="000000"/>
          <w:spacing w:val="20"/>
          <w:sz w:val="84"/>
          <w:szCs w:val="84"/>
          <w:highlight w:val="none"/>
          <w:lang w:val="en-US" w:eastAsia="zh-CN"/>
        </w:rPr>
        <w:t xml:space="preserve">无锡市政府采购</w:t>
      </w:r>
      <w:r/>
    </w:p>
    <w:p>
      <w:pPr>
        <w:pStyle w:val="1070"/>
        <w:ind w:firstLine="0"/>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公开招标文件</w:t>
      </w:r>
      <w:r/>
    </w:p>
    <w:p>
      <w:pPr>
        <w:pStyle w:val="1070"/>
        <w:ind w:firstLine="0"/>
        <w:jc w:val="center"/>
        <w:rPr>
          <w:rFonts w:hint="default" w:ascii="黑体" w:hAnsi="华文中宋" w:eastAsia="黑体"/>
          <w:bCs/>
          <w:color w:val="000000"/>
          <w:spacing w:val="20"/>
          <w:sz w:val="84"/>
          <w:szCs w:val="84"/>
          <w:highlight w:val="none"/>
          <w:lang w:val="en-US" w:eastAsia="zh-CN"/>
        </w:rPr>
      </w:pPr>
      <w:r>
        <w:rPr>
          <w:rFonts w:hint="eastAsia" w:ascii="黑体" w:hAnsi="华文中宋" w:eastAsia="黑体"/>
          <w:bCs/>
          <w:color w:val="000000"/>
          <w:spacing w:val="20"/>
          <w:sz w:val="84"/>
          <w:szCs w:val="84"/>
          <w:highlight w:val="none"/>
          <w:lang w:val="en-US" w:eastAsia="zh-CN"/>
        </w:rPr>
        <w:t xml:space="preserve">（暗标）</w:t>
      </w:r>
      <w:r/>
    </w:p>
    <w:p>
      <w:pPr>
        <w:pStyle w:val="1070"/>
        <w:ind w:firstLine="0"/>
        <w:jc w:val="center"/>
        <w:keepLines w:val="0"/>
        <w:keepNext w:val="0"/>
        <w:pageBreakBefore w:val="0"/>
        <w:spacing w:line="360" w:lineRule="auto"/>
        <w:widowControl w:val="off"/>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jc w:val="left"/>
        <w:keepLines w:val="0"/>
        <w:keepNext w:val="0"/>
        <w:pageBreakBefore w:val="0"/>
        <w:spacing w:line="360" w:lineRule="auto"/>
        <w:widowControl w:val="off"/>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JSZC-320292-YDGC-G2026-0018</w:t>
      </w:r>
      <w:r/>
    </w:p>
    <w:p>
      <w:pPr>
        <w:jc w:val="left"/>
        <w:keepLines w:val="0"/>
        <w:keepNext w:val="0"/>
        <w:pageBreakBefore w:val="0"/>
        <w:spacing w:line="360" w:lineRule="auto"/>
        <w:widowControl w:val="off"/>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华庄街道安置房电梯综合保险服务</w:t>
      </w:r>
      <w:r/>
    </w:p>
    <w:p>
      <w:pPr>
        <w:jc w:val="left"/>
        <w:keepLines w:val="0"/>
        <w:keepNext w:val="0"/>
        <w:pageBreakBefore w:val="0"/>
        <w:spacing w:line="360" w:lineRule="auto"/>
        <w:widowControl w:val="off"/>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无锡市滨湖区华庄街道办事处</w:t>
      </w:r>
      <w:r/>
    </w:p>
    <w:p>
      <w:pPr>
        <w:jc w:val="left"/>
        <w:keepLines w:val="0"/>
        <w:keepNext w:val="0"/>
        <w:pageBreakBefore w:val="0"/>
        <w:spacing w:line="360" w:lineRule="auto"/>
        <w:widowControl w:val="off"/>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永道工程咨询（江苏）有限公司</w:t>
      </w:r>
      <w:r/>
    </w:p>
    <w:p>
      <w:pPr>
        <w:pStyle w:val="1070"/>
        <w:ind w:firstLine="0"/>
        <w:jc w:val="center"/>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r>
      <w:r/>
    </w:p>
    <w:p>
      <w:pPr>
        <w:pStyle w:val="1070"/>
        <w:ind w:firstLine="0"/>
        <w:jc w:val="center"/>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r>
      <w:r/>
    </w:p>
    <w:p>
      <w:pPr>
        <w:pStyle w:val="1070"/>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lang w:eastAsia="zh-CN"/>
        </w:rPr>
        <w:t xml:space="preserve">二〇二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八</w:t>
      </w:r>
      <w:r>
        <w:rPr>
          <w:rFonts w:hint="eastAsia" w:ascii="黑体" w:hAnsi="华文中宋" w:eastAsia="黑体"/>
          <w:bCs/>
          <w:color w:val="000000"/>
          <w:sz w:val="32"/>
          <w:szCs w:val="32"/>
          <w:highlight w:val="none"/>
        </w:rPr>
        <w:t xml:space="preserve">月</w:t>
      </w:r>
      <w:r/>
    </w:p>
    <w:p>
      <w:pPr>
        <w:pStyle w:val="1070"/>
        <w:ind w:firstLine="0"/>
        <w:jc w:val="center"/>
        <w:rPr>
          <w:rFonts w:hint="eastAsia" w:ascii="黑体" w:hAnsi="黑体" w:eastAsia="黑体"/>
          <w:color w:val="000000"/>
          <w:sz w:val="36"/>
          <w:szCs w:val="36"/>
          <w:highlight w:val="none"/>
        </w:rPr>
      </w:pPr>
      <w:r/>
      <w:bookmarkStart w:id="194" w:name="_GoBack"/>
      <w:r/>
      <w:bookmarkEnd w:id="194"/>
      <w:r>
        <w:rPr>
          <w:rFonts w:ascii="黑体" w:hAnsi="华文中宋" w:eastAsia="黑体"/>
          <w:bCs/>
          <w:color w:val="000000"/>
          <w:sz w:val="44"/>
          <w:szCs w:val="44"/>
          <w:highlight w:val="none"/>
        </w:rPr>
        <w:br w:type="page" w:clear="all"/>
      </w:r>
      <w:bookmarkStart w:id="0" w:name="_Toc120614210"/>
      <w:r/>
      <w:bookmarkStart w:id="1" w:name="_Toc523127445"/>
      <w:r/>
      <w:bookmarkStart w:id="2" w:name="_Toc513029200"/>
      <w:r/>
      <w:bookmarkStart w:id="3" w:name="_Toc20823272"/>
      <w:r/>
      <w:bookmarkStart w:id="4" w:name="_Toc16938516"/>
      <w:r/>
      <w:bookmarkStart w:id="5" w:name="_Toc479757206"/>
      <w:r>
        <w:rPr>
          <w:rFonts w:hint="eastAsia" w:ascii="黑体" w:hAnsi="黑体" w:eastAsia="黑体"/>
          <w:color w:val="000000"/>
          <w:sz w:val="36"/>
          <w:szCs w:val="36"/>
          <w:highlight w:val="none"/>
        </w:rPr>
        <w:t xml:space="preserve">总  目  录</w:t>
      </w:r>
      <w:r/>
    </w:p>
    <w:p>
      <w:pPr>
        <w:jc w:val="center"/>
        <w:spacing w:line="480" w:lineRule="auto"/>
        <w:rPr>
          <w:rFonts w:hint="eastAsia" w:ascii="黑体" w:hAnsi="Arial" w:eastAsia="黑体"/>
          <w:color w:val="000000"/>
          <w:sz w:val="44"/>
          <w:highlight w:val="none"/>
        </w:rPr>
        <w:outlineLvl w:val="0"/>
      </w:pPr>
      <w:r>
        <w:rPr>
          <w:rFonts w:hint="eastAsia" w:ascii="黑体" w:hAnsi="Arial" w:eastAsia="黑体"/>
          <w:color w:val="000000"/>
          <w:sz w:val="44"/>
          <w:highlight w:val="none"/>
        </w:rPr>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p>
    <w:p>
      <w:pPr>
        <w:jc w:val="center"/>
        <w:spacing w:line="500" w:lineRule="exact"/>
        <w:tabs>
          <w:tab w:val="left" w:pos="1440" w:leader="none"/>
        </w:tabs>
        <w:rPr>
          <w:rFonts w:hint="eastAsia"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bookmarkEnd w:id="0"/>
      <w:r/>
      <w:r/>
    </w:p>
    <w:p>
      <w:pPr>
        <w:ind w:firstLine="480"/>
        <w:spacing w:line="500" w:lineRule="exact"/>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无锡市滨湖区华庄街道办事处</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lang w:eastAsia="zh-CN"/>
        </w:rPr>
        <w:t xml:space="preserve">永道工程咨询（江苏）有限公司</w:t>
      </w:r>
      <w:r>
        <w:rPr>
          <w:rFonts w:hint="eastAsia" w:ascii="宋体" w:hAnsi="宋体"/>
          <w:color w:val="000000"/>
          <w:sz w:val="24"/>
          <w:szCs w:val="24"/>
          <w:highlight w:val="none"/>
        </w:rPr>
        <w:t xml:space="preserve">就</w:t>
      </w:r>
      <w:r>
        <w:rPr>
          <w:rFonts w:hint="eastAsia" w:ascii="宋体" w:hAnsi="宋体"/>
          <w:color w:val="000000"/>
          <w:sz w:val="24"/>
          <w:szCs w:val="24"/>
          <w:highlight w:val="none"/>
          <w:lang w:eastAsia="zh-CN"/>
        </w:rPr>
        <w:t xml:space="preserve">华庄街道安置房电梯综合保险服务</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JSZC-320292-YDGC-G2026-0018</w:t>
      </w:r>
      <w:r>
        <w:rPr>
          <w:rFonts w:hint="eastAsia" w:ascii="宋体" w:hAnsi="宋体"/>
          <w:color w:val="000000"/>
          <w:sz w:val="24"/>
          <w:szCs w:val="24"/>
          <w:highlight w:val="none"/>
        </w:rPr>
        <w:t xml:space="preserve">）进行公开招标采购，欢迎符合条件的供应商投标。</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华庄街道安置房电梯综合保险服务</w:t>
      </w:r>
      <w:r>
        <w:rPr>
          <w:rFonts w:hint="eastAsia" w:ascii="宋体" w:hAnsi="宋体"/>
          <w:color w:val="000000"/>
          <w:sz w:val="24"/>
          <w:szCs w:val="24"/>
          <w:highlight w:val="none"/>
        </w:rPr>
        <w:t xml:space="preserve">的潜在投标人如有投标意向须在本招标文件有效获取期内通过登录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31</w:t>
      </w: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点</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pStyle w:val="988"/>
        <w:ind w:firstLine="452"/>
        <w:keepLines w:val="0"/>
        <w:keepNext w:val="0"/>
        <w:spacing w:before="0" w:after="0" w:line="500" w:lineRule="exact"/>
        <w:rPr>
          <w:color w:val="000000"/>
          <w:sz w:val="30"/>
          <w:szCs w:val="30"/>
          <w:highlight w:val="none"/>
        </w:rPr>
      </w:pPr>
      <w:r/>
      <w:bookmarkStart w:id="6" w:name="_Toc38985263"/>
      <w:r/>
      <w:bookmarkStart w:id="7" w:name="_Toc28359002"/>
      <w:r/>
      <w:bookmarkStart w:id="8" w:name="_Toc35393790"/>
      <w:r/>
      <w:bookmarkStart w:id="9" w:name="_Toc28359079"/>
      <w:r/>
      <w:bookmarkStart w:id="10" w:name="_Toc35393621"/>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bookmarkEnd w:id="11"/>
      <w:r/>
      <w:r/>
    </w:p>
    <w:p>
      <w:pPr>
        <w:ind w:firstLine="480"/>
        <w:spacing w:line="50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1.项目编号：JSZC-320292-YDGC-G2026-0018</w:t>
      </w:r>
      <w:r/>
    </w:p>
    <w:p>
      <w:pPr>
        <w:numPr>
          <w:ilvl w:val="0"/>
          <w:numId w:val="0"/>
        </w:numPr>
        <w:ind w:firstLine="480"/>
        <w:spacing w:line="500" w:lineRule="exac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标段一：JSZC-320292-YDGC-G2026-0018</w:t>
      </w:r>
      <w:r>
        <w:rPr>
          <w:rFonts w:hint="eastAsia" w:ascii="宋体" w:hAnsi="宋体"/>
          <w:color w:val="000000"/>
          <w:sz w:val="24"/>
          <w:szCs w:val="24"/>
          <w:highlight w:val="none"/>
          <w:lang w:val="en-US" w:eastAsia="zh-CN"/>
        </w:rPr>
        <w:t xml:space="preserve">-001</w:t>
      </w:r>
      <w:r/>
    </w:p>
    <w:p>
      <w:pPr>
        <w:numPr>
          <w:ilvl w:val="0"/>
          <w:numId w:val="0"/>
        </w:numPr>
        <w:ind w:firstLine="480"/>
        <w:spacing w:line="500" w:lineRule="exac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标段二：JSZC-320292-YDGC-G2026-0018</w:t>
      </w:r>
      <w:r>
        <w:rPr>
          <w:rFonts w:hint="eastAsia" w:ascii="宋体" w:hAnsi="宋体"/>
          <w:color w:val="000000"/>
          <w:sz w:val="24"/>
          <w:szCs w:val="24"/>
          <w:highlight w:val="none"/>
          <w:lang w:val="en-US" w:eastAsia="zh-CN"/>
        </w:rPr>
        <w:t xml:space="preserve">-002</w:t>
      </w:r>
      <w:r/>
    </w:p>
    <w:p>
      <w:pPr>
        <w:numPr>
          <w:ilvl w:val="0"/>
          <w:numId w:val="0"/>
        </w:numPr>
        <w:ind w:firstLine="480"/>
        <w:spacing w:line="500" w:lineRule="exac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标段三：JSZC-320292-YDGC-G2026-0018</w:t>
      </w:r>
      <w:r>
        <w:rPr>
          <w:rFonts w:hint="eastAsia" w:ascii="宋体" w:hAnsi="宋体"/>
          <w:color w:val="000000"/>
          <w:sz w:val="24"/>
          <w:szCs w:val="24"/>
          <w:highlight w:val="none"/>
          <w:lang w:val="en-US" w:eastAsia="zh-CN"/>
        </w:rPr>
        <w:t xml:space="preserve">-003</w:t>
      </w:r>
      <w:r/>
    </w:p>
    <w:p>
      <w:pPr>
        <w:numPr>
          <w:ilvl w:val="0"/>
          <w:numId w:val="5"/>
        </w:numPr>
        <w:ind w:firstLine="482"/>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华庄街道安置房电梯综合保险服务</w:t>
      </w:r>
      <w:r/>
    </w:p>
    <w:p>
      <w:pPr>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标段一：华庄街道华憬佳园电梯综合保险服务（97台）；</w:t>
      </w:r>
      <w:r/>
    </w:p>
    <w:p>
      <w:pPr>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标段二：华庄街道水乡苑二区四区电梯综合保险服务（102台）；</w:t>
      </w:r>
      <w:r/>
    </w:p>
    <w:p>
      <w:pPr>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标段三：华庄街道凯发苑三期五期电梯综合保险服务（60台）；</w:t>
      </w:r>
      <w:r/>
    </w:p>
    <w:p>
      <w:pPr>
        <w:ind w:firstLine="480"/>
        <w:spacing w:line="500" w:lineRule="exact"/>
        <w:rPr>
          <w:rFonts w:hint="default"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注：本次招标共三个标段，投标供应商对三个标段均可投标，每个标段由评分排名第一的供应商中标。三个标段的被授权代表可为同一人。</w:t>
      </w:r>
      <w:r/>
    </w:p>
    <w:p>
      <w:pPr>
        <w:numPr>
          <w:ilvl w:val="0"/>
          <w:numId w:val="0"/>
        </w:numPr>
        <w:ind w:firstLine="480"/>
        <w:spacing w:line="500" w:lineRule="exact"/>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3.</w:t>
      </w:r>
      <w:r>
        <w:rPr>
          <w:rFonts w:hint="eastAsia" w:ascii="宋体" w:hAnsi="宋体"/>
          <w:color w:val="000000"/>
          <w:sz w:val="24"/>
          <w:szCs w:val="24"/>
          <w:highlight w:val="none"/>
        </w:rPr>
        <w:t xml:space="preserve">项目预算金额：</w:t>
      </w:r>
      <w:r>
        <w:rPr>
          <w:rFonts w:hint="eastAsia" w:ascii="宋体" w:hAnsi="宋体"/>
          <w:color w:val="000000"/>
          <w:sz w:val="24"/>
          <w:szCs w:val="24"/>
          <w:highlight w:val="none"/>
          <w:lang w:val="en-US" w:eastAsia="zh-CN"/>
        </w:rPr>
        <w:t xml:space="preserve">582.75万元</w:t>
      </w:r>
      <w:r/>
    </w:p>
    <w:p>
      <w:pPr>
        <w:numPr>
          <w:ilvl w:val="0"/>
          <w:numId w:val="0"/>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标段一：218.25万元</w:t>
      </w:r>
      <w:r/>
    </w:p>
    <w:p>
      <w:pPr>
        <w:numPr>
          <w:ilvl w:val="0"/>
          <w:numId w:val="0"/>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标段二：229.5万元</w:t>
      </w:r>
      <w:r/>
    </w:p>
    <w:p>
      <w:pPr>
        <w:numPr>
          <w:ilvl w:val="0"/>
          <w:numId w:val="0"/>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标段三：135万元</w:t>
      </w:r>
      <w:r/>
    </w:p>
    <w:p>
      <w:pPr>
        <w:numPr>
          <w:ilvl w:val="0"/>
          <w:numId w:val="0"/>
        </w:numPr>
        <w:ind w:left="0" w:firstLine="480"/>
        <w:spacing w:line="500" w:lineRule="exact"/>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4.</w:t>
      </w:r>
      <w:r>
        <w:rPr>
          <w:rFonts w:hint="eastAsia" w:ascii="宋体" w:hAnsi="宋体"/>
          <w:color w:val="000000"/>
          <w:sz w:val="24"/>
          <w:szCs w:val="24"/>
          <w:highlight w:val="none"/>
        </w:rPr>
        <w:t xml:space="preserve">项目最高限价：</w:t>
      </w:r>
      <w:r>
        <w:rPr>
          <w:rFonts w:hint="eastAsia" w:ascii="宋体" w:hAnsi="宋体"/>
          <w:color w:val="000000"/>
          <w:sz w:val="24"/>
          <w:szCs w:val="24"/>
          <w:highlight w:val="none"/>
          <w:lang w:val="en-US" w:eastAsia="zh-CN"/>
        </w:rPr>
        <w:t xml:space="preserve">582.75万元</w:t>
      </w:r>
      <w:r/>
    </w:p>
    <w:p>
      <w:pPr>
        <w:numPr>
          <w:ilvl w:val="0"/>
          <w:numId w:val="0"/>
        </w:numPr>
        <w:ind w:left="0"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标段一：218.2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万元</w:t>
      </w:r>
      <w:r/>
    </w:p>
    <w:p>
      <w:pPr>
        <w:numPr>
          <w:ilvl w:val="0"/>
          <w:numId w:val="0"/>
        </w:numPr>
        <w:ind w:left="0"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标段二：229.</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万元</w:t>
      </w:r>
      <w:r/>
    </w:p>
    <w:p>
      <w:pPr>
        <w:numPr>
          <w:ilvl w:val="0"/>
          <w:numId w:val="0"/>
        </w:numPr>
        <w:ind w:left="0"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标段三：135万元</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6.采购需求：对华庄街道安置房电梯综合保险服务（华憬佳园、水乡苑二区四区、凯发苑三期五期三个标段）</w:t>
      </w:r>
      <w:r>
        <w:rPr>
          <w:rFonts w:hint="eastAsia" w:ascii="宋体" w:hAnsi="宋体"/>
          <w:color w:val="000000"/>
          <w:sz w:val="24"/>
          <w:szCs w:val="24"/>
          <w:highlight w:val="none"/>
          <w:lang w:val="en-US" w:eastAsia="zh-CN"/>
        </w:rPr>
        <w:t xml:space="preserve">开展电梯“保险+服务”工作</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详见招标文件第四章《采购需求》</w:t>
      </w:r>
      <w:r/>
    </w:p>
    <w:p>
      <w:pPr>
        <w:ind w:firstLine="480"/>
        <w:spacing w:line="500" w:lineRule="exact"/>
        <w:rPr>
          <w:rFonts w:hint="default" w:ascii="宋体" w:hAnsi="宋体" w:eastAsia="宋体" w:cs="宋体"/>
          <w:color w:val="000000"/>
          <w:sz w:val="24"/>
          <w:szCs w:val="24"/>
          <w:highlight w:val="none"/>
          <w:lang w:val="en-US" w:eastAsia="zh-CN"/>
        </w:rPr>
      </w:pPr>
      <w:r>
        <w:rPr>
          <w:rFonts w:hint="eastAsia" w:ascii="宋体" w:hAnsi="宋体"/>
          <w:color w:val="000000"/>
          <w:sz w:val="24"/>
          <w:szCs w:val="24"/>
          <w:highlight w:val="none"/>
        </w:rPr>
        <w:t xml:space="preserve">7.合同履行期限：</w:t>
      </w:r>
      <w:r>
        <w:rPr>
          <w:rFonts w:hint="eastAsia" w:ascii="宋体" w:hAnsi="宋体"/>
          <w:color w:val="000000"/>
          <w:sz w:val="24"/>
          <w:szCs w:val="24"/>
          <w:highlight w:val="none"/>
          <w:lang w:val="en-US" w:eastAsia="zh-CN"/>
        </w:rPr>
        <w:t xml:space="preserve">3年</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8.本项目不接受联合体投标。</w:t>
      </w:r>
      <w:r/>
    </w:p>
    <w:p>
      <w:pPr>
        <w:pStyle w:val="988"/>
        <w:ind w:firstLine="452"/>
        <w:keepLines w:val="0"/>
        <w:keepNext w:val="0"/>
        <w:spacing w:before="0" w:after="0" w:line="500" w:lineRule="exact"/>
        <w:rPr>
          <w:color w:val="000000"/>
          <w:sz w:val="30"/>
          <w:szCs w:val="30"/>
          <w:highlight w:val="none"/>
        </w:rPr>
      </w:pPr>
      <w:r/>
      <w:bookmarkStart w:id="12" w:name="_Toc28359080"/>
      <w:r/>
      <w:bookmarkStart w:id="13" w:name="_Toc35393622"/>
      <w:r/>
      <w:bookmarkStart w:id="14" w:name="_Toc28359003"/>
      <w:r/>
      <w:bookmarkStart w:id="15" w:name="_Toc38985264"/>
      <w:r/>
      <w:bookmarkStart w:id="16" w:name="_Toc35393791"/>
      <w:r>
        <w:rPr>
          <w:rFonts w:hint="eastAsia"/>
          <w:color w:val="000000"/>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sz w:val="24"/>
          <w:szCs w:val="24"/>
          <w:highlight w:val="none"/>
        </w:rPr>
      </w:pPr>
      <w:r/>
      <w:bookmarkStart w:id="17" w:name="_Toc35393792"/>
      <w:r/>
      <w:bookmarkStart w:id="18" w:name="_Toc38985265"/>
      <w:r/>
      <w:bookmarkStart w:id="19" w:name="_Toc28359081"/>
      <w:r/>
      <w:bookmarkStart w:id="20" w:name="_Toc28359004"/>
      <w:r/>
      <w:bookmarkStart w:id="21" w:name="_Toc35393623"/>
      <w:r>
        <w:rPr>
          <w:rFonts w:hint="eastAsia" w:ascii="宋体" w:hAnsi="宋体"/>
          <w:color w:val="000000"/>
          <w:sz w:val="24"/>
          <w:szCs w:val="24"/>
          <w:highlight w:val="none"/>
        </w:rPr>
        <w:t xml:space="preserve">1.满足《中华人民共和国政府采购法》第二十二条规定；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w:t>
      </w:r>
      <w:r>
        <w:rPr>
          <w:rFonts w:hint="eastAsia" w:ascii="宋体" w:hAnsi="宋体"/>
          <w:color w:val="000000"/>
          <w:sz w:val="24"/>
          <w:szCs w:val="24"/>
          <w:highlight w:val="none"/>
        </w:rPr>
        <w:t xml:space="preserve">本项目</w:t>
      </w:r>
      <w:r>
        <w:rPr>
          <w:rFonts w:hint="eastAsia" w:ascii="宋体" w:hAnsi="宋体"/>
          <w:color w:val="000000"/>
          <w:sz w:val="24"/>
          <w:szCs w:val="24"/>
          <w:highlight w:val="none"/>
          <w:lang w:val="en-US" w:eastAsia="zh-CN"/>
        </w:rPr>
        <w:t xml:space="preserve">不</w:t>
      </w:r>
      <w:r>
        <w:rPr>
          <w:rFonts w:hint="eastAsia" w:ascii="宋体" w:hAnsi="宋体"/>
          <w:color w:val="000000"/>
          <w:sz w:val="24"/>
          <w:szCs w:val="24"/>
          <w:highlight w:val="none"/>
        </w:rPr>
        <w:t xml:space="preserve">专门面向中小企业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www.ccgp.gov.cn</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查询，无被列入失信被执行人、</w:t>
      </w:r>
      <w:r>
        <w:rPr>
          <w:rFonts w:hint="eastAsia" w:ascii="宋体" w:hAnsi="宋体"/>
          <w:color w:val="000000"/>
          <w:sz w:val="24"/>
          <w:szCs w:val="24"/>
          <w:highlight w:val="none"/>
          <w:lang w:eastAsia="zh-CN"/>
        </w:rPr>
        <w:t xml:space="preserve">重大税收违法失信主体名单</w:t>
      </w:r>
      <w:r>
        <w:rPr>
          <w:rFonts w:hint="eastAsia" w:ascii="宋体" w:hAnsi="宋体"/>
          <w:color w:val="000000"/>
          <w:sz w:val="24"/>
          <w:szCs w:val="24"/>
          <w:highlight w:val="none"/>
        </w:rPr>
        <w:t xml:space="preserve">、政府采购严重失信行为记录名单及其他不符合《中华人民共和国政府采购法》第二十二条规定条件的信用记录；</w:t>
      </w:r>
      <w:r/>
    </w:p>
    <w:p>
      <w:pPr>
        <w:numPr>
          <w:ilvl w:val="0"/>
          <w:numId w:val="0"/>
        </w:numPr>
        <w:ind w:firstLine="480"/>
        <w:spacing w:line="500" w:lineRule="exact"/>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3.</w:t>
      </w:r>
      <w:r>
        <w:rPr>
          <w:rFonts w:hint="eastAsia" w:ascii="宋体" w:hAnsi="宋体"/>
          <w:color w:val="000000"/>
          <w:sz w:val="24"/>
          <w:szCs w:val="24"/>
          <w:highlight w:val="none"/>
        </w:rPr>
        <w:t xml:space="preserve">本项目的特定资格要求：</w:t>
      </w:r>
      <w:r/>
    </w:p>
    <w:p>
      <w:pPr>
        <w:numPr>
          <w:ilvl w:val="0"/>
          <w:numId w:val="0"/>
        </w:numPr>
        <w:ind w:firstLine="480"/>
        <w:spacing w:line="5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投标供应商须具备相关主管部门核发的《经营保险业务许可证》或《金融许可证》且符合经营财产保险的必备条件；[投标供应商若为经独立法人授权经营的分支机构，提供分公司资格证明文件] </w:t>
      </w:r>
      <w:r/>
    </w:p>
    <w:p>
      <w:pPr>
        <w:pStyle w:val="988"/>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000000"/>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p>
    <w:p>
      <w:pPr>
        <w:ind w:firstLine="540"/>
        <w:spacing w:line="500" w:lineRule="exact"/>
        <w:rPr>
          <w:rStyle w:val="1060"/>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p>
    <w:p>
      <w:pPr>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p>
    <w:p>
      <w:pPr>
        <w:pStyle w:val="988"/>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8</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31</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highlight w:val="none"/>
        </w:rPr>
        <w:t xml:space="preserve">点30分（北京时间）</w:t>
      </w:r>
      <w:r/>
    </w:p>
    <w:p>
      <w:pPr>
        <w:ind w:firstLine="480"/>
        <w:spacing w:line="500" w:lineRule="exact"/>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p>
    <w:p>
      <w:pPr>
        <w:pStyle w:val="988"/>
        <w:ind w:firstLine="452"/>
        <w:keepLines w:val="0"/>
        <w:keepNext w:val="0"/>
        <w:spacing w:before="0" w:after="0" w:line="500" w:lineRule="exact"/>
        <w:rPr>
          <w:color w:val="000000"/>
          <w:sz w:val="30"/>
          <w:szCs w:val="30"/>
          <w:highlight w:val="none"/>
        </w:rPr>
      </w:pPr>
      <w:r/>
      <w:bookmarkStart w:id="27" w:name="_Toc35393625"/>
      <w:r/>
      <w:bookmarkStart w:id="28" w:name="_Toc28359084"/>
      <w:r/>
      <w:bookmarkStart w:id="29" w:name="_Toc38985267"/>
      <w:r/>
      <w:bookmarkStart w:id="30" w:name="_Toc28359007"/>
      <w:r/>
      <w:bookmarkStart w:id="31" w:name="_Toc35393794"/>
      <w:r>
        <w:rPr>
          <w:rFonts w:hint="eastAsia"/>
          <w:color w:val="000000"/>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sz w:val="24"/>
          <w:szCs w:val="24"/>
          <w:highlight w:val="none"/>
        </w:rPr>
      </w:pPr>
      <w:r/>
      <w:bookmarkStart w:id="32" w:name="_Toc38985268"/>
      <w:r/>
      <w:bookmarkStart w:id="33" w:name="_Toc35393626"/>
      <w:r/>
      <w:bookmarkStart w:id="34" w:name="_Toc35393795"/>
      <w:r>
        <w:rPr>
          <w:rFonts w:hint="eastAsia" w:ascii="宋体" w:hAnsi="宋体" w:cs="宋体"/>
          <w:color w:val="000000"/>
          <w:sz w:val="24"/>
          <w:szCs w:val="24"/>
          <w:highlight w:val="none"/>
        </w:rPr>
        <w:t xml:space="preserve">（招标公告及招标文件公告期限）自本公告发布之日起5个工作日。</w:t>
      </w:r>
      <w:r/>
    </w:p>
    <w:p>
      <w:pPr>
        <w:pStyle w:val="988"/>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
    </w:p>
    <w:p>
      <w:pPr>
        <w:pStyle w:val="988"/>
        <w:ind w:firstLine="452"/>
        <w:keepLines w:val="0"/>
        <w:keepNext w:val="0"/>
        <w:spacing w:before="0" w:after="0" w:line="500" w:lineRule="exact"/>
        <w:rPr>
          <w:rFonts w:hint="eastAsia" w:ascii="宋体" w:hAnsi="宋体" w:eastAsia="宋体" w:cs="宋体"/>
          <w:b w:val="0"/>
          <w:bCs w:val="0"/>
          <w:color w:val="000000"/>
          <w:sz w:val="24"/>
          <w:szCs w:val="24"/>
          <w:highlight w:val="none"/>
          <w:lang w:val="en-US" w:eastAsia="zh-CN" w:bidi="ar-SA"/>
        </w:rPr>
      </w:pPr>
      <w:r/>
      <w:bookmarkStart w:id="35" w:name="_Toc35393627"/>
      <w:r/>
      <w:bookmarkStart w:id="36" w:name="_Toc28359008"/>
      <w:r/>
      <w:bookmarkStart w:id="37" w:name="_Toc28359085"/>
      <w:r/>
      <w:bookmarkStart w:id="38" w:name="_Toc35393796"/>
      <w:r/>
      <w:bookmarkStart w:id="39" w:name="_Toc38985269"/>
      <w:r>
        <w:rPr>
          <w:rFonts w:hint="eastAsia" w:ascii="宋体" w:hAnsi="宋体" w:eastAsia="宋体" w:cs="宋体"/>
          <w:b w:val="0"/>
          <w:bCs w:val="0"/>
          <w:color w:val="000000"/>
          <w:sz w:val="24"/>
          <w:szCs w:val="24"/>
          <w:highlight w:val="none"/>
          <w:lang w:val="en-US" w:eastAsia="zh-CN" w:bidi="ar-SA"/>
        </w:rPr>
        <w:t xml:space="preserve">无</w:t>
      </w:r>
      <w:r/>
    </w:p>
    <w:p>
      <w:pPr>
        <w:pStyle w:val="988"/>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无锡市滨湖区华庄街道办事处</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址：无锡市滨湖区高浪东路999号启航大厦 </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0" w:name="_Toc28359086"/>
      <w:r/>
      <w:bookmarkStart w:id="41" w:name="_Toc28359009"/>
      <w:r>
        <w:rPr>
          <w:rFonts w:hint="eastAsia" w:ascii="宋体" w:hAnsi="宋体" w:cs="宋体"/>
          <w:color w:val="000000"/>
          <w:sz w:val="24"/>
          <w:szCs w:val="24"/>
          <w:highlight w:val="none"/>
        </w:rPr>
        <w:t xml:space="preserve">见“项目联系方式”</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0"/>
      <w:r/>
      <w:bookmarkEnd w:id="41"/>
      <w:r>
        <w:rPr>
          <w:rFonts w:hint="eastAsia" w:ascii="宋体" w:hAnsi="宋体" w:cs="宋体"/>
          <w:color w:val="000000"/>
          <w:sz w:val="24"/>
          <w:szCs w:val="24"/>
          <w:highlight w:val="none"/>
        </w:rPr>
        <w:t xml:space="preserve">采购代理机构信息</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永道工程咨询（江苏）有限公司</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址：无锡市梁溪区梨花家园商用房55#-23（二楼）</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采购人项目咨询联系人：</w:t>
      </w:r>
      <w:r>
        <w:rPr>
          <w:rFonts w:hint="eastAsia" w:ascii="宋体" w:hAnsi="宋体" w:cs="宋体"/>
          <w:sz w:val="24"/>
          <w:highlight w:val="none"/>
        </w:rPr>
        <w:t xml:space="preserve">朱盛</w:t>
      </w:r>
      <w:r>
        <w:rPr>
          <w:rFonts w:hint="eastAsia" w:ascii="宋体" w:hAnsi="宋体" w:cs="宋体"/>
          <w:color w:val="000000"/>
          <w:sz w:val="24"/>
          <w:szCs w:val="24"/>
          <w:highlight w:val="none"/>
        </w:rPr>
        <w:t xml:space="preserve">；电话：</w:t>
      </w:r>
      <w:r>
        <w:rPr>
          <w:rFonts w:hint="eastAsia" w:ascii="宋体" w:hAnsi="宋体" w:cs="宋体"/>
          <w:sz w:val="24"/>
          <w:highlight w:val="none"/>
        </w:rPr>
        <w:t xml:space="preserve">15190306690</w:t>
      </w:r>
      <w:r/>
    </w:p>
    <w:p>
      <w:pPr>
        <w:ind w:firstLine="480"/>
        <w:spacing w:line="50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采购人质疑受理联系人：</w:t>
      </w:r>
      <w:r>
        <w:rPr>
          <w:rFonts w:hint="eastAsia" w:ascii="宋体" w:hAnsi="宋体" w:eastAsia="宋体" w:cs="宋体"/>
          <w:b w:val="0"/>
          <w:bCs w:val="0"/>
          <w:color w:val="auto"/>
          <w:sz w:val="24"/>
          <w:szCs w:val="24"/>
          <w:highlight w:val="none"/>
          <w:shd w:val="clear" w:color="auto" w:fill="ffffff"/>
          <w:lang w:val="en-US" w:eastAsia="zh-CN"/>
        </w:rPr>
        <w:t xml:space="preserve">姚小军、顾方民</w:t>
      </w:r>
      <w:r>
        <w:rPr>
          <w:rFonts w:hint="eastAsia" w:ascii="宋体" w:hAnsi="宋体" w:cs="宋体"/>
          <w:color w:val="000000"/>
          <w:sz w:val="24"/>
          <w:szCs w:val="24"/>
          <w:highlight w:val="none"/>
        </w:rPr>
        <w:t xml:space="preserve">；电话：</w:t>
      </w:r>
      <w:r>
        <w:rPr>
          <w:rFonts w:hint="eastAsia" w:ascii="宋体" w:hAnsi="宋体" w:eastAsia="宋体" w:cs="宋体"/>
          <w:b w:val="0"/>
          <w:bCs w:val="0"/>
          <w:color w:val="auto"/>
          <w:sz w:val="24"/>
          <w:szCs w:val="24"/>
          <w:highlight w:val="none"/>
          <w:shd w:val="clear" w:color="auto" w:fill="ffffff"/>
          <w:lang w:val="en-US" w:eastAsia="zh-CN"/>
        </w:rPr>
        <w:t xml:space="preserve">0510-83568806</w:t>
      </w:r>
      <w:r/>
    </w:p>
    <w:p>
      <w:pPr>
        <w:ind w:firstLine="480"/>
        <w:spacing w:line="50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代理机构</w:t>
      </w:r>
      <w:r>
        <w:rPr>
          <w:rFonts w:hint="eastAsia" w:ascii="宋体" w:hAnsi="宋体" w:cs="宋体"/>
          <w:color w:val="000000"/>
          <w:sz w:val="24"/>
          <w:szCs w:val="24"/>
          <w:highlight w:val="none"/>
        </w:rPr>
        <w:t xml:space="preserve">项目联系人：</w:t>
      </w:r>
      <w:r>
        <w:rPr>
          <w:rFonts w:hint="eastAsia" w:ascii="宋体" w:hAnsi="宋体" w:eastAsia="宋体" w:cs="宋体"/>
          <w:b w:val="0"/>
          <w:bCs w:val="0"/>
          <w:color w:val="auto"/>
          <w:sz w:val="24"/>
          <w:szCs w:val="24"/>
          <w:highlight w:val="none"/>
          <w:shd w:val="clear" w:color="auto" w:fill="ffffff"/>
          <w:lang w:val="en-US" w:eastAsia="zh-CN"/>
        </w:rPr>
        <w:t xml:space="preserve">姚小军、顾方民</w:t>
      </w:r>
      <w:r>
        <w:rPr>
          <w:rFonts w:hint="eastAsia" w:ascii="宋体" w:hAnsi="宋体" w:cs="宋体"/>
          <w:color w:val="000000"/>
          <w:sz w:val="24"/>
          <w:szCs w:val="24"/>
          <w:highlight w:val="none"/>
        </w:rPr>
        <w:t xml:space="preserve">；电话：</w:t>
      </w:r>
      <w:r>
        <w:rPr>
          <w:rFonts w:hint="eastAsia" w:ascii="宋体" w:hAnsi="宋体" w:eastAsia="宋体" w:cs="宋体"/>
          <w:b w:val="0"/>
          <w:bCs w:val="0"/>
          <w:color w:val="auto"/>
          <w:sz w:val="24"/>
          <w:szCs w:val="24"/>
          <w:highlight w:val="none"/>
          <w:shd w:val="clear" w:color="auto" w:fill="ffffff"/>
          <w:lang w:val="en-US" w:eastAsia="zh-CN"/>
        </w:rPr>
        <w:t xml:space="preserve">0510-83568806</w:t>
      </w:r>
      <w:r>
        <w:rPr>
          <w:rFonts w:hint="eastAsia" w:ascii="宋体" w:hAnsi="宋体" w:cs="宋体"/>
          <w:color w:val="000000"/>
          <w:sz w:val="24"/>
          <w:szCs w:val="24"/>
          <w:highlight w:val="none"/>
          <w:lang w:val="en-US" w:eastAsia="zh-CN"/>
        </w:rPr>
        <w:t xml:space="preserve">，邮箱：</w:t>
      </w:r>
      <w:r>
        <w:rPr>
          <w:rFonts w:hint="eastAsia" w:ascii="宋体" w:hAnsi="宋体" w:eastAsia="宋体" w:cs="宋体"/>
          <w:b w:val="0"/>
          <w:bCs w:val="0"/>
          <w:color w:val="auto"/>
          <w:sz w:val="24"/>
          <w:szCs w:val="24"/>
          <w:highlight w:val="none"/>
          <w:shd w:val="clear" w:color="auto" w:fill="ffffff"/>
          <w:lang w:val="en-US" w:eastAsia="zh-CN"/>
        </w:rPr>
        <w:t xml:space="preserve">2664967990@qq.com</w:t>
      </w:r>
      <w:r/>
    </w:p>
    <w:p>
      <w:pPr>
        <w:pStyle w:val="988"/>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八、其他</w:t>
      </w:r>
      <w:r/>
    </w:p>
    <w:p>
      <w:pPr>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w:t>
      </w:r>
      <w:r>
        <w:rPr>
          <w:rFonts w:hint="eastAsia" w:ascii="宋体" w:hAnsi="宋体"/>
          <w:color w:val="000000"/>
          <w:sz w:val="24"/>
          <w:szCs w:val="24"/>
          <w:highlight w:val="none"/>
          <w:lang w:eastAsia="zh-CN"/>
        </w:rPr>
        <w:t xml:space="preserve">登录</w:t>
      </w:r>
      <w:r>
        <w:rPr>
          <w:rFonts w:ascii="宋体" w:hAnsi="宋体"/>
          <w:color w:val="000000"/>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p>
    <w:p>
      <w:pPr>
        <w:ind w:firstLine="480"/>
        <w:spacing w:line="500" w:lineRule="exact"/>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p>
    <w:p>
      <w:pPr>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bCs/>
          <w:color w:val="000000"/>
          <w:sz w:val="24"/>
          <w:szCs w:val="24"/>
          <w:highlight w:val="none"/>
          <w:lang w:eastAsia="zh-CN"/>
        </w:rPr>
        <w:t xml:space="preserve">永道工程咨询（江苏）有限公司</w:t>
      </w:r>
      <w:r>
        <w:rPr>
          <w:rFonts w:hint="eastAsia" w:ascii="宋体" w:hAnsi="宋体"/>
          <w:bCs/>
          <w:color w:val="000000"/>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（四）本次采购不收取投标保证金。</w:t>
      </w:r>
      <w:r/>
    </w:p>
    <w:p>
      <w:pPr>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2"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513029202"/>
      <w:r/>
      <w:bookmarkStart w:id="46" w:name="_Toc20823274"/>
      <w:r>
        <w:rPr>
          <w:rFonts w:hint="eastAsia" w:ascii="黑体" w:hAnsi="黑体" w:eastAsia="黑体"/>
          <w:color w:val="000000"/>
          <w:sz w:val="36"/>
          <w:szCs w:val="36"/>
          <w:highlight w:val="none"/>
        </w:rPr>
        <w:t xml:space="preserve">投标人须知</w:t>
      </w:r>
      <w:bookmarkEnd w:id="43"/>
      <w:r/>
      <w:bookmarkEnd w:id="44"/>
      <w:r/>
      <w:bookmarkEnd w:id="45"/>
      <w:r/>
      <w:bookmarkEnd w:id="46"/>
      <w:r/>
      <w:r/>
    </w:p>
    <w:p>
      <w:pPr>
        <w:pStyle w:val="988"/>
        <w:ind w:firstLine="452"/>
        <w:keepLines w:val="0"/>
        <w:keepNext w:val="0"/>
        <w:spacing w:before="0" w:after="0" w:line="500" w:lineRule="exact"/>
        <w:rPr>
          <w:rFonts w:hint="eastAsia"/>
          <w:color w:val="000000"/>
          <w:sz w:val="30"/>
          <w:szCs w:val="30"/>
          <w:highlight w:val="none"/>
        </w:rPr>
      </w:pPr>
      <w:r/>
      <w:bookmarkStart w:id="47" w:name="_Toc513029203"/>
      <w:r/>
      <w:bookmarkStart w:id="48" w:name="_Toc16938519"/>
      <w:r/>
      <w:bookmarkStart w:id="49" w:name="_Toc120614214"/>
      <w:r/>
      <w:bookmarkStart w:id="50" w:name="_Toc20823275"/>
      <w:r>
        <w:rPr>
          <w:rFonts w:hint="eastAsia"/>
          <w:color w:val="000000"/>
          <w:sz w:val="30"/>
          <w:szCs w:val="30"/>
          <w:highlight w:val="none"/>
        </w:rPr>
        <w:t xml:space="preserve">一、总则</w:t>
      </w:r>
      <w:bookmarkEnd w:id="47"/>
      <w:r/>
      <w:bookmarkEnd w:id="48"/>
      <w:r/>
      <w:bookmarkEnd w:id="49"/>
      <w:r/>
      <w:bookmarkEnd w:id="50"/>
      <w:r/>
      <w:r/>
    </w:p>
    <w:p>
      <w:pPr>
        <w:pStyle w:val="989"/>
        <w:ind w:firstLine="422"/>
        <w:keepLines w:val="0"/>
        <w:keepNext w:val="0"/>
        <w:spacing w:before="0" w:after="0" w:line="500" w:lineRule="exact"/>
        <w:rPr>
          <w:rFonts w:hint="eastAsia" w:ascii="宋体" w:hAnsi="宋体" w:eastAsia="宋体"/>
          <w:bCs w:val="0"/>
          <w:color w:val="000000"/>
          <w:highlight w:val="none"/>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color w:val="000000"/>
          <w:highlight w:val="none"/>
        </w:rPr>
        <w:t xml:space="preserve">1.招标方式</w:t>
      </w:r>
      <w:bookmarkEnd w:id="52"/>
      <w:r/>
      <w:bookmarkEnd w:id="53"/>
      <w:r/>
      <w:bookmarkEnd w:id="54"/>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p>
    <w:p>
      <w:pPr>
        <w:pStyle w:val="989"/>
        <w:ind w:firstLine="422"/>
        <w:keepLines w:val="0"/>
        <w:keepNext w:val="0"/>
        <w:spacing w:before="0" w:after="0" w:line="500" w:lineRule="exact"/>
        <w:rPr>
          <w:rFonts w:hint="eastAsia" w:ascii="宋体" w:hAnsi="宋体" w:eastAsia="宋体"/>
          <w:bCs w:val="0"/>
          <w:color w:val="000000"/>
          <w:highlight w:val="none"/>
        </w:rPr>
      </w:pPr>
      <w:r/>
      <w:bookmarkStart w:id="55" w:name="_Toc513029205"/>
      <w:r/>
      <w:bookmarkStart w:id="56" w:name="_Toc20823277"/>
      <w:r/>
      <w:bookmarkStart w:id="57" w:name="_Toc16938521"/>
      <w:r>
        <w:rPr>
          <w:rFonts w:hint="eastAsia" w:ascii="宋体" w:hAnsi="宋体" w:eastAsia="宋体"/>
          <w:bCs w:val="0"/>
          <w:color w:val="000000"/>
          <w:highlight w:val="none"/>
        </w:rPr>
        <w:t xml:space="preserve">2.</w:t>
      </w:r>
      <w:bookmarkEnd w:id="55"/>
      <w:r/>
      <w:bookmarkEnd w:id="56"/>
      <w:r/>
      <w:bookmarkEnd w:id="57"/>
      <w:r>
        <w:rPr>
          <w:rFonts w:hint="eastAsia" w:ascii="宋体" w:hAnsi="宋体" w:eastAsia="宋体"/>
          <w:bCs w:val="0"/>
          <w:color w:val="000000"/>
          <w:highlight w:val="none"/>
        </w:rPr>
        <w:t xml:space="preserve">采购人、采购代理机构、投标人、联合体</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89"/>
        <w:ind w:firstLine="422"/>
        <w:keepLines w:val="0"/>
        <w:keepNext w:val="0"/>
        <w:spacing w:before="0" w:after="0" w:line="500" w:lineRule="exact"/>
        <w:rPr>
          <w:rFonts w:hint="eastAsia" w:ascii="宋体" w:hAnsi="宋体" w:eastAsia="宋体"/>
          <w:bCs w:val="0"/>
          <w:color w:val="000000"/>
          <w:highlight w:val="none"/>
        </w:rPr>
      </w:pPr>
      <w:r/>
      <w:bookmarkStart w:id="58" w:name="_Toc513029206"/>
      <w:r/>
      <w:bookmarkStart w:id="59" w:name="_Toc20823278"/>
      <w:r/>
      <w:bookmarkStart w:id="60" w:name="_Toc16938522"/>
      <w:r>
        <w:rPr>
          <w:rFonts w:hint="eastAsia" w:ascii="宋体" w:hAnsi="宋体" w:eastAsia="宋体"/>
          <w:bCs w:val="0"/>
          <w:color w:val="000000"/>
          <w:highlight w:val="none"/>
        </w:rPr>
        <w:t xml:space="preserve">3.适用法律</w:t>
      </w:r>
      <w:bookmarkEnd w:id="58"/>
      <w:r/>
      <w:bookmarkEnd w:id="59"/>
      <w:r/>
      <w:bookmarkEnd w:id="60"/>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t xml:space="preserve">。</w:t>
      </w:r>
      <w:r/>
    </w:p>
    <w:p>
      <w:pPr>
        <w:pStyle w:val="989"/>
        <w:ind w:firstLine="422"/>
        <w:keepLines w:val="0"/>
        <w:keepNext w:val="0"/>
        <w:spacing w:before="0" w:after="0" w:line="500" w:lineRule="exact"/>
        <w:rPr>
          <w:rFonts w:hint="eastAsia" w:ascii="宋体" w:hAnsi="宋体" w:eastAsia="宋体"/>
          <w:bCs w:val="0"/>
          <w:color w:val="000000"/>
          <w:highlight w:val="none"/>
        </w:rPr>
      </w:pPr>
      <w:r/>
      <w:bookmarkStart w:id="61" w:name="_Toc462564067"/>
      <w:r/>
      <w:bookmarkStart w:id="62" w:name="_Toc16938523"/>
      <w:r/>
      <w:bookmarkStart w:id="63" w:name="_Toc513029207"/>
      <w:r/>
      <w:bookmarkStart w:id="64" w:name="_Toc20823279"/>
      <w:r>
        <w:rPr>
          <w:rFonts w:hint="eastAsia" w:ascii="宋体" w:hAnsi="宋体" w:eastAsia="宋体"/>
          <w:bCs w:val="0"/>
          <w:color w:val="000000"/>
          <w:highlight w:val="none"/>
        </w:rPr>
        <w:t xml:space="preserve">4.投标费用</w:t>
      </w:r>
      <w:bookmarkEnd w:id="61"/>
      <w:r/>
      <w:bookmarkEnd w:id="62"/>
      <w:r/>
      <w:bookmarkEnd w:id="63"/>
      <w:r/>
      <w:bookmarkEnd w:id="64"/>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w:t>
      </w:r>
      <w:r>
        <w:rPr>
          <w:rFonts w:hint="eastAsia" w:ascii="宋体" w:hAnsi="宋体"/>
          <w:color w:val="000000"/>
          <w:sz w:val="24"/>
          <w:highlight w:val="none"/>
          <w:lang w:eastAsia="zh-CN"/>
        </w:rPr>
        <w:t xml:space="preserve">永道工程咨询（江苏）有限公司</w:t>
      </w:r>
      <w:r>
        <w:rPr>
          <w:rFonts w:hint="eastAsia" w:ascii="宋体" w:hAnsi="宋体"/>
          <w:color w:val="000000"/>
          <w:sz w:val="24"/>
          <w:highlight w:val="none"/>
        </w:rPr>
        <w:t xml:space="preserve">（以下简称</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）在任何情况下均无义务和责任承担这些费用。</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4.2本次招标标书工本费、招标文件均免费。</w:t>
      </w:r>
      <w:r/>
    </w:p>
    <w:p>
      <w:pPr>
        <w:ind w:firstLine="480"/>
        <w:spacing w:line="500" w:lineRule="exact"/>
        <w:rPr>
          <w:rFonts w:hint="default" w:ascii="宋体" w:hAnsi="宋体" w:eastAsia="宋体"/>
          <w:b/>
          <w:bCs/>
          <w:color w:val="000000"/>
          <w:sz w:val="24"/>
          <w:highlight w:val="none"/>
          <w:lang w:val="en-US" w:eastAsia="zh-CN"/>
        </w:rPr>
      </w:pPr>
      <w:r>
        <w:rPr>
          <w:rFonts w:hint="eastAsia" w:ascii="宋体" w:hAnsi="宋体"/>
          <w:b/>
          <w:bCs/>
          <w:color w:val="000000"/>
          <w:sz w:val="24"/>
          <w:highlight w:val="none"/>
          <w:lang w:val="en-US" w:eastAsia="zh-CN"/>
        </w:rPr>
        <w:t xml:space="preserve">4.3本次招标</w:t>
      </w:r>
      <w:r>
        <w:rPr>
          <w:rFonts w:hint="eastAsia" w:ascii="宋体" w:hAnsi="宋体"/>
          <w:b/>
          <w:bCs/>
          <w:color w:val="000000"/>
          <w:sz w:val="24"/>
          <w:highlight w:val="none"/>
        </w:rPr>
        <w:t xml:space="preserve">中标服务费</w:t>
      </w:r>
      <w:r>
        <w:rPr>
          <w:rFonts w:hint="eastAsia" w:ascii="宋体" w:hAnsi="宋体"/>
          <w:b/>
          <w:bCs/>
          <w:color w:val="000000"/>
          <w:sz w:val="24"/>
          <w:highlight w:val="none"/>
          <w:lang w:val="en-US" w:eastAsia="zh-CN"/>
        </w:rPr>
        <w:t xml:space="preserve">由招标人</w:t>
      </w:r>
      <w:r>
        <w:rPr>
          <w:rFonts w:hint="eastAsia" w:ascii="宋体" w:hAnsi="宋体" w:eastAsia="宋体" w:cs="Times New Roman"/>
          <w:b/>
          <w:bCs/>
          <w:color w:val="000000"/>
          <w:sz w:val="24"/>
          <w:highlight w:val="none"/>
          <w:lang w:val="en-US" w:eastAsia="zh-CN"/>
        </w:rPr>
        <w:t xml:space="preserve">支付，</w:t>
      </w:r>
      <w:r>
        <w:rPr>
          <w:rFonts w:hint="eastAsia" w:ascii="宋体" w:hAnsi="宋体" w:eastAsia="宋体" w:cs="Times New Roman"/>
          <w:b/>
          <w:bCs/>
          <w:color w:val="000000"/>
          <w:sz w:val="24"/>
          <w:highlight w:val="none"/>
        </w:rPr>
        <w:t xml:space="preserve">按</w:t>
      </w:r>
      <w:r>
        <w:rPr>
          <w:rFonts w:hint="eastAsia" w:ascii="宋体" w:hAnsi="宋体" w:cs="Times New Roman"/>
          <w:b/>
          <w:bCs/>
          <w:color w:val="000000"/>
          <w:sz w:val="24"/>
          <w:highlight w:val="none"/>
          <w:lang w:val="en-US" w:eastAsia="zh-CN"/>
        </w:rPr>
        <w:t xml:space="preserve">各标段</w:t>
      </w:r>
      <w:r>
        <w:rPr>
          <w:rFonts w:hint="eastAsia" w:ascii="宋体" w:hAnsi="宋体" w:eastAsia="宋体" w:cs="Times New Roman"/>
          <w:b/>
          <w:bCs/>
          <w:color w:val="000000"/>
          <w:sz w:val="24"/>
          <w:highlight w:val="none"/>
        </w:rPr>
        <w:t xml:space="preserve">中标金额为计费基础，按差额定率累进法计算</w:t>
      </w:r>
      <w:r>
        <w:rPr>
          <w:rFonts w:hint="eastAsia" w:ascii="宋体" w:hAnsi="宋体" w:cs="Times New Roman"/>
          <w:b/>
          <w:bCs/>
          <w:color w:val="000000"/>
          <w:sz w:val="24"/>
          <w:highlight w:val="none"/>
          <w:lang w:val="en-US" w:eastAsia="zh-CN"/>
        </w:rPr>
        <w:t xml:space="preserve">后的50%计取</w:t>
      </w:r>
      <w:r>
        <w:rPr>
          <w:rFonts w:hint="eastAsia" w:ascii="宋体" w:hAnsi="宋体" w:eastAsia="宋体" w:cs="Times New Roman"/>
          <w:b/>
          <w:bCs/>
          <w:color w:val="000000"/>
          <w:sz w:val="24"/>
          <w:highlight w:val="none"/>
        </w:rPr>
        <w:t xml:space="preserve">，100万以下部分费率为1.5%</w:t>
      </w:r>
      <w:r>
        <w:rPr>
          <w:rFonts w:hint="eastAsia" w:ascii="宋体" w:hAnsi="宋体" w:cs="Times New Roman"/>
          <w:b/>
          <w:bCs/>
          <w:color w:val="000000"/>
          <w:sz w:val="24"/>
          <w:highlight w:val="none"/>
          <w:lang w:eastAsia="zh-CN"/>
        </w:rPr>
        <w:t xml:space="preserve">，100万-500万</w:t>
      </w:r>
      <w:r>
        <w:rPr>
          <w:rFonts w:hint="eastAsia" w:ascii="宋体" w:hAnsi="宋体" w:eastAsia="宋体" w:cs="Times New Roman"/>
          <w:b/>
          <w:bCs/>
          <w:color w:val="000000"/>
          <w:sz w:val="24"/>
          <w:highlight w:val="none"/>
        </w:rPr>
        <w:t xml:space="preserve">部分费率为</w:t>
      </w:r>
      <w:r>
        <w:rPr>
          <w:rFonts w:hint="eastAsia" w:ascii="宋体" w:hAnsi="宋体" w:cs="Times New Roman"/>
          <w:b/>
          <w:bCs/>
          <w:color w:val="000000"/>
          <w:sz w:val="24"/>
          <w:highlight w:val="none"/>
          <w:lang w:val="en-US" w:eastAsia="zh-CN"/>
        </w:rPr>
        <w:t xml:space="preserve">0.8</w:t>
      </w:r>
      <w:r>
        <w:rPr>
          <w:rFonts w:hint="eastAsia" w:ascii="宋体" w:hAnsi="宋体" w:eastAsia="宋体" w:cs="Times New Roman"/>
          <w:b/>
          <w:bCs/>
          <w:color w:val="000000"/>
          <w:sz w:val="24"/>
          <w:highlight w:val="none"/>
        </w:rPr>
        <w:t xml:space="preserve">%</w:t>
      </w:r>
      <w:r>
        <w:rPr>
          <w:rFonts w:hint="eastAsia" w:ascii="宋体" w:hAnsi="宋体" w:cs="Times New Roman"/>
          <w:b/>
          <w:bCs/>
          <w:color w:val="000000"/>
          <w:sz w:val="24"/>
          <w:highlight w:val="none"/>
          <w:lang w:eastAsia="zh-CN"/>
        </w:rPr>
        <w:t xml:space="preserve">，</w:t>
      </w:r>
      <w:r>
        <w:rPr>
          <w:rFonts w:hint="eastAsia" w:ascii="宋体" w:hAnsi="宋体" w:cs="Times New Roman"/>
          <w:b/>
          <w:bCs/>
          <w:color w:val="000000"/>
          <w:sz w:val="24"/>
          <w:highlight w:val="none"/>
          <w:lang w:val="en-US" w:eastAsia="zh-CN"/>
        </w:rPr>
        <w:t xml:space="preserve">500</w:t>
      </w:r>
      <w:r>
        <w:rPr>
          <w:rFonts w:hint="eastAsia" w:ascii="宋体" w:hAnsi="宋体" w:eastAsia="宋体" w:cs="Times New Roman"/>
          <w:b/>
          <w:bCs/>
          <w:color w:val="000000"/>
          <w:sz w:val="24"/>
          <w:highlight w:val="none"/>
        </w:rPr>
        <w:t xml:space="preserve">万-</w:t>
      </w:r>
      <w:r>
        <w:rPr>
          <w:rFonts w:hint="eastAsia" w:ascii="宋体" w:hAnsi="宋体" w:cs="Times New Roman"/>
          <w:b/>
          <w:bCs/>
          <w:color w:val="000000"/>
          <w:sz w:val="24"/>
          <w:highlight w:val="none"/>
          <w:lang w:val="en-US" w:eastAsia="zh-CN"/>
        </w:rPr>
        <w:t xml:space="preserve">100</w:t>
      </w:r>
      <w:r>
        <w:rPr>
          <w:rFonts w:hint="eastAsia" w:ascii="宋体" w:hAnsi="宋体" w:eastAsia="宋体" w:cs="Times New Roman"/>
          <w:b/>
          <w:bCs/>
          <w:color w:val="000000"/>
          <w:sz w:val="24"/>
          <w:highlight w:val="none"/>
        </w:rPr>
        <w:t xml:space="preserve">0万部分费率为0.</w:t>
      </w:r>
      <w:r>
        <w:rPr>
          <w:rFonts w:hint="eastAsia" w:ascii="宋体" w:hAnsi="宋体" w:cs="Times New Roman"/>
          <w:b/>
          <w:bCs/>
          <w:color w:val="000000"/>
          <w:sz w:val="24"/>
          <w:highlight w:val="none"/>
          <w:lang w:val="en-US" w:eastAsia="zh-CN"/>
        </w:rPr>
        <w:t xml:space="preserve">45</w:t>
      </w:r>
      <w:r>
        <w:rPr>
          <w:rFonts w:hint="eastAsia" w:ascii="宋体" w:hAnsi="宋体" w:eastAsia="宋体" w:cs="Times New Roman"/>
          <w:b/>
          <w:bCs/>
          <w:color w:val="000000"/>
          <w:sz w:val="24"/>
          <w:highlight w:val="none"/>
        </w:rPr>
        <w:t xml:space="preserve">%</w:t>
      </w:r>
      <w:r>
        <w:rPr>
          <w:rFonts w:hint="eastAsia" w:ascii="宋体" w:hAnsi="宋体" w:cs="Times New Roman"/>
          <w:b/>
          <w:bCs/>
          <w:color w:val="000000"/>
          <w:sz w:val="24"/>
          <w:highlight w:val="none"/>
          <w:lang w:val="en-US" w:eastAsia="zh-CN"/>
        </w:rPr>
        <w:t xml:space="preserve">。不满1500元的，按1500元计算。</w:t>
      </w:r>
      <w:r/>
    </w:p>
    <w:p>
      <w:pPr>
        <w:pStyle w:val="989"/>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5.招标文件的约束力</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p>
    <w:p>
      <w:pPr>
        <w:pStyle w:val="988"/>
        <w:ind w:firstLine="452"/>
        <w:keepLines w:val="0"/>
        <w:keepNext w:val="0"/>
        <w:spacing w:before="0" w:after="0" w:line="500" w:lineRule="exact"/>
        <w:rPr>
          <w:rFonts w:hint="eastAsia"/>
          <w:color w:val="000000"/>
          <w:sz w:val="30"/>
          <w:szCs w:val="30"/>
          <w:highlight w:val="none"/>
        </w:rPr>
      </w:pPr>
      <w:r/>
      <w:bookmarkStart w:id="65" w:name="_Toc16938525"/>
      <w:r/>
      <w:bookmarkStart w:id="66" w:name="_Toc120614215"/>
      <w:r/>
      <w:bookmarkStart w:id="67" w:name="_Toc513029209"/>
      <w:r/>
      <w:bookmarkStart w:id="68" w:name="_Toc20823281"/>
      <w:r>
        <w:rPr>
          <w:rFonts w:hint="eastAsia"/>
          <w:color w:val="000000"/>
          <w:sz w:val="30"/>
          <w:szCs w:val="30"/>
          <w:highlight w:val="none"/>
        </w:rPr>
        <w:t xml:space="preserve">二、招标文件</w:t>
      </w:r>
      <w:bookmarkEnd w:id="65"/>
      <w:r/>
      <w:bookmarkEnd w:id="66"/>
      <w:r/>
      <w:bookmarkEnd w:id="67"/>
      <w:r/>
      <w:bookmarkEnd w:id="68"/>
      <w:r/>
      <w:r/>
    </w:p>
    <w:p>
      <w:pPr>
        <w:pStyle w:val="989"/>
        <w:ind w:firstLine="422"/>
        <w:keepLines w:val="0"/>
        <w:keepNext w:val="0"/>
        <w:spacing w:before="0" w:after="0" w:line="500" w:lineRule="exact"/>
        <w:rPr>
          <w:rFonts w:hint="eastAsia" w:ascii="宋体" w:hAnsi="宋体" w:eastAsia="宋体"/>
          <w:bCs w:val="0"/>
          <w:color w:val="000000"/>
          <w:highlight w:val="none"/>
        </w:rPr>
      </w:pPr>
      <w:r/>
      <w:bookmarkStart w:id="69" w:name="_Toc16938526"/>
      <w:r/>
      <w:bookmarkStart w:id="70" w:name="_Toc20823282"/>
      <w:r/>
      <w:bookmarkStart w:id="71" w:name="_Toc513029210"/>
      <w:r>
        <w:rPr>
          <w:rFonts w:hint="eastAsia" w:ascii="宋体" w:hAnsi="宋体" w:eastAsia="宋体"/>
          <w:bCs w:val="0"/>
          <w:color w:val="000000"/>
          <w:highlight w:val="none"/>
        </w:rPr>
        <w:t xml:space="preserve">6.招标文件构成</w:t>
      </w:r>
      <w:bookmarkEnd w:id="69"/>
      <w:r/>
      <w:bookmarkEnd w:id="70"/>
      <w:r/>
      <w:bookmarkEnd w:id="71"/>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480"/>
        <w:spacing w:line="50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（6）投标文件内容与格式</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联系解决。</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89"/>
        <w:ind w:firstLine="422"/>
        <w:keepLines w:val="0"/>
        <w:keepNext w:val="0"/>
        <w:spacing w:before="0" w:after="0" w:line="500" w:lineRule="exact"/>
        <w:rPr>
          <w:rFonts w:hint="eastAsia" w:ascii="宋体" w:hAnsi="宋体" w:eastAsia="宋体"/>
          <w:bCs w:val="0"/>
          <w:color w:val="000000"/>
          <w:highlight w:val="none"/>
        </w:rPr>
      </w:pPr>
      <w:r/>
      <w:bookmarkStart w:id="72" w:name="_Toc16938527"/>
      <w:r/>
      <w:bookmarkStart w:id="73" w:name="_Toc513029211"/>
      <w:r/>
      <w:bookmarkStart w:id="74" w:name="_Toc20823283"/>
      <w:r/>
      <w:bookmarkStart w:id="75" w:name="_Toc462564070"/>
      <w:r>
        <w:rPr>
          <w:rFonts w:hint="eastAsia" w:ascii="宋体" w:hAnsi="宋体" w:eastAsia="宋体"/>
          <w:bCs w:val="0"/>
          <w:color w:val="000000"/>
          <w:highlight w:val="none"/>
        </w:rPr>
        <w:t xml:space="preserve">7.招标文件的澄清</w:t>
      </w:r>
      <w:bookmarkEnd w:id="72"/>
      <w:r/>
      <w:bookmarkEnd w:id="73"/>
      <w:r/>
      <w:bookmarkEnd w:id="74"/>
      <w:r/>
      <w:bookmarkEnd w:id="75"/>
      <w:r/>
      <w:r/>
    </w:p>
    <w:p>
      <w:pPr>
        <w:ind w:firstLine="480"/>
        <w:spacing w:line="500" w:lineRule="exact"/>
        <w:rPr>
          <w:rFonts w:hint="eastAsia" w:ascii="宋体" w:hAnsi="宋体"/>
          <w:bCs/>
          <w:i/>
          <w:color w:val="000000"/>
          <w:sz w:val="24"/>
          <w:highlight w:val="none"/>
        </w:rPr>
      </w:pPr>
      <w:r>
        <w:rPr>
          <w:rFonts w:hint="eastAsia" w:ascii="宋体" w:hAnsi="宋体"/>
          <w:bCs/>
          <w:color w:val="000000"/>
          <w:sz w:val="24"/>
          <w:highlight w:val="none"/>
        </w:rPr>
        <w:t xml:space="preserve">7.1</w:t>
      </w:r>
      <w:r>
        <w:rPr>
          <w:rFonts w:ascii="宋体" w:hAnsi="宋体"/>
          <w:bCs/>
          <w:i/>
          <w:color w:val="000000"/>
          <w:sz w:val="24"/>
          <w:highlight w:val="none"/>
        </w:rPr>
        <w:t xml:space="preserve"> </w:t>
      </w:r>
      <w:r>
        <w:rPr>
          <w:rFonts w:hint="eastAsia" w:ascii="宋体" w:hAnsi="宋体"/>
          <w:bCs/>
          <w:color w:val="000000"/>
          <w:sz w:val="24"/>
          <w:highlight w:val="none"/>
          <w:lang w:eastAsia="zh-CN"/>
        </w:rPr>
        <w:t xml:space="preserve">代理机构</w:t>
      </w:r>
      <w:r>
        <w:rPr>
          <w:rFonts w:hint="eastAsia" w:ascii="宋体" w:hAnsi="宋体"/>
          <w:bCs/>
          <w:color w:val="000000"/>
          <w:sz w:val="24"/>
          <w:highlight w:val="none"/>
        </w:rPr>
        <w:t xml:space="preserve">根据采购人要求将于以下</w:t>
      </w:r>
      <w:r>
        <w:rPr>
          <w:rFonts w:hint="eastAsia" w:ascii="宋体" w:hAnsi="宋体"/>
          <w:bCs/>
          <w:color w:val="000000"/>
          <w:sz w:val="24"/>
          <w:highlight w:val="none"/>
          <w:lang w:val="en-US" w:eastAsia="zh-CN"/>
        </w:rPr>
        <w:t xml:space="preserve">答疑</w:t>
      </w:r>
      <w:r>
        <w:rPr>
          <w:rFonts w:hint="eastAsia" w:ascii="宋体" w:hAnsi="宋体"/>
          <w:bCs/>
          <w:color w:val="000000"/>
          <w:sz w:val="24"/>
          <w:highlight w:val="none"/>
        </w:rPr>
        <w:t xml:space="preserve">时间</w:t>
      </w:r>
      <w:r>
        <w:rPr>
          <w:rFonts w:hint="eastAsia" w:ascii="宋体" w:hAnsi="宋体"/>
          <w:bCs/>
          <w:color w:val="000000"/>
          <w:sz w:val="24"/>
          <w:highlight w:val="none"/>
          <w:lang w:val="en-US" w:eastAsia="zh-CN"/>
        </w:rPr>
        <w:t xml:space="preserve">前进行</w:t>
      </w:r>
      <w:r>
        <w:rPr>
          <w:rFonts w:hint="eastAsia" w:ascii="宋体" w:hAnsi="宋体"/>
          <w:bCs/>
          <w:color w:val="000000"/>
          <w:sz w:val="24"/>
          <w:highlight w:val="none"/>
        </w:rPr>
        <w:t xml:space="preserve">答疑。投标人如有需要对招标文件要求澄清的问题，请于</w:t>
      </w:r>
      <w:r>
        <w:rPr>
          <w:rFonts w:hint="eastAsia" w:ascii="宋体" w:hAnsi="宋体"/>
          <w:bCs/>
          <w:color w:val="000000"/>
          <w:sz w:val="24"/>
          <w:highlight w:val="none"/>
          <w:lang w:val="en-US" w:eastAsia="zh-CN"/>
        </w:rPr>
        <w:t xml:space="preserve">以下提疑时间</w:t>
      </w:r>
      <w:r>
        <w:rPr>
          <w:rFonts w:hint="eastAsia" w:ascii="宋体" w:hAnsi="宋体"/>
          <w:bCs/>
          <w:color w:val="000000"/>
          <w:sz w:val="24"/>
          <w:highlight w:val="none"/>
        </w:rPr>
        <w:t xml:space="preserve">前</w:t>
      </w:r>
      <w:r>
        <w:rPr>
          <w:rFonts w:hint="eastAsia" w:ascii="宋体" w:hAnsi="宋体"/>
          <w:color w:val="000000"/>
          <w:sz w:val="24"/>
          <w:highlight w:val="none"/>
        </w:rPr>
        <w:t xml:space="preserve">按招标公告</w:t>
      </w:r>
      <w:r>
        <w:rPr>
          <w:rFonts w:hint="eastAsia" w:ascii="宋体" w:hAnsi="宋体"/>
          <w:bCs/>
          <w:color w:val="000000"/>
          <w:sz w:val="24"/>
          <w:highlight w:val="none"/>
        </w:rPr>
        <w:t xml:space="preserve">或招标文件中</w:t>
      </w:r>
      <w:r>
        <w:rPr>
          <w:rFonts w:hint="eastAsia" w:ascii="宋体" w:hAnsi="宋体"/>
          <w:color w:val="000000"/>
          <w:sz w:val="24"/>
          <w:highlight w:val="none"/>
        </w:rPr>
        <w:t xml:space="preserve">的联系方式以书面形式通知</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w:t>
      </w:r>
      <w:r/>
    </w:p>
    <w:p>
      <w:pPr>
        <w:ind w:firstLine="480"/>
        <w:spacing w:line="500" w:lineRule="exact"/>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提疑时间：2026年8月18日10:00</w:t>
      </w:r>
      <w:r/>
    </w:p>
    <w:p>
      <w:pPr>
        <w:ind w:firstLine="480"/>
        <w:spacing w:line="500" w:lineRule="exact"/>
        <w:rPr>
          <w:rFonts w:hint="default"/>
          <w:highlight w:val="none"/>
          <w:lang w:val="en-US" w:eastAsia="zh-CN"/>
        </w:rPr>
      </w:pPr>
      <w:r>
        <w:rPr>
          <w:rFonts w:hint="eastAsia" w:ascii="宋体" w:hAnsi="宋体"/>
          <w:bCs/>
          <w:color w:val="000000"/>
          <w:sz w:val="24"/>
          <w:szCs w:val="24"/>
          <w:highlight w:val="none"/>
          <w:lang w:val="en-US" w:eastAsia="zh-CN"/>
        </w:rPr>
        <w:t xml:space="preserve">答疑时间：2026年8月18日17:00</w:t>
      </w:r>
      <w:r/>
    </w:p>
    <w:p>
      <w:pPr>
        <w:ind w:firstLine="480"/>
        <w:spacing w:line="500" w:lineRule="exact"/>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答疑会时间：</w:t>
      </w:r>
      <w:r>
        <w:rPr>
          <w:rFonts w:hint="eastAsia" w:ascii="宋体" w:hAnsi="宋体"/>
          <w:bCs/>
          <w:color w:val="000000"/>
          <w:sz w:val="24"/>
          <w:szCs w:val="24"/>
          <w:highlight w:val="none"/>
          <w:lang w:val="en-US" w:eastAsia="zh-CN"/>
        </w:rPr>
        <w:t xml:space="preserve">不组织现场答疑</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答疑会地点：</w:t>
      </w:r>
      <w:r>
        <w:rPr>
          <w:rFonts w:hint="eastAsia" w:ascii="宋体" w:hAnsi="宋体"/>
          <w:bCs/>
          <w:color w:val="000000"/>
          <w:sz w:val="24"/>
          <w:szCs w:val="24"/>
          <w:highlight w:val="none"/>
          <w:lang w:val="en-US" w:eastAsia="zh-CN"/>
        </w:rPr>
        <w:t xml:space="preserve">/</w:t>
      </w:r>
      <w:r/>
    </w:p>
    <w:p>
      <w:pPr>
        <w:pStyle w:val="989"/>
        <w:ind w:firstLine="422"/>
        <w:keepLines w:val="0"/>
        <w:keepNext w:val="0"/>
        <w:spacing w:before="0" w:after="0" w:line="500" w:lineRule="exact"/>
        <w:rPr>
          <w:rFonts w:hint="eastAsia" w:ascii="宋体" w:hAnsi="宋体" w:eastAsia="宋体"/>
          <w:bCs w:val="0"/>
          <w:color w:val="000000"/>
          <w:highlight w:val="none"/>
        </w:rPr>
      </w:pPr>
      <w:r/>
      <w:bookmarkStart w:id="76" w:name="_Toc16938528"/>
      <w:r/>
      <w:bookmarkStart w:id="77" w:name="_Toc20823284"/>
      <w:r/>
      <w:bookmarkStart w:id="78" w:name="_Toc462564071"/>
      <w:r/>
      <w:bookmarkStart w:id="79" w:name="_Toc513029212"/>
      <w:r>
        <w:rPr>
          <w:rFonts w:hint="eastAsia" w:ascii="宋体" w:hAnsi="宋体" w:eastAsia="宋体"/>
          <w:bCs w:val="0"/>
          <w:color w:val="000000"/>
          <w:highlight w:val="none"/>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8.1</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p>
    <w:p>
      <w:pPr>
        <w:pStyle w:val="988"/>
        <w:ind w:firstLine="452"/>
        <w:keepLines w:val="0"/>
        <w:keepNext w:val="0"/>
        <w:spacing w:before="0" w:after="0" w:line="500" w:lineRule="exact"/>
        <w:rPr>
          <w:rFonts w:hint="eastAsia"/>
          <w:color w:val="000000"/>
          <w:sz w:val="30"/>
          <w:szCs w:val="30"/>
          <w:highlight w:val="none"/>
        </w:rPr>
      </w:pPr>
      <w:r/>
      <w:bookmarkStart w:id="80" w:name="_Toc20823285"/>
      <w:r/>
      <w:bookmarkStart w:id="81" w:name="_Toc513029213"/>
      <w:r/>
      <w:bookmarkStart w:id="82" w:name="_Toc120614216"/>
      <w:r/>
      <w:bookmarkStart w:id="83" w:name="_Toc462564072"/>
      <w:r/>
      <w:bookmarkStart w:id="84" w:name="_Toc16938529"/>
      <w:r>
        <w:rPr>
          <w:rFonts w:hint="eastAsia"/>
          <w:color w:val="000000"/>
          <w:sz w:val="30"/>
          <w:szCs w:val="30"/>
          <w:highlight w:val="none"/>
        </w:rPr>
        <w:t xml:space="preserve">三、投标文件的编制</w:t>
      </w:r>
      <w:bookmarkEnd w:id="80"/>
      <w:r/>
      <w:bookmarkEnd w:id="81"/>
      <w:r/>
      <w:bookmarkEnd w:id="82"/>
      <w:r/>
      <w:bookmarkEnd w:id="83"/>
      <w:r/>
      <w:bookmarkEnd w:id="84"/>
      <w:r/>
      <w:r/>
    </w:p>
    <w:p>
      <w:pPr>
        <w:pStyle w:val="989"/>
        <w:ind w:firstLine="422"/>
        <w:keepLines w:val="0"/>
        <w:keepNext w:val="0"/>
        <w:spacing w:before="0" w:after="0" w:line="500" w:lineRule="exact"/>
        <w:rPr>
          <w:rFonts w:hint="eastAsia" w:ascii="宋体" w:hAnsi="宋体" w:eastAsia="宋体"/>
          <w:bCs w:val="0"/>
          <w:color w:val="000000"/>
          <w:highlight w:val="none"/>
        </w:rPr>
      </w:pPr>
      <w:r/>
      <w:bookmarkStart w:id="85" w:name="_Toc462564073"/>
      <w:r/>
      <w:bookmarkStart w:id="86" w:name="_Toc16938530"/>
      <w:r/>
      <w:bookmarkStart w:id="87" w:name="_Toc513029214"/>
      <w:r/>
      <w:bookmarkStart w:id="88" w:name="_Toc20823286"/>
      <w:r>
        <w:rPr>
          <w:rFonts w:hint="eastAsia" w:ascii="宋体" w:hAnsi="宋体" w:eastAsia="宋体"/>
          <w:bCs w:val="0"/>
          <w:color w:val="000000"/>
          <w:highlight w:val="none"/>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p>
    <w:p>
      <w:pPr>
        <w:pStyle w:val="989"/>
        <w:ind w:firstLine="422"/>
        <w:keepLines w:val="0"/>
        <w:keepNext w:val="0"/>
        <w:spacing w:before="0" w:after="0" w:line="500" w:lineRule="exact"/>
        <w:rPr>
          <w:rFonts w:hint="eastAsia" w:ascii="宋体" w:hAnsi="宋体" w:eastAsia="宋体"/>
          <w:bCs w:val="0"/>
          <w:color w:val="000000"/>
          <w:highlight w:val="none"/>
        </w:rPr>
      </w:pPr>
      <w:r/>
      <w:bookmarkStart w:id="89" w:name="_Toc16938531"/>
      <w:r/>
      <w:bookmarkStart w:id="90" w:name="_Toc462564074"/>
      <w:r/>
      <w:bookmarkStart w:id="91" w:name="_Toc513029215"/>
      <w:r/>
      <w:bookmarkStart w:id="92" w:name="_Toc20823287"/>
      <w:r>
        <w:rPr>
          <w:rFonts w:hint="eastAsia" w:ascii="宋体" w:hAnsi="宋体" w:eastAsia="宋体"/>
          <w:bCs w:val="0"/>
          <w:color w:val="000000"/>
          <w:highlight w:val="none"/>
        </w:rPr>
        <w:t xml:space="preserve">10.投标文件构成</w:t>
      </w:r>
      <w:bookmarkEnd w:id="89"/>
      <w:r/>
      <w:bookmarkEnd w:id="90"/>
      <w:r/>
      <w:bookmarkEnd w:id="91"/>
      <w:r/>
      <w:bookmarkEnd w:id="92"/>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p>
    <w:p>
      <w:pPr>
        <w:ind w:firstLine="480"/>
        <w:spacing w:line="500" w:lineRule="exact"/>
        <w:rPr>
          <w:rFonts w:hint="eastAsia" w:ascii="宋体" w:hAnsi="宋体"/>
          <w:b/>
          <w:bCs/>
          <w:color w:val="000000"/>
          <w:sz w:val="24"/>
          <w:highlight w:val="none"/>
        </w:rPr>
      </w:pPr>
      <w:r>
        <w:rPr>
          <w:rFonts w:hint="eastAsia" w:ascii="宋体" w:hAnsi="宋体"/>
          <w:b/>
          <w:bCs/>
          <w:color w:val="000000"/>
          <w:sz w:val="24"/>
          <w:highlight w:val="non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0"/>
        <w:spacing w:line="500" w:lineRule="exact"/>
        <w:rPr>
          <w:rFonts w:hint="eastAsia" w:ascii="宋体" w:hAnsi="宋体"/>
          <w:b/>
          <w:bCs/>
          <w:color w:val="000000"/>
          <w:sz w:val="24"/>
          <w:highlight w:val="none"/>
        </w:rPr>
      </w:pPr>
      <w:r>
        <w:rPr>
          <w:rFonts w:hint="eastAsia" w:ascii="宋体" w:hAnsi="宋体"/>
          <w:b/>
          <w:bCs/>
          <w:color w:val="000000"/>
          <w:sz w:val="24"/>
          <w:highlight w:val="none"/>
        </w:rPr>
        <w:t xml:space="preserve">不得有体现投标人身份的内容是指：</w:t>
      </w:r>
      <w:r/>
    </w:p>
    <w:p>
      <w:pPr>
        <w:ind w:firstLine="480"/>
        <w:spacing w:line="500" w:lineRule="exact"/>
        <w:rPr>
          <w:rFonts w:hint="eastAsia" w:ascii="宋体" w:hAnsi="宋体"/>
          <w:b/>
          <w:bCs/>
          <w:color w:val="000000"/>
          <w:sz w:val="24"/>
          <w:highlight w:val="none"/>
        </w:rPr>
      </w:pPr>
      <w:r>
        <w:rPr>
          <w:rFonts w:hint="eastAsia" w:ascii="宋体" w:hAnsi="宋体"/>
          <w:b/>
          <w:bCs/>
          <w:color w:val="000000"/>
          <w:sz w:val="24"/>
          <w:highlight w:val="none"/>
        </w:rPr>
        <w:t xml:space="preserve">10.4.1技术部分不得出现能够体现投标人身份、名称的相关描述、材料、文件等内容；</w:t>
      </w:r>
      <w:r/>
    </w:p>
    <w:p>
      <w:pPr>
        <w:ind w:firstLine="480"/>
        <w:spacing w:line="500" w:lineRule="exact"/>
        <w:rPr>
          <w:rFonts w:hint="eastAsia" w:ascii="宋体" w:hAnsi="宋体"/>
          <w:b/>
          <w:bCs/>
          <w:color w:val="000000"/>
          <w:sz w:val="24"/>
          <w:highlight w:val="none"/>
        </w:rPr>
      </w:pPr>
      <w:r>
        <w:rPr>
          <w:rFonts w:hint="eastAsia" w:ascii="宋体" w:hAnsi="宋体"/>
          <w:b/>
          <w:bCs/>
          <w:color w:val="000000"/>
          <w:sz w:val="24"/>
          <w:highlight w:val="none"/>
        </w:rPr>
        <w:t xml:space="preserve">10.4.2技术部分不得更改，不得在其中涂改、标注或做任何可以辨认投标人及所属人员身份的名称、印章、商标等标记；</w:t>
      </w:r>
      <w:r/>
    </w:p>
    <w:p>
      <w:pPr>
        <w:ind w:firstLine="480"/>
        <w:spacing w:line="500" w:lineRule="exact"/>
        <w:rPr>
          <w:rFonts w:hint="eastAsia" w:ascii="宋体" w:hAnsi="宋体"/>
          <w:b/>
          <w:bCs/>
          <w:color w:val="000000"/>
          <w:sz w:val="24"/>
          <w:highlight w:val="none"/>
        </w:rPr>
      </w:pPr>
      <w:r>
        <w:rPr>
          <w:rFonts w:hint="eastAsia" w:ascii="宋体" w:hAnsi="宋体"/>
          <w:b/>
          <w:bCs/>
          <w:color w:val="000000"/>
          <w:sz w:val="24"/>
          <w:highlight w:val="none"/>
        </w:rPr>
        <w:t xml:space="preserve">10.4.3技术部分应当版面整洁、字迹清楚、不许批注或进行底纹、阴影、水印等特殊设置，不得采用任何不符合常规、有别于其他投标人的特殊做法；</w:t>
      </w:r>
      <w:r/>
    </w:p>
    <w:p>
      <w:pPr>
        <w:ind w:firstLine="480"/>
        <w:spacing w:line="500" w:lineRule="exact"/>
        <w:rPr>
          <w:rFonts w:hint="eastAsia"/>
          <w:highlight w:val="none"/>
        </w:rPr>
      </w:pPr>
      <w:r>
        <w:rPr>
          <w:rFonts w:hint="eastAsia" w:ascii="宋体" w:hAnsi="宋体"/>
          <w:b/>
          <w:bCs/>
          <w:color w:val="000000"/>
          <w:sz w:val="24"/>
          <w:highlight w:val="none"/>
        </w:rPr>
        <w:t xml:space="preserve">10.4.4不得有其他体现投标人身份的内容。</w:t>
      </w:r>
      <w:r/>
    </w:p>
    <w:p>
      <w:pPr>
        <w:pStyle w:val="989"/>
        <w:ind w:firstLine="422"/>
        <w:keepLines w:val="0"/>
        <w:keepNext w:val="0"/>
        <w:spacing w:before="0" w:after="0" w:line="500" w:lineRule="exact"/>
        <w:rPr>
          <w:rFonts w:hint="eastAsia" w:ascii="宋体" w:hAnsi="宋体" w:eastAsia="宋体"/>
          <w:bCs w:val="0"/>
          <w:color w:val="000000"/>
          <w:highlight w:val="none"/>
        </w:rPr>
      </w:pPr>
      <w:r/>
      <w:bookmarkStart w:id="93" w:name="_Hlt26954838"/>
      <w:r/>
      <w:bookmarkEnd w:id="93"/>
      <w:r/>
      <w:bookmarkStart w:id="94" w:name="_Hlt26668975"/>
      <w:r/>
      <w:bookmarkEnd w:id="94"/>
      <w:r/>
      <w:bookmarkStart w:id="95" w:name="_Hlt26670360"/>
      <w:r/>
      <w:bookmarkEnd w:id="95"/>
      <w:r/>
      <w:bookmarkStart w:id="96" w:name="_Toc513029219"/>
      <w:r/>
      <w:bookmarkStart w:id="97" w:name="_Toc14577357"/>
      <w:r/>
      <w:bookmarkStart w:id="98" w:name="_Toc49090509"/>
      <w:r/>
      <w:bookmarkStart w:id="99" w:name="_Toc14577354"/>
      <w:r/>
      <w:bookmarkStart w:id="100" w:name="_Toc49090507"/>
      <w:r/>
      <w:bookmarkStart w:id="101" w:name="_Toc513029216"/>
      <w:r>
        <w:rPr>
          <w:rFonts w:hint="eastAsia" w:ascii="宋体" w:hAnsi="宋体" w:eastAsia="宋体"/>
          <w:bCs w:val="0"/>
          <w:color w:val="000000"/>
          <w:highlight w:val="none"/>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sz w:val="24"/>
          <w:highlight w:val="none"/>
        </w:rPr>
      </w:pPr>
      <w:r/>
      <w:bookmarkStart w:id="102" w:name="_Toc14577355"/>
      <w:r/>
      <w:bookmarkStart w:id="103" w:name="_Toc49090508"/>
      <w:r>
        <w:rPr>
          <w:rFonts w:hint="eastAsia" w:ascii="宋体" w:hAnsi="宋体"/>
          <w:bCs/>
          <w:color w:val="000000"/>
          <w:sz w:val="24"/>
          <w:highlight w:val="none"/>
        </w:rPr>
        <w:t xml:space="preserve">11.1投标人应按照</w:t>
      </w:r>
      <w:r>
        <w:rPr>
          <w:rFonts w:hint="eastAsia" w:ascii="宋体" w:hAnsi="宋体"/>
          <w:bCs/>
          <w:color w:val="000000"/>
          <w:sz w:val="24"/>
          <w:highlight w:val="none"/>
          <w:lang w:eastAsia="zh-CN"/>
        </w:rPr>
        <w:t xml:space="preserve">法律法规</w:t>
      </w:r>
      <w:r>
        <w:rPr>
          <w:rFonts w:hint="eastAsia" w:ascii="宋体" w:hAnsi="宋体"/>
          <w:bCs/>
          <w:color w:val="000000"/>
          <w:sz w:val="24"/>
          <w:highlight w:val="none"/>
        </w:rPr>
        <w:t xml:space="preserve">、规章和规范性文件以及招标文件要求提交证明文件，证明其及投标标的符合招标文件规定。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p>
    <w:p>
      <w:pPr>
        <w:pStyle w:val="989"/>
        <w:ind w:firstLine="422"/>
        <w:keepLines w:val="0"/>
        <w:keepNext w:val="0"/>
        <w:spacing w:before="0" w:after="0" w:line="500" w:lineRule="exact"/>
        <w:rPr>
          <w:rFonts w:hint="eastAsia" w:ascii="宋体" w:hAnsi="宋体" w:eastAsia="宋体"/>
          <w:bCs w:val="0"/>
          <w:color w:val="000000"/>
          <w:highlight w:val="none"/>
        </w:rPr>
      </w:pPr>
      <w:r/>
      <w:bookmarkStart w:id="104" w:name="_Toc49090510"/>
      <w:r/>
      <w:bookmarkStart w:id="105" w:name="_Toc14577359"/>
      <w:r>
        <w:rPr>
          <w:rFonts w:hint="eastAsia" w:ascii="宋体" w:hAnsi="宋体" w:eastAsia="宋体"/>
          <w:bCs w:val="0"/>
          <w:color w:val="000000"/>
          <w:highlight w:val="none"/>
        </w:rPr>
        <w:t xml:space="preserve">12.投标函、承诺书和开标一览表</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989"/>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13.</w:t>
      </w:r>
      <w:bookmarkEnd w:id="102"/>
      <w:r/>
      <w:bookmarkEnd w:id="103"/>
      <w:r>
        <w:rPr>
          <w:rFonts w:hint="eastAsia" w:ascii="宋体" w:hAnsi="宋体" w:eastAsia="宋体"/>
          <w:bCs w:val="0"/>
          <w:color w:val="000000"/>
          <w:highlight w:val="none"/>
        </w:rPr>
        <w:t xml:space="preserve">分项报价表</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6" w:name="_Hlt26954840"/>
      <w:r/>
      <w:bookmarkEnd w:id="106"/>
      <w:r>
        <w:rPr>
          <w:rFonts w:hint="eastAsia" w:ascii="宋体" w:hAnsi="宋体"/>
          <w:color w:val="000000"/>
          <w:sz w:val="24"/>
          <w:highlight w:val="none"/>
        </w:rPr>
        <w:t xml:space="preserve">标人应按照招标文件规定格式填报</w:t>
      </w:r>
      <w:bookmarkStart w:id="107" w:name="_Hlt26670399"/>
      <w:r/>
      <w:bookmarkEnd w:id="107"/>
      <w:r>
        <w:rPr>
          <w:rFonts w:hint="eastAsia" w:ascii="宋体" w:hAnsi="宋体"/>
          <w:color w:val="000000"/>
          <w:sz w:val="24"/>
          <w:highlight w:val="none"/>
        </w:rPr>
        <w:t xml:space="preserve">分项报价表。</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p>
    <w:p>
      <w:pPr>
        <w:pStyle w:val="989"/>
        <w:ind w:firstLine="422"/>
        <w:keepLines w:val="0"/>
        <w:keepNext w:val="0"/>
        <w:spacing w:before="0" w:after="0" w:line="500" w:lineRule="exact"/>
        <w:rPr>
          <w:rFonts w:hint="eastAsia" w:ascii="宋体" w:hAnsi="宋体" w:eastAsia="宋体"/>
          <w:bCs w:val="0"/>
          <w:color w:val="000000"/>
          <w:highlight w:val="none"/>
        </w:rPr>
      </w:pPr>
      <w:r/>
      <w:bookmarkStart w:id="108" w:name="_Hlt26670425"/>
      <w:r/>
      <w:bookmarkEnd w:id="108"/>
      <w:r/>
      <w:bookmarkStart w:id="109" w:name="_Hlt26670486"/>
      <w:r/>
      <w:bookmarkEnd w:id="109"/>
      <w:r/>
      <w:bookmarkStart w:id="110" w:name="_Hlt26954846"/>
      <w:r/>
      <w:bookmarkEnd w:id="110"/>
      <w:r/>
      <w:bookmarkStart w:id="111" w:name="_Hlt26670482"/>
      <w:r/>
      <w:bookmarkEnd w:id="111"/>
      <w:r/>
      <w:bookmarkStart w:id="112" w:name="_Hlt26668983"/>
      <w:r/>
      <w:bookmarkEnd w:id="112"/>
      <w:r/>
      <w:bookmarkStart w:id="113" w:name="_Hlt26954731"/>
      <w:r/>
      <w:bookmarkEnd w:id="113"/>
      <w:r/>
      <w:bookmarkStart w:id="114" w:name="_Hlt26954848"/>
      <w:r/>
      <w:bookmarkEnd w:id="114"/>
      <w:r/>
      <w:bookmarkStart w:id="115" w:name="_Hlt26954844"/>
      <w:r/>
      <w:bookmarkEnd w:id="115"/>
      <w:r/>
      <w:bookmarkStart w:id="116" w:name="_Hlt26954842"/>
      <w:r/>
      <w:bookmarkEnd w:id="116"/>
      <w:r/>
      <w:bookmarkStart w:id="117" w:name="_Hlt26670403"/>
      <w:r/>
      <w:bookmarkEnd w:id="117"/>
      <w:r>
        <w:rPr>
          <w:rFonts w:hint="eastAsia" w:ascii="宋体" w:hAnsi="宋体" w:eastAsia="宋体"/>
          <w:bCs w:val="0"/>
          <w:color w:val="000000"/>
          <w:highlight w:val="none"/>
        </w:rPr>
        <w:t xml:space="preserve">14.投标偏离表</w:t>
      </w:r>
      <w:r/>
    </w:p>
    <w:p>
      <w:pPr>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p>
    <w:p>
      <w:pPr>
        <w:pStyle w:val="989"/>
        <w:ind w:firstLine="422"/>
        <w:keepLines w:val="0"/>
        <w:keepNext w:val="0"/>
        <w:spacing w:before="0" w:after="0" w:line="500" w:lineRule="exact"/>
        <w:rPr>
          <w:rFonts w:hint="eastAsia" w:ascii="宋体" w:hAnsi="宋体" w:eastAsia="宋体"/>
          <w:bCs w:val="0"/>
          <w:color w:val="000000"/>
          <w:highlight w:val="none"/>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ascii="宋体" w:hAnsi="宋体" w:eastAsia="宋体"/>
          <w:bCs w:val="0"/>
          <w:color w:val="000000"/>
          <w:highlight w:val="none"/>
        </w:rPr>
        <w:t xml:space="preserve">15.投标有效期</w:t>
      </w:r>
      <w:bookmarkEnd w:id="121"/>
      <w:r/>
      <w:bookmarkEnd w:id="122"/>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p>
    <w:p>
      <w:pPr>
        <w:pStyle w:val="989"/>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16.投标有效期的延长</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w:t>
      </w:r>
      <w:r>
        <w:rPr>
          <w:rFonts w:hint="eastAsia" w:ascii="宋体" w:hAnsi="宋体"/>
          <w:bCs/>
          <w:color w:val="000000"/>
          <w:sz w:val="24"/>
          <w:highlight w:val="none"/>
          <w:lang w:eastAsia="zh-CN"/>
        </w:rPr>
        <w:t xml:space="preserve">代理机构</w:t>
      </w:r>
      <w:r>
        <w:rPr>
          <w:rFonts w:hint="eastAsia" w:ascii="宋体" w:hAnsi="宋体"/>
          <w:bCs/>
          <w:color w:val="000000"/>
          <w:sz w:val="24"/>
          <w:highlight w:val="none"/>
        </w:rPr>
        <w:t xml:space="preserve">于原投标有效期满之前，可向投标人提出延长投标有效期的要求。这种要求与答复均应采用书面形式。投标人可以拒绝</w:t>
      </w:r>
      <w:r>
        <w:rPr>
          <w:rFonts w:hint="eastAsia" w:ascii="宋体" w:hAnsi="宋体"/>
          <w:bCs/>
          <w:color w:val="000000"/>
          <w:sz w:val="24"/>
          <w:highlight w:val="none"/>
          <w:lang w:eastAsia="zh-CN"/>
        </w:rPr>
        <w:t xml:space="preserve">代理机构</w:t>
      </w:r>
      <w:r>
        <w:rPr>
          <w:rFonts w:hint="eastAsia" w:ascii="宋体" w:hAnsi="宋体"/>
          <w:bCs/>
          <w:color w:val="000000"/>
          <w:sz w:val="24"/>
          <w:highlight w:val="none"/>
        </w:rPr>
        <w:t xml:space="preserve">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p>
    <w:p>
      <w:pPr>
        <w:pStyle w:val="988"/>
        <w:ind w:firstLine="452"/>
        <w:keepLines w:val="0"/>
        <w:keepNext w:val="0"/>
        <w:spacing w:before="0" w:after="0" w:line="500" w:lineRule="exact"/>
        <w:rPr>
          <w:rFonts w:hint="eastAsia"/>
          <w:color w:val="000000"/>
          <w:sz w:val="30"/>
          <w:szCs w:val="30"/>
          <w:highlight w:val="none"/>
        </w:rPr>
      </w:pPr>
      <w:r/>
      <w:bookmarkStart w:id="123" w:name="_Hlt26954852"/>
      <w:r/>
      <w:bookmarkEnd w:id="123"/>
      <w:r/>
      <w:bookmarkStart w:id="124" w:name="_Hlt26954739"/>
      <w:r/>
      <w:bookmarkEnd w:id="124"/>
      <w:r/>
      <w:bookmarkStart w:id="125" w:name="_Toc120614217"/>
      <w:r/>
      <w:bookmarkStart w:id="126" w:name="_Toc513029224"/>
      <w:r/>
      <w:bookmarkStart w:id="127" w:name="_Toc16938540"/>
      <w:r/>
      <w:bookmarkStart w:id="128" w:name="_Toc20823296"/>
      <w:r>
        <w:rPr>
          <w:rFonts w:hint="eastAsia"/>
          <w:color w:val="000000"/>
          <w:sz w:val="30"/>
          <w:szCs w:val="30"/>
          <w:highlight w:val="none"/>
        </w:rPr>
        <w:t xml:space="preserve">四、投标文件的递交</w:t>
      </w:r>
      <w:bookmarkEnd w:id="125"/>
      <w:r/>
      <w:bookmarkEnd w:id="126"/>
      <w:r/>
      <w:bookmarkEnd w:id="127"/>
      <w:r/>
      <w:bookmarkEnd w:id="128"/>
      <w:r/>
      <w:r/>
    </w:p>
    <w:p>
      <w:pPr>
        <w:pStyle w:val="989"/>
        <w:ind w:firstLine="422"/>
        <w:keepLines w:val="0"/>
        <w:keepNext w:val="0"/>
        <w:spacing w:before="0" w:after="0" w:line="500" w:lineRule="exact"/>
        <w:rPr>
          <w:rFonts w:hint="eastAsia" w:ascii="宋体" w:hAnsi="宋体" w:eastAsia="宋体"/>
          <w:bCs w:val="0"/>
          <w:color w:val="000000"/>
          <w:highlight w:val="none"/>
        </w:rPr>
      </w:pPr>
      <w:r/>
      <w:bookmarkStart w:id="129" w:name="_Toc513029225"/>
      <w:r/>
      <w:bookmarkStart w:id="130" w:name="_Toc20823297"/>
      <w:r/>
      <w:bookmarkStart w:id="131" w:name="_Toc462564084"/>
      <w:r/>
      <w:bookmarkStart w:id="132" w:name="_Toc16938541"/>
      <w:r>
        <w:rPr>
          <w:rFonts w:hint="eastAsia" w:ascii="宋体" w:hAnsi="宋体" w:eastAsia="宋体"/>
          <w:bCs w:val="0"/>
          <w:color w:val="000000"/>
          <w:highlight w:val="none"/>
        </w:rPr>
        <w:t xml:space="preserve">17.投标文件</w:t>
      </w:r>
      <w:bookmarkEnd w:id="129"/>
      <w:r/>
      <w:bookmarkEnd w:id="130"/>
      <w:r/>
      <w:bookmarkEnd w:id="131"/>
      <w:r/>
      <w:bookmarkEnd w:id="132"/>
      <w:r>
        <w:rPr>
          <w:rFonts w:hint="eastAsia" w:ascii="宋体" w:hAnsi="宋体" w:eastAsia="宋体"/>
          <w:bCs w:val="0"/>
          <w:color w:val="000000"/>
          <w:highlight w:val="none"/>
        </w:rPr>
        <w:t xml:space="preserve">的递交</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p>
    <w:p>
      <w:pPr>
        <w:pStyle w:val="1095"/>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3" w:name="_Toc16938542"/>
      <w:r/>
      <w:bookmarkStart w:id="134" w:name="_Toc513029226"/>
      <w:r/>
      <w:bookmarkStart w:id="135" w:name="_Toc20823298"/>
      <w:r/>
      <w:r/>
    </w:p>
    <w:p>
      <w:pPr>
        <w:pStyle w:val="989"/>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18.投标截止</w:t>
      </w:r>
      <w:bookmarkEnd w:id="133"/>
      <w:r/>
      <w:bookmarkEnd w:id="134"/>
      <w:r/>
      <w:bookmarkEnd w:id="135"/>
      <w:r>
        <w:rPr>
          <w:rFonts w:hint="eastAsia" w:ascii="宋体" w:hAnsi="宋体" w:eastAsia="宋体"/>
          <w:bCs w:val="0"/>
          <w:color w:val="000000"/>
          <w:highlight w:val="none"/>
        </w:rPr>
        <w:t xml:space="preserve">时间</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w:t>
      </w:r>
      <w:r>
        <w:rPr>
          <w:rFonts w:hint="eastAsia" w:ascii="宋体" w:hAnsi="宋体"/>
          <w:bCs/>
          <w:color w:val="000000"/>
          <w:sz w:val="24"/>
          <w:highlight w:val="none"/>
          <w:lang w:eastAsia="zh-CN"/>
        </w:rPr>
        <w:t xml:space="preserve">充分考虑</w:t>
      </w:r>
      <w:r>
        <w:rPr>
          <w:rFonts w:hint="eastAsia" w:ascii="宋体" w:hAnsi="宋体"/>
          <w:bCs/>
          <w:color w:val="000000"/>
          <w:sz w:val="24"/>
          <w:highlight w:val="none"/>
        </w:rPr>
        <w:t xml:space="preserve">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lang w:eastAsia="zh-CN"/>
        </w:rPr>
        <w:t xml:space="preserve">代理机构</w:t>
      </w:r>
      <w:r>
        <w:rPr>
          <w:rFonts w:hint="eastAsia" w:ascii="宋体" w:hAnsi="宋体"/>
          <w:bCs/>
          <w:color w:val="000000"/>
          <w:sz w:val="24"/>
          <w:highlight w:val="none"/>
        </w:rPr>
        <w:t xml:space="preserve">可以按照规定，通过更正公告修改投标截止时间，投标人的所有权利和义务以及投标人受制的截止时间均应以延长后新的截止时间为准。</w:t>
      </w:r>
      <w:r/>
    </w:p>
    <w:p>
      <w:pPr>
        <w:pStyle w:val="989"/>
        <w:ind w:firstLine="422"/>
        <w:keepLines w:val="0"/>
        <w:keepNext w:val="0"/>
        <w:spacing w:before="0" w:after="0" w:line="500" w:lineRule="exact"/>
        <w:rPr>
          <w:rFonts w:hint="eastAsia" w:ascii="宋体" w:hAnsi="宋体" w:eastAsia="宋体"/>
          <w:bCs w:val="0"/>
          <w:color w:val="000000"/>
          <w:highlight w:val="none"/>
        </w:rPr>
      </w:pPr>
      <w:r/>
      <w:bookmarkStart w:id="136" w:name="_Toc513029227"/>
      <w:r/>
      <w:bookmarkStart w:id="137" w:name="_Toc20823299"/>
      <w:r/>
      <w:bookmarkStart w:id="138" w:name="_Toc16938543"/>
      <w:r>
        <w:rPr>
          <w:rFonts w:hint="eastAsia" w:ascii="宋体" w:hAnsi="宋体" w:eastAsia="宋体"/>
          <w:bCs w:val="0"/>
          <w:color w:val="000000"/>
          <w:highlight w:val="none"/>
        </w:rPr>
        <w:t xml:space="preserve">19.投标文件</w:t>
      </w:r>
      <w:bookmarkEnd w:id="136"/>
      <w:r/>
      <w:bookmarkEnd w:id="137"/>
      <w:r/>
      <w:bookmarkEnd w:id="138"/>
      <w:r>
        <w:rPr>
          <w:rFonts w:hint="eastAsia" w:ascii="宋体" w:hAnsi="宋体" w:eastAsia="宋体"/>
          <w:bCs w:val="0"/>
          <w:color w:val="000000"/>
          <w:highlight w:val="none"/>
        </w:rPr>
        <w:t xml:space="preserve">的拒收</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lang w:eastAsia="zh-CN"/>
        </w:rPr>
        <w:t xml:space="preserve">代理机构</w:t>
      </w:r>
      <w:r>
        <w:rPr>
          <w:rFonts w:hint="eastAsia" w:ascii="宋体" w:hAnsi="宋体"/>
          <w:bCs/>
          <w:color w:val="000000"/>
          <w:sz w:val="24"/>
          <w:highlight w:val="none"/>
        </w:rPr>
        <w:t xml:space="preserve">拒绝接收在其规定的投标截止时间后上传的任何投标文件。</w:t>
      </w:r>
      <w:r/>
    </w:p>
    <w:p>
      <w:pPr>
        <w:pStyle w:val="989"/>
        <w:ind w:firstLine="422"/>
        <w:keepLines w:val="0"/>
        <w:keepNext w:val="0"/>
        <w:spacing w:before="0" w:after="0" w:line="500" w:lineRule="exact"/>
        <w:rPr>
          <w:rFonts w:hint="eastAsia" w:ascii="宋体" w:hAnsi="宋体" w:eastAsia="宋体"/>
          <w:bCs w:val="0"/>
          <w:color w:val="000000"/>
          <w:highlight w:val="none"/>
        </w:rPr>
      </w:pPr>
      <w:r/>
      <w:bookmarkStart w:id="139" w:name="_Toc16938544"/>
      <w:r/>
      <w:bookmarkStart w:id="140" w:name="_Toc20823300"/>
      <w:r/>
      <w:bookmarkStart w:id="141" w:name="_Toc513029228"/>
      <w:r>
        <w:rPr>
          <w:rFonts w:hint="eastAsia" w:ascii="宋体" w:hAnsi="宋体" w:eastAsia="宋体"/>
          <w:bCs w:val="0"/>
          <w:color w:val="000000"/>
          <w:highlight w:val="none"/>
        </w:rPr>
        <w:t xml:space="preserve">20.投标文件的撤回和修改</w:t>
      </w:r>
      <w:bookmarkEnd w:id="139"/>
      <w:r/>
      <w:bookmarkEnd w:id="140"/>
      <w:r/>
      <w:bookmarkEnd w:id="141"/>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20.1投标文件的撤回</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21.1.1电子投标文件的撤回</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20.2投标文件的修改</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p>
    <w:p>
      <w:pPr>
        <w:pStyle w:val="988"/>
        <w:ind w:firstLine="452"/>
        <w:keepLines w:val="0"/>
        <w:keepNext w:val="0"/>
        <w:spacing w:before="0" w:after="0" w:line="500" w:lineRule="exact"/>
        <w:rPr>
          <w:rFonts w:hint="eastAsia"/>
          <w:color w:val="000000"/>
          <w:sz w:val="30"/>
          <w:szCs w:val="30"/>
          <w:highlight w:val="none"/>
        </w:rPr>
      </w:pPr>
      <w:r/>
      <w:bookmarkStart w:id="142" w:name="_Toc513029229"/>
      <w:r/>
      <w:bookmarkStart w:id="143" w:name="_Toc120614218"/>
      <w:r/>
      <w:bookmarkStart w:id="144" w:name="_Toc20823301"/>
      <w:r/>
      <w:bookmarkStart w:id="145" w:name="_Toc16938545"/>
      <w:r>
        <w:rPr>
          <w:rFonts w:hint="eastAsia"/>
          <w:color w:val="000000"/>
          <w:sz w:val="30"/>
          <w:szCs w:val="30"/>
          <w:highlight w:val="none"/>
        </w:rPr>
        <w:t xml:space="preserve">五、开标与评标</w:t>
      </w:r>
      <w:bookmarkEnd w:id="142"/>
      <w:r/>
      <w:bookmarkEnd w:id="143"/>
      <w:r/>
      <w:bookmarkEnd w:id="144"/>
      <w:r/>
      <w:bookmarkEnd w:id="145"/>
      <w:r/>
      <w:r/>
    </w:p>
    <w:p>
      <w:pPr>
        <w:pStyle w:val="989"/>
        <w:ind w:firstLine="422"/>
        <w:keepLines w:val="0"/>
        <w:keepNext w:val="0"/>
        <w:spacing w:before="0" w:after="0" w:line="500" w:lineRule="exact"/>
        <w:rPr>
          <w:rFonts w:hint="eastAsia" w:ascii="宋体" w:hAnsi="宋体" w:eastAsia="宋体"/>
          <w:bCs w:val="0"/>
          <w:color w:val="000000"/>
          <w:highlight w:val="none"/>
        </w:rPr>
      </w:pPr>
      <w:r/>
      <w:bookmarkStart w:id="146" w:name="_Toc513029230"/>
      <w:r/>
      <w:bookmarkStart w:id="147" w:name="_Toc20823302"/>
      <w:r/>
      <w:bookmarkStart w:id="148" w:name="_Toc16938546"/>
      <w:r>
        <w:rPr>
          <w:rFonts w:hint="eastAsia" w:ascii="宋体" w:hAnsi="宋体" w:eastAsia="宋体"/>
          <w:bCs w:val="0"/>
          <w:color w:val="000000"/>
          <w:highlight w:val="none"/>
        </w:rPr>
        <w:t xml:space="preserve">21.开标</w:t>
      </w:r>
      <w:bookmarkEnd w:id="146"/>
      <w:r/>
      <w:bookmarkEnd w:id="147"/>
      <w:r/>
      <w:bookmarkEnd w:id="148"/>
      <w:r/>
      <w:r/>
    </w:p>
    <w:p>
      <w:pPr>
        <w:ind w:firstLine="480"/>
        <w:spacing w:line="500" w:lineRule="exact"/>
        <w:rPr>
          <w:rFonts w:hint="eastAsia"/>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lang w:eastAsia="zh-CN"/>
        </w:rPr>
        <w:t xml:space="preserve">代理机构</w:t>
      </w:r>
      <w:r>
        <w:rPr>
          <w:rFonts w:hint="eastAsia" w:ascii="宋体" w:hAnsi="宋体"/>
          <w:bCs/>
          <w:color w:val="000000"/>
          <w:sz w:val="24"/>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21.2开标仪式由</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21.3投标人在开标过程中</w:t>
      </w:r>
      <w:r>
        <w:rPr>
          <w:rFonts w:hint="eastAsia" w:ascii="宋体" w:hAnsi="宋体"/>
          <w:color w:val="000000"/>
          <w:sz w:val="24"/>
          <w:highlight w:val="none"/>
          <w:lang w:eastAsia="zh-CN"/>
        </w:rPr>
        <w:t xml:space="preserve">涉及的</w:t>
      </w:r>
      <w:r>
        <w:rPr>
          <w:rFonts w:hint="eastAsia" w:ascii="宋体" w:hAnsi="宋体"/>
          <w:color w:val="000000"/>
          <w:sz w:val="24"/>
          <w:highlight w:val="none"/>
        </w:rPr>
        <w:t xml:space="preserve">投标文件解密、开标结果确认等工作，应按照《操作手册》规定执行。</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p>
    <w:p>
      <w:pPr>
        <w:pStyle w:val="989"/>
        <w:ind w:firstLine="422"/>
        <w:keepLines w:val="0"/>
        <w:keepNext w:val="0"/>
        <w:spacing w:before="0" w:after="0" w:line="500" w:lineRule="exact"/>
        <w:rPr>
          <w:rFonts w:hint="eastAsia" w:ascii="宋体" w:hAnsi="宋体" w:eastAsia="宋体"/>
          <w:bCs w:val="0"/>
          <w:color w:val="000000"/>
          <w:highlight w:val="none"/>
        </w:rPr>
      </w:pPr>
      <w:r/>
      <w:bookmarkStart w:id="149" w:name="_Toc16938547"/>
      <w:r/>
      <w:bookmarkStart w:id="150" w:name="_Toc513029231"/>
      <w:r/>
      <w:bookmarkStart w:id="151" w:name="_Toc20823303"/>
      <w:r>
        <w:rPr>
          <w:rFonts w:hint="eastAsia" w:ascii="宋体" w:hAnsi="宋体" w:eastAsia="宋体"/>
          <w:bCs w:val="0"/>
          <w:color w:val="000000"/>
          <w:highlight w:val="none"/>
        </w:rPr>
        <w:t xml:space="preserve">22.评标委员会</w:t>
      </w:r>
      <w:r/>
    </w:p>
    <w:p>
      <w:pPr>
        <w:ind w:firstLine="480"/>
        <w:spacing w:line="50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22.1开标后，</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将立即组织评标委员会（以下简称评委会）进行评标。</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22.3评委会独立工作，负责评审所有投标文件并确定中标候选人。</w:t>
      </w:r>
      <w:r/>
    </w:p>
    <w:p>
      <w:pPr>
        <w:pStyle w:val="989"/>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23.评标过程的保密与公正</w:t>
      </w:r>
      <w:bookmarkEnd w:id="149"/>
      <w:r/>
      <w:bookmarkEnd w:id="150"/>
      <w:r/>
      <w:bookmarkEnd w:id="151"/>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w:t>
      </w:r>
      <w:r>
        <w:rPr>
          <w:rFonts w:hint="eastAsia" w:ascii="宋体" w:hAnsi="宋体"/>
          <w:bCs/>
          <w:color w:val="000000"/>
          <w:sz w:val="24"/>
          <w:highlight w:val="none"/>
          <w:lang w:eastAsia="zh-CN"/>
        </w:rPr>
        <w:t xml:space="preserve">代理机构</w:t>
      </w:r>
      <w:r>
        <w:rPr>
          <w:rFonts w:hint="eastAsia" w:ascii="宋体" w:hAnsi="宋体"/>
          <w:bCs/>
          <w:color w:val="000000"/>
          <w:sz w:val="24"/>
          <w:highlight w:val="none"/>
        </w:rPr>
        <w:t xml:space="preserve">均不得向投标人或与评标无关的其他人员透露。</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p>
    <w:p>
      <w:pPr>
        <w:pStyle w:val="989"/>
        <w:ind w:firstLine="422"/>
        <w:keepLines w:val="0"/>
        <w:keepNext w:val="0"/>
        <w:spacing w:before="0" w:after="0" w:line="500" w:lineRule="exact"/>
        <w:rPr>
          <w:rFonts w:hint="eastAsia" w:ascii="宋体" w:hAnsi="宋体" w:eastAsia="宋体"/>
          <w:bCs w:val="0"/>
          <w:color w:val="000000"/>
          <w:highlight w:val="none"/>
        </w:rPr>
      </w:pPr>
      <w:r/>
      <w:bookmarkStart w:id="152" w:name="_Toc20823304"/>
      <w:r/>
      <w:bookmarkStart w:id="153" w:name="_Toc513029232"/>
      <w:r/>
      <w:bookmarkStart w:id="154" w:name="_Toc16938548"/>
      <w:r>
        <w:rPr>
          <w:rFonts w:hint="eastAsia" w:ascii="宋体" w:hAnsi="宋体" w:eastAsia="宋体"/>
          <w:bCs w:val="0"/>
          <w:color w:val="000000"/>
          <w:highlight w:val="none"/>
        </w:rPr>
        <w:t xml:space="preserve">24.投标文件的澄清</w:t>
      </w:r>
      <w:bookmarkEnd w:id="152"/>
      <w:r/>
      <w:bookmarkEnd w:id="153"/>
      <w:r/>
      <w:bookmarkEnd w:id="154"/>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w:t>
      </w:r>
      <w:r>
        <w:rPr>
          <w:rFonts w:hint="eastAsia" w:ascii="宋体" w:hAnsi="宋体"/>
          <w:color w:val="000000"/>
          <w:sz w:val="24"/>
          <w:szCs w:val="24"/>
          <w:highlight w:val="none"/>
          <w:lang w:eastAsia="zh-CN"/>
        </w:rPr>
        <w:t xml:space="preserve">作出</w:t>
      </w:r>
      <w:r>
        <w:rPr>
          <w:rFonts w:hint="eastAsia" w:ascii="宋体" w:hAnsi="宋体"/>
          <w:color w:val="000000"/>
          <w:sz w:val="24"/>
          <w:szCs w:val="24"/>
          <w:highlight w:val="none"/>
        </w:rPr>
        <w:t xml:space="preserve">澄清、说明和补正，其风险由投标人自行承担。</w:t>
      </w:r>
      <w:r/>
    </w:p>
    <w:p>
      <w:pPr>
        <w:pStyle w:val="989"/>
        <w:ind w:firstLine="422"/>
        <w:keepLines w:val="0"/>
        <w:keepNext w:val="0"/>
        <w:spacing w:before="0" w:after="0" w:line="500" w:lineRule="exact"/>
        <w:rPr>
          <w:rFonts w:hint="eastAsia" w:ascii="宋体" w:hAnsi="宋体" w:eastAsia="宋体"/>
          <w:bCs w:val="0"/>
          <w:color w:val="000000"/>
          <w:highlight w:val="none"/>
        </w:rPr>
      </w:pPr>
      <w:r/>
      <w:bookmarkStart w:id="155" w:name="_Toc513029233"/>
      <w:r/>
      <w:bookmarkStart w:id="156" w:name="_Toc16938549"/>
      <w:r/>
      <w:bookmarkStart w:id="157" w:name="_Toc20823305"/>
      <w:r>
        <w:rPr>
          <w:rFonts w:hint="eastAsia" w:ascii="宋体" w:hAnsi="宋体" w:eastAsia="宋体"/>
          <w:bCs w:val="0"/>
          <w:color w:val="000000"/>
          <w:highlight w:val="none"/>
        </w:rPr>
        <w:t xml:space="preserve">25.对投标文件的初审</w:t>
      </w:r>
      <w:bookmarkEnd w:id="155"/>
      <w:r/>
      <w:bookmarkEnd w:id="156"/>
      <w:r/>
      <w:bookmarkEnd w:id="157"/>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w:t>
      </w:r>
      <w:r>
        <w:rPr>
          <w:rFonts w:hint="eastAsia" w:ascii="宋体" w:hAnsi="宋体"/>
          <w:bCs/>
          <w:color w:val="000000"/>
          <w:sz w:val="24"/>
          <w:highlight w:val="none"/>
          <w:lang w:val="en-US" w:eastAsia="zh-CN"/>
        </w:rPr>
        <w:t xml:space="preserve">或采购代理</w:t>
      </w:r>
      <w:r>
        <w:rPr>
          <w:rFonts w:hint="eastAsia" w:ascii="宋体" w:hAnsi="宋体"/>
          <w:bCs/>
          <w:color w:val="000000"/>
          <w:sz w:val="24"/>
          <w:highlight w:val="none"/>
        </w:rPr>
        <w:t xml:space="preserve">对投标文件中的资格证明文件进行审查。</w:t>
      </w:r>
      <w:r/>
    </w:p>
    <w:p>
      <w:pPr>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www.ccgp.gov.cn</w:t>
      </w:r>
      <w:r>
        <w:rPr>
          <w:rFonts w:hint="eastAsia" w:ascii="宋体" w:hAnsi="宋体" w:cs="宋体"/>
          <w:color w:val="000000"/>
          <w:sz w:val="24"/>
          <w:szCs w:val="24"/>
          <w:highlight w:val="none"/>
          <w:lang w:eastAsia="zh-CN"/>
        </w:rPr>
        <w:t xml:space="preserve">）</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w:t>
      </w:r>
      <w:r>
        <w:rPr>
          <w:rFonts w:hint="eastAsia" w:ascii="宋体" w:hAnsi="宋体" w:cs="宋体"/>
          <w:color w:val="000000"/>
          <w:sz w:val="24"/>
          <w:szCs w:val="24"/>
          <w:highlight w:val="none"/>
          <w:lang w:eastAsia="zh-CN"/>
        </w:rPr>
        <w:t xml:space="preserve">重大税收违法失信主体名单</w:t>
      </w:r>
      <w:r>
        <w:rPr>
          <w:rFonts w:hint="eastAsia" w:ascii="宋体" w:hAnsi="宋体" w:cs="宋体"/>
          <w:color w:val="000000"/>
          <w:sz w:val="24"/>
          <w:szCs w:val="24"/>
          <w:highlight w:val="none"/>
        </w:rPr>
        <w:t xml:space="preserve">、政府采购严重违法失信行为记录名单，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联合体成员存在不良信用记录的，视同联合体存在不良应用记录。</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w:t>
      </w:r>
      <w:r>
        <w:rPr>
          <w:rFonts w:hint="eastAsia" w:ascii="宋体" w:hAnsi="宋体"/>
          <w:color w:val="000000"/>
          <w:sz w:val="24"/>
          <w:highlight w:val="none"/>
          <w:lang w:eastAsia="zh-CN"/>
        </w:rPr>
        <w:t xml:space="preserve">不符</w:t>
      </w:r>
      <w:r>
        <w:rPr>
          <w:rFonts w:hint="eastAsia" w:ascii="宋体" w:hAnsi="宋体"/>
          <w:color w:val="000000"/>
          <w:sz w:val="24"/>
          <w:highlight w:val="none"/>
        </w:rPr>
        <w:t xml:space="preserve">合要求的偏离或保留而使其投标成为实质性响应的投标。</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sz w:val="24"/>
          <w:highlight w:val="none"/>
        </w:rPr>
      </w:pPr>
      <w:r/>
      <w:bookmarkStart w:id="158" w:name="_Toc20823306"/>
      <w:r/>
      <w:bookmarkStart w:id="159" w:name="_Toc16938550"/>
      <w:r/>
      <w:bookmarkStart w:id="160" w:name="_Toc513029234"/>
      <w:r>
        <w:rPr>
          <w:rFonts w:hint="eastAsia" w:ascii="宋体" w:hAnsi="宋体"/>
          <w:color w:val="000000"/>
          <w:sz w:val="24"/>
          <w:highlight w:val="none"/>
        </w:rPr>
        <w:t xml:space="preserve">25.6投标人在开、评标全过程中应</w:t>
      </w:r>
      <w:r>
        <w:rPr>
          <w:rFonts w:hint="eastAsia" w:ascii="宋体" w:hAnsi="宋体"/>
          <w:color w:val="000000"/>
          <w:sz w:val="24"/>
          <w:highlight w:val="none"/>
          <w:lang w:eastAsia="zh-CN"/>
        </w:rPr>
        <w:t xml:space="preserve">保持通信畅通</w:t>
      </w:r>
      <w:r>
        <w:rPr>
          <w:rFonts w:hint="eastAsia" w:ascii="宋体" w:hAnsi="宋体"/>
          <w:color w:val="000000"/>
          <w:sz w:val="24"/>
          <w:highlight w:val="none"/>
        </w:rPr>
        <w:t xml:space="preserve">，及时登录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p>
    <w:p>
      <w:pPr>
        <w:pStyle w:val="989"/>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26</w:t>
      </w:r>
      <w:bookmarkEnd w:id="158"/>
      <w:r/>
      <w:bookmarkEnd w:id="159"/>
      <w:r/>
      <w:bookmarkEnd w:id="160"/>
      <w:r>
        <w:rPr>
          <w:rFonts w:hint="eastAsia" w:ascii="宋体" w:hAnsi="宋体" w:eastAsia="宋体"/>
          <w:bCs w:val="0"/>
          <w:color w:val="000000"/>
          <w:highlight w:val="none"/>
        </w:rPr>
        <w:t xml:space="preserve">.无效投标条款和废标条款</w:t>
      </w:r>
      <w:r/>
    </w:p>
    <w:p>
      <w:pPr>
        <w:ind w:left="479"/>
        <w:spacing w:line="500" w:lineRule="exact"/>
        <w:rPr>
          <w:rFonts w:hint="eastAsia" w:ascii="宋体" w:hAnsi="宋体"/>
          <w:bCs/>
          <w:color w:val="000000"/>
          <w:sz w:val="24"/>
          <w:highlight w:val="none"/>
        </w:rPr>
      </w:pPr>
      <w:r/>
      <w:bookmarkStart w:id="161" w:name="_Toc20823307"/>
      <w:r/>
      <w:bookmarkStart w:id="162" w:name="_Toc16938551"/>
      <w:r/>
      <w:bookmarkStart w:id="163" w:name="_Toc513029235"/>
      <w:r>
        <w:rPr>
          <w:rFonts w:hint="eastAsia" w:ascii="宋体" w:hAnsi="宋体"/>
          <w:bCs/>
          <w:color w:val="000000"/>
          <w:sz w:val="24"/>
          <w:highlight w:val="none"/>
        </w:rPr>
        <w:t xml:space="preserve">26.1无效投标条款</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p>
    <w:p>
      <w:pPr>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 </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www.ccgp.gov.cn</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列入失信被执行人或</w:t>
      </w:r>
      <w:r>
        <w:rPr>
          <w:rFonts w:hint="eastAsia" w:ascii="宋体" w:hAnsi="宋体"/>
          <w:color w:val="000000"/>
          <w:sz w:val="24"/>
          <w:szCs w:val="24"/>
          <w:highlight w:val="none"/>
          <w:lang w:eastAsia="zh-CN"/>
        </w:rPr>
        <w:t xml:space="preserve">重大税收违法失信主体名单</w:t>
      </w:r>
      <w:r>
        <w:rPr>
          <w:rFonts w:hint="eastAsia" w:ascii="宋体" w:hAnsi="宋体"/>
          <w:color w:val="000000"/>
          <w:sz w:val="24"/>
          <w:szCs w:val="24"/>
          <w:highlight w:val="none"/>
        </w:rPr>
        <w:t xml:space="preserve">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项目（标项、标段、分包）投标总价超过本项目（标项、标段、分包）预算或最高限价的。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26.1.21除单一来源采购项目外，为采购项目提供整体设计、规范编制或者项目管理、监理、检测等服务的</w:t>
      </w:r>
      <w:r>
        <w:rPr>
          <w:rFonts w:hint="eastAsia" w:ascii="宋体" w:hAnsi="宋体"/>
          <w:bCs/>
          <w:color w:val="000000"/>
          <w:sz w:val="24"/>
          <w:szCs w:val="24"/>
          <w:highlight w:val="none"/>
        </w:rPr>
        <w:t xml:space="preserve">。</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26.1.22</w:t>
      </w:r>
      <w:r>
        <w:rPr>
          <w:rFonts w:hint="eastAsia" w:ascii="宋体" w:hAnsi="宋体"/>
          <w:bCs/>
          <w:color w:val="000000"/>
          <w:sz w:val="24"/>
          <w:szCs w:val="24"/>
          <w:highlight w:val="none"/>
        </w:rPr>
        <w:t xml:space="preserve">评标委员会按照《关于推动解决政府采购异常低价问题的通知》（财库〔2026〕2号）规定对投标人进行异常低价投标（响应）审查，具体如下。</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（一）政府采购评审中出现下列情形之一的，评审委员会应当启动异常低价投标（响应）审查程序：</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3.投标（响应）报价低于采购项目最高限价45%的，即投标（响应）报价&lt;采购项目最高限价×45%；</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4.评审委员会基于专业判断，认为供应商报价过低，有可能影响产品质量或者不能诚信履约的其他情形。</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相关法律法规对供应商报价有规定的，从其规定。</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bCs/>
          <w:color w:val="000000"/>
          <w:sz w:val="24"/>
          <w:highlight w:val="none"/>
          <w:shd w:val="clear" w:color="ffffff" w:fill="d9d9d9"/>
        </w:rPr>
      </w:pPr>
      <w:r>
        <w:rPr>
          <w:rFonts w:hint="eastAsia" w:ascii="宋体" w:hAnsi="宋体"/>
          <w:bCs/>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eastAsia="宋体"/>
          <w:bCs/>
          <w:color w:val="000000"/>
          <w:sz w:val="24"/>
          <w:highlight w:val="none"/>
          <w:lang w:val="en-US" w:eastAsia="zh-CN"/>
        </w:rPr>
      </w:pPr>
      <w:r>
        <w:rPr>
          <w:rFonts w:hint="eastAsia" w:ascii="宋体" w:hAnsi="宋体"/>
          <w:bCs/>
          <w:color w:val="000000"/>
          <w:sz w:val="24"/>
          <w:highlight w:val="none"/>
        </w:rPr>
        <w:t xml:space="preserve">26.1.23投标文件内容不全或不符合招标文件中规定的其他实质性要求和条件的</w:t>
      </w:r>
      <w:r>
        <w:rPr>
          <w:rFonts w:hint="eastAsia" w:ascii="宋体" w:hAnsi="宋体"/>
          <w:bCs/>
          <w:color w:val="000000"/>
          <w:sz w:val="24"/>
          <w:highlight w:val="none"/>
          <w:lang w:eastAsia="zh-CN"/>
        </w:rPr>
        <w:t xml:space="preserve">。</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ascii="宋体" w:hAnsi="宋体"/>
          <w:bCs/>
          <w:color w:val="auto"/>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auto"/>
          <w:sz w:val="24"/>
          <w:highlight w:val="none"/>
        </w:rPr>
        <w:t xml:space="preserve">。</w:t>
      </w:r>
      <w:r/>
    </w:p>
    <w:p>
      <w:pPr>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26.2废标条款</w:t>
      </w:r>
      <w:r/>
    </w:p>
    <w:p>
      <w:pPr>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w:t>
      </w:r>
      <w:r>
        <w:rPr>
          <w:rFonts w:hint="eastAsia" w:ascii="宋体" w:hAnsi="宋体"/>
          <w:bCs/>
          <w:color w:val="000000"/>
          <w:sz w:val="24"/>
          <w:highlight w:val="none"/>
          <w:lang w:eastAsia="zh-CN"/>
        </w:rPr>
        <w:t xml:space="preserve">做</w:t>
      </w:r>
      <w:r>
        <w:rPr>
          <w:rFonts w:hint="eastAsia" w:ascii="宋体" w:hAnsi="宋体"/>
          <w:bCs/>
          <w:color w:val="000000"/>
          <w:sz w:val="24"/>
          <w:highlight w:val="none"/>
        </w:rPr>
        <w:t xml:space="preserve">实质响应的供应商不足三家的。</w:t>
      </w:r>
      <w:r/>
    </w:p>
    <w:p>
      <w:pPr>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26.2.2出现影响采购公正的违法、违规行为的。</w:t>
      </w:r>
      <w:r/>
    </w:p>
    <w:p>
      <w:pPr>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26.2.3因重大变故，采购任务取消的。</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p>
    <w:p>
      <w:pPr>
        <w:ind w:left="479"/>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p>
    <w:p>
      <w:pPr>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p>
    <w:p>
      <w:pPr>
        <w:pStyle w:val="988"/>
        <w:ind w:firstLine="452"/>
        <w:keepLines w:val="0"/>
        <w:keepNext w:val="0"/>
        <w:spacing w:before="0" w:after="0" w:line="500" w:lineRule="exact"/>
        <w:rPr>
          <w:rFonts w:hint="eastAsia"/>
          <w:color w:val="000000"/>
          <w:sz w:val="30"/>
          <w:szCs w:val="30"/>
          <w:highlight w:val="none"/>
        </w:rPr>
      </w:pPr>
      <w:r/>
      <w:bookmarkStart w:id="164" w:name="_Toc120614219"/>
      <w:r>
        <w:rPr>
          <w:rFonts w:hint="eastAsia"/>
          <w:color w:val="000000"/>
          <w:sz w:val="30"/>
          <w:szCs w:val="30"/>
          <w:highlight w:val="none"/>
        </w:rPr>
        <w:t xml:space="preserve">六、</w:t>
      </w:r>
      <w:bookmarkEnd w:id="161"/>
      <w:r/>
      <w:bookmarkEnd w:id="162"/>
      <w:r/>
      <w:bookmarkEnd w:id="163"/>
      <w:r>
        <w:rPr>
          <w:rFonts w:hint="eastAsia"/>
          <w:color w:val="000000"/>
          <w:sz w:val="30"/>
          <w:szCs w:val="30"/>
          <w:highlight w:val="none"/>
        </w:rPr>
        <w:t xml:space="preserve">定标</w:t>
      </w:r>
      <w:bookmarkEnd w:id="164"/>
      <w:r/>
      <w:r/>
    </w:p>
    <w:p>
      <w:pPr>
        <w:pStyle w:val="989"/>
        <w:ind w:firstLine="422"/>
        <w:keepLines w:val="0"/>
        <w:keepNext w:val="0"/>
        <w:spacing w:before="0" w:after="0" w:line="500" w:lineRule="exact"/>
        <w:rPr>
          <w:rFonts w:hint="eastAsia" w:ascii="宋体" w:hAnsi="宋体" w:eastAsia="宋体"/>
          <w:bCs w:val="0"/>
          <w:color w:val="000000"/>
          <w:highlight w:val="none"/>
        </w:rPr>
      </w:pPr>
      <w:r/>
      <w:bookmarkStart w:id="165" w:name="_Toc513029238"/>
      <w:r/>
      <w:bookmarkStart w:id="166" w:name="_Toc20823310"/>
      <w:r/>
      <w:bookmarkStart w:id="167" w:name="_Toc16938554"/>
      <w:r>
        <w:rPr>
          <w:rFonts w:hint="eastAsia" w:ascii="宋体" w:hAnsi="宋体" w:eastAsia="宋体"/>
          <w:bCs w:val="0"/>
          <w:color w:val="000000"/>
          <w:highlight w:val="none"/>
        </w:rPr>
        <w:t xml:space="preserve">27</w:t>
      </w:r>
      <w:bookmarkEnd w:id="165"/>
      <w:r>
        <w:rPr>
          <w:rFonts w:hint="eastAsia" w:ascii="宋体" w:hAnsi="宋体" w:eastAsia="宋体"/>
          <w:bCs w:val="0"/>
          <w:color w:val="000000"/>
          <w:highlight w:val="none"/>
          <w:lang w:eastAsia="zh-CN"/>
        </w:rPr>
        <w:t xml:space="preserve">.</w:t>
      </w:r>
      <w:r>
        <w:rPr>
          <w:rFonts w:hint="eastAsia" w:ascii="宋体" w:hAnsi="宋体" w:eastAsia="宋体"/>
          <w:bCs w:val="0"/>
          <w:color w:val="000000"/>
          <w:highlight w:val="none"/>
        </w:rPr>
        <w:t xml:space="preserve">确定</w:t>
      </w:r>
      <w:bookmarkEnd w:id="166"/>
      <w:r/>
      <w:bookmarkEnd w:id="167"/>
      <w:r>
        <w:rPr>
          <w:rFonts w:hint="eastAsia" w:ascii="宋体" w:hAnsi="宋体" w:eastAsia="宋体"/>
          <w:bCs w:val="0"/>
          <w:color w:val="000000"/>
          <w:highlight w:val="none"/>
        </w:rPr>
        <w:t xml:space="preserve">中标单位</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将在“江苏政府采购网”发布中标公告，公告期限为1个工作日。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27.4中标无效的确认</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行贿或者提供其他不正当利益的。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500" w:lineRule="exact"/>
        <w:rPr>
          <w:rFonts w:hint="eastAsia" w:ascii="宋体" w:hAnsi="宋体"/>
          <w:color w:val="000000"/>
          <w:sz w:val="24"/>
          <w:szCs w:val="24"/>
          <w:highlight w:val="none"/>
        </w:rPr>
      </w:pPr>
      <w:r/>
      <w:bookmarkStart w:id="168"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pStyle w:val="989"/>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28.质疑处理</w:t>
      </w:r>
      <w:bookmarkEnd w:id="168"/>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提出，由</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负责答复。</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只接收以纸质原件形式送达的质疑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质疑供应商可通过面交或邮寄方式送达（采购人和</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不接受未填写快递运单的快件）。</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联系人、联系方式、通信地址见招标文件第一章。</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有权依据政府采购的有关规定，报请政府采购监管部门对该供应商进行相应的行政处罚和记录该供应商的失信信息。</w:t>
      </w:r>
      <w:r/>
    </w:p>
    <w:p>
      <w:pPr>
        <w:pStyle w:val="989"/>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29.中标通知书</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29.l中标结果确定后，</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将向中标人发出中标通知书。请中标人在中标结果公告届满之日起30日内</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因未及时下载而造成的不利后果由中标人自行承担。</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88"/>
        <w:ind w:firstLine="452"/>
        <w:keepLines w:val="0"/>
        <w:keepNext w:val="0"/>
        <w:spacing w:before="0" w:after="0" w:line="500" w:lineRule="exact"/>
        <w:rPr>
          <w:rFonts w:hint="eastAsia"/>
          <w:color w:val="000000"/>
          <w:sz w:val="30"/>
          <w:szCs w:val="30"/>
          <w:highlight w:val="none"/>
        </w:rPr>
      </w:pPr>
      <w:r/>
      <w:bookmarkStart w:id="169" w:name="_Toc513029236"/>
      <w:r/>
      <w:bookmarkStart w:id="170" w:name="_Toc20823308"/>
      <w:r/>
      <w:bookmarkStart w:id="171" w:name="_Toc16938552"/>
      <w:r/>
      <w:bookmarkStart w:id="172" w:name="_Toc120614220"/>
      <w:r>
        <w:rPr>
          <w:rFonts w:hint="eastAsia"/>
          <w:color w:val="000000"/>
          <w:sz w:val="30"/>
          <w:szCs w:val="30"/>
          <w:highlight w:val="none"/>
        </w:rPr>
        <w:t xml:space="preserve">七、授予合同</w:t>
      </w:r>
      <w:bookmarkEnd w:id="169"/>
      <w:r/>
      <w:bookmarkEnd w:id="170"/>
      <w:r/>
      <w:bookmarkEnd w:id="171"/>
      <w:r/>
      <w:bookmarkEnd w:id="172"/>
      <w:r/>
      <w:r/>
    </w:p>
    <w:p>
      <w:pPr>
        <w:pStyle w:val="989"/>
        <w:ind w:firstLine="422"/>
        <w:keepLines w:val="0"/>
        <w:keepNext w:val="0"/>
        <w:spacing w:before="0" w:after="0" w:line="500" w:lineRule="exact"/>
        <w:rPr>
          <w:rFonts w:hint="eastAsia" w:ascii="宋体" w:hAnsi="宋体" w:eastAsia="宋体"/>
          <w:bCs w:val="0"/>
          <w:color w:val="000000"/>
          <w:highlight w:val="none"/>
        </w:rPr>
      </w:pPr>
      <w:r/>
      <w:bookmarkStart w:id="173" w:name="_Toc16938553"/>
      <w:r/>
      <w:bookmarkStart w:id="174" w:name="_Toc20823309"/>
      <w:r/>
      <w:bookmarkStart w:id="175" w:name="_Toc513029237"/>
      <w:r>
        <w:rPr>
          <w:rFonts w:hint="eastAsia" w:ascii="宋体" w:hAnsi="宋体" w:eastAsia="宋体"/>
          <w:bCs w:val="0"/>
          <w:color w:val="000000"/>
          <w:highlight w:val="none"/>
        </w:rPr>
        <w:t xml:space="preserve">30.签订合同</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w:t>
      </w:r>
      <w:r>
        <w:rPr>
          <w:rFonts w:hint="eastAsia" w:ascii="宋体" w:hAnsi="宋体"/>
          <w:bCs/>
          <w:color w:val="000000"/>
          <w:sz w:val="24"/>
          <w:szCs w:val="24"/>
          <w:highlight w:val="none"/>
          <w:lang w:val="en-US" w:eastAsia="zh-CN"/>
        </w:rPr>
        <w:t xml:space="preserve">三十</w:t>
      </w:r>
      <w:r>
        <w:rPr>
          <w:rFonts w:hint="eastAsia" w:ascii="宋体" w:hAnsi="宋体"/>
          <w:bCs/>
          <w:color w:val="000000"/>
          <w:sz w:val="24"/>
          <w:szCs w:val="24"/>
          <w:highlight w:val="none"/>
        </w:rPr>
        <w:t xml:space="preserve">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将根据具体情况提请政府采购管理部门作出相应处理。</w:t>
      </w:r>
      <w:r/>
    </w:p>
    <w:p>
      <w:pPr>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89"/>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31.服务（包含与服务相关的货物）的追加</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000000"/>
          <w:sz w:val="24"/>
          <w:szCs w:val="24"/>
          <w:highlight w:val="none"/>
          <w:lang w:eastAsia="zh-CN"/>
        </w:rPr>
        <w:t xml:space="preserve">额的</w:t>
      </w:r>
      <w:r>
        <w:rPr>
          <w:rFonts w:hint="eastAsia" w:ascii="宋体" w:hAnsi="宋体"/>
          <w:color w:val="000000"/>
          <w:sz w:val="24"/>
          <w:szCs w:val="24"/>
          <w:highlight w:val="none"/>
        </w:rPr>
        <w:t xml:space="preserve">10%。</w:t>
      </w:r>
      <w:bookmarkEnd w:id="173"/>
      <w:r/>
      <w:bookmarkEnd w:id="174"/>
      <w:r/>
      <w:bookmarkEnd w:id="175"/>
      <w:r/>
      <w:r/>
    </w:p>
    <w:p>
      <w:pPr>
        <w:pStyle w:val="987"/>
        <w:ind w:firstLine="720"/>
        <w:jc w:val="center"/>
        <w:spacing w:line="500" w:lineRule="exact"/>
        <w:rPr>
          <w:rFonts w:ascii="黑体" w:eastAsia="黑体"/>
          <w:bCs/>
          <w:color w:val="000000"/>
          <w:sz w:val="36"/>
          <w:szCs w:val="36"/>
          <w:highlight w:val="none"/>
          <w:lang w:eastAsia="zh-CN"/>
        </w:rPr>
      </w:pPr>
      <w:r/>
      <w:bookmarkStart w:id="176" w:name="_Toc479757207"/>
      <w:r/>
      <w:bookmarkStart w:id="177" w:name="_Toc513029242"/>
      <w:r/>
      <w:bookmarkStart w:id="178" w:name="_Toc20823314"/>
      <w:r/>
      <w:bookmarkStart w:id="179" w:name="_Toc120614221"/>
      <w:r/>
      <w:bookmarkStart w:id="180" w:name="_Toc16938558"/>
      <w:r>
        <w:rPr>
          <w:rFonts w:ascii="宋体" w:hAnsi="宋体"/>
          <w:bCs/>
          <w:color w:val="000000"/>
          <w:sz w:val="24"/>
          <w:highlight w:val="none"/>
          <w:shd w:val="clear" w:color="ffffff" w:fill="d9d9d9"/>
        </w:rPr>
        <w:br w:type="page" w:clear="all"/>
      </w:r>
      <w:bookmarkEnd w:id="176"/>
      <w:r/>
      <w:bookmarkEnd w:id="177"/>
      <w:r/>
      <w:bookmarkEnd w:id="178"/>
      <w:r/>
      <w:bookmarkEnd w:id="179"/>
      <w:r/>
      <w:bookmarkEnd w:id="180"/>
      <w:r/>
      <w:bookmarkStart w:id="181" w:name="_Toc16938559"/>
      <w:r/>
      <w:bookmarkStart w:id="182" w:name="_Toc513029243"/>
      <w:r/>
      <w:bookmarkStart w:id="183" w:name="_Toc20823315"/>
      <w:r>
        <w:rPr>
          <w:rFonts w:hint="eastAsia" w:ascii="黑体" w:eastAsia="黑体"/>
          <w:bCs/>
          <w:color w:val="000000"/>
          <w:sz w:val="36"/>
          <w:szCs w:val="36"/>
          <w:highlight w:val="none"/>
          <w:lang w:eastAsia="zh-CN"/>
        </w:rPr>
        <w:t xml:space="preserve">第三章  合同文本</w:t>
      </w:r>
      <w:bookmarkEnd w:id="181"/>
      <w:r/>
      <w:bookmarkEnd w:id="182"/>
      <w:r/>
      <w:bookmarkEnd w:id="183"/>
      <w:r/>
      <w:r/>
    </w:p>
    <w:p>
      <w:pPr>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bookmarkStart w:id="184" w:name="_Hlt16619350"/>
      <w:r/>
      <w:bookmarkStart w:id="185" w:name="_Toc120614244"/>
      <w:r/>
      <w:bookmarkStart w:id="186" w:name="_Toc16938590"/>
      <w:r/>
      <w:bookmarkStart w:id="187" w:name="_Toc20823346"/>
      <w:r/>
      <w:bookmarkStart w:id="188" w:name="_Toc479757211"/>
      <w:r/>
      <w:bookmarkStart w:id="189" w:name="_Toc462564139"/>
      <w:r>
        <w:rPr>
          <w:rFonts w:hint="eastAsia" w:ascii="宋体" w:hAnsi="宋体" w:eastAsia="宋体" w:cs="Times New Roman"/>
          <w:b w:val="0"/>
          <w:bCs/>
          <w:color w:val="000000"/>
          <w:sz w:val="24"/>
          <w:szCs w:val="24"/>
          <w:highlight w:val="none"/>
          <w:u w:val="none"/>
          <w:lang w:val="en-US" w:eastAsia="zh-CN"/>
        </w:rPr>
        <w:t xml:space="preserve">甲</w:t>
      </w:r>
      <w:r>
        <w:rPr>
          <w:rFonts w:hint="eastAsia" w:ascii="宋体" w:hAnsi="宋体" w:eastAsia="宋体" w:cs="Times New Roman"/>
          <w:b w:val="0"/>
          <w:bCs/>
          <w:color w:val="000000"/>
          <w:sz w:val="24"/>
          <w:szCs w:val="24"/>
          <w:highlight w:val="none"/>
          <w:u w:val="none"/>
        </w:rPr>
        <w:t xml:space="preserve">方（采购人）：</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乙</w:t>
      </w:r>
      <w:r>
        <w:rPr>
          <w:rFonts w:hint="eastAsia" w:ascii="宋体" w:hAnsi="宋体" w:eastAsia="宋体" w:cs="Times New Roman"/>
          <w:b w:val="0"/>
          <w:bCs/>
          <w:color w:val="000000"/>
          <w:sz w:val="24"/>
          <w:szCs w:val="24"/>
          <w:highlight w:val="none"/>
          <w:u w:val="none"/>
        </w:rPr>
        <w:t xml:space="preserve">方（中标方）：</w:t>
      </w:r>
      <w:r>
        <w:rPr>
          <w:rFonts w:hint="eastAsia" w:ascii="宋体" w:hAnsi="宋体" w:eastAsia="宋体" w:cs="Times New Roman"/>
          <w:b w:val="0"/>
          <w:bCs/>
          <w:color w:val="000000"/>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一、政府采购编号：</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numPr>
          <w:ilvl w:val="0"/>
          <w:numId w:val="0"/>
        </w:numPr>
        <w:ind w:firstLine="480"/>
        <w:keepLines w:val="0"/>
        <w:keepNext w:val="0"/>
        <w:pageBreakBefore w:val="0"/>
        <w:spacing w:line="360" w:lineRule="auto"/>
        <w:widowControl w:val="off"/>
        <w:tabs>
          <w:tab w:val="left" w:pos="210" w:leader="none"/>
          <w:tab w:val="left" w:pos="840" w:leader="none"/>
          <w:tab w:val="left" w:pos="1260" w:leader="none"/>
        </w:tabs>
        <w:rPr>
          <w:rFonts w:hint="default"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lang w:val="en-US" w:eastAsia="zh-CN"/>
        </w:rPr>
        <w:t xml:space="preserve">二、</w:t>
      </w:r>
      <w:r>
        <w:rPr>
          <w:rFonts w:hint="eastAsia" w:ascii="宋体" w:hAnsi="宋体" w:eastAsia="宋体" w:cs="宋体"/>
          <w:bCs/>
          <w:sz w:val="24"/>
          <w:szCs w:val="24"/>
          <w:highlight w:val="none"/>
        </w:rPr>
        <w:t xml:space="preserve">项目名称：</w:t>
      </w:r>
      <w:r>
        <w:rPr>
          <w:rFonts w:hint="eastAsia" w:ascii="宋体" w:hAnsi="宋体" w:eastAsia="宋体" w:cs="宋体"/>
          <w:bCs/>
          <w:sz w:val="24"/>
          <w:szCs w:val="24"/>
          <w:highlight w:val="none"/>
          <w:u w:val="single"/>
        </w:rPr>
        <w:t xml:space="preserve">                                   </w:t>
      </w:r>
      <w:r>
        <w:rPr>
          <w:rFonts w:hint="eastAsia" w:ascii="宋体" w:hAnsi="宋体" w:cs="宋体"/>
          <w:bCs/>
          <w:sz w:val="24"/>
          <w:szCs w:val="24"/>
          <w:highlight w:val="none"/>
          <w:u w:val="none"/>
          <w:lang w:eastAsia="zh-CN"/>
        </w:rPr>
        <w:t xml:space="preserve">中标标段：</w:t>
      </w:r>
      <w:r>
        <w:rPr>
          <w:rFonts w:hint="eastAsia" w:ascii="宋体" w:hAnsi="宋体" w:cs="宋体"/>
          <w:bCs/>
          <w:sz w:val="24"/>
          <w:szCs w:val="24"/>
          <w:highlight w:val="none"/>
          <w:u w:val="single"/>
          <w:lang w:val="en-US" w:eastAsia="zh-CN"/>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三</w:t>
      </w:r>
      <w:r>
        <w:rPr>
          <w:rFonts w:hint="eastAsia" w:ascii="宋体" w:hAnsi="宋体" w:eastAsia="宋体" w:cs="Times New Roman"/>
          <w:b w:val="0"/>
          <w:bCs/>
          <w:color w:val="000000"/>
          <w:sz w:val="24"/>
          <w:szCs w:val="24"/>
          <w:highlight w:val="none"/>
          <w:u w:val="none"/>
        </w:rPr>
        <w:t xml:space="preserve">、采购内容：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479" w:firstLine="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四</w:t>
      </w:r>
      <w:r>
        <w:rPr>
          <w:rFonts w:hint="eastAsia" w:ascii="宋体" w:hAnsi="宋体" w:eastAsia="宋体" w:cs="Times New Roman"/>
          <w:b w:val="0"/>
          <w:bCs/>
          <w:color w:val="000000"/>
          <w:sz w:val="24"/>
          <w:szCs w:val="24"/>
          <w:highlight w:val="none"/>
          <w:u w:val="none"/>
        </w:rPr>
        <w:t xml:space="preserve">、中标总金额：人民币（大写）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元；人民币（小写）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w:t>
      </w:r>
      <w:r/>
    </w:p>
    <w:p>
      <w:pPr>
        <w:ind w:left="479" w:firstLine="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五</w:t>
      </w:r>
      <w:r>
        <w:rPr>
          <w:rFonts w:hint="eastAsia" w:ascii="宋体" w:hAnsi="宋体" w:eastAsia="宋体" w:cs="Times New Roman"/>
          <w:b w:val="0"/>
          <w:bCs/>
          <w:color w:val="000000"/>
          <w:sz w:val="24"/>
          <w:szCs w:val="24"/>
          <w:highlight w:val="none"/>
          <w:u w:val="none"/>
        </w:rPr>
        <w:t xml:space="preserve">、质量和服务要求及验收标准：</w:t>
      </w:r>
      <w:r>
        <w:rPr>
          <w:rFonts w:hint="eastAsia" w:ascii="宋体" w:hAnsi="宋体" w:eastAsia="宋体" w:cs="Times New Roman"/>
          <w:b w:val="0"/>
          <w:bCs/>
          <w:color w:val="000000"/>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六</w:t>
      </w:r>
      <w:r>
        <w:rPr>
          <w:rFonts w:hint="eastAsia" w:ascii="宋体" w:hAnsi="宋体" w:eastAsia="宋体" w:cs="Times New Roman"/>
          <w:b w:val="0"/>
          <w:bCs/>
          <w:color w:val="000000"/>
          <w:sz w:val="24"/>
          <w:szCs w:val="24"/>
          <w:highlight w:val="none"/>
          <w:u w:val="none"/>
        </w:rPr>
        <w:t xml:space="preserve">、服务期限：</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七</w:t>
      </w:r>
      <w:r>
        <w:rPr>
          <w:rFonts w:hint="eastAsia" w:ascii="宋体" w:hAnsi="宋体" w:eastAsia="宋体" w:cs="Times New Roman"/>
          <w:b w:val="0"/>
          <w:bCs/>
          <w:color w:val="000000"/>
          <w:sz w:val="24"/>
          <w:szCs w:val="24"/>
          <w:highlight w:val="none"/>
          <w:u w:val="none"/>
        </w:rPr>
        <w:t xml:space="preserve">、服务地点和方式：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八</w:t>
      </w:r>
      <w:r>
        <w:rPr>
          <w:rFonts w:hint="eastAsia" w:ascii="宋体" w:hAnsi="宋体" w:eastAsia="宋体" w:cs="Times New Roman"/>
          <w:b w:val="0"/>
          <w:bCs/>
          <w:color w:val="000000"/>
          <w:sz w:val="24"/>
          <w:szCs w:val="24"/>
          <w:highlight w:val="none"/>
          <w:u w:val="none"/>
        </w:rPr>
        <w:t xml:space="preserve">、货款支付步骤和办法：</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九</w:t>
      </w:r>
      <w:r>
        <w:rPr>
          <w:rFonts w:hint="eastAsia" w:ascii="宋体" w:hAnsi="宋体" w:eastAsia="宋体" w:cs="Times New Roman"/>
          <w:b w:val="0"/>
          <w:bCs/>
          <w:color w:val="000000"/>
          <w:sz w:val="24"/>
          <w:szCs w:val="24"/>
          <w:highlight w:val="none"/>
          <w:u w:val="none"/>
        </w:rPr>
        <w:t xml:space="preserve">、违约责任：</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十</w:t>
      </w:r>
      <w:r>
        <w:rPr>
          <w:rFonts w:hint="eastAsia" w:ascii="宋体" w:hAnsi="宋体" w:eastAsia="宋体" w:cs="Times New Roman"/>
          <w:b w:val="0"/>
          <w:bCs/>
          <w:color w:val="000000"/>
          <w:sz w:val="24"/>
          <w:szCs w:val="24"/>
          <w:highlight w:val="none"/>
          <w:u w:val="none"/>
        </w:rPr>
        <w:t xml:space="preserve">、解决争议的方式：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十</w:t>
      </w:r>
      <w:r>
        <w:rPr>
          <w:rFonts w:hint="eastAsia" w:ascii="宋体" w:hAnsi="宋体" w:eastAsia="宋体" w:cs="Times New Roman"/>
          <w:b w:val="0"/>
          <w:bCs/>
          <w:color w:val="000000"/>
          <w:sz w:val="24"/>
          <w:szCs w:val="24"/>
          <w:highlight w:val="none"/>
          <w:u w:val="none"/>
          <w:lang w:val="en-US" w:eastAsia="zh-CN"/>
        </w:rPr>
        <w:t xml:space="preserve">一</w:t>
      </w:r>
      <w:r>
        <w:rPr>
          <w:rFonts w:hint="eastAsia" w:ascii="宋体" w:hAnsi="宋体" w:eastAsia="宋体" w:cs="Times New Roman"/>
          <w:b w:val="0"/>
          <w:bCs/>
          <w:color w:val="000000"/>
          <w:sz w:val="24"/>
          <w:szCs w:val="24"/>
          <w:highlight w:val="none"/>
          <w:u w:val="none"/>
        </w:rPr>
        <w:t xml:space="preserve">、</w:t>
      </w:r>
      <w:r>
        <w:rPr>
          <w:rFonts w:hint="eastAsia" w:ascii="宋体" w:hAnsi="宋体" w:eastAsia="宋体" w:cs="Times New Roman"/>
          <w:b w:val="0"/>
          <w:bCs/>
          <w:color w:val="000000"/>
          <w:sz w:val="24"/>
          <w:szCs w:val="24"/>
          <w:highlight w:val="none"/>
          <w:u w:val="none"/>
          <w:lang w:eastAsia="zh-CN"/>
        </w:rPr>
        <w:t xml:space="preserve">其他</w:t>
      </w:r>
      <w:r>
        <w:rPr>
          <w:rFonts w:hint="eastAsia" w:ascii="宋体" w:hAnsi="宋体" w:eastAsia="宋体" w:cs="Times New Roman"/>
          <w:b w:val="0"/>
          <w:bCs/>
          <w:color w:val="000000"/>
          <w:sz w:val="24"/>
          <w:szCs w:val="24"/>
          <w:highlight w:val="none"/>
          <w:u w:val="none"/>
        </w:rPr>
        <w:t xml:space="preserve">事项：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szCs w:val="24"/>
          <w:highlight w:val="none"/>
        </w:rPr>
      </w:pPr>
      <w:r>
        <w:rPr>
          <w:rFonts w:hint="eastAsia" w:ascii="Times New Roman" w:hAnsi="宋体" w:eastAsia="宋体" w:cs="宋体"/>
          <w:bCs/>
          <w:sz w:val="24"/>
          <w:szCs w:val="24"/>
          <w:highlight w:val="none"/>
        </w:rPr>
        <w:t xml:space="preserve">十</w:t>
      </w:r>
      <w:r>
        <w:rPr>
          <w:rFonts w:hint="eastAsia" w:ascii="Times New Roman" w:hAnsi="宋体" w:eastAsia="宋体" w:cs="宋体"/>
          <w:bCs/>
          <w:sz w:val="24"/>
          <w:szCs w:val="24"/>
          <w:highlight w:val="none"/>
          <w:lang w:val="en-US" w:eastAsia="zh-CN"/>
        </w:rPr>
        <w:t xml:space="preserve">二</w:t>
      </w:r>
      <w:r>
        <w:rPr>
          <w:rFonts w:hint="eastAsia" w:ascii="Times New Roman" w:hAnsi="宋体" w:eastAsia="宋体" w:cs="宋体"/>
          <w:bCs/>
          <w:sz w:val="24"/>
          <w:szCs w:val="24"/>
          <w:highlight w:val="none"/>
        </w:rPr>
        <w:t xml:space="preserve">、合同不可分割部分：</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szCs w:val="24"/>
          <w:highlight w:val="none"/>
        </w:rPr>
      </w:pPr>
      <w:r>
        <w:rPr>
          <w:rFonts w:hint="eastAsia" w:ascii="Times New Roman" w:hAnsi="宋体" w:eastAsia="宋体" w:cs="宋体"/>
          <w:bCs/>
          <w:sz w:val="24"/>
          <w:szCs w:val="24"/>
          <w:highlight w:val="none"/>
        </w:rPr>
        <w:t xml:space="preserve">招标文件、投标文件、合同条款及中标通知书，乙方在投标、评标过程中所作</w:t>
      </w:r>
      <w:r>
        <w:rPr>
          <w:rFonts w:hint="eastAsia" w:ascii="Times New Roman" w:hAnsi="宋体" w:eastAsia="宋体" w:cs="宋体"/>
          <w:bCs/>
          <w:sz w:val="24"/>
          <w:szCs w:val="24"/>
          <w:highlight w:val="none"/>
          <w:lang w:eastAsia="zh-CN"/>
        </w:rPr>
        <w:t xml:space="preserve">其他有关</w:t>
      </w:r>
      <w:r>
        <w:rPr>
          <w:rFonts w:hint="eastAsia" w:ascii="Times New Roman" w:hAnsi="宋体" w:eastAsia="宋体" w:cs="宋体"/>
          <w:bCs/>
          <w:sz w:val="24"/>
          <w:szCs w:val="24"/>
          <w:highlight w:val="none"/>
        </w:rPr>
        <w:t xml:space="preserve">承诺、声明、书面澄清等均为合同不可分割的部分，与主合同具有同等法律效力。</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szCs w:val="24"/>
          <w:highlight w:val="none"/>
        </w:rPr>
      </w:pPr>
      <w:r>
        <w:rPr>
          <w:rFonts w:hint="eastAsia" w:ascii="Times New Roman" w:hAnsi="宋体" w:eastAsia="宋体" w:cs="宋体"/>
          <w:bCs/>
          <w:sz w:val="24"/>
          <w:szCs w:val="24"/>
          <w:highlight w:val="none"/>
        </w:rPr>
        <w:t xml:space="preserve">十</w:t>
      </w:r>
      <w:r>
        <w:rPr>
          <w:rFonts w:hint="eastAsia" w:ascii="Times New Roman" w:hAnsi="宋体" w:eastAsia="宋体" w:cs="宋体"/>
          <w:bCs/>
          <w:sz w:val="24"/>
          <w:szCs w:val="24"/>
          <w:highlight w:val="none"/>
          <w:lang w:val="en-US" w:eastAsia="zh-CN"/>
        </w:rPr>
        <w:t xml:space="preserve">三</w:t>
      </w:r>
      <w:r>
        <w:rPr>
          <w:rFonts w:hint="eastAsia" w:ascii="Times New Roman" w:hAnsi="宋体" w:eastAsia="宋体" w:cs="宋体"/>
          <w:bCs/>
          <w:sz w:val="24"/>
          <w:szCs w:val="24"/>
          <w:highlight w:val="none"/>
        </w:rPr>
        <w:t xml:space="preserve">、合同备案：</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szCs w:val="24"/>
          <w:highlight w:val="none"/>
        </w:rPr>
      </w:pPr>
      <w:r>
        <w:rPr>
          <w:rFonts w:hint="eastAsia" w:ascii="Times New Roman" w:hAnsi="宋体" w:eastAsia="宋体" w:cs="宋体"/>
          <w:bCs/>
          <w:sz w:val="24"/>
          <w:szCs w:val="24"/>
          <w:highlight w:val="none"/>
        </w:rPr>
        <w:t xml:space="preserve">合同一式伍份，甲乙双方各执贰份，采购代理机构壹份。</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szCs w:val="24"/>
          <w:highlight w:val="none"/>
        </w:rPr>
      </w:pPr>
      <w:r>
        <w:rPr>
          <w:rFonts w:hint="eastAsia" w:ascii="Times New Roman" w:hAnsi="宋体" w:eastAsia="宋体" w:cs="宋体"/>
          <w:bCs/>
          <w:sz w:val="24"/>
          <w:szCs w:val="24"/>
          <w:highlight w:val="none"/>
        </w:rPr>
        <w:t xml:space="preserve">十</w:t>
      </w:r>
      <w:r>
        <w:rPr>
          <w:rFonts w:hint="eastAsia" w:ascii="Times New Roman" w:hAnsi="宋体" w:eastAsia="宋体" w:cs="宋体"/>
          <w:bCs/>
          <w:sz w:val="24"/>
          <w:szCs w:val="24"/>
          <w:highlight w:val="none"/>
          <w:lang w:val="en-US" w:eastAsia="zh-CN"/>
        </w:rPr>
        <w:t xml:space="preserve">四</w:t>
      </w:r>
      <w:r>
        <w:rPr>
          <w:rFonts w:hint="eastAsia" w:ascii="Times New Roman" w:hAnsi="宋体" w:eastAsia="宋体" w:cs="宋体"/>
          <w:bCs/>
          <w:sz w:val="24"/>
          <w:szCs w:val="24"/>
          <w:highlight w:val="none"/>
        </w:rPr>
        <w:t xml:space="preserve">、合同生效：</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本合同由</w:t>
      </w:r>
      <w:r>
        <w:rPr>
          <w:rFonts w:hint="eastAsia" w:ascii="宋体" w:hAnsi="宋体" w:eastAsia="宋体" w:cs="Times New Roman"/>
          <w:bCs/>
          <w:color w:val="000000"/>
          <w:sz w:val="24"/>
          <w:szCs w:val="24"/>
          <w:highlight w:val="none"/>
        </w:rPr>
        <w:t xml:space="preserve">甲乙</w:t>
      </w:r>
      <w:r>
        <w:rPr>
          <w:rFonts w:hint="eastAsia" w:ascii="宋体" w:hAnsi="宋体" w:eastAsia="宋体" w:cs="Times New Roman"/>
          <w:b w:val="0"/>
          <w:bCs/>
          <w:color w:val="000000"/>
          <w:sz w:val="24"/>
          <w:szCs w:val="24"/>
          <w:highlight w:val="none"/>
          <w:u w:val="none"/>
        </w:rPr>
        <w:t xml:space="preserve">双方签字、盖章，并经</w:t>
      </w:r>
      <w:r>
        <w:rPr>
          <w:rFonts w:hint="eastAsia" w:ascii="宋体" w:hAnsi="宋体" w:cs="Times New Roman"/>
          <w:b/>
          <w:bCs w:val="0"/>
          <w:color w:val="000000"/>
          <w:sz w:val="24"/>
          <w:szCs w:val="24"/>
          <w:highlight w:val="none"/>
          <w:u w:val="none"/>
          <w:lang w:val="en-US" w:eastAsia="zh-CN"/>
        </w:rPr>
        <w:t xml:space="preserve">代理</w:t>
      </w:r>
      <w:r>
        <w:rPr>
          <w:rFonts w:hint="eastAsia" w:ascii="宋体" w:hAnsi="宋体" w:eastAsia="宋体" w:cs="Times New Roman"/>
          <w:b/>
          <w:bCs w:val="0"/>
          <w:color w:val="000000"/>
          <w:sz w:val="24"/>
          <w:szCs w:val="24"/>
          <w:highlight w:val="none"/>
          <w:u w:val="none"/>
          <w:lang w:eastAsia="zh-CN"/>
        </w:rPr>
        <w:t xml:space="preserve">公司</w:t>
      </w:r>
      <w:r>
        <w:rPr>
          <w:rFonts w:hint="eastAsia" w:ascii="宋体" w:hAnsi="宋体" w:eastAsia="宋体" w:cs="Times New Roman"/>
          <w:b w:val="0"/>
          <w:bCs/>
          <w:color w:val="000000"/>
          <w:sz w:val="24"/>
          <w:szCs w:val="24"/>
          <w:highlight w:val="none"/>
          <w:u w:val="none"/>
        </w:rPr>
        <w:t xml:space="preserve">见证后生效。</w:t>
      </w:r>
      <w:r/>
    </w:p>
    <w:p>
      <w:pPr>
        <w:keepLines w:val="0"/>
        <w:keepNext w:val="0"/>
        <w:pageBreakBefore w:val="0"/>
        <w:spacing w:line="360" w:lineRule="auto"/>
        <w:widowControl w:val="off"/>
        <w:rPr>
          <w:rFonts w:hint="eastAsia" w:ascii="宋体" w:hAnsi="宋体" w:eastAsia="宋体" w:cs="Times New Roman"/>
          <w:bCs/>
          <w:color w:val="000000"/>
          <w:sz w:val="24"/>
          <w:szCs w:val="24"/>
          <w:highlight w:val="none"/>
          <w:u w:val="single"/>
        </w:rPr>
      </w:pPr>
      <w:r>
        <w:rPr>
          <w:rFonts w:hint="eastAsia" w:ascii="宋体" w:hAnsi="宋体" w:eastAsia="宋体" w:cs="Times New Roman"/>
          <w:bCs/>
          <w:color w:val="000000"/>
          <w:sz w:val="24"/>
          <w:szCs w:val="24"/>
          <w:highlight w:val="none"/>
        </w:rPr>
        <w:t xml:space="preserve">甲方（采购人）：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（盖章）  </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乙方（中标方）：</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（盖章）</w:t>
      </w:r>
      <w:r/>
    </w:p>
    <w:p>
      <w:pPr>
        <w:keepLines w:val="0"/>
        <w:keepNext w:val="0"/>
        <w:pageBreakBefore w:val="0"/>
        <w:spacing w:line="360" w:lineRule="auto"/>
        <w:widowControl w:val="off"/>
        <w:rPr>
          <w:rFonts w:hint="eastAsia" w:ascii="宋体" w:hAnsi="宋体" w:eastAsia="宋体" w:cs="Times New Roman"/>
          <w:bCs/>
          <w:color w:val="000000"/>
          <w:sz w:val="24"/>
          <w:szCs w:val="24"/>
          <w:highlight w:val="none"/>
          <w:u w:val="single"/>
        </w:rPr>
      </w:pPr>
      <w:r>
        <w:rPr>
          <w:rFonts w:hint="eastAsia" w:ascii="宋体" w:hAnsi="宋体" w:eastAsia="宋体" w:cs="Times New Roman"/>
          <w:bCs/>
          <w:color w:val="000000"/>
          <w:sz w:val="24"/>
          <w:szCs w:val="24"/>
          <w:highlight w:val="none"/>
        </w:rPr>
        <w:t xml:space="preserve">法定（授权）代表人：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 法定（授权）代表人：</w:t>
      </w:r>
      <w:r>
        <w:rPr>
          <w:rFonts w:hint="eastAsia" w:ascii="宋体" w:hAnsi="宋体" w:eastAsia="宋体" w:cs="Times New Roman"/>
          <w:bCs/>
          <w:color w:val="000000"/>
          <w:sz w:val="24"/>
          <w:szCs w:val="24"/>
          <w:highlight w:val="none"/>
          <w:u w:val="single"/>
        </w:rPr>
        <w:t xml:space="preserve">              </w:t>
      </w:r>
      <w:r/>
    </w:p>
    <w:p>
      <w:pPr>
        <w:ind w:firstLine="1440"/>
        <w:keepLines w:val="0"/>
        <w:keepNext w:val="0"/>
        <w:pageBreakBefore w:val="0"/>
        <w:spacing w:line="360" w:lineRule="auto"/>
        <w:widowControl w:val="off"/>
        <w:rPr>
          <w:rFonts w:hint="eastAsia" w:ascii="宋体" w:hAnsi="宋体" w:eastAsia="宋体" w:cs="Times New Roman"/>
          <w:bCs/>
          <w:color w:val="000000"/>
          <w:sz w:val="24"/>
          <w:szCs w:val="24"/>
          <w:highlight w:val="none"/>
          <w:u w:val="single"/>
        </w:rPr>
      </w:pP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年</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月</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日           </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年</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月</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日</w:t>
      </w:r>
      <w:r/>
    </w:p>
    <w:p>
      <w:pPr>
        <w:ind w:firstLine="4560"/>
        <w:keepLines w:val="0"/>
        <w:keepNext w:val="0"/>
        <w:pageBreakBefore w:val="0"/>
        <w:spacing w:line="360" w:lineRule="auto"/>
        <w:widowControl w:val="off"/>
        <w:rPr>
          <w:rFonts w:hint="eastAsia" w:ascii="宋体" w:hAnsi="宋体" w:eastAsia="宋体" w:cs="Times New Roman"/>
          <w:bCs/>
          <w:color w:val="000000"/>
          <w:sz w:val="24"/>
          <w:szCs w:val="24"/>
          <w:highlight w:val="none"/>
          <w:u w:val="single"/>
        </w:rPr>
      </w:pPr>
      <w:r>
        <w:rPr>
          <w:rFonts w:hint="eastAsia" w:ascii="宋体" w:hAnsi="宋体" w:eastAsia="宋体" w:cs="Times New Roman"/>
          <w:bCs/>
          <w:color w:val="000000"/>
          <w:sz w:val="24"/>
          <w:szCs w:val="24"/>
          <w:highlight w:val="none"/>
        </w:rPr>
        <w:t xml:space="preserve">乙方户名：</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u w:val="single"/>
        </w:rPr>
        <w:t xml:space="preserve">                </w:t>
      </w:r>
      <w:r/>
    </w:p>
    <w:p>
      <w:pPr>
        <w:ind w:firstLine="4560"/>
        <w:keepLines w:val="0"/>
        <w:keepNext w:val="0"/>
        <w:pageBreakBefore w:val="0"/>
        <w:spacing w:line="360" w:lineRule="auto"/>
        <w:widowControl w:val="off"/>
        <w:rPr>
          <w:rFonts w:hint="eastAsia" w:ascii="宋体" w:hAnsi="宋体" w:eastAsia="宋体" w:cs="Times New Roman"/>
          <w:bCs/>
          <w:color w:val="000000"/>
          <w:sz w:val="24"/>
          <w:szCs w:val="24"/>
          <w:highlight w:val="none"/>
          <w:u w:val="single"/>
        </w:rPr>
      </w:pPr>
      <w:r>
        <w:rPr>
          <w:rFonts w:hint="eastAsia" w:ascii="宋体" w:hAnsi="宋体" w:eastAsia="宋体" w:cs="Times New Roman"/>
          <w:bCs/>
          <w:color w:val="000000"/>
          <w:sz w:val="24"/>
          <w:szCs w:val="24"/>
          <w:highlight w:val="none"/>
        </w:rPr>
        <w:t xml:space="preserve">乙方开户银行：</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u w:val="single"/>
        </w:rPr>
        <w:t xml:space="preserve">        </w:t>
      </w:r>
      <w:r/>
    </w:p>
    <w:p>
      <w:pPr>
        <w:ind w:firstLine="4560"/>
        <w:keepLines w:val="0"/>
        <w:keepNext w:val="0"/>
        <w:pageBreakBefore w:val="0"/>
        <w:spacing w:line="360" w:lineRule="auto"/>
        <w:widowControl w:val="off"/>
        <w:rPr>
          <w:rFonts w:hint="eastAsia" w:ascii="宋体" w:hAnsi="宋体" w:eastAsia="宋体" w:cs="Times New Roman"/>
          <w:bCs/>
          <w:color w:val="000000"/>
          <w:sz w:val="24"/>
          <w:szCs w:val="24"/>
          <w:highlight w:val="none"/>
          <w:u w:val="single"/>
        </w:rPr>
      </w:pPr>
      <w:r>
        <w:rPr>
          <w:rFonts w:hint="eastAsia" w:ascii="宋体" w:hAnsi="宋体" w:eastAsia="宋体" w:cs="Times New Roman"/>
          <w:bCs/>
          <w:color w:val="000000"/>
          <w:sz w:val="24"/>
          <w:szCs w:val="24"/>
          <w:highlight w:val="none"/>
        </w:rPr>
        <w:t xml:space="preserve">乙方</w:t>
      </w:r>
      <w:r>
        <w:rPr>
          <w:rFonts w:hint="eastAsia" w:ascii="宋体" w:hAnsi="宋体" w:eastAsia="宋体" w:cs="Times New Roman"/>
          <w:bCs/>
          <w:color w:val="000000"/>
          <w:sz w:val="24"/>
          <w:szCs w:val="24"/>
          <w:highlight w:val="none"/>
          <w:lang w:eastAsia="zh-CN"/>
        </w:rPr>
        <w:t xml:space="preserve">账号</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见证方：</w:t>
      </w:r>
      <w:r/>
    </w:p>
    <w:p>
      <w:pPr>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★备注</w:t>
      </w:r>
      <w:r>
        <w:rPr>
          <w:rFonts w:hint="eastAsia" w:ascii="宋体" w:hAnsi="宋体" w:eastAsia="宋体" w:cs="Times New Roman"/>
          <w:b w:val="0"/>
          <w:bCs/>
          <w:color w:val="000000"/>
          <w:sz w:val="24"/>
          <w:szCs w:val="24"/>
          <w:highlight w:val="none"/>
          <w:u w:val="none"/>
          <w:lang w:eastAsia="zh-CN"/>
        </w:rPr>
        <w:t xml:space="preserve">：</w:t>
      </w:r>
      <w:r>
        <w:rPr>
          <w:rFonts w:hint="eastAsia" w:ascii="宋体" w:hAnsi="宋体" w:eastAsia="宋体" w:cs="Times New Roman"/>
          <w:b w:val="0"/>
          <w:bCs/>
          <w:color w:val="000000"/>
          <w:sz w:val="24"/>
          <w:szCs w:val="24"/>
          <w:highlight w:val="none"/>
          <w:u w:val="none"/>
          <w:lang w:val="en-US" w:eastAsia="zh-CN"/>
        </w:rPr>
        <w:t xml:space="preserve">甲乙</w:t>
      </w:r>
      <w:r>
        <w:rPr>
          <w:rFonts w:hint="eastAsia" w:ascii="宋体" w:hAnsi="宋体" w:eastAsia="宋体" w:cs="Times New Roman"/>
          <w:b w:val="0"/>
          <w:bCs/>
          <w:color w:val="000000"/>
          <w:sz w:val="24"/>
          <w:szCs w:val="24"/>
          <w:highlight w:val="none"/>
          <w:u w:val="none"/>
        </w:rPr>
        <w:t xml:space="preserve">双方必须以本格式文本，按照合同条款拟订合同。</w:t>
      </w:r>
      <w:r/>
    </w:p>
    <w:p>
      <w:pPr>
        <w:jc w:val="center"/>
        <w:rPr>
          <w:rFonts w:hint="eastAsia" w:ascii="Times New Roman" w:hAnsi="宋体" w:eastAsia="宋体" w:cs="宋体"/>
          <w:b/>
          <w:bCs/>
          <w:sz w:val="32"/>
          <w:szCs w:val="32"/>
          <w:highlight w:val="none"/>
          <w:lang w:val="en-US" w:eastAsia="zh-CN"/>
        </w:rPr>
      </w:pPr>
      <w:r>
        <w:rPr>
          <w:rFonts w:hint="eastAsia" w:ascii="宋体" w:hAnsi="宋体" w:eastAsia="宋体" w:cs="Times New Roman"/>
          <w:b w:val="0"/>
          <w:bCs/>
          <w:color w:val="000000"/>
          <w:sz w:val="24"/>
          <w:szCs w:val="24"/>
          <w:highlight w:val="none"/>
          <w:u w:val="none"/>
        </w:rPr>
        <w:br w:type="page" w:clear="all"/>
      </w:r>
      <w:r>
        <w:rPr>
          <w:rFonts w:hint="eastAsia" w:ascii="Times New Roman" w:hAnsi="宋体" w:eastAsia="宋体" w:cs="宋体"/>
          <w:b/>
          <w:bCs/>
          <w:sz w:val="32"/>
          <w:szCs w:val="32"/>
          <w:highlight w:val="none"/>
          <w:lang w:val="en-US" w:eastAsia="zh-CN"/>
        </w:rPr>
        <w:t xml:space="preserve">合同条款（格式）</w:t>
      </w:r>
      <w:r/>
    </w:p>
    <w:p>
      <w:pPr>
        <w:jc w:val="center"/>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44"/>
          <w:szCs w:val="44"/>
          <w:highlight w:val="none"/>
        </w:rPr>
        <w:t xml:space="preserve">电梯综合保险承保合作协议</w:t>
      </w:r>
      <w:r/>
    </w:p>
    <w:p>
      <w:pPr>
        <w:ind w:left="0"/>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r>
      <w:r/>
    </w:p>
    <w:p>
      <w:pPr>
        <w:ind w:left="0"/>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甲方（投保人）：</w:t>
      </w:r>
      <w:r/>
    </w:p>
    <w:p>
      <w:pPr>
        <w:ind w:left="0"/>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地址：</w:t>
      </w:r>
      <w:r/>
    </w:p>
    <w:p>
      <w:pPr>
        <w:ind w:left="0" w:firstLine="420"/>
        <w:jc w:val="both"/>
        <w:keepLines w:val="0"/>
        <w:keepNext w:val="0"/>
        <w:pageBreakBefore w:val="0"/>
        <w:spacing w:line="360" w:lineRule="auto"/>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r>
      <w:r/>
    </w:p>
    <w:p>
      <w:pPr>
        <w:ind w:left="0"/>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乙方：（保险人）：</w:t>
      </w:r>
      <w:r/>
    </w:p>
    <w:p>
      <w:pPr>
        <w:ind w:left="0"/>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地址：</w:t>
      </w:r>
      <w:r/>
    </w:p>
    <w:p>
      <w:p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根据《中华人民共和国</w:t>
      </w:r>
      <w:r>
        <w:rPr>
          <w:rFonts w:hint="eastAsia" w:ascii="宋体" w:hAnsi="宋体" w:eastAsia="宋体" w:cs="宋体"/>
          <w:sz w:val="24"/>
          <w:szCs w:val="24"/>
          <w:highlight w:val="none"/>
          <w:lang w:eastAsia="en-US"/>
        </w:rPr>
        <w:t xml:space="preserve">民法典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特种设备安全监察条例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无锡市电梯安全管理条例》，以及</w:t>
      </w:r>
      <w:r>
        <w:rPr>
          <w:rFonts w:hint="eastAsia" w:ascii="宋体" w:hAnsi="宋体" w:eastAsia="宋体" w:cs="宋体"/>
          <w:sz w:val="24"/>
          <w:szCs w:val="24"/>
          <w:highlight w:val="none"/>
        </w:rPr>
        <w:t xml:space="preserve">《物业管理条例》等有关规定，遵循平等、自愿、公平和诚实信用的原则，甲乙双方就</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none"/>
          <w:lang w:eastAsia="en-US"/>
        </w:rPr>
        <w:t xml:space="preserve">项目</w:t>
      </w:r>
      <w:r>
        <w:rPr>
          <w:rFonts w:hint="eastAsia" w:ascii="宋体" w:hAnsi="宋体" w:eastAsia="宋体" w:cs="宋体"/>
          <w:sz w:val="24"/>
          <w:szCs w:val="24"/>
          <w:highlight w:val="none"/>
        </w:rPr>
        <w:t xml:space="preserve">事宜协商一致，达成如下合同条款：</w:t>
      </w:r>
      <w:r/>
    </w:p>
    <w:p>
      <w:pPr>
        <w:ind w:left="0" w:firstLine="480"/>
        <w:jc w:val="both"/>
        <w:keepLines w:val="0"/>
        <w:keepNext w:val="0"/>
        <w:pageBreakBefore w:val="0"/>
        <w:spacing w:line="360" w:lineRule="auto"/>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r>
      <w:r/>
    </w:p>
    <w:p>
      <w:pPr>
        <w:keepLines w:val="0"/>
        <w:keepNext w:val="0"/>
        <w:pageBreakBefore w:val="0"/>
        <w:spacing w:line="360" w:lineRule="auto"/>
        <w:rPr>
          <w:rFonts w:hint="eastAsia" w:ascii="宋体" w:hAnsi="宋体" w:eastAsia="宋体" w:cs="宋体"/>
          <w:b/>
          <w:bCs/>
          <w:sz w:val="24"/>
          <w:szCs w:val="24"/>
          <w:highlight w:val="none"/>
          <w:lang w:eastAsia="en-US"/>
        </w:rPr>
        <w:outlineLvl w:val="9"/>
      </w:pPr>
      <w:r>
        <w:rPr>
          <w:rFonts w:hint="eastAsia" w:ascii="宋体" w:hAnsi="宋体" w:eastAsia="宋体" w:cs="宋体"/>
          <w:b/>
          <w:bCs/>
          <w:sz w:val="24"/>
          <w:szCs w:val="24"/>
          <w:highlight w:val="none"/>
        </w:rPr>
        <w:t xml:space="preserve">一、</w:t>
      </w:r>
      <w:r>
        <w:rPr>
          <w:rFonts w:hint="eastAsia" w:ascii="宋体" w:hAnsi="宋体" w:eastAsia="宋体" w:cs="宋体"/>
          <w:b/>
          <w:bCs/>
          <w:sz w:val="24"/>
          <w:szCs w:val="24"/>
          <w:highlight w:val="none"/>
          <w:lang w:eastAsia="en-US"/>
        </w:rPr>
        <w:t xml:space="preserve">保险方案：</w:t>
      </w:r>
      <w:r/>
    </w:p>
    <w:p>
      <w:p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）投保人</w:t>
      </w:r>
      <w:r>
        <w:rPr>
          <w:rFonts w:hint="eastAsia" w:ascii="宋体" w:hAnsi="宋体" w:eastAsia="宋体" w:cs="宋体"/>
          <w:b/>
          <w:bCs/>
          <w:sz w:val="24"/>
          <w:szCs w:val="24"/>
          <w:highlight w:val="none"/>
          <w:lang w:eastAsia="en-US"/>
        </w:rPr>
        <w:t xml:space="preserve">：</w:t>
      </w:r>
      <w:r/>
    </w:p>
    <w:p>
      <w:pPr>
        <w:ind w:left="0" w:firstLine="480"/>
        <w:keepLines w:val="0"/>
        <w:keepNext w:val="0"/>
        <w:pageBreakBefore w:val="0"/>
        <w:spacing w:line="360" w:lineRule="auto"/>
        <w:rPr>
          <w:rFonts w:hint="eastAsia" w:ascii="宋体" w:hAnsi="宋体" w:eastAsia="宋体" w:cs="宋体"/>
          <w:b/>
          <w:bCs/>
          <w:sz w:val="24"/>
          <w:szCs w:val="24"/>
          <w:highlight w:val="none"/>
          <w:lang w:eastAsia="en-US"/>
        </w:rPr>
        <w:outlineLvl w:val="9"/>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）被保险人</w:t>
      </w:r>
      <w:r>
        <w:rPr>
          <w:rFonts w:hint="eastAsia" w:ascii="宋体" w:hAnsi="宋体" w:eastAsia="宋体" w:cs="宋体"/>
          <w:b/>
          <w:bCs/>
          <w:sz w:val="24"/>
          <w:szCs w:val="24"/>
          <w:highlight w:val="none"/>
          <w:lang w:eastAsia="en-US"/>
        </w:rPr>
        <w:t xml:space="preserve">：</w:t>
      </w:r>
      <w:r/>
    </w:p>
    <w:p>
      <w:pPr>
        <w:ind w:left="0" w:firstLine="480"/>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lang w:eastAsia="en-US"/>
        </w:rPr>
        <w:t xml:space="preserve">（</w:t>
      </w: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lang w:eastAsia="en-US"/>
        </w:rPr>
        <w:t xml:space="preserve">）保险范围</w:t>
      </w:r>
      <w:r/>
    </w:p>
    <w:p>
      <w:p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第一部分：第三者责任保险</w:t>
      </w:r>
      <w:r/>
    </w:p>
    <w:p>
      <w:p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对应《</w:t>
      </w:r>
      <w:r>
        <w:rPr>
          <w:rFonts w:hint="eastAsia" w:ascii="宋体" w:hAnsi="宋体" w:eastAsia="宋体" w:cs="宋体"/>
          <w:sz w:val="24"/>
          <w:szCs w:val="24"/>
          <w:highlight w:val="none"/>
          <w:lang w:val="en-US" w:eastAsia="zh-CN"/>
        </w:rPr>
        <w:t xml:space="preserve">保险公司</w:t>
      </w:r>
      <w:r>
        <w:rPr>
          <w:rFonts w:hint="eastAsia" w:ascii="宋体" w:hAnsi="宋体" w:eastAsia="宋体" w:cs="宋体"/>
          <w:sz w:val="24"/>
          <w:szCs w:val="24"/>
          <w:highlight w:val="none"/>
        </w:rPr>
        <w:t xml:space="preserve">电梯责任保险条款》</w:t>
      </w:r>
      <w:r/>
    </w:p>
    <w:p>
      <w:pPr>
        <w:numPr>
          <w:ilvl w:val="0"/>
          <w:numId w:val="6"/>
        </w:num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人身伤亡或财产损失赔偿：因电梯发生意外事故，造成乘梯人员人身伤亡或财产损失，保险人按照保险合同约定负责赔偿。</w:t>
      </w:r>
      <w:r/>
    </w:p>
    <w:p>
      <w:pPr>
        <w:ind w:firstLine="420"/>
        <w:keepLines w:val="0"/>
        <w:keepNext w:val="0"/>
        <w:pageBreakBefore w:val="0"/>
        <w:spacing w:line="360" w:lineRule="auto"/>
        <w:widowControl w:val="off"/>
        <w:tabs>
          <w:tab w:val="left" w:pos="525" w:leader="none"/>
          <w:tab w:val="left" w:pos="1050" w:leader="none"/>
        </w:tabs>
        <w:rPr>
          <w:rFonts w:hint="default" w:eastAsia="宋体"/>
          <w:highlight w:val="none"/>
          <w:lang w:val="en-US" w:eastAsia="zh-CN"/>
        </w:rPr>
        <w:outlineLvl w:val="9"/>
      </w:pPr>
      <w:r>
        <w:rPr>
          <w:rFonts w:hint="eastAsia"/>
          <w:highlight w:val="none"/>
          <w:lang w:val="en-US" w:eastAsia="zh-CN"/>
        </w:rPr>
        <w:t xml:space="preserve"> （2）</w:t>
      </w:r>
      <w:r>
        <w:rPr>
          <w:rFonts w:hint="eastAsia" w:ascii="宋体" w:hAnsi="宋体" w:eastAsia="宋体" w:cs="宋体"/>
          <w:bCs/>
          <w:color w:val="000000"/>
          <w:sz w:val="24"/>
          <w:szCs w:val="24"/>
          <w:highlight w:val="none"/>
        </w:rPr>
        <w:t xml:space="preserve">人员滞留赔偿：因电梯发生意外事故，虽未造成人身伤亡但导致乘梯人员在电梯内滞留超过约定时间，保险人按照保险合同约定赔偿标准给予赔偿。</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en-US"/>
        </w:rPr>
        <w:outlineLvl w:val="9"/>
      </w:pPr>
      <w:r>
        <w:rPr>
          <w:rFonts w:hint="eastAsia" w:ascii="宋体" w:hAnsi="宋体" w:eastAsia="宋体" w:cs="宋体"/>
          <w:sz w:val="24"/>
          <w:szCs w:val="24"/>
          <w:highlight w:val="none"/>
          <w:lang w:val="en-US" w:eastAsia="en-US"/>
        </w:rPr>
        <w:t xml:space="preserve">第二部分：电梯维修费用</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en-US"/>
        </w:rPr>
        <w:outlineLvl w:val="9"/>
      </w:pPr>
      <w:r>
        <w:rPr>
          <w:rFonts w:hint="eastAsia" w:ascii="宋体" w:hAnsi="宋体" w:eastAsia="宋体" w:cs="宋体"/>
          <w:sz w:val="24"/>
          <w:szCs w:val="24"/>
          <w:highlight w:val="none"/>
          <w:lang w:val="en-US" w:eastAsia="en-US"/>
        </w:rPr>
        <w:t xml:space="preserve">保证电梯安全运行所实际支出的相关费用，包括：</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en-US"/>
        </w:rPr>
        <w:outlineLvl w:val="9"/>
      </w:pPr>
      <w:r>
        <w:rPr>
          <w:rFonts w:hint="eastAsia" w:ascii="宋体" w:hAnsi="宋体" w:eastAsia="宋体" w:cs="宋体"/>
          <w:sz w:val="24"/>
          <w:szCs w:val="24"/>
          <w:highlight w:val="none"/>
          <w:lang w:val="en-US" w:eastAsia="en-US"/>
        </w:rPr>
        <w:t xml:space="preserve">（1）被保险电梯存在安全事故隐患或发生故障产生的维修费用，以上费用包括零配件费用、维修费用、人工费用、安全检验费用、重置费用、现场安装调试达到正常可使用状态产生的费用和其他必要且合理的费用。</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en-US"/>
        </w:rPr>
        <w:outlineLvl w:val="9"/>
      </w:pPr>
      <w:r>
        <w:rPr>
          <w:rFonts w:hint="eastAsia" w:ascii="宋体" w:hAnsi="宋体" w:eastAsia="宋体" w:cs="宋体"/>
          <w:sz w:val="24"/>
          <w:szCs w:val="24"/>
          <w:highlight w:val="none"/>
          <w:lang w:val="en-US" w:eastAsia="en-US"/>
        </w:rPr>
        <w:t xml:space="preserve">（2）由于潜在/存在安全隐患，为保证电梯安全运行所实际支出的费用</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en-US"/>
        </w:rPr>
        <w:t xml:space="preserve">包含维护保养费用、安全检验检测等费用</w:t>
      </w:r>
      <w:r>
        <w:rPr>
          <w:rFonts w:hint="eastAsia" w:ascii="宋体" w:hAnsi="宋体" w:cs="宋体"/>
          <w:sz w:val="24"/>
          <w:szCs w:val="24"/>
          <w:highlight w:val="none"/>
          <w:lang w:val="en-US" w:eastAsia="zh-CN"/>
        </w:rPr>
        <w:t xml:space="preserve">）。</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en-US"/>
        </w:rPr>
        <w:outlineLvl w:val="9"/>
      </w:pPr>
      <w:r>
        <w:rPr>
          <w:rFonts w:hint="eastAsia" w:ascii="宋体" w:hAnsi="宋体" w:eastAsia="宋体" w:cs="宋体"/>
          <w:sz w:val="24"/>
          <w:szCs w:val="24"/>
          <w:highlight w:val="none"/>
          <w:lang w:val="en-US" w:eastAsia="en-US"/>
        </w:rPr>
        <w:t xml:space="preserve">第三部分：专业技术服务</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en-US"/>
        </w:rPr>
        <w:t xml:space="preserve">组织电梯安全运营专业管理技术力量，委托专业机构提供电梯安全专业技术服务。建立电梯使用日常巡查制度，加强电梯日常运行安全管理；建立电梯维保质量巡查制度，推动维保单位提高电梯维修质量；负责电梯风险管理和事故隐患排查，促进双重预防体系运行；开展“老旧电梯”安全评估，及时消除电梯安全隐患；建立电梯严重隐患向市场监管部门告知制度；每年度按片区应组织相应电梯事故应急急救处置、应急演练不少于2次；每年组织电梯安全知识宣传、教育和培训等服务不少于2次</w:t>
      </w:r>
      <w:r>
        <w:rPr>
          <w:rFonts w:hint="eastAsia" w:ascii="宋体" w:hAnsi="宋体" w:cs="宋体"/>
          <w:sz w:val="24"/>
          <w:szCs w:val="24"/>
          <w:highlight w:val="none"/>
          <w:lang w:val="en-US" w:eastAsia="zh-CN"/>
        </w:rPr>
        <w:t xml:space="preserve">。</w:t>
      </w:r>
      <w:r/>
    </w:p>
    <w:p>
      <w:pPr>
        <w:ind w:left="0" w:firstLine="480"/>
        <w:keepLines w:val="0"/>
        <w:keepNext w:val="0"/>
        <w:pageBreakBefore w:val="0"/>
        <w:spacing w:line="360" w:lineRule="auto"/>
        <w:rPr>
          <w:rFonts w:hint="eastAsia" w:ascii="宋体" w:hAnsi="宋体" w:eastAsia="宋体" w:cs="宋体"/>
          <w:b/>
          <w:bCs/>
          <w:sz w:val="24"/>
          <w:szCs w:val="24"/>
          <w:highlight w:val="none"/>
          <w:lang w:eastAsia="en-US"/>
        </w:rPr>
        <w:outlineLvl w:val="9"/>
      </w:pPr>
      <w:r>
        <w:rPr>
          <w:rFonts w:hint="eastAsia" w:ascii="宋体" w:hAnsi="宋体" w:eastAsia="宋体" w:cs="宋体"/>
          <w:b/>
          <w:bCs/>
          <w:sz w:val="24"/>
          <w:szCs w:val="24"/>
          <w:highlight w:val="none"/>
          <w:lang w:eastAsia="en-US"/>
        </w:rPr>
        <w:t xml:space="preserve">（</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lang w:eastAsia="en-US"/>
        </w:rPr>
        <w:t xml:space="preserve">）赔偿限额：</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第一部分：电梯第三者责任保障</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en-US"/>
        </w:rPr>
        <w:outlineLvl w:val="9"/>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en-US"/>
        </w:rPr>
        <w:t xml:space="preserve">第一部分：电梯安全责任保险</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en-US"/>
        </w:rPr>
        <w:outlineLvl w:val="9"/>
      </w:pPr>
      <w:r>
        <w:rPr>
          <w:rFonts w:hint="eastAsia" w:ascii="宋体" w:hAnsi="宋体" w:eastAsia="宋体" w:cs="宋体"/>
          <w:sz w:val="24"/>
          <w:szCs w:val="24"/>
          <w:highlight w:val="none"/>
          <w:lang w:val="en-US" w:eastAsia="en-US"/>
        </w:rPr>
        <w:t xml:space="preserve">（1）第三者责任：</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en-US"/>
        </w:rPr>
        <w:outlineLvl w:val="9"/>
      </w:pPr>
      <w:r>
        <w:rPr>
          <w:rFonts w:hint="eastAsia" w:ascii="宋体" w:hAnsi="宋体" w:eastAsia="宋体" w:cs="宋体"/>
          <w:sz w:val="24"/>
          <w:szCs w:val="24"/>
          <w:highlight w:val="none"/>
          <w:lang w:val="en-US" w:eastAsia="en-US"/>
        </w:rPr>
        <w:t xml:space="preserve">每梯每次累计事故赔偿限额1000万元</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en-US"/>
        </w:rPr>
        <w:outlineLvl w:val="9"/>
      </w:pPr>
      <w:r>
        <w:rPr>
          <w:rFonts w:hint="eastAsia" w:ascii="宋体" w:hAnsi="宋体" w:eastAsia="宋体" w:cs="宋体"/>
          <w:sz w:val="24"/>
          <w:szCs w:val="24"/>
          <w:highlight w:val="none"/>
          <w:lang w:val="en-US" w:eastAsia="en-US"/>
        </w:rPr>
        <w:t xml:space="preserve">（含人身伤亡或财产损失）；</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en-US"/>
        </w:rPr>
        <w:outlineLvl w:val="9"/>
      </w:pPr>
      <w:r>
        <w:rPr>
          <w:rFonts w:hint="eastAsia" w:ascii="宋体" w:hAnsi="宋体" w:eastAsia="宋体" w:cs="宋体"/>
          <w:sz w:val="24"/>
          <w:szCs w:val="24"/>
          <w:highlight w:val="none"/>
          <w:lang w:val="en-US" w:eastAsia="en-US"/>
        </w:rPr>
        <w:t xml:space="preserve">每人每次事故死亡及伤残赔偿限额100万元</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en-US"/>
        </w:rPr>
        <w:outlineLvl w:val="9"/>
      </w:pPr>
      <w:r>
        <w:rPr>
          <w:rFonts w:hint="eastAsia" w:ascii="宋体" w:hAnsi="宋体" w:eastAsia="宋体" w:cs="宋体"/>
          <w:sz w:val="24"/>
          <w:szCs w:val="24"/>
          <w:highlight w:val="none"/>
          <w:lang w:val="en-US" w:eastAsia="en-US"/>
        </w:rPr>
        <w:t xml:space="preserve">（其中含每人每次事故医疗费用赔偿限额10万元）；</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en-US"/>
        </w:rPr>
        <w:outlineLvl w:val="9"/>
      </w:pPr>
      <w:r>
        <w:rPr>
          <w:rFonts w:hint="eastAsia" w:ascii="宋体" w:hAnsi="宋体" w:eastAsia="宋体" w:cs="宋体"/>
          <w:sz w:val="24"/>
          <w:szCs w:val="24"/>
          <w:highlight w:val="none"/>
          <w:lang w:val="en-US" w:eastAsia="en-US"/>
        </w:rPr>
        <w:t xml:space="preserve">每次事故财产损失赔偿限额3万元。</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en-US"/>
        </w:rPr>
        <w:outlineLvl w:val="9"/>
      </w:pPr>
      <w:r>
        <w:rPr>
          <w:rFonts w:hint="eastAsia" w:ascii="宋体" w:hAnsi="宋体" w:eastAsia="宋体" w:cs="宋体"/>
          <w:sz w:val="24"/>
          <w:szCs w:val="24"/>
          <w:highlight w:val="none"/>
          <w:lang w:val="en-US" w:eastAsia="en-US"/>
        </w:rPr>
        <w:t xml:space="preserve">第二部分：电梯维修费用</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en-US"/>
        </w:rPr>
        <w:t xml:space="preserve">每台电梯累计责任限额10万元</w:t>
      </w:r>
      <w:r/>
    </w:p>
    <w:p>
      <w:pPr>
        <w:ind w:left="0" w:firstLine="480"/>
        <w:keepLines w:val="0"/>
        <w:keepNext w:val="0"/>
        <w:pageBreakBefore w:val="0"/>
        <w:spacing w:line="360" w:lineRule="auto"/>
        <w:rPr>
          <w:rFonts w:hint="eastAsia" w:ascii="宋体" w:hAnsi="宋体" w:eastAsia="宋体" w:cs="宋体"/>
          <w:b/>
          <w:bCs/>
          <w:sz w:val="24"/>
          <w:szCs w:val="24"/>
          <w:highlight w:val="none"/>
          <w:lang w:eastAsia="en-US"/>
        </w:rPr>
        <w:outlineLvl w:val="9"/>
      </w:pPr>
      <w:r>
        <w:rPr>
          <w:rFonts w:hint="eastAsia" w:ascii="宋体" w:hAnsi="宋体" w:eastAsia="宋体" w:cs="宋体"/>
          <w:b/>
          <w:bCs/>
          <w:sz w:val="24"/>
          <w:szCs w:val="24"/>
          <w:highlight w:val="none"/>
          <w:lang w:eastAsia="en-US"/>
        </w:rPr>
        <w:t xml:space="preserve">（</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lang w:eastAsia="en-US"/>
        </w:rPr>
        <w:t xml:space="preserve">）协议期限</w:t>
      </w:r>
      <w:r/>
    </w:p>
    <w:p>
      <w:pPr>
        <w:ind w:left="0" w:firstLine="480"/>
        <w:keepLines w:val="0"/>
        <w:keepNext w:val="0"/>
        <w:pageBreakBefore w:val="0"/>
        <w:spacing w:line="360" w:lineRule="auto"/>
        <w:rPr>
          <w:rFonts w:hint="eastAsia" w:ascii="宋体" w:hAnsi="宋体" w:eastAsia="宋体" w:cs="宋体"/>
          <w:sz w:val="24"/>
          <w:szCs w:val="24"/>
          <w:highlight w:val="none"/>
          <w:lang w:eastAsia="en-US"/>
        </w:rPr>
        <w:outlineLvl w:val="9"/>
      </w:pPr>
      <w:r>
        <w:rPr>
          <w:rFonts w:hint="eastAsia" w:ascii="宋体" w:hAnsi="宋体" w:eastAsia="宋体" w:cs="宋体"/>
          <w:sz w:val="24"/>
          <w:szCs w:val="24"/>
          <w:highlight w:val="none"/>
        </w:rPr>
        <w:t xml:space="preserve">本项目服务期3年。本次合同服务期自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日零时起，至</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日二十四时止。</w:t>
      </w:r>
      <w:r/>
    </w:p>
    <w:p>
      <w:pPr>
        <w:ind w:left="0" w:firstLine="480"/>
        <w:keepLines w:val="0"/>
        <w:keepNext w:val="0"/>
        <w:pageBreakBefore w:val="0"/>
        <w:spacing w:line="360" w:lineRule="auto"/>
        <w:rPr>
          <w:rFonts w:hint="eastAsia" w:ascii="宋体" w:hAnsi="宋体" w:eastAsia="宋体" w:cs="宋体"/>
          <w:b/>
          <w:bCs/>
          <w:sz w:val="24"/>
          <w:szCs w:val="24"/>
          <w:highlight w:val="none"/>
          <w:lang w:eastAsia="en-US"/>
        </w:rPr>
        <w:outlineLvl w:val="9"/>
      </w:pPr>
      <w:r>
        <w:rPr>
          <w:rFonts w:hint="eastAsia" w:ascii="宋体" w:hAnsi="宋体" w:eastAsia="宋体" w:cs="宋体"/>
          <w:b/>
          <w:bCs/>
          <w:sz w:val="24"/>
          <w:szCs w:val="24"/>
          <w:highlight w:val="none"/>
          <w:lang w:eastAsia="en-US"/>
        </w:rPr>
        <w:t xml:space="preserve">（</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lang w:eastAsia="en-US"/>
        </w:rPr>
        <w:t xml:space="preserve">）特别约定</w:t>
      </w:r>
      <w:r/>
    </w:p>
    <w:p>
      <w:p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1、本保单承保区域：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eastAsia="en-US"/>
        </w:rPr>
        <w:t xml:space="preserve">项目</w:t>
      </w:r>
      <w:r>
        <w:rPr>
          <w:rFonts w:hint="eastAsia" w:ascii="宋体" w:hAnsi="宋体" w:eastAsia="宋体" w:cs="宋体"/>
          <w:sz w:val="24"/>
          <w:szCs w:val="24"/>
          <w:highlight w:val="none"/>
          <w:u w:val="single"/>
          <w:lang w:eastAsia="en-US"/>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eastAsia="en-US"/>
        </w:rPr>
        <w:t xml:space="preserve">  </w:t>
      </w:r>
      <w:r>
        <w:rPr>
          <w:rFonts w:hint="eastAsia" w:ascii="宋体" w:hAnsi="宋体" w:eastAsia="宋体" w:cs="宋体"/>
          <w:sz w:val="24"/>
          <w:szCs w:val="24"/>
          <w:highlight w:val="none"/>
        </w:rPr>
        <w:t xml:space="preserve">台电梯（详见清单）</w:t>
      </w:r>
      <w:r/>
    </w:p>
    <w:p>
      <w:pPr>
        <w:ind w:firstLine="480"/>
        <w:rPr>
          <w:rFonts w:hint="eastAsia"/>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、承保电梯品牌、型号详见清单。</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p>
    <w:p>
      <w:pP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lang w:eastAsia="en-US"/>
        </w:rPr>
        <w:t xml:space="preserve">二</w:t>
      </w:r>
      <w:r>
        <w:rPr>
          <w:rFonts w:hint="eastAsia" w:ascii="宋体" w:hAnsi="宋体" w:eastAsia="宋体" w:cs="宋体"/>
          <w:b/>
          <w:bCs/>
          <w:sz w:val="24"/>
          <w:szCs w:val="24"/>
          <w:highlight w:val="none"/>
        </w:rPr>
        <w:t xml:space="preserve">、保费的金额</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支付</w:t>
      </w:r>
      <w:r>
        <w:rPr>
          <w:rFonts w:hint="eastAsia" w:ascii="宋体" w:hAnsi="宋体" w:cs="宋体"/>
          <w:b/>
          <w:bCs/>
          <w:sz w:val="24"/>
          <w:szCs w:val="24"/>
          <w:highlight w:val="none"/>
          <w:lang w:val="en-US" w:eastAsia="zh-CN"/>
        </w:rPr>
        <w:t xml:space="preserve">与退费</w:t>
      </w:r>
      <w:r>
        <w:rPr>
          <w:rFonts w:hint="eastAsia" w:ascii="宋体" w:hAnsi="宋体" w:eastAsia="宋体" w:cs="宋体"/>
          <w:b/>
          <w:bCs/>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本合同</w:t>
      </w:r>
      <w:r>
        <w:rPr>
          <w:rFonts w:hint="eastAsia" w:ascii="宋体" w:hAnsi="宋体" w:eastAsia="宋体" w:cs="宋体"/>
          <w:sz w:val="24"/>
          <w:szCs w:val="24"/>
          <w:highlight w:val="none"/>
          <w:lang w:eastAsia="en-US"/>
        </w:rPr>
        <w:t xml:space="preserve">按照招标</w:t>
      </w:r>
      <w:r>
        <w:rPr>
          <w:rFonts w:hint="eastAsia" w:ascii="宋体" w:hAnsi="宋体" w:eastAsia="宋体" w:cs="宋体"/>
          <w:sz w:val="24"/>
          <w:szCs w:val="24"/>
          <w:highlight w:val="none"/>
        </w:rPr>
        <w:t xml:space="preserve">约定的年度保费总额为人民币：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rPr>
        <w:t xml:space="preserve">（人民币大写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合计人民币：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支付方式</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投保人于合同签订并生效后将首批实际投保电梯的年度总保费的30%支付给保险人。承保人在中标签订合同后一周内，出具保险范围内的全年保单。保单内容不得实质性违背本项目招投标文件及合同约定。剩余70%的年度保费在年度项目</w:t>
      </w:r>
      <w:r>
        <w:rPr>
          <w:rFonts w:hint="eastAsia" w:ascii="宋体" w:hAnsi="宋体" w:cs="宋体"/>
          <w:sz w:val="24"/>
          <w:szCs w:val="24"/>
          <w:highlight w:val="none"/>
          <w:lang w:val="en-US" w:eastAsia="zh-CN"/>
        </w:rPr>
        <w:t xml:space="preserve">履约验收后</w:t>
      </w:r>
      <w:r>
        <w:rPr>
          <w:rFonts w:hint="eastAsia" w:ascii="宋体" w:hAnsi="宋体" w:eastAsia="宋体" w:cs="宋体"/>
          <w:sz w:val="24"/>
          <w:szCs w:val="24"/>
          <w:highlight w:val="none"/>
        </w:rPr>
        <w:t xml:space="preserve">根据考核结果支付给保险人。</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年度保费通过银行转账方式支付，乙方的账户信息如下：</w:t>
      </w:r>
      <w:r/>
    </w:p>
    <w:tbl>
      <w:tblPr>
        <w:tblStyle w:val="10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Pr>
        <w:tc>
          <w:tcPr>
            <w:tcW w:w="8522" w:type="dxa"/>
            <w:vAlign w:val="top"/>
            <w:textDirection w:val="lrTb"/>
            <w:noWrap w:val="false"/>
          </w:tcPr>
          <w:p>
            <w:pPr>
              <w:ind w:left="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en-US"/>
              </w:rPr>
              <w:t xml:space="preserve">单位名称</w:t>
            </w:r>
            <w:r>
              <w:rPr>
                <w:rFonts w:hint="eastAsia" w:ascii="宋体" w:hAnsi="宋体" w:eastAsia="宋体" w:cs="宋体"/>
                <w:sz w:val="24"/>
                <w:szCs w:val="24"/>
                <w:highlight w:val="none"/>
              </w:rPr>
              <w:t xml:space="preserve">：</w:t>
            </w:r>
            <w:r/>
          </w:p>
        </w:tc>
      </w:tr>
      <w:tr>
        <w:trPr>
          <w:jc w:val="center"/>
        </w:trPr>
        <w:tc>
          <w:tcPr>
            <w:tcW w:w="8522" w:type="dxa"/>
            <w:vAlign w:val="top"/>
            <w:textDirection w:val="lrTb"/>
            <w:noWrap w:val="false"/>
          </w:tcPr>
          <w:p>
            <w:pPr>
              <w:ind w:left="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en-US"/>
              </w:rPr>
              <w:t xml:space="preserve">纳税人识别号：</w:t>
            </w:r>
            <w:r/>
          </w:p>
        </w:tc>
      </w:tr>
      <w:tr>
        <w:trPr>
          <w:jc w:val="center"/>
        </w:trPr>
        <w:tc>
          <w:tcPr>
            <w:tcW w:w="8522" w:type="dxa"/>
            <w:vAlign w:val="top"/>
            <w:textDirection w:val="lrTb"/>
            <w:noWrap w:val="false"/>
          </w:tcPr>
          <w:p>
            <w:pPr>
              <w:ind w:left="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en-US"/>
              </w:rPr>
              <w:t xml:space="preserve">开户银行：</w:t>
            </w:r>
            <w:r/>
          </w:p>
        </w:tc>
      </w:tr>
      <w:tr>
        <w:trPr>
          <w:jc w:val="center"/>
        </w:trPr>
        <w:tc>
          <w:tcPr>
            <w:tcW w:w="8522" w:type="dxa"/>
            <w:vAlign w:val="top"/>
            <w:textDirection w:val="lrTb"/>
            <w:noWrap w:val="false"/>
          </w:tcPr>
          <w:p>
            <w:pPr>
              <w:ind w:left="0"/>
              <w:jc w:val="both"/>
              <w:keepLines w:val="0"/>
              <w:keepNext w:val="0"/>
              <w:pageBreakBefore w:val="0"/>
              <w:spacing w:line="360" w:lineRule="auto"/>
              <w:widowControl w:val="off"/>
              <w:rPr>
                <w:rFonts w:hint="eastAsia" w:ascii="宋体" w:hAnsi="宋体" w:eastAsia="宋体" w:cs="宋体"/>
                <w:sz w:val="24"/>
                <w:szCs w:val="24"/>
                <w:highlight w:val="none"/>
                <w:lang w:eastAsia="en-US"/>
              </w:rPr>
              <w:outlineLvl w:val="9"/>
            </w:pPr>
            <w:r>
              <w:rPr>
                <w:rFonts w:hint="eastAsia" w:ascii="宋体" w:hAnsi="宋体" w:eastAsia="宋体" w:cs="宋体"/>
                <w:sz w:val="24"/>
                <w:szCs w:val="24"/>
                <w:highlight w:val="none"/>
                <w:lang w:eastAsia="en-US"/>
              </w:rPr>
              <w:t xml:space="preserve">银行账号：</w:t>
            </w:r>
            <w:r/>
          </w:p>
        </w:tc>
      </w:tr>
    </w:tbl>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eastAsia="en-US"/>
        </w:rPr>
        <w:outlineLvl w:val="9"/>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eastAsia="en-US"/>
        </w:rPr>
        <w:t xml:space="preserve">甲方的开票信息如下：</w:t>
      </w:r>
      <w:r/>
    </w:p>
    <w:tbl>
      <w:tblPr>
        <w:tblStyle w:val="800"/>
        <w:tblW w:w="8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98"/>
      </w:tblGrid>
      <w:tr>
        <w:trPr>
          <w:jc w:val="center"/>
          <w:trHeight w:val="468"/>
        </w:trPr>
        <w:tc>
          <w:tcPr>
            <w:tcW w:w="8498" w:type="dxa"/>
            <w:vAlign w:val="center"/>
            <w:textDirection w:val="lrTb"/>
            <w:noWrap w:val="false"/>
          </w:tcPr>
          <w:p>
            <w:pPr>
              <w:ind w:left="0"/>
              <w:keepLines w:val="0"/>
              <w:keepNext w:val="0"/>
              <w:pageBreakBefore w:val="0"/>
              <w:spacing w:line="360" w:lineRule="auto"/>
              <w:rPr>
                <w:rFonts w:hint="eastAsia" w:ascii="宋体" w:hAnsi="宋体" w:eastAsia="宋体" w:cs="宋体"/>
                <w:sz w:val="24"/>
                <w:szCs w:val="24"/>
                <w:highlight w:val="none"/>
                <w:lang w:eastAsia="en-US"/>
              </w:rPr>
              <w:outlineLvl w:val="9"/>
            </w:pPr>
            <w:r>
              <w:rPr>
                <w:rFonts w:hint="eastAsia" w:ascii="宋体" w:hAnsi="宋体" w:eastAsia="宋体" w:cs="宋体"/>
                <w:sz w:val="24"/>
                <w:szCs w:val="24"/>
                <w:highlight w:val="none"/>
                <w:lang w:eastAsia="en-US"/>
              </w:rPr>
              <w:t xml:space="preserve">单位名称：</w:t>
            </w:r>
            <w:r/>
          </w:p>
        </w:tc>
      </w:tr>
      <w:tr>
        <w:trPr>
          <w:jc w:val="center"/>
          <w:trHeight w:val="467"/>
        </w:trPr>
        <w:tc>
          <w:tcPr>
            <w:tcW w:w="8498" w:type="dxa"/>
            <w:vAlign w:val="center"/>
            <w:textDirection w:val="lrTb"/>
            <w:noWrap w:val="false"/>
          </w:tcPr>
          <w:p>
            <w:pPr>
              <w:ind w:left="0"/>
              <w:keepLines w:val="0"/>
              <w:keepNext w:val="0"/>
              <w:pageBreakBefore w:val="0"/>
              <w:spacing w:line="360" w:lineRule="auto"/>
              <w:rPr>
                <w:rFonts w:hint="eastAsia" w:ascii="宋体" w:hAnsi="宋体" w:eastAsia="宋体" w:cs="宋体"/>
                <w:sz w:val="24"/>
                <w:szCs w:val="24"/>
                <w:highlight w:val="none"/>
                <w:lang w:eastAsia="en-US"/>
              </w:rPr>
              <w:outlineLvl w:val="9"/>
            </w:pPr>
            <w:r>
              <w:rPr>
                <w:rFonts w:hint="eastAsia" w:ascii="宋体" w:hAnsi="宋体" w:eastAsia="宋体" w:cs="宋体"/>
                <w:sz w:val="24"/>
                <w:szCs w:val="24"/>
                <w:highlight w:val="none"/>
                <w:lang w:eastAsia="en-US"/>
              </w:rPr>
              <w:t xml:space="preserve">纳税人识别号：</w:t>
            </w:r>
            <w:r/>
          </w:p>
        </w:tc>
      </w:tr>
      <w:tr>
        <w:trPr>
          <w:jc w:val="center"/>
          <w:trHeight w:val="467"/>
        </w:trPr>
        <w:tc>
          <w:tcPr>
            <w:tcW w:w="8498" w:type="dxa"/>
            <w:vAlign w:val="center"/>
            <w:textDirection w:val="lrTb"/>
            <w:noWrap w:val="false"/>
          </w:tcPr>
          <w:p>
            <w:pPr>
              <w:ind w:left="0"/>
              <w:keepLines w:val="0"/>
              <w:keepNext w:val="0"/>
              <w:pageBreakBefore w:val="0"/>
              <w:spacing w:line="360" w:lineRule="auto"/>
              <w:rPr>
                <w:rFonts w:hint="eastAsia" w:ascii="宋体" w:hAnsi="宋体" w:eastAsia="宋体" w:cs="宋体"/>
                <w:sz w:val="24"/>
                <w:szCs w:val="24"/>
                <w:highlight w:val="none"/>
                <w:lang w:eastAsia="en-US"/>
              </w:rPr>
              <w:outlineLvl w:val="9"/>
            </w:pPr>
            <w:r>
              <w:rPr>
                <w:rFonts w:hint="eastAsia" w:ascii="宋体" w:hAnsi="宋体" w:eastAsia="宋体" w:cs="宋体"/>
                <w:sz w:val="24"/>
                <w:szCs w:val="24"/>
                <w:highlight w:val="none"/>
                <w:lang w:eastAsia="en-US"/>
              </w:rPr>
              <w:t xml:space="preserve">开户银行：</w:t>
            </w:r>
            <w:r/>
          </w:p>
        </w:tc>
      </w:tr>
      <w:tr>
        <w:trPr>
          <w:jc w:val="center"/>
          <w:trHeight w:val="467"/>
        </w:trPr>
        <w:tc>
          <w:tcPr>
            <w:tcW w:w="8498" w:type="dxa"/>
            <w:vAlign w:val="center"/>
            <w:textDirection w:val="lrTb"/>
            <w:noWrap w:val="false"/>
          </w:tcPr>
          <w:p>
            <w:pPr>
              <w:ind w:left="0"/>
              <w:keepLines w:val="0"/>
              <w:keepNext w:val="0"/>
              <w:pageBreakBefore w:val="0"/>
              <w:spacing w:line="360" w:lineRule="auto"/>
              <w:rPr>
                <w:rFonts w:hint="eastAsia" w:ascii="宋体" w:hAnsi="宋体" w:eastAsia="宋体" w:cs="宋体"/>
                <w:sz w:val="24"/>
                <w:szCs w:val="24"/>
                <w:highlight w:val="none"/>
                <w:lang w:eastAsia="en-US"/>
              </w:rPr>
              <w:outlineLvl w:val="9"/>
            </w:pPr>
            <w:r>
              <w:rPr>
                <w:rFonts w:hint="eastAsia" w:ascii="宋体" w:hAnsi="宋体" w:eastAsia="宋体" w:cs="宋体"/>
                <w:sz w:val="24"/>
                <w:szCs w:val="24"/>
                <w:highlight w:val="none"/>
                <w:lang w:eastAsia="en-US"/>
              </w:rPr>
              <w:t xml:space="preserve">银行账号：</w:t>
            </w:r>
            <w:r/>
          </w:p>
        </w:tc>
      </w:tr>
      <w:tr>
        <w:trPr>
          <w:jc w:val="center"/>
          <w:trHeight w:val="466"/>
        </w:trPr>
        <w:tc>
          <w:tcPr>
            <w:tcW w:w="8498" w:type="dxa"/>
            <w:vAlign w:val="center"/>
            <w:textDirection w:val="lrTb"/>
            <w:noWrap w:val="false"/>
          </w:tcPr>
          <w:p>
            <w:pPr>
              <w:ind w:left="0"/>
              <w:keepLines w:val="0"/>
              <w:keepNext w:val="0"/>
              <w:pageBreakBefore w:val="0"/>
              <w:spacing w:line="360" w:lineRule="auto"/>
              <w:rPr>
                <w:rFonts w:hint="eastAsia" w:ascii="宋体" w:hAnsi="宋体" w:eastAsia="宋体" w:cs="宋体"/>
                <w:sz w:val="24"/>
                <w:szCs w:val="24"/>
                <w:highlight w:val="none"/>
                <w:lang w:eastAsia="en-US"/>
              </w:rPr>
              <w:outlineLvl w:val="9"/>
            </w:pPr>
            <w:r>
              <w:rPr>
                <w:rFonts w:hint="eastAsia" w:ascii="宋体" w:hAnsi="宋体" w:eastAsia="宋体" w:cs="宋体"/>
                <w:sz w:val="24"/>
                <w:szCs w:val="24"/>
                <w:highlight w:val="none"/>
                <w:lang w:eastAsia="en-US"/>
              </w:rPr>
              <w:t xml:space="preserve">单位地址：</w:t>
            </w:r>
            <w:r/>
          </w:p>
        </w:tc>
      </w:tr>
      <w:tr>
        <w:trPr>
          <w:jc w:val="center"/>
          <w:trHeight w:val="466"/>
        </w:trPr>
        <w:tc>
          <w:tcPr>
            <w:tcW w:w="8498" w:type="dxa"/>
            <w:vAlign w:val="center"/>
            <w:textDirection w:val="lrTb"/>
            <w:noWrap w:val="false"/>
          </w:tcPr>
          <w:p>
            <w:pPr>
              <w:ind w:left="0"/>
              <w:keepLines w:val="0"/>
              <w:keepNext w:val="0"/>
              <w:pageBreakBefore w:val="0"/>
              <w:spacing w:line="360" w:lineRule="auto"/>
              <w:rPr>
                <w:rFonts w:hint="eastAsia" w:ascii="宋体" w:hAnsi="宋体" w:eastAsia="宋体" w:cs="宋体"/>
                <w:sz w:val="24"/>
                <w:szCs w:val="24"/>
                <w:highlight w:val="none"/>
                <w:lang w:eastAsia="en-US"/>
              </w:rPr>
              <w:outlineLvl w:val="9"/>
            </w:pPr>
            <w:r>
              <w:rPr>
                <w:rFonts w:hint="eastAsia" w:ascii="宋体" w:hAnsi="宋体" w:eastAsia="宋体" w:cs="宋体"/>
                <w:sz w:val="24"/>
                <w:szCs w:val="24"/>
                <w:highlight w:val="none"/>
                <w:lang w:eastAsia="en-US"/>
              </w:rPr>
              <w:t xml:space="preserve">电话号码：</w:t>
            </w:r>
            <w:r/>
          </w:p>
        </w:tc>
      </w:tr>
    </w:tbl>
    <w:p>
      <w:pPr>
        <w:numPr>
          <w:ilvl w:val="0"/>
          <w:numId w:val="0"/>
        </w:num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（三）保险退费</w:t>
      </w:r>
      <w:r>
        <w:rPr>
          <w:rFonts w:hint="eastAsia" w:ascii="宋体" w:hAnsi="宋体" w:cs="宋体"/>
          <w:sz w:val="24"/>
          <w:szCs w:val="24"/>
          <w:highlight w:val="none"/>
          <w:lang w:val="en-US" w:eastAsia="zh-CN"/>
        </w:rPr>
        <w:t xml:space="preserve">方式</w:t>
      </w:r>
      <w:r/>
    </w:p>
    <w:p>
      <w:pPr>
        <w:numPr>
          <w:ilvl w:val="0"/>
          <w:numId w:val="0"/>
        </w:numPr>
        <w:ind w:firstLine="480"/>
        <w:keepLines w:val="0"/>
        <w:keepNext w:val="0"/>
        <w:pageBreakBefore w:val="0"/>
        <w:spacing w:line="360" w:lineRule="auto"/>
        <w:widowControl w:val="off"/>
        <w:rPr>
          <w:rFonts w:hint="eastAsia" w:ascii="宋体" w:hAnsi="宋体" w:eastAsia="宋体" w:cs="宋体"/>
          <w:b/>
          <w:bCs/>
          <w:sz w:val="24"/>
          <w:szCs w:val="24"/>
          <w:highlight w:val="none"/>
          <w:lang w:eastAsia="en-US"/>
        </w:rPr>
        <w:outlineLvl w:val="9"/>
      </w:pPr>
      <w:r>
        <w:rPr>
          <w:rFonts w:hint="eastAsia" w:ascii="宋体" w:hAnsi="宋体" w:eastAsia="宋体" w:cs="宋体"/>
          <w:sz w:val="24"/>
          <w:szCs w:val="24"/>
          <w:highlight w:val="none"/>
          <w:lang w:val="en-US" w:eastAsia="zh-CN"/>
        </w:rPr>
        <w:t xml:space="preserve">1、投保电梯发生整机拆除更换工程的，投保人有权就对应出险电梯单项保险向保险人申请办理该台电梯保险退保手续。退保生效起算日期统一按电梯整机更换施工工期中间月份的首日核定；保费结算计费期间自前述退保起始日起算至本保单保险期限届满之日止，退保保费按照保单剩余有效承保实际天数据实核算、一次性退还投保人。</w:t>
      </w:r>
      <w:r/>
    </w:p>
    <w:p>
      <w:pPr>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lang w:eastAsia="en-US"/>
        </w:rPr>
        <w:t xml:space="preserve">三</w:t>
      </w:r>
      <w:r>
        <w:rPr>
          <w:rFonts w:hint="eastAsia" w:ascii="宋体" w:hAnsi="宋体" w:eastAsia="宋体" w:cs="宋体"/>
          <w:b/>
          <w:bCs/>
          <w:sz w:val="24"/>
          <w:szCs w:val="24"/>
          <w:highlight w:val="none"/>
        </w:rPr>
        <w:t xml:space="preserve">、甲方的权利和义务</w:t>
      </w:r>
      <w:r/>
    </w:p>
    <w:p>
      <w:pPr>
        <w:ind w:left="0"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1、甲方应为乙方员工提供出入机房、大堂、层门和设备所在区域的通行条件。</w:t>
      </w:r>
      <w:r/>
    </w:p>
    <w:p>
      <w:pPr>
        <w:ind w:left="0"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甲方根据实际情况安排配合乙方进行轿顶、门操作板、轿门和厅门的地坎、门楣、井道、底坑和机房的清洁工作。如电梯底坑遇水淹时，应及时排除并采取措施预防漏水或渗水。在甲方需要时，乙方应给予技术指导。</w:t>
      </w:r>
      <w:r/>
    </w:p>
    <w:p>
      <w:pPr>
        <w:ind w:left="0"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3、甲方有权利和义务对乙方的日常工作进行监督，对乙方工作质量进行评估。</w:t>
      </w:r>
      <w:r/>
    </w:p>
    <w:p>
      <w:pPr>
        <w:ind w:left="0"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4、甲方有权监督检查乙方依照合同约定实施维护保养计划的情况，监督经乙方维护保养后的电梯是否符合法律法规、安全技术规范、强制性标准和制造单位安装使用维护说明书要求，监督电梯安全性能是否符合规定要求。</w:t>
      </w:r>
      <w:r/>
    </w:p>
    <w:p>
      <w:pPr>
        <w:ind w:left="0"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5、甲方有权要求乙方人员服从本单位现场安全管理，有权要求乙方更换不服从现场安全管理的人员。</w:t>
      </w:r>
      <w:r/>
    </w:p>
    <w:p>
      <w:pPr>
        <w:ind w:left="0"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6、依法建立电梯安全管理机构、制度，确保安全管理和作业人员、制度、资金落实到位。配备持有电梯安全管理资格证件的人员负责电梯日常安全管理，并在更换电梯管理人员时及时通知乙方。督促电梯安全管理人员开展电梯的日常检查和每月检查工作，并严格保管电梯相关钥匙。</w:t>
      </w:r>
      <w:r/>
    </w:p>
    <w:p>
      <w:pPr>
        <w:ind w:left="0"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7、督促电梯安全管理人员现场监督检查的电梯保养工作过程和结果，甲方安全管理人员对维护保养记录签字确认。</w:t>
      </w:r>
      <w:r/>
    </w:p>
    <w:p>
      <w:pPr>
        <w:ind w:left="0"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8、电梯发生故障或异常情况时应当立即停止使用，并做好相关安全防护措施。电梯日常使用期间，确保值班人员可靠接收求救电话、警铃装置发出的求救信号，及时通知乙方抢修，并做好详细记录。接到乙方安全隐患告知后，及时落实安全防护措施和整改措施。严禁未持有电梯安全员证的人员自行对被困乘客进行救援。</w:t>
      </w:r>
      <w:r/>
    </w:p>
    <w:p>
      <w:pPr>
        <w:ind w:left="0"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9、制订电梯专项应急救援预案（包括电梯人身伤害事故、困人、故障、火灾、水浸等），每年度按片区应组织相应电梯事故应急急救处置、应急演练不少于2次，每年组织电梯安全知识宣传、教育和培训等服务不少于2次，确保应急救援体系运行有效。</w:t>
      </w:r>
      <w:r/>
    </w:p>
    <w:p>
      <w:pPr>
        <w:ind w:left="0"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10、保证电梯供电、消防、防雷、通风、降温等系统安全可靠，满足国家标准规定。为乙方提供维护保养所需的工作环境。保证机房上锁，井道、底坑无漏水、渗水现象。通往机房、底坑、滑轮间、井道安全门的通道畅通、照明充分；确保作业环境中应由甲方提供的安全防护措施到位，防止无关人员进入。</w:t>
      </w:r>
      <w:r/>
    </w:p>
    <w:p>
      <w:pPr>
        <w:ind w:left="0"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11、采取有效措施监控电梯使用情况，积极主动开展文明乘梯宣传活动，及时制止乘客不文明乘梯行为或恶意破坏电梯的行为。</w:t>
      </w:r>
      <w:r/>
    </w:p>
    <w:p>
      <w:pPr>
        <w:ind w:left="0"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12、在电梯使用标志所标注的下次检验日期届满前1个月，向特种设备检验机构提出定期检验申请。</w:t>
      </w:r>
      <w:r/>
    </w:p>
    <w:p>
      <w:pPr>
        <w:ind w:left="0"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13、电梯因不可抗力因素（如战争、火灾、水灾、风暴和地震等）所造成设备损坏、丢失的，由甲方自行承担全部责任。</w:t>
      </w:r>
      <w:r/>
    </w:p>
    <w:p>
      <w:pPr>
        <w:ind w:left="0"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14、甲方应按照《电梯使用管理与维护保养规则》TSG T5002-2017的要求逐台建立电梯安全技术档案，并提供给乙方查询。在签订合同时应向乙方提供如下资料或复印件：</w:t>
      </w:r>
      <w:r/>
    </w:p>
    <w:p>
      <w:pPr>
        <w:ind w:left="0"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《特种设备使用注册登记表》；</w:t>
      </w:r>
      <w:r/>
    </w:p>
    <w:p>
      <w:pPr>
        <w:ind w:left="0"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设备及其零部件、安全保护装置的出厂随机技术文件、电气敷设图；</w:t>
      </w:r>
      <w:r/>
    </w:p>
    <w:p>
      <w:pPr>
        <w:ind w:left="0"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安装、改造、重大维修的有关技术资料；</w:t>
      </w:r>
      <w:r/>
    </w:p>
    <w:p>
      <w:pPr>
        <w:ind w:left="0"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日常检查与使用状况记录、维保记录、年度自行检查记录或者报告、应急救援演习记录；</w:t>
      </w:r>
      <w:r/>
    </w:p>
    <w:p>
      <w:pPr>
        <w:ind w:left="0"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安装、改造、重大维修监督检验报告，上年度定期检验报告；</w:t>
      </w:r>
      <w:r/>
    </w:p>
    <w:p>
      <w:pPr>
        <w:ind w:left="0"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设备运行故障与事故记录等。</w:t>
      </w:r>
      <w:r/>
    </w:p>
    <w:p>
      <w:pPr>
        <w:ind w:left="0"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有效期限内的安全管理人员证书及操作人员证书（如采用司机操作的电梯，医院提供给患者使用的电梯，直接用于旅游观光的速度大于2.5m/s的电梯，应配备持证操作人员）。</w:t>
      </w:r>
      <w:r/>
    </w:p>
    <w:p>
      <w:pPr>
        <w:numPr>
          <w:ilvl w:val="0"/>
          <w:numId w:val="0"/>
        </w:numPr>
        <w:ind w:firstLine="420"/>
        <w:jc w:val="both"/>
        <w:keepLines w:val="0"/>
        <w:keepNext w:val="0"/>
        <w:pageBreakBefore w:val="0"/>
        <w:spacing w:line="360" w:lineRule="auto"/>
        <w:widowControl/>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15、未经乙方书面许可不得允许非维保公司人员从事与电梯维护保养有关的作业。</w:t>
      </w:r>
      <w:r/>
    </w:p>
    <w:p>
      <w:pPr>
        <w:ind w:left="0" w:firstLine="480"/>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lang w:eastAsia="en-US"/>
        </w:rPr>
        <w:t xml:space="preserve">四、</w:t>
      </w:r>
      <w:r>
        <w:rPr>
          <w:rFonts w:hint="eastAsia" w:ascii="宋体" w:hAnsi="宋体" w:eastAsia="宋体" w:cs="宋体"/>
          <w:b/>
          <w:bCs/>
          <w:sz w:val="24"/>
          <w:szCs w:val="24"/>
          <w:highlight w:val="none"/>
        </w:rPr>
        <w:t xml:space="preserve">乙方的权利和义务</w:t>
      </w:r>
      <w:r/>
    </w:p>
    <w:p>
      <w:p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1．为保障被保险人的利益，提高工作效率，乙方须组建电梯服务团队，为本项目进行专项服务，做好保险相关服务和解释工作。</w:t>
      </w:r>
      <w:r/>
    </w:p>
    <w:p>
      <w:p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2．乙方在电梯发生故障需要维修时，按照保险合同约定和本承诺书内容，第一时间响应，督促电梯维保维修机构按照维修方案进行维修，并及时赔付维修费用，保障电梯尽快恢复安全正常运行。</w:t>
      </w:r>
      <w:r/>
    </w:p>
    <w:p>
      <w:p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3．乙方为甲方搭建电梯风险管理平台，通过专业技术团队，对甲方电梯运行情况进行安全监控、数据分析、风险预警，提供维保监督、维修报案、维修方案审核和理赔等功能，保障电梯维保质量与维修时效。</w:t>
      </w:r>
      <w:r/>
    </w:p>
    <w:p>
      <w:p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4．乙方和维保单位有义务为甲方单位提供24小时电梯维修服务。</w:t>
      </w:r>
      <w:r/>
    </w:p>
    <w:p>
      <w:p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5．乙方有义务提供出险告知服务，对于电梯因故障需要维修的，承诺做好出险告知服务，同时定期对电梯承保后的维修、维保情况予以公示，以充分保障甲方知情权，方便甲方监督。</w:t>
      </w:r>
      <w:r/>
    </w:p>
    <w:p>
      <w:p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6．乙方应对被保险人信息予以严格保密。除了根据法律法规应予披露的情况以外，乙方未经采购人书面许可，不得向其他任何社会组织或个人泄露与被保险人有关的资料和信息，否则将依法承担一切责任。</w:t>
      </w:r>
      <w:r/>
    </w:p>
    <w:p>
      <w:p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7．乙方在合同履约过程中，不得有弄虚作假、徇私舞弊等行为发生，否则将按照有关法律法规依法追究法律责任。</w:t>
      </w:r>
      <w:r/>
    </w:p>
    <w:p>
      <w:p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8．乙方有义务协助甲方制定电梯专项应急救援预案（包括电梯人身伤害事故、困人、故障、火灾、水浸等），</w:t>
      </w:r>
      <w:r>
        <w:rPr>
          <w:rFonts w:hint="eastAsia" w:ascii="宋体" w:hAnsi="宋体" w:eastAsia="宋体" w:cs="宋体"/>
          <w:sz w:val="24"/>
          <w:szCs w:val="24"/>
          <w:highlight w:val="none"/>
          <w:lang w:val="en-US" w:eastAsia="zh-CN"/>
        </w:rPr>
        <w:t xml:space="preserve">每年度按片区应组织相应电梯事故应急急救处置、应急演练不少于2次，每年组织电梯安全知识宣传、教育和培训等服务不少于2次</w:t>
      </w:r>
      <w:r>
        <w:rPr>
          <w:rFonts w:hint="eastAsia" w:ascii="宋体" w:hAnsi="宋体" w:eastAsia="宋体" w:cs="宋体"/>
          <w:sz w:val="24"/>
          <w:szCs w:val="24"/>
          <w:highlight w:val="none"/>
        </w:rPr>
        <w:t xml:space="preserve">，确保应急救援体系运行有效。</w:t>
      </w:r>
      <w:r/>
    </w:p>
    <w:p>
      <w:p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9．乙方有义务在电梯使用标志所标注的下次检验日期届满前</w:t>
      </w: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个月，督促维保单位向特种设备检验机构提出定期检验申请并由甲方承担相应检验费用。乙方需要配合保证电梯定期检验通过，如电梯年检延误或不通过，复检一切费用由维保单位承担。</w:t>
      </w:r>
      <w:r/>
    </w:p>
    <w:p>
      <w:p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10．其他合法权利和义务。</w:t>
      </w:r>
      <w:r/>
    </w:p>
    <w:p>
      <w:pPr>
        <w:ind w:left="0" w:firstLine="480"/>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lang w:eastAsia="en-US"/>
        </w:rPr>
        <w:t xml:space="preserve">五</w:t>
      </w:r>
      <w:r>
        <w:rPr>
          <w:rFonts w:hint="eastAsia" w:ascii="宋体" w:hAnsi="宋体" w:eastAsia="宋体" w:cs="宋体"/>
          <w:b/>
          <w:bCs/>
          <w:sz w:val="24"/>
          <w:szCs w:val="24"/>
          <w:highlight w:val="none"/>
        </w:rPr>
        <w:t xml:space="preserve">、保密</w:t>
      </w:r>
      <w:r/>
    </w:p>
    <w:p>
      <w:p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1.乙方必须采取措施对被保险人信息和本项目实施过程中的技术资料进行严格保密。项目完成后，甲、乙双方均有责任对本项目的技术保密承担责任。</w:t>
      </w:r>
      <w:r/>
    </w:p>
    <w:p>
      <w:p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未经甲方事先书面同意，乙方不得将被保险人的信息以及甲方为本合同提供的技术资料提供给予本合同无关的任何第三方，不得将其用于履行本合同之外的其他用途。即使向与履行本合同有关的人员提供，也应注意保密并限于履行合同所必需的范围。</w:t>
      </w:r>
      <w:r/>
    </w:p>
    <w:p>
      <w:p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3.如果甲方有要求，乙方在完成合同后应将有关资料还给甲方。</w:t>
      </w:r>
      <w:r/>
    </w:p>
    <w:p>
      <w:p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4.上述保密义务不因本合同的终止或解除而免除，乙方违反保密义务给甲方造成损失的，乙方应当赔偿甲方所有损失。</w:t>
      </w:r>
      <w:r/>
    </w:p>
    <w:p>
      <w:pPr>
        <w:ind w:left="0" w:firstLine="480"/>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lang w:eastAsia="en-US"/>
        </w:rPr>
        <w:t xml:space="preserve">六</w:t>
      </w:r>
      <w:r>
        <w:rPr>
          <w:rFonts w:hint="eastAsia" w:ascii="宋体" w:hAnsi="宋体" w:eastAsia="宋体" w:cs="宋体"/>
          <w:b/>
          <w:bCs/>
          <w:sz w:val="24"/>
          <w:szCs w:val="24"/>
          <w:highlight w:val="none"/>
        </w:rPr>
        <w:t xml:space="preserve">、违约责任</w:t>
      </w:r>
      <w:r/>
    </w:p>
    <w:p>
      <w:p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1．合同一方不履行合同义务或者履行合同义务不符合约定的，应当承担继续履行、</w:t>
      </w:r>
      <w:r>
        <w:rPr>
          <w:rFonts w:hint="eastAsia" w:ascii="宋体" w:hAnsi="宋体" w:eastAsia="宋体" w:cs="宋体"/>
          <w:sz w:val="24"/>
          <w:szCs w:val="24"/>
          <w:highlight w:val="none"/>
          <w:lang w:eastAsia="zh-CN"/>
        </w:rPr>
        <w:t xml:space="preserve">采取</w:t>
      </w:r>
      <w:r>
        <w:rPr>
          <w:rFonts w:hint="eastAsia" w:ascii="宋体" w:hAnsi="宋体" w:eastAsia="宋体" w:cs="宋体"/>
          <w:sz w:val="24"/>
          <w:szCs w:val="24"/>
          <w:highlight w:val="none"/>
        </w:rPr>
        <w:t xml:space="preserve">补救措施或赔偿损失等违约责任。</w:t>
      </w:r>
      <w:r/>
    </w:p>
    <w:p>
      <w:p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2．甲方违反合同规定，拒绝接收乙方提供的服务的，应当承担乙方由此造成的损失。</w:t>
      </w:r>
      <w:r/>
    </w:p>
    <w:p>
      <w:p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3．乙方违反合同规定，拒绝为甲方</w:t>
      </w:r>
      <w:r>
        <w:rPr>
          <w:rFonts w:hint="eastAsia" w:ascii="宋体" w:hAnsi="宋体" w:eastAsia="宋体" w:cs="宋体"/>
          <w:sz w:val="24"/>
          <w:szCs w:val="24"/>
          <w:highlight w:val="none"/>
          <w:lang w:eastAsia="zh-CN"/>
        </w:rPr>
        <w:t xml:space="preserve">提供</w:t>
      </w:r>
      <w:r>
        <w:rPr>
          <w:rFonts w:hint="eastAsia" w:ascii="宋体" w:hAnsi="宋体" w:eastAsia="宋体" w:cs="宋体"/>
          <w:sz w:val="24"/>
          <w:szCs w:val="24"/>
          <w:highlight w:val="none"/>
        </w:rPr>
        <w:t xml:space="preserve">服务的，应当承担甲方由此造成的损失。</w:t>
      </w:r>
      <w:r/>
    </w:p>
    <w:p>
      <w:p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4．如乙方不能按约定进行服务的，且违反约定达到或超过三次的，甲方有权解除合同。</w:t>
      </w:r>
      <w:r/>
    </w:p>
    <w:p>
      <w:pPr>
        <w:ind w:left="0" w:firstLine="480"/>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lang w:eastAsia="en-US"/>
        </w:rPr>
        <w:t xml:space="preserve">七、不可抗力</w:t>
      </w:r>
      <w:r/>
    </w:p>
    <w:p>
      <w:pPr>
        <w:pStyle w:val="1109"/>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bidi="ar-SA"/>
        </w:rPr>
        <w:outlineLvl w:val="9"/>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bidi="ar-SA"/>
        </w:rPr>
        <w:t xml:space="preserve">因不可抗力致使不能履行合同的（包括导致延期履行），根据不可抗力的影响，免除相应的责任，但本合同另有规定的除外。</w:t>
      </w:r>
      <w:r/>
    </w:p>
    <w:p>
      <w:pPr>
        <w:pStyle w:val="1109"/>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bidi="ar-SA"/>
        </w:rPr>
        <w:outlineLvl w:val="9"/>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bidi="ar-SA"/>
        </w:rPr>
        <w:t xml:space="preserve">本合同所称不可抗力指不可预见、不能避免并不能克服的客观情况，不可抗力包括战争、地震、动乱、空中飞行物体坠落或其他非合同双方责任造成的爆炸、火灾。</w:t>
      </w:r>
      <w:r/>
    </w:p>
    <w:p>
      <w:pPr>
        <w:ind w:left="0" w:firstLine="480"/>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lang w:eastAsia="en-US"/>
        </w:rPr>
        <w:t xml:space="preserve">八、合同修改</w:t>
      </w:r>
      <w:r/>
    </w:p>
    <w:p>
      <w:p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对于本合同的未尽事宜，需进行修改、补充的，甲乙双方必须就所修改的内容签订书面的合同修改书，作为本合同的补充协议。补充协议与本合同具有同等法律效力。</w:t>
      </w:r>
      <w:r/>
    </w:p>
    <w:p>
      <w:pPr>
        <w:ind w:left="0" w:firstLine="480"/>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lang w:eastAsia="en-US"/>
        </w:rPr>
        <w:t xml:space="preserve">九</w:t>
      </w:r>
      <w:r>
        <w:rPr>
          <w:rFonts w:hint="eastAsia" w:ascii="宋体" w:hAnsi="宋体" w:eastAsia="宋体" w:cs="宋体"/>
          <w:b/>
          <w:bCs/>
          <w:sz w:val="24"/>
          <w:szCs w:val="24"/>
          <w:highlight w:val="none"/>
        </w:rPr>
        <w:t xml:space="preserve">、合同生效</w:t>
      </w:r>
      <w:r>
        <w:rPr>
          <w:rFonts w:hint="eastAsia" w:ascii="宋体" w:hAnsi="宋体" w:eastAsia="宋体" w:cs="宋体"/>
          <w:b/>
          <w:bCs/>
          <w:sz w:val="24"/>
          <w:szCs w:val="24"/>
          <w:highlight w:val="none"/>
          <w:lang w:eastAsia="zh-CN"/>
        </w:rPr>
        <w:t xml:space="preserve">及其他</w:t>
      </w:r>
      <w:r/>
    </w:p>
    <w:p>
      <w:pPr>
        <w:ind w:left="0" w:firstLine="480"/>
        <w:keepLines w:val="0"/>
        <w:keepNext w:val="0"/>
        <w:pageBreakBefore w:val="0"/>
        <w:spacing w:line="360" w:lineRule="auto"/>
        <w:widowControl w:val="off"/>
        <w:rPr>
          <w:rFonts w:ascii="宋体" w:hAnsi="宋体" w:eastAsia="宋体" w:cs="宋体"/>
          <w:b w:val="0"/>
          <w:bCs/>
          <w:color w:val="000000"/>
          <w:sz w:val="24"/>
          <w:szCs w:val="24"/>
          <w:highlight w:val="none"/>
          <w:u w:val="none"/>
          <w:lang w:val="en-US" w:eastAsia="zh-CN"/>
        </w:rPr>
        <w:outlineLvl w:val="9"/>
      </w:pPr>
      <w:r>
        <w:rPr>
          <w:rFonts w:ascii="宋体" w:hAnsi="宋体" w:eastAsia="宋体" w:cs="宋体"/>
          <w:b w:val="0"/>
          <w:bCs/>
          <w:color w:val="000000"/>
          <w:sz w:val="24"/>
          <w:szCs w:val="24"/>
          <w:highlight w:val="none"/>
          <w:u w:val="none"/>
          <w:lang w:val="en-US" w:eastAsia="zh-CN"/>
        </w:rPr>
        <w:t xml:space="preserve">1．甲乙双方代表签字加盖公章（或合同章）并经</w:t>
      </w:r>
      <w:r>
        <w:rPr>
          <w:rFonts w:hint="eastAsia" w:ascii="宋体" w:hAnsi="宋体" w:eastAsia="宋体" w:cs="宋体"/>
          <w:b w:val="0"/>
          <w:bCs/>
          <w:color w:val="000000"/>
          <w:sz w:val="24"/>
          <w:szCs w:val="24"/>
          <w:highlight w:val="none"/>
          <w:u w:val="none"/>
          <w:lang w:val="en-US" w:eastAsia="zh-CN"/>
        </w:rPr>
        <w:t xml:space="preserve">永道工程咨询（江苏）有限公司</w:t>
      </w:r>
      <w:r>
        <w:rPr>
          <w:rFonts w:ascii="宋体" w:hAnsi="宋体" w:eastAsia="宋体" w:cs="宋体"/>
          <w:b w:val="0"/>
          <w:bCs/>
          <w:color w:val="000000"/>
          <w:sz w:val="24"/>
          <w:szCs w:val="24"/>
          <w:highlight w:val="none"/>
          <w:u w:val="none"/>
          <w:lang w:val="en-US" w:eastAsia="zh-CN"/>
        </w:rPr>
        <w:t xml:space="preserve">见证后生效。</w:t>
      </w:r>
      <w:r/>
    </w:p>
    <w:p>
      <w:pPr>
        <w:ind w:left="0" w:firstLine="480"/>
        <w:keepLines w:val="0"/>
        <w:keepNext w:val="0"/>
        <w:pageBreakBefore w:val="0"/>
        <w:spacing w:line="360" w:lineRule="auto"/>
        <w:widowControl w:val="off"/>
        <w:rPr>
          <w:rFonts w:ascii="宋体" w:hAnsi="宋体" w:eastAsia="宋体" w:cs="宋体"/>
          <w:b w:val="0"/>
          <w:bCs/>
          <w:color w:val="000000"/>
          <w:sz w:val="24"/>
          <w:szCs w:val="24"/>
          <w:highlight w:val="none"/>
          <w:u w:val="none"/>
          <w:lang w:val="en-US" w:eastAsia="zh-CN"/>
        </w:rPr>
        <w:outlineLvl w:val="9"/>
      </w:pPr>
      <w:r>
        <w:rPr>
          <w:rFonts w:ascii="宋体" w:hAnsi="宋体" w:eastAsia="宋体" w:cs="宋体"/>
          <w:b w:val="0"/>
          <w:bCs/>
          <w:color w:val="000000"/>
          <w:sz w:val="24"/>
          <w:szCs w:val="24"/>
          <w:highlight w:val="none"/>
          <w:u w:val="none"/>
          <w:lang w:val="en-US" w:eastAsia="zh-CN"/>
        </w:rPr>
        <w:t xml:space="preserve">2．合同签订后甲乙双方即直接产生权利与义务的关系，合同执行过程中出现的问题应按照《中华人民共和国民</w:t>
      </w:r>
      <w:r>
        <w:rPr>
          <w:rFonts w:hint="eastAsia" w:ascii="宋体" w:hAnsi="宋体" w:eastAsia="宋体" w:cs="宋体"/>
          <w:b w:val="0"/>
          <w:bCs/>
          <w:color w:val="000000"/>
          <w:sz w:val="24"/>
          <w:szCs w:val="24"/>
          <w:highlight w:val="none"/>
          <w:u w:val="none"/>
          <w:lang w:val="en-US" w:eastAsia="zh-CN"/>
        </w:rPr>
        <w:t xml:space="preserve">法典</w:t>
      </w:r>
      <w:r>
        <w:rPr>
          <w:rFonts w:ascii="宋体" w:hAnsi="宋体" w:eastAsia="宋体" w:cs="宋体"/>
          <w:b w:val="0"/>
          <w:bCs/>
          <w:color w:val="000000"/>
          <w:sz w:val="24"/>
          <w:szCs w:val="24"/>
          <w:highlight w:val="none"/>
          <w:u w:val="none"/>
          <w:lang w:val="en-US" w:eastAsia="zh-CN"/>
        </w:rPr>
        <w:t xml:space="preserve">》的规定办理，在合同履行过程中，双方如有争议，经协商无效，任何一方可向被告所在地人民法院提起诉讼。</w:t>
      </w:r>
      <w:r/>
    </w:p>
    <w:p>
      <w:pPr>
        <w:ind w:left="0" w:firstLine="480"/>
        <w:keepLines w:val="0"/>
        <w:keepNext w:val="0"/>
        <w:pageBreakBefore w:val="0"/>
        <w:spacing w:line="360" w:lineRule="auto"/>
        <w:widowControl w:val="off"/>
        <w:rPr>
          <w:rFonts w:ascii="宋体" w:hAnsi="宋体" w:eastAsia="宋体" w:cs="宋体"/>
          <w:b w:val="0"/>
          <w:bCs/>
          <w:color w:val="000000"/>
          <w:sz w:val="24"/>
          <w:szCs w:val="24"/>
          <w:highlight w:val="none"/>
          <w:u w:val="none"/>
          <w:lang w:val="en-US" w:eastAsia="zh-CN"/>
        </w:rPr>
        <w:outlineLvl w:val="9"/>
      </w:pPr>
      <w:r>
        <w:rPr>
          <w:rFonts w:ascii="宋体" w:hAnsi="宋体" w:eastAsia="宋体" w:cs="宋体"/>
          <w:b w:val="0"/>
          <w:bCs/>
          <w:color w:val="000000"/>
          <w:sz w:val="24"/>
          <w:szCs w:val="24"/>
          <w:highlight w:val="none"/>
          <w:u w:val="none"/>
          <w:lang w:val="en-US" w:eastAsia="zh-CN"/>
        </w:rPr>
        <w:t xml:space="preserve">3．合同在执行过程中出现的未尽事宜，双方在不违背本合同的原则下协商解决，协商结果以书面形式盖章记录在案，作为本合同的附件，与本合同具有同等效力。</w:t>
      </w:r>
      <w:r/>
    </w:p>
    <w:p>
      <w:pPr>
        <w:ind w:left="0" w:firstLine="480"/>
        <w:keepLines w:val="0"/>
        <w:keepNext w:val="0"/>
        <w:pageBreakBefore w:val="0"/>
        <w:spacing w:line="360" w:lineRule="auto"/>
        <w:widowControl w:val="off"/>
        <w:rPr>
          <w:rFonts w:ascii="宋体" w:hAnsi="宋体" w:eastAsia="宋体" w:cs="宋体"/>
          <w:b w:val="0"/>
          <w:bCs/>
          <w:color w:val="000000"/>
          <w:sz w:val="24"/>
          <w:szCs w:val="24"/>
          <w:highlight w:val="none"/>
          <w:u w:val="none"/>
          <w:lang w:val="en-US" w:eastAsia="zh-CN"/>
        </w:rPr>
        <w:outlineLvl w:val="9"/>
      </w:pPr>
      <w:r>
        <w:rPr>
          <w:rFonts w:ascii="宋体" w:hAnsi="宋体" w:eastAsia="宋体" w:cs="宋体"/>
          <w:b w:val="0"/>
          <w:bCs/>
          <w:color w:val="000000"/>
          <w:sz w:val="24"/>
          <w:szCs w:val="24"/>
          <w:highlight w:val="none"/>
          <w:u w:val="none"/>
          <w:lang w:val="en-US" w:eastAsia="zh-CN"/>
        </w:rPr>
        <w:t xml:space="preserve">4.合同一式伍份，甲乙双方各执贰份，采购代理机构壹份。</w:t>
      </w:r>
      <w:r/>
    </w:p>
    <w:p>
      <w:pPr>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r>
      <w:r/>
    </w:p>
    <w:p>
      <w:pPr>
        <w:keepLines w:val="0"/>
        <w:keepNext w:val="0"/>
        <w:pageBreakBefore w:val="0"/>
        <w:spacing w:line="360" w:lineRule="auto"/>
        <w:widowControl w:val="off"/>
        <w:rPr>
          <w:rFonts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t xml:space="preserve">甲方（公章）：                          乙方（公章）：</w:t>
      </w:r>
      <w:r/>
    </w:p>
    <w:p>
      <w:pPr>
        <w:keepLines w:val="0"/>
        <w:keepNext w:val="0"/>
        <w:pageBreakBefore w:val="0"/>
        <w:spacing w:line="360" w:lineRule="auto"/>
        <w:widowControl w:val="off"/>
        <w:rPr>
          <w:rFonts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t xml:space="preserve">法定代表人或授权人（签名）：           法定代表人或授权人（签名）：</w:t>
      </w:r>
      <w:r/>
    </w:p>
    <w:p>
      <w:pPr>
        <w:keepLines w:val="0"/>
        <w:keepNext w:val="0"/>
        <w:pageBreakBefore w:val="0"/>
        <w:spacing w:line="360" w:lineRule="auto"/>
        <w:widowControl w:val="off"/>
        <w:rPr>
          <w:rFonts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t xml:space="preserve">电 话：                               电 话：</w:t>
      </w:r>
      <w:r/>
    </w:p>
    <w:p>
      <w:pPr>
        <w:keepLines w:val="0"/>
        <w:keepNext w:val="0"/>
        <w:pageBreakBefore w:val="0"/>
        <w:spacing w:line="360" w:lineRule="auto"/>
        <w:widowControl w:val="off"/>
        <w:rPr>
          <w:rFonts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t xml:space="preserve">开户银行：                            开户银行：</w:t>
      </w:r>
      <w:r/>
    </w:p>
    <w:p>
      <w:pPr>
        <w:keepLines w:val="0"/>
        <w:keepNext w:val="0"/>
        <w:pageBreakBefore w:val="0"/>
        <w:spacing w:line="360" w:lineRule="auto"/>
        <w:widowControl w:val="off"/>
        <w:rPr>
          <w:rFonts w:ascii="宋体" w:hAnsi="宋体" w:eastAsia="宋体" w:cs="宋体"/>
          <w:b w:val="0"/>
          <w:bCs/>
          <w:color w:val="000000"/>
          <w:sz w:val="24"/>
          <w:szCs w:val="24"/>
          <w:highlight w:val="none"/>
          <w:u w:val="none"/>
          <w:lang w:val="en-US" w:eastAsia="zh-CN"/>
        </w:rPr>
        <w:outlineLvl w:val="9"/>
      </w:pPr>
      <w:r>
        <w:rPr>
          <w:rFonts w:hint="eastAsia" w:ascii="宋体" w:hAnsi="宋体" w:cs="宋体"/>
          <w:b w:val="0"/>
          <w:bCs/>
          <w:color w:val="000000"/>
          <w:sz w:val="24"/>
          <w:szCs w:val="24"/>
          <w:highlight w:val="none"/>
          <w:u w:val="none"/>
          <w:lang w:val="en-US" w:eastAsia="zh-CN"/>
        </w:rPr>
        <w:t xml:space="preserve">账</w:t>
      </w:r>
      <w:r>
        <w:rPr>
          <w:rFonts w:hint="eastAsia" w:ascii="宋体" w:hAnsi="宋体" w:eastAsia="宋体" w:cs="宋体"/>
          <w:b w:val="0"/>
          <w:bCs/>
          <w:color w:val="000000"/>
          <w:sz w:val="24"/>
          <w:szCs w:val="24"/>
          <w:highlight w:val="none"/>
          <w:u w:val="none"/>
          <w:lang w:val="en-US" w:eastAsia="zh-CN"/>
        </w:rPr>
        <w:t xml:space="preserve"> 号：                               </w:t>
      </w:r>
      <w:r>
        <w:rPr>
          <w:rFonts w:hint="eastAsia" w:ascii="宋体" w:hAnsi="宋体" w:cs="宋体"/>
          <w:b w:val="0"/>
          <w:bCs/>
          <w:color w:val="000000"/>
          <w:sz w:val="24"/>
          <w:szCs w:val="24"/>
          <w:highlight w:val="none"/>
          <w:u w:val="none"/>
          <w:lang w:val="en-US" w:eastAsia="zh-CN"/>
        </w:rPr>
        <w:t xml:space="preserve">账</w:t>
      </w:r>
      <w:r>
        <w:rPr>
          <w:rFonts w:hint="eastAsia" w:ascii="宋体" w:hAnsi="宋体" w:eastAsia="宋体" w:cs="宋体"/>
          <w:b w:val="0"/>
          <w:bCs/>
          <w:color w:val="000000"/>
          <w:sz w:val="24"/>
          <w:szCs w:val="24"/>
          <w:highlight w:val="none"/>
          <w:u w:val="none"/>
          <w:lang w:val="en-US" w:eastAsia="zh-CN"/>
        </w:rPr>
        <w:t xml:space="preserve"> 号：</w:t>
      </w:r>
      <w:r/>
    </w:p>
    <w:p>
      <w:pPr>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t xml:space="preserve">日 期：     年   月   日              日 期：     年   月   日</w:t>
      </w:r>
      <w:r/>
    </w:p>
    <w:p>
      <w:pPr>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r>
      <w:r/>
    </w:p>
    <w:p>
      <w:pPr>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r>
      <w:r/>
    </w:p>
    <w:p>
      <w:pPr>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r>
      <w:r/>
    </w:p>
    <w:p>
      <w:pPr>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r>
      <w:r/>
    </w:p>
    <w:p>
      <w:pPr>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t xml:space="preserve">见证方（公章）：</w:t>
      </w:r>
      <w:r/>
    </w:p>
    <w:p>
      <w:pPr>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de-DE" w:eastAsia="zh-CN"/>
        </w:rPr>
        <w:outlineLvl w:val="9"/>
      </w:pPr>
      <w:r>
        <w:rPr>
          <w:rFonts w:hint="eastAsia" w:ascii="宋体" w:hAnsi="宋体" w:eastAsia="宋体" w:cs="宋体"/>
          <w:b w:val="0"/>
          <w:bCs/>
          <w:color w:val="000000"/>
          <w:sz w:val="24"/>
          <w:szCs w:val="24"/>
          <w:highlight w:val="none"/>
          <w:u w:val="none"/>
          <w:lang w:val="de-DE" w:eastAsia="zh-CN"/>
        </w:rPr>
      </w:r>
      <w:r/>
    </w:p>
    <w:p>
      <w:pPr>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de-DE" w:eastAsia="zh-CN"/>
        </w:rPr>
        <w:sectPr>
          <w:headerReference w:type="default" r:id="rId9"/>
          <w:footerReference w:type="default" r:id="rId11"/>
          <w:footnotePr/>
          <w:endnotePr/>
          <w:type w:val="nextPage"/>
          <w:pgSz w:w="11906" w:h="16838" w:orient="portrait"/>
          <w:pgMar w:top="1304" w:right="1304" w:bottom="1304" w:left="1304" w:header="851" w:footer="992" w:gutter="0"/>
          <w:cols w:num="1" w:sep="0" w:space="1701" w:equalWidth="1"/>
          <w:docGrid w:linePitch="360"/>
        </w:sectPr>
        <w:outlineLvl w:val="9"/>
      </w:pPr>
      <w:r>
        <w:rPr>
          <w:rFonts w:hint="eastAsia" w:ascii="宋体" w:hAnsi="宋体" w:eastAsia="宋体" w:cs="宋体"/>
          <w:b w:val="0"/>
          <w:bCs/>
          <w:color w:val="000000"/>
          <w:sz w:val="24"/>
          <w:szCs w:val="24"/>
          <w:highlight w:val="none"/>
          <w:u w:val="none"/>
          <w:lang w:val="de-DE" w:eastAsia="zh-CN"/>
        </w:rPr>
      </w:r>
      <w:r/>
    </w:p>
    <w:p>
      <w:pPr>
        <w:spacing w:line="440" w:lineRule="exact"/>
        <w:widowControl/>
        <w:rPr>
          <w:rFonts w:hint="eastAsia" w:ascii="宋体" w:hAnsi="宋体" w:eastAsia="宋体" w:cs="宋体"/>
          <w:b/>
          <w:bCs/>
          <w:sz w:val="24"/>
          <w:szCs w:val="24"/>
          <w:highlight w:val="none"/>
          <w:lang w:val="zh-CN" w:bidi="ar"/>
        </w:rPr>
      </w:pPr>
      <w:r>
        <w:rPr>
          <w:rFonts w:hint="eastAsia" w:ascii="宋体" w:hAnsi="宋体" w:eastAsia="宋体" w:cs="宋体"/>
          <w:b/>
          <w:bCs/>
          <w:sz w:val="24"/>
          <w:szCs w:val="24"/>
          <w:highlight w:val="none"/>
          <w:lang w:val="zh-CN" w:bidi="ar"/>
        </w:rPr>
        <w:t xml:space="preserve">附件：</w:t>
      </w:r>
      <w:r/>
    </w:p>
    <w:p>
      <w:pPr>
        <w:ind w:firstLine="482"/>
        <w:jc w:val="center"/>
        <w:spacing w:line="440" w:lineRule="exact"/>
        <w:widowControl/>
        <w:rPr>
          <w:rFonts w:hint="eastAsia" w:ascii="Times New Roman" w:hAnsi="Times New Roman" w:eastAsia="宋体" w:cs="Times New Roman"/>
          <w:b/>
          <w:bCs/>
          <w:szCs w:val="24"/>
          <w:highlight w:val="none"/>
        </w:rPr>
      </w:pPr>
      <w:r>
        <w:rPr>
          <w:rFonts w:hint="eastAsia" w:ascii="宋体" w:hAnsi="宋体" w:eastAsia="宋体" w:cs="宋体"/>
          <w:b/>
          <w:bCs/>
          <w:sz w:val="24"/>
          <w:szCs w:val="24"/>
          <w:highlight w:val="none"/>
          <w:lang w:bidi="ar"/>
        </w:rPr>
        <w:t xml:space="preserve">（1）电梯维保服务月度质量评价考核表</w:t>
      </w:r>
      <w:r/>
    </w:p>
    <w:tbl>
      <w:tblPr>
        <w:tblStyle w:val="800"/>
        <w:tblW w:w="103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518"/>
        <w:gridCol w:w="4964"/>
        <w:gridCol w:w="960"/>
        <w:gridCol w:w="1429"/>
        <w:gridCol w:w="621"/>
        <w:gridCol w:w="617"/>
        <w:gridCol w:w="572"/>
      </w:tblGrid>
      <w:tr>
        <w:trPr>
          <w:jc w:val="center"/>
          <w:trHeight w:val="90"/>
        </w:trPr>
        <w:tc>
          <w:tcPr>
            <w:gridSpan w:val="3"/>
            <w:tcW w:w="6192" w:type="dxa"/>
            <w:vAlign w:val="center"/>
            <w:textDirection w:val="lrTb"/>
            <w:noWrap w:val="false"/>
          </w:tcPr>
          <w:p>
            <w:pP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项目名称：                维保单位：</w:t>
            </w:r>
            <w:r/>
          </w:p>
        </w:tc>
        <w:tc>
          <w:tcPr>
            <w:gridSpan w:val="5"/>
            <w:tcW w:w="419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                   年 月</w:t>
            </w:r>
            <w:r/>
          </w:p>
        </w:tc>
      </w:tr>
      <w:tr>
        <w:trPr>
          <w:jc w:val="center"/>
        </w:trPr>
        <w:tc>
          <w:tcPr>
            <w:tcW w:w="710" w:type="dxa"/>
            <w:vAlign w:val="center"/>
            <w:textDirection w:val="lrTb"/>
            <w:noWrap w:val="false"/>
          </w:tcPr>
          <w:p>
            <w:pPr>
              <w:jc w:val="center"/>
              <w:widowControl/>
              <w:rPr>
                <w:rFonts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序</w:t>
            </w:r>
            <w:r/>
          </w:p>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号</w:t>
            </w:r>
            <w:r/>
          </w:p>
        </w:tc>
        <w:tc>
          <w:tcPr>
            <w:gridSpan w:val="2"/>
            <w:tcW w:w="5482"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评定内容</w:t>
            </w:r>
            <w:r/>
          </w:p>
        </w:tc>
        <w:tc>
          <w:tcPr>
            <w:tcW w:w="960" w:type="dxa"/>
            <w:vAlign w:val="center"/>
            <w:textDirection w:val="lrTb"/>
            <w:noWrap w:val="false"/>
          </w:tcPr>
          <w:p>
            <w:pPr>
              <w:jc w:val="center"/>
              <w:widowControl/>
              <w:rPr>
                <w:rFonts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标准</w:t>
            </w:r>
            <w:r/>
          </w:p>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分值</w:t>
            </w:r>
            <w:r/>
          </w:p>
        </w:tc>
        <w:tc>
          <w:tcPr>
            <w:tcW w:w="1429" w:type="dxa"/>
            <w:vAlign w:val="center"/>
            <w:textDirection w:val="lrTb"/>
            <w:noWrap w:val="false"/>
          </w:tcPr>
          <w:p>
            <w:pPr>
              <w:jc w:val="center"/>
              <w:widowControl/>
              <w:rPr>
                <w:rFonts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扣分</w:t>
            </w:r>
            <w:r/>
          </w:p>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标准</w:t>
            </w:r>
            <w:r/>
          </w:p>
        </w:tc>
        <w:tc>
          <w:tcPr>
            <w:tcW w:w="621" w:type="dxa"/>
            <w:vAlign w:val="center"/>
            <w:textDirection w:val="lrTb"/>
            <w:noWrap w:val="false"/>
          </w:tcPr>
          <w:p>
            <w:pPr>
              <w:jc w:val="center"/>
              <w:widowControl/>
              <w:rPr>
                <w:rFonts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扣</w:t>
            </w:r>
            <w:r/>
          </w:p>
          <w:p>
            <w:pPr>
              <w:jc w:val="center"/>
              <w:widowControl/>
              <w:rPr>
                <w:rFonts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分</w:t>
            </w:r>
            <w:r/>
          </w:p>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值</w:t>
            </w:r>
            <w:r/>
          </w:p>
        </w:tc>
        <w:tc>
          <w:tcPr>
            <w:tcW w:w="617" w:type="dxa"/>
            <w:vAlign w:val="center"/>
            <w:textDirection w:val="lrTb"/>
            <w:noWrap w:val="false"/>
          </w:tcPr>
          <w:p>
            <w:pPr>
              <w:jc w:val="center"/>
              <w:widowControl/>
              <w:rPr>
                <w:rFonts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得</w:t>
            </w:r>
            <w:r/>
          </w:p>
          <w:p>
            <w:pPr>
              <w:jc w:val="center"/>
              <w:widowControl/>
              <w:rPr>
                <w:rFonts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分</w:t>
            </w:r>
            <w:r/>
          </w:p>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值</w:t>
            </w:r>
            <w:r/>
          </w:p>
        </w:tc>
        <w:tc>
          <w:tcPr>
            <w:tcW w:w="572" w:type="dxa"/>
            <w:vAlign w:val="center"/>
            <w:textDirection w:val="lrTb"/>
            <w:noWrap w:val="false"/>
          </w:tcPr>
          <w:p>
            <w:pPr>
              <w:jc w:val="center"/>
              <w:widowControl/>
              <w:rPr>
                <w:rFonts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备</w:t>
            </w:r>
            <w:r/>
          </w:p>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注</w:t>
            </w:r>
            <w:r/>
          </w:p>
        </w:tc>
      </w:tr>
      <w:tr>
        <w:trPr>
          <w:jc w:val="center"/>
          <w:trHeight w:val="90"/>
        </w:trPr>
        <w:tc>
          <w:tcPr>
            <w:tcW w:w="71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1</w:t>
            </w:r>
            <w:r/>
          </w:p>
        </w:tc>
        <w:tc>
          <w:tcPr>
            <w:tcW w:w="518" w:type="dxa"/>
            <w:vAlign w:val="center"/>
            <w:vMerge w:val="restart"/>
            <w:textDirection w:val="lrTb"/>
            <w:noWrap w:val="false"/>
          </w:tcPr>
          <w:p>
            <w:pPr>
              <w:jc w:val="both"/>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合</w:t>
            </w:r>
            <w:r/>
          </w:p>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同</w:t>
            </w:r>
            <w:r/>
          </w:p>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要</w:t>
            </w:r>
            <w:r/>
          </w:p>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求</w:t>
            </w:r>
            <w:r/>
          </w:p>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进入小区的维修保养人员未遵守物业规章制度的。</w:t>
            </w:r>
            <w:r/>
          </w:p>
        </w:tc>
        <w:tc>
          <w:tcPr>
            <w:tcW w:w="96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1 分/次</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维保人员操作证复印件未按合同要求交于甲方存档。</w:t>
            </w:r>
            <w:r/>
          </w:p>
        </w:tc>
        <w:tc>
          <w:tcPr>
            <w:tcW w:w="960" w:type="dxa"/>
            <w:vAlign w:val="center"/>
            <w:textDirection w:val="lrTb"/>
            <w:noWrap w:val="false"/>
          </w:tcPr>
          <w:p>
            <w:pPr>
              <w:jc w:val="center"/>
              <w:widowControl/>
              <w:rPr>
                <w:rFonts w:hint="eastAsia" w:ascii="宋体" w:hAnsi="宋体" w:eastAsia="宋体" w:cs="宋体"/>
                <w:sz w:val="22"/>
                <w:szCs w:val="22"/>
                <w:highlight w:val="none"/>
                <w:lang w:eastAsia="zh-CN" w:bidi="ar"/>
              </w:rPr>
            </w:pPr>
            <w:r>
              <w:rPr>
                <w:rFonts w:hint="eastAsia" w:ascii="宋体" w:hAnsi="宋体" w:eastAsia="宋体" w:cs="宋体"/>
                <w:sz w:val="22"/>
                <w:szCs w:val="22"/>
                <w:highlight w:val="none"/>
                <w:lang w:val="en-US" w:eastAsia="zh-CN" w:bidi="ar"/>
              </w:rPr>
              <w:t xml:space="preserve">2</w:t>
            </w:r>
            <w:r/>
          </w:p>
        </w:tc>
        <w:tc>
          <w:tcPr>
            <w:tcW w:w="142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 分/人次</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3</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提供给物业的联系人电话未保持24小时畅通及未及时更新的</w:t>
            </w:r>
            <w:r/>
          </w:p>
        </w:tc>
        <w:tc>
          <w:tcPr>
            <w:tcW w:w="960" w:type="dxa"/>
            <w:vAlign w:val="center"/>
            <w:textDirection w:val="lrTb"/>
            <w:noWrap w:val="false"/>
          </w:tcPr>
          <w:p>
            <w:pPr>
              <w:jc w:val="center"/>
              <w:widowControl/>
              <w:rPr>
                <w:rFonts w:hint="eastAsia" w:ascii="宋体" w:hAnsi="宋体" w:eastAsia="宋体" w:cs="宋体"/>
                <w:sz w:val="22"/>
                <w:szCs w:val="22"/>
                <w:highlight w:val="none"/>
                <w:lang w:eastAsia="zh-CN" w:bidi="ar"/>
              </w:rPr>
            </w:pPr>
            <w:r>
              <w:rPr>
                <w:rFonts w:hint="eastAsia" w:ascii="宋体" w:hAnsi="宋体" w:eastAsia="宋体" w:cs="宋体"/>
                <w:sz w:val="22"/>
                <w:szCs w:val="22"/>
                <w:highlight w:val="none"/>
                <w:lang w:val="en-US" w:eastAsia="zh-CN" w:bidi="ar"/>
              </w:rPr>
              <w:t xml:space="preserve">2</w:t>
            </w:r>
            <w:r/>
          </w:p>
        </w:tc>
        <w:tc>
          <w:tcPr>
            <w:tcW w:w="142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1 分/次</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4</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每月25日前未能提交下月工作计划，或提交计划不合格的。</w:t>
            </w:r>
            <w:r/>
          </w:p>
        </w:tc>
        <w:tc>
          <w:tcPr>
            <w:tcW w:w="96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2 分/次</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Height w:val="794"/>
        </w:trPr>
        <w:tc>
          <w:tcPr>
            <w:tcW w:w="71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5</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未按工作计划完成计划保养内容，且未提前书面报备原因的</w:t>
            </w:r>
            <w:r/>
          </w:p>
        </w:tc>
        <w:tc>
          <w:tcPr>
            <w:tcW w:w="96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2分/次</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Height w:val="90"/>
        </w:trPr>
        <w:tc>
          <w:tcPr>
            <w:tcW w:w="71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6</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合同期内因乙方原因受到业主投诉</w:t>
            </w:r>
            <w:r>
              <w:rPr>
                <w:rFonts w:hint="eastAsia" w:ascii="宋体" w:hAnsi="宋体" w:eastAsia="宋体" w:cs="宋体"/>
                <w:sz w:val="22"/>
                <w:szCs w:val="22"/>
                <w:highlight w:val="none"/>
                <w:lang w:eastAsia="zh-CN" w:bidi="ar"/>
              </w:rPr>
              <w:t xml:space="preserve">（</w:t>
            </w:r>
            <w:r>
              <w:rPr>
                <w:rFonts w:hint="eastAsia" w:ascii="宋体" w:hAnsi="宋体" w:eastAsia="宋体" w:cs="宋体"/>
                <w:sz w:val="22"/>
                <w:szCs w:val="22"/>
                <w:highlight w:val="none"/>
                <w:lang w:bidi="ar"/>
              </w:rPr>
              <w:t xml:space="preserve">电话、APP、书面、前台</w:t>
            </w:r>
            <w:r>
              <w:rPr>
                <w:rFonts w:hint="eastAsia" w:ascii="宋体" w:hAnsi="宋体" w:eastAsia="宋体" w:cs="宋体"/>
                <w:sz w:val="22"/>
                <w:szCs w:val="22"/>
                <w:highlight w:val="none"/>
                <w:lang w:eastAsia="zh-CN" w:bidi="ar"/>
              </w:rPr>
              <w:t xml:space="preserve">）</w:t>
            </w:r>
            <w:r/>
          </w:p>
        </w:tc>
        <w:tc>
          <w:tcPr>
            <w:tcW w:w="960" w:type="dxa"/>
            <w:vAlign w:val="center"/>
            <w:textDirection w:val="lrTb"/>
            <w:noWrap w:val="false"/>
          </w:tcPr>
          <w:p>
            <w:pPr>
              <w:jc w:val="cente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10</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10 分/次</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7</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在维修保养过程中，有违反安全操作规程及存在安全隐患的。</w:t>
            </w:r>
            <w:r/>
          </w:p>
        </w:tc>
        <w:tc>
          <w:tcPr>
            <w:tcW w:w="96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2分/次</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8</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保养人员数量与合同要求不符的。</w:t>
            </w:r>
            <w:r/>
          </w:p>
        </w:tc>
        <w:tc>
          <w:tcPr>
            <w:tcW w:w="96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2 分/人</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Height w:val="397"/>
        </w:trPr>
        <w:tc>
          <w:tcPr>
            <w:tcW w:w="71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9</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驻场人员数量与合同要求不符。</w:t>
            </w:r>
            <w:r/>
          </w:p>
        </w:tc>
        <w:tc>
          <w:tcPr>
            <w:tcW w:w="96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2分/人</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10</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每次维修保养工作完成后，未按规定填写及签署工作记录的，或未按要求在电梯保险服务管理系统中提交保养信息的。</w:t>
            </w:r>
            <w:r/>
          </w:p>
        </w:tc>
        <w:tc>
          <w:tcPr>
            <w:tcW w:w="96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2 分/次</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11</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乙方未按要求对甲方员工进行电梯知识技能培训或无记录。</w:t>
            </w:r>
            <w:r/>
          </w:p>
        </w:tc>
        <w:tc>
          <w:tcPr>
            <w:tcW w:w="96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2 分/次</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12</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在维修保养过程中，发现问题及隐患未及时处理的。</w:t>
            </w:r>
            <w:r/>
          </w:p>
        </w:tc>
        <w:tc>
          <w:tcPr>
            <w:tcW w:w="96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4</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4分/次</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13</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节假日乙方需确保至少一名值班人员</w:t>
            </w:r>
            <w:r>
              <w:rPr>
                <w:rFonts w:hint="eastAsia" w:ascii="宋体" w:hAnsi="宋体" w:eastAsia="宋体" w:cs="宋体"/>
                <w:sz w:val="22"/>
                <w:szCs w:val="22"/>
                <w:highlight w:val="none"/>
                <w:lang w:eastAsia="zh-CN" w:bidi="ar"/>
              </w:rPr>
              <w:t xml:space="preserve">，</w:t>
            </w:r>
            <w:r>
              <w:rPr>
                <w:rFonts w:hint="eastAsia" w:ascii="宋体" w:hAnsi="宋体" w:eastAsia="宋体" w:cs="宋体"/>
                <w:sz w:val="22"/>
                <w:szCs w:val="22"/>
                <w:highlight w:val="none"/>
                <w:lang w:bidi="ar"/>
              </w:rPr>
              <w:t xml:space="preserve">未按合同要求备案的。</w:t>
            </w:r>
            <w:r/>
          </w:p>
        </w:tc>
        <w:tc>
          <w:tcPr>
            <w:tcW w:w="96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4</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4 分/次</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14</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因乙方提供材料及配件质量问题产生的安全责任事故及损失。</w:t>
            </w:r>
            <w:r/>
          </w:p>
        </w:tc>
        <w:tc>
          <w:tcPr>
            <w:tcW w:w="96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10</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10 分/次</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15</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乙方保养人员进入机房、轿顶或井道作业完毕后</w:t>
            </w:r>
            <w:r>
              <w:rPr>
                <w:rFonts w:hint="eastAsia" w:ascii="宋体" w:hAnsi="宋体" w:eastAsia="宋体" w:cs="宋体"/>
                <w:sz w:val="22"/>
                <w:szCs w:val="22"/>
                <w:highlight w:val="none"/>
                <w:lang w:eastAsia="zh-CN" w:bidi="ar"/>
              </w:rPr>
              <w:t xml:space="preserve">，</w:t>
            </w:r>
            <w:r>
              <w:rPr>
                <w:rFonts w:hint="eastAsia" w:ascii="宋体" w:hAnsi="宋体" w:eastAsia="宋体" w:cs="宋体"/>
                <w:sz w:val="22"/>
                <w:szCs w:val="22"/>
                <w:highlight w:val="none"/>
                <w:lang w:bidi="ar"/>
              </w:rPr>
              <w:t xml:space="preserve">未锁好门栓。</w:t>
            </w:r>
            <w:r/>
          </w:p>
        </w:tc>
        <w:tc>
          <w:tcPr>
            <w:tcW w:w="96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4</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4 分/次</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16</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收费配件未按照合同要求调配到货。</w:t>
            </w:r>
            <w:r/>
          </w:p>
        </w:tc>
        <w:tc>
          <w:tcPr>
            <w:tcW w:w="96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4</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4 分/项</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17</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乙方未按合同要求办理电梯的安全年检手续，影响甲方电梯正常使用及对甲方造成负面影响的</w:t>
            </w:r>
            <w:r/>
          </w:p>
        </w:tc>
        <w:tc>
          <w:tcPr>
            <w:tcW w:w="96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10</w:t>
            </w:r>
            <w:r/>
          </w:p>
        </w:tc>
        <w:tc>
          <w:tcPr>
            <w:tcW w:w="1429" w:type="dxa"/>
            <w:vAlign w:val="center"/>
            <w:textDirection w:val="lrTb"/>
            <w:noWrap w:val="false"/>
          </w:tcPr>
          <w:p>
            <w:pPr>
              <w:jc w:val="center"/>
              <w:widowControl/>
              <w:rPr>
                <w:rFonts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10 分/次</w:t>
            </w:r>
            <w:r/>
          </w:p>
          <w:p>
            <w:pPr>
              <w:jc w:val="center"/>
              <w:widowControl/>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18</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乙方未配合完善电梯轿厢的标识，如电梯检验合格证、电梯安全使用守则、防夹手标识、电梯公司应急电话等。</w:t>
            </w:r>
            <w:r/>
          </w:p>
        </w:tc>
        <w:tc>
          <w:tcPr>
            <w:tcW w:w="96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1 分/项</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Height w:val="465"/>
        </w:trPr>
        <w:tc>
          <w:tcPr>
            <w:tcW w:w="71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19</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维保期间的免费配件未及时更换。</w:t>
            </w:r>
            <w:r/>
          </w:p>
        </w:tc>
        <w:tc>
          <w:tcPr>
            <w:tcW w:w="96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4</w:t>
            </w:r>
            <w:r/>
          </w:p>
        </w:tc>
        <w:tc>
          <w:tcPr>
            <w:tcW w:w="1429" w:type="dxa"/>
            <w:vAlign w:val="center"/>
            <w:textDirection w:val="lrTb"/>
            <w:noWrap w:val="false"/>
          </w:tcPr>
          <w:p>
            <w:pPr>
              <w:jc w:val="center"/>
              <w:widowControl/>
              <w:rPr>
                <w:rFonts w:hint="eastAsia" w:ascii="Cambria" w:hAnsi="Cambria" w:eastAsia="华文细黑" w:cs="Cambria"/>
                <w:b/>
                <w:bCs/>
                <w:sz w:val="22"/>
                <w:szCs w:val="22"/>
                <w:highlight w:val="none"/>
              </w:rPr>
            </w:pPr>
            <w:r>
              <w:rPr>
                <w:rFonts w:hint="eastAsia" w:ascii="宋体" w:hAnsi="宋体" w:eastAsia="宋体" w:cs="宋体"/>
                <w:sz w:val="22"/>
                <w:szCs w:val="22"/>
                <w:highlight w:val="none"/>
                <w:lang w:bidi="ar"/>
              </w:rPr>
              <w:t xml:space="preserve">2 分/次</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20</w:t>
            </w:r>
            <w:r/>
          </w:p>
        </w:tc>
        <w:tc>
          <w:tcPr>
            <w:tcW w:w="518" w:type="dxa"/>
            <w:vAlign w:val="center"/>
            <w:vMerge w:val="restart"/>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电</w:t>
            </w:r>
            <w:r/>
          </w:p>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梯</w:t>
            </w:r>
            <w:r/>
          </w:p>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维</w:t>
            </w:r>
            <w:r/>
          </w:p>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修</w:t>
            </w:r>
            <w:r/>
          </w:p>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保</w:t>
            </w:r>
            <w:r/>
          </w:p>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养</w:t>
            </w:r>
            <w:r/>
          </w:p>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质</w:t>
            </w:r>
            <w:r/>
          </w:p>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量</w:t>
            </w:r>
            <w:r/>
          </w:p>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评</w:t>
            </w:r>
            <w:r/>
          </w:p>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定</w:t>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机房设备卫生不达标。</w:t>
            </w:r>
            <w:r/>
          </w:p>
        </w:tc>
        <w:tc>
          <w:tcPr>
            <w:tcW w:w="96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1 分/项</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hint="eastAsia" w:ascii="宋体" w:hAnsi="宋体" w:eastAsia="宋体" w:cs="宋体"/>
                <w:sz w:val="22"/>
                <w:szCs w:val="22"/>
                <w:highlight w:val="none"/>
                <w:lang w:eastAsia="zh-CN" w:bidi="ar"/>
              </w:rPr>
            </w:pPr>
            <w:r>
              <w:rPr>
                <w:rFonts w:hint="eastAsia" w:ascii="宋体" w:hAnsi="宋体" w:eastAsia="宋体" w:cs="宋体"/>
                <w:sz w:val="22"/>
                <w:szCs w:val="22"/>
                <w:highlight w:val="none"/>
                <w:lang w:bidi="ar"/>
              </w:rPr>
              <w:t xml:space="preserve">2</w:t>
            </w:r>
            <w:r>
              <w:rPr>
                <w:rFonts w:hint="eastAsia" w:ascii="宋体" w:hAnsi="宋体" w:eastAsia="宋体" w:cs="宋体"/>
                <w:sz w:val="22"/>
                <w:szCs w:val="22"/>
                <w:highlight w:val="none"/>
                <w:lang w:val="en-US" w:eastAsia="zh-CN" w:bidi="ar"/>
              </w:rPr>
              <w:t xml:space="preserve">1</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油杯缺油（油杯油量应在 1/3-2/3 之间）。</w:t>
            </w:r>
            <w:r/>
          </w:p>
        </w:tc>
        <w:tc>
          <w:tcPr>
            <w:tcW w:w="960" w:type="dxa"/>
            <w:vAlign w:val="center"/>
            <w:textDirection w:val="lrTb"/>
            <w:noWrap w:val="false"/>
          </w:tcPr>
          <w:p>
            <w:pPr>
              <w:jc w:val="center"/>
              <w:widowControl/>
              <w:rPr>
                <w:rFonts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1 分/项</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hint="eastAsia" w:ascii="宋体" w:hAnsi="宋体" w:eastAsia="宋体" w:cs="宋体"/>
                <w:sz w:val="22"/>
                <w:szCs w:val="22"/>
                <w:highlight w:val="none"/>
                <w:lang w:eastAsia="zh-CN" w:bidi="ar"/>
              </w:rPr>
            </w:pPr>
            <w:r>
              <w:rPr>
                <w:rFonts w:hint="eastAsia" w:ascii="宋体" w:hAnsi="宋体" w:eastAsia="宋体" w:cs="宋体"/>
                <w:sz w:val="22"/>
                <w:szCs w:val="22"/>
                <w:highlight w:val="none"/>
                <w:lang w:bidi="ar"/>
              </w:rPr>
              <w:t xml:space="preserve">2</w:t>
            </w:r>
            <w:r>
              <w:rPr>
                <w:rFonts w:hint="eastAsia" w:ascii="宋体" w:hAnsi="宋体" w:eastAsia="宋体" w:cs="宋体"/>
                <w:sz w:val="22"/>
                <w:szCs w:val="22"/>
                <w:highlight w:val="none"/>
                <w:lang w:val="en-US" w:eastAsia="zh-CN" w:bidi="ar"/>
              </w:rPr>
              <w:t xml:space="preserve">2</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运行有明显异响。</w:t>
            </w:r>
            <w:r/>
          </w:p>
        </w:tc>
        <w:tc>
          <w:tcPr>
            <w:tcW w:w="960" w:type="dxa"/>
            <w:vAlign w:val="center"/>
            <w:textDirection w:val="lrTb"/>
            <w:noWrap w:val="false"/>
          </w:tcPr>
          <w:p>
            <w:pPr>
              <w:jc w:val="cente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1 分/项</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hint="eastAsia" w:ascii="宋体" w:hAnsi="宋体" w:eastAsia="宋体" w:cs="宋体"/>
                <w:sz w:val="22"/>
                <w:szCs w:val="22"/>
                <w:highlight w:val="none"/>
                <w:lang w:eastAsia="zh-CN" w:bidi="ar"/>
              </w:rPr>
            </w:pPr>
            <w:r>
              <w:rPr>
                <w:rFonts w:hint="eastAsia" w:ascii="宋体" w:hAnsi="宋体" w:eastAsia="宋体" w:cs="宋体"/>
                <w:sz w:val="22"/>
                <w:szCs w:val="22"/>
                <w:highlight w:val="none"/>
                <w:lang w:bidi="ar"/>
              </w:rPr>
              <w:t xml:space="preserve">2</w:t>
            </w:r>
            <w:r>
              <w:rPr>
                <w:rFonts w:hint="eastAsia" w:ascii="宋体" w:hAnsi="宋体" w:eastAsia="宋体" w:cs="宋体"/>
                <w:sz w:val="22"/>
                <w:szCs w:val="22"/>
                <w:highlight w:val="none"/>
                <w:lang w:val="en-US" w:eastAsia="zh-CN" w:bidi="ar"/>
              </w:rPr>
              <w:t xml:space="preserve">3</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机房运动部件防护罩未安装。</w:t>
            </w:r>
            <w:r/>
          </w:p>
        </w:tc>
        <w:tc>
          <w:tcPr>
            <w:tcW w:w="960" w:type="dxa"/>
            <w:vAlign w:val="center"/>
            <w:textDirection w:val="lrTb"/>
            <w:noWrap w:val="false"/>
          </w:tcPr>
          <w:p>
            <w:pPr>
              <w:jc w:val="cente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1 分/项</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24</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平层标识缺失，救援工具或标识脱落缺失。</w:t>
            </w:r>
            <w:r/>
          </w:p>
        </w:tc>
        <w:tc>
          <w:tcPr>
            <w:tcW w:w="960" w:type="dxa"/>
            <w:vAlign w:val="center"/>
            <w:textDirection w:val="lrTb"/>
            <w:noWrap w:val="false"/>
          </w:tcPr>
          <w:p>
            <w:pPr>
              <w:jc w:val="cente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1 分/项</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25</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轿顶环境卫生不达标。</w:t>
            </w:r>
            <w:r/>
          </w:p>
        </w:tc>
        <w:tc>
          <w:tcPr>
            <w:tcW w:w="960" w:type="dxa"/>
            <w:vAlign w:val="center"/>
            <w:textDirection w:val="lrTb"/>
            <w:noWrap w:val="false"/>
          </w:tcPr>
          <w:p>
            <w:pPr>
              <w:jc w:val="cente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1 分/项</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26</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轿顶照明缺失或失效。</w:t>
            </w:r>
            <w:r/>
          </w:p>
        </w:tc>
        <w:tc>
          <w:tcPr>
            <w:tcW w:w="960" w:type="dxa"/>
            <w:vAlign w:val="center"/>
            <w:textDirection w:val="lrTb"/>
            <w:noWrap w:val="false"/>
          </w:tcPr>
          <w:p>
            <w:pPr>
              <w:jc w:val="cente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1 分/项</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27</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平层精度大于 10mm。</w:t>
            </w:r>
            <w:r/>
          </w:p>
        </w:tc>
        <w:tc>
          <w:tcPr>
            <w:tcW w:w="960" w:type="dxa"/>
            <w:vAlign w:val="center"/>
            <w:textDirection w:val="lrTb"/>
            <w:noWrap w:val="false"/>
          </w:tcPr>
          <w:p>
            <w:pPr>
              <w:jc w:val="cente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1 分/项</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Height w:val="356"/>
        </w:trPr>
        <w:tc>
          <w:tcPr>
            <w:tcW w:w="710" w:type="dxa"/>
            <w:vAlign w:val="center"/>
            <w:textDirection w:val="lrTb"/>
            <w:noWrap w:val="false"/>
          </w:tcPr>
          <w:p>
            <w:pPr>
              <w:jc w:val="center"/>
              <w:widowControl/>
              <w:rPr>
                <w:rFonts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28</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井道照明一半以上不亮，或底坑照明不亮。</w:t>
            </w:r>
            <w:r/>
          </w:p>
        </w:tc>
        <w:tc>
          <w:tcPr>
            <w:tcW w:w="960" w:type="dxa"/>
            <w:vAlign w:val="center"/>
            <w:textDirection w:val="lrTb"/>
            <w:noWrap w:val="false"/>
          </w:tcPr>
          <w:p>
            <w:pPr>
              <w:jc w:val="cente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1 分/项</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29</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底坑环境卫生不达标。</w:t>
            </w:r>
            <w:r/>
          </w:p>
        </w:tc>
        <w:tc>
          <w:tcPr>
            <w:tcW w:w="960" w:type="dxa"/>
            <w:vAlign w:val="center"/>
            <w:textDirection w:val="lrTb"/>
            <w:noWrap w:val="false"/>
          </w:tcPr>
          <w:p>
            <w:pPr>
              <w:jc w:val="cente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1 分/项</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30</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底坑补偿链（绳）离地小于10公分，或两条明显高度不一致。</w:t>
            </w:r>
            <w:r/>
          </w:p>
        </w:tc>
        <w:tc>
          <w:tcPr>
            <w:tcW w:w="960" w:type="dxa"/>
            <w:vAlign w:val="center"/>
            <w:textDirection w:val="lrTb"/>
            <w:noWrap w:val="false"/>
          </w:tcPr>
          <w:p>
            <w:pPr>
              <w:jc w:val="cente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1 分/项</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31</w:t>
            </w:r>
            <w:r/>
          </w:p>
        </w:tc>
        <w:tc>
          <w:tcPr>
            <w:tcW w:w="518" w:type="dxa"/>
            <w:vAlign w:val="center"/>
            <w:vMerge w:val="continue"/>
            <w:textDirection w:val="lrTb"/>
            <w:noWrap w:val="false"/>
          </w:tcPr>
          <w:p>
            <w:pPr>
              <w:pStyle w:val="1110"/>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张紧轮开关与撞杆较近，急停开关松动，未固定牢固。</w:t>
            </w:r>
            <w:r/>
          </w:p>
        </w:tc>
        <w:tc>
          <w:tcPr>
            <w:tcW w:w="960" w:type="dxa"/>
            <w:vAlign w:val="center"/>
            <w:textDirection w:val="lrTb"/>
            <w:noWrap w:val="false"/>
          </w:tcPr>
          <w:p>
            <w:pPr>
              <w:jc w:val="cente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eastAsia="宋体" w:cs="宋体"/>
                <w:sz w:val="22"/>
                <w:szCs w:val="22"/>
                <w:highlight w:val="none"/>
                <w:lang w:bidi="ar"/>
              </w:rPr>
              <w:t xml:space="preserve">1 分/项</w:t>
            </w:r>
            <w:r/>
          </w:p>
        </w:tc>
        <w:tc>
          <w:tcPr>
            <w:tcW w:w="621"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110"/>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32</w:t>
            </w:r>
            <w:r/>
          </w:p>
        </w:tc>
        <w:tc>
          <w:tcPr>
            <w:tcW w:w="518" w:type="dxa"/>
            <w:vAlign w:val="center"/>
            <w:vMerge w:val="continue"/>
            <w:textDirection w:val="lrTb"/>
            <w:noWrap w:val="false"/>
          </w:tcPr>
          <w:p>
            <w:pPr>
              <w:pStyle w:val="1110"/>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轿内按钮或面板松动，外呼板松动，未固定牢固。</w:t>
            </w:r>
            <w:r/>
          </w:p>
        </w:tc>
        <w:tc>
          <w:tcPr>
            <w:tcW w:w="960" w:type="dxa"/>
            <w:vAlign w:val="center"/>
            <w:textDirection w:val="lrTb"/>
            <w:noWrap w:val="false"/>
          </w:tcPr>
          <w:p>
            <w:pPr>
              <w:jc w:val="cente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1 分/项</w:t>
            </w:r>
            <w:r/>
          </w:p>
        </w:tc>
        <w:tc>
          <w:tcPr>
            <w:tcW w:w="621" w:type="dxa"/>
            <w:vAlign w:val="center"/>
            <w:textDirection w:val="lrTb"/>
            <w:noWrap w:val="false"/>
          </w:tcPr>
          <w:p>
            <w:pPr>
              <w:pStyle w:val="111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617" w:type="dxa"/>
            <w:vAlign w:val="center"/>
            <w:textDirection w:val="lrTb"/>
            <w:noWrap w:val="false"/>
          </w:tcPr>
          <w:p>
            <w:pPr>
              <w:pStyle w:val="111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72" w:type="dxa"/>
            <w:vAlign w:val="center"/>
            <w:textDirection w:val="lrTb"/>
            <w:noWrap w:val="false"/>
          </w:tcPr>
          <w:p>
            <w:pPr>
              <w:pStyle w:val="111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33</w:t>
            </w:r>
            <w:r/>
          </w:p>
        </w:tc>
        <w:tc>
          <w:tcPr>
            <w:tcW w:w="518" w:type="dxa"/>
            <w:vAlign w:val="center"/>
            <w:vMerge w:val="continue"/>
            <w:textDirection w:val="lrTb"/>
            <w:noWrap w:val="false"/>
          </w:tcPr>
          <w:p>
            <w:pPr>
              <w:pStyle w:val="1110"/>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轿厢风扇出风口砂石较多。</w:t>
            </w:r>
            <w:r/>
          </w:p>
        </w:tc>
        <w:tc>
          <w:tcPr>
            <w:tcW w:w="960" w:type="dxa"/>
            <w:vAlign w:val="center"/>
            <w:textDirection w:val="lrTb"/>
            <w:noWrap w:val="false"/>
          </w:tcPr>
          <w:p>
            <w:pPr>
              <w:jc w:val="cente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1 分/项</w:t>
            </w:r>
            <w:r/>
          </w:p>
        </w:tc>
        <w:tc>
          <w:tcPr>
            <w:tcW w:w="621" w:type="dxa"/>
            <w:vAlign w:val="center"/>
            <w:textDirection w:val="lrTb"/>
            <w:noWrap w:val="false"/>
          </w:tcPr>
          <w:p>
            <w:pPr>
              <w:pStyle w:val="111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617" w:type="dxa"/>
            <w:vAlign w:val="center"/>
            <w:textDirection w:val="lrTb"/>
            <w:noWrap w:val="false"/>
          </w:tcPr>
          <w:p>
            <w:pPr>
              <w:pStyle w:val="111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72" w:type="dxa"/>
            <w:vAlign w:val="center"/>
            <w:textDirection w:val="lrTb"/>
            <w:noWrap w:val="false"/>
          </w:tcPr>
          <w:p>
            <w:pPr>
              <w:pStyle w:val="111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462"/>
        </w:trPr>
        <w:tc>
          <w:tcPr>
            <w:gridSpan w:val="3"/>
            <w:tcW w:w="6192"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合计（低于60分为不合格）</w:t>
            </w:r>
            <w:r/>
          </w:p>
        </w:tc>
        <w:tc>
          <w:tcPr>
            <w:tcW w:w="960" w:type="dxa"/>
            <w:vAlign w:val="center"/>
            <w:textDirection w:val="lrTb"/>
            <w:noWrap w:val="false"/>
          </w:tcPr>
          <w:p>
            <w:pPr>
              <w:jc w:val="cente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100</w:t>
            </w:r>
            <w:r/>
          </w:p>
        </w:tc>
        <w:tc>
          <w:tcPr>
            <w:tcW w:w="1429" w:type="dxa"/>
            <w:vAlign w:val="center"/>
            <w:textDirection w:val="lrTb"/>
            <w:noWrap w:val="false"/>
          </w:tcPr>
          <w:p>
            <w:pPr>
              <w:pStyle w:val="1110"/>
              <w:ind w:left="0"/>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621" w:type="dxa"/>
            <w:vAlign w:val="center"/>
            <w:textDirection w:val="lrTb"/>
            <w:noWrap w:val="false"/>
          </w:tcPr>
          <w:p>
            <w:pPr>
              <w:pStyle w:val="1110"/>
              <w:ind w:left="0"/>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617" w:type="dxa"/>
            <w:vAlign w:val="center"/>
            <w:textDirection w:val="lrTb"/>
            <w:noWrap w:val="false"/>
          </w:tcPr>
          <w:p>
            <w:pPr>
              <w:pStyle w:val="1110"/>
              <w:ind w:left="0"/>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72" w:type="dxa"/>
            <w:vAlign w:val="center"/>
            <w:textDirection w:val="lrTb"/>
            <w:noWrap w:val="false"/>
          </w:tcPr>
          <w:p>
            <w:pPr>
              <w:pStyle w:val="1110"/>
              <w:ind w:left="0"/>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bl>
    <w:p>
      <w:pPr>
        <w:ind w:firstLine="480"/>
        <w:jc w:val="left"/>
        <w:spacing w:line="440" w:lineRule="exact"/>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物业公司项目负责人：     承保单位电梯管理人员：         电梯维保单位确认： </w:t>
      </w:r>
      <w:r/>
    </w:p>
    <w:p>
      <w:pPr>
        <w:ind w:firstLine="480"/>
        <w:jc w:val="left"/>
        <w:spacing w:line="440" w:lineRule="exact"/>
        <w:widowControl/>
        <w:rPr>
          <w:rFonts w:hint="eastAsia" w:ascii="宋体" w:hAnsi="宋体" w:eastAsia="宋体" w:cs="宋体"/>
          <w:b/>
          <w:bCs/>
          <w:szCs w:val="21"/>
          <w:highlight w:val="none"/>
          <w:lang w:bidi="ar"/>
        </w:rPr>
      </w:pPr>
      <w:r>
        <w:rPr>
          <w:rFonts w:hint="eastAsia" w:ascii="宋体" w:hAnsi="宋体" w:eastAsia="宋体" w:cs="宋体"/>
          <w:sz w:val="24"/>
          <w:szCs w:val="24"/>
          <w:highlight w:val="none"/>
          <w:lang w:bidi="ar"/>
        </w:rPr>
        <w:t xml:space="preserve">日期：                   日期：                         日期： </w:t>
      </w:r>
      <w:r/>
    </w:p>
    <w:p>
      <w:pPr>
        <w:spacing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jc w:val="center"/>
        <w:spacing w:line="360" w:lineRule="auto"/>
        <w:rPr>
          <w:rFonts w:hint="eastAsia" w:ascii="宋体" w:hAnsi="宋体" w:cs="宋体"/>
          <w:bCs/>
          <w:sz w:val="28"/>
          <w:szCs w:val="28"/>
          <w:highlight w:val="none"/>
        </w:rPr>
        <w:sectPr>
          <w:footnotePr/>
          <w:endnotePr/>
          <w:type w:val="nextPage"/>
          <w:pgSz w:w="11906" w:h="16838" w:orient="portrait"/>
          <w:pgMar w:top="1440" w:right="1066" w:bottom="1440" w:left="1179" w:header="851" w:footer="726" w:gutter="0"/>
          <w:cols w:num="1" w:sep="0" w:space="1701" w:equalWidth="1"/>
          <w:docGrid w:linePitch="360"/>
        </w:sectPr>
      </w:pPr>
      <w:r>
        <w:rPr>
          <w:rFonts w:hint="eastAsia" w:ascii="宋体" w:hAnsi="宋体" w:cs="宋体"/>
          <w:bCs/>
          <w:sz w:val="28"/>
          <w:szCs w:val="28"/>
          <w:highlight w:val="none"/>
        </w:rPr>
      </w:r>
      <w:r/>
    </w:p>
    <w:p>
      <w:pPr>
        <w:jc w:val="center"/>
        <w:spacing w:line="440" w:lineRule="exact"/>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bidi="ar"/>
        </w:rPr>
        <w:t xml:space="preserve">（2）电梯设施设备维保工作考核表</w:t>
      </w:r>
      <w:r/>
    </w:p>
    <w:p>
      <w:pPr>
        <w:ind w:firstLine="480"/>
        <w:spacing w:line="440" w:lineRule="exact"/>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项目名称：                    维保单位：                        年   月</w:t>
      </w:r>
      <w:r/>
    </w:p>
    <w:tbl>
      <w:tblPr>
        <w:tblStyle w:val="800"/>
        <w:tblW w:w="10417" w:type="dxa"/>
        <w:tblInd w:w="-5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6"/>
        <w:gridCol w:w="7296"/>
        <w:gridCol w:w="840"/>
        <w:gridCol w:w="900"/>
        <w:gridCol w:w="905"/>
      </w:tblGrid>
      <w:tr>
        <w:trPr>
          <w:trHeight w:val="2191"/>
        </w:trPr>
        <w:tc>
          <w:tcPr>
            <w:tcW w:w="476" w:type="dxa"/>
            <w:vAlign w:val="center"/>
            <w:textDirection w:val="lrTb"/>
            <w:noWrap w:val="false"/>
          </w:tcPr>
          <w:p>
            <w:pPr>
              <w:pStyle w:val="1110"/>
              <w:ind w:left="0" w:right="0" w:firstLine="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序</w:t>
            </w:r>
            <w:r/>
          </w:p>
          <w:p>
            <w:pPr>
              <w:pStyle w:val="1110"/>
              <w:ind w:left="0" w:right="0" w:firstLine="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号</w:t>
            </w:r>
            <w:r/>
          </w:p>
        </w:tc>
        <w:tc>
          <w:tcPr>
            <w:tcW w:w="7296"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考核具体内容</w:t>
            </w:r>
            <w:r/>
          </w:p>
        </w:tc>
        <w:tc>
          <w:tcPr>
            <w:tcW w:w="84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本月实际发生情况</w:t>
            </w:r>
            <w:r/>
          </w:p>
        </w:tc>
        <w:tc>
          <w:tcPr>
            <w:tcW w:w="90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本月应扣罚的维保款项</w:t>
            </w:r>
            <w:r/>
          </w:p>
        </w:tc>
        <w:tc>
          <w:tcPr>
            <w:tcW w:w="905"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扣罚说明（简要描述）取证素材可另附页</w:t>
            </w:r>
            <w:r/>
          </w:p>
        </w:tc>
      </w:tr>
      <w:tr>
        <w:trPr>
          <w:trHeight w:val="90"/>
        </w:trPr>
        <w:tc>
          <w:tcPr>
            <w:tcW w:w="476" w:type="dxa"/>
            <w:vAlign w:val="center"/>
            <w:textDirection w:val="lrTb"/>
            <w:noWrap w:val="false"/>
          </w:tcPr>
          <w:p>
            <w:pPr>
              <w:pStyle w:val="1110"/>
              <w:ind w:left="0" w:right="0" w:firstLine="0"/>
              <w:jc w:val="center"/>
              <w:keepLines w:val="0"/>
              <w:keepNext w:val="0"/>
              <w:pageBreakBefore w:val="0"/>
              <w:spacing w:after="0" w:line="240" w:lineRule="auto"/>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w:t>
            </w:r>
            <w:r/>
          </w:p>
        </w:tc>
        <w:tc>
          <w:tcPr>
            <w:tcW w:w="7296" w:type="dxa"/>
            <w:vAlign w:val="center"/>
            <w:textDirection w:val="lrTb"/>
            <w:noWrap w:val="false"/>
          </w:tcPr>
          <w:p>
            <w:pPr>
              <w:ind w:left="0"/>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发生紧急情况（水浸、同一单元过半以上电梯发生故障等，丙方不能按时到达或出现维修不及时（小修24小时内修理完毕）的情况，月度内第一次出现扣除丙方当月电梯保养费5%，第二次出现扣除当月电梯保养费10%；第三次出现甲方有权扣除乙方、丙方当月电梯保养费20%的违约金，并有权单方面终止合同，并且不需要承担因终止合同而引发的相关责任。</w:t>
            </w:r>
            <w:r/>
          </w:p>
        </w:tc>
        <w:tc>
          <w:tcPr>
            <w:tcW w:w="840" w:type="dxa"/>
            <w:vAlign w:val="center"/>
            <w:textDirection w:val="lrTb"/>
            <w:noWrap w:val="false"/>
          </w:tcPr>
          <w:p>
            <w:pPr>
              <w:pStyle w:val="1110"/>
              <w:ind w:left="0" w:firstLine="0"/>
              <w:jc w:val="both"/>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次</w:t>
            </w:r>
            <w:r/>
          </w:p>
        </w:tc>
        <w:tc>
          <w:tcPr>
            <w:tcW w:w="900" w:type="dxa"/>
            <w:vAlign w:val="center"/>
            <w:textDirection w:val="lrTb"/>
            <w:noWrap w:val="false"/>
          </w:tcPr>
          <w:p>
            <w:pPr>
              <w:pStyle w:val="1110"/>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5" w:type="dxa"/>
            <w:vAlign w:val="center"/>
            <w:textDirection w:val="lrTb"/>
            <w:noWrap w:val="false"/>
          </w:tcPr>
          <w:p>
            <w:pPr>
              <w:pStyle w:val="1110"/>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r>
      <w:tr>
        <w:trPr>
          <w:trHeight w:val="945"/>
        </w:trPr>
        <w:tc>
          <w:tcPr>
            <w:tcW w:w="476" w:type="dxa"/>
            <w:vAlign w:val="center"/>
            <w:textDirection w:val="lrTb"/>
            <w:noWrap w:val="false"/>
          </w:tcPr>
          <w:p>
            <w:pPr>
              <w:pStyle w:val="1110"/>
              <w:ind w:left="0" w:right="0" w:firstLine="0"/>
              <w:jc w:val="center"/>
              <w:keepLines w:val="0"/>
              <w:keepNext w:val="0"/>
              <w:pageBreakBefore w:val="0"/>
              <w:spacing w:after="0" w:line="240" w:lineRule="auto"/>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2</w:t>
            </w:r>
            <w:r/>
          </w:p>
        </w:tc>
        <w:tc>
          <w:tcPr>
            <w:tcW w:w="7296" w:type="dxa"/>
            <w:vAlign w:val="center"/>
            <w:textDirection w:val="lrTb"/>
            <w:noWrap w:val="false"/>
          </w:tcPr>
          <w:p>
            <w:pPr>
              <w:ind w:left="0"/>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甲方可在紧急情况下另请他人维修（乙方接到通知不能及时赶到现场时），费用从乙方应得款项中扣除，所维修的质量经甲方验收合格后由乙方负责，并以书面形式知会甲方，存档备查。</w:t>
            </w:r>
            <w:r/>
          </w:p>
        </w:tc>
        <w:tc>
          <w:tcPr>
            <w:tcW w:w="840" w:type="dxa"/>
            <w:vAlign w:val="center"/>
            <w:textDirection w:val="lrTb"/>
            <w:noWrap w:val="false"/>
          </w:tcPr>
          <w:p>
            <w:pPr>
              <w:pStyle w:val="1110"/>
              <w:ind w:left="0" w:firstLine="0"/>
              <w:jc w:val="both"/>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次</w:t>
            </w:r>
            <w:r/>
          </w:p>
        </w:tc>
        <w:tc>
          <w:tcPr>
            <w:tcW w:w="900" w:type="dxa"/>
            <w:vAlign w:val="center"/>
            <w:textDirection w:val="lrTb"/>
            <w:noWrap w:val="false"/>
          </w:tcPr>
          <w:p>
            <w:pPr>
              <w:pStyle w:val="1110"/>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5" w:type="dxa"/>
            <w:vAlign w:val="center"/>
            <w:textDirection w:val="lrTb"/>
            <w:noWrap w:val="false"/>
          </w:tcPr>
          <w:p>
            <w:pPr>
              <w:pStyle w:val="1110"/>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r>
      <w:tr>
        <w:trPr>
          <w:trHeight w:val="1257"/>
        </w:trPr>
        <w:tc>
          <w:tcPr>
            <w:tcW w:w="476" w:type="dxa"/>
            <w:vAlign w:val="center"/>
            <w:textDirection w:val="lrTb"/>
            <w:noWrap w:val="false"/>
          </w:tcPr>
          <w:p>
            <w:pPr>
              <w:pStyle w:val="1110"/>
              <w:ind w:left="0" w:right="0" w:firstLine="0"/>
              <w:jc w:val="center"/>
              <w:keepLines w:val="0"/>
              <w:keepNext w:val="0"/>
              <w:pageBreakBefore w:val="0"/>
              <w:spacing w:after="0" w:line="240" w:lineRule="auto"/>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3</w:t>
            </w:r>
            <w:r/>
          </w:p>
        </w:tc>
        <w:tc>
          <w:tcPr>
            <w:tcW w:w="7296" w:type="dxa"/>
            <w:vAlign w:val="center"/>
            <w:textDirection w:val="lrTb"/>
            <w:noWrap w:val="false"/>
          </w:tcPr>
          <w:p>
            <w:pPr>
              <w:ind w:left="0"/>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保养期内如属丙方保养不良需复检的检测费须由丙方承担；在保养期内，质量技术监督局对电梯进行检查期间，甲乙双方应派员协助检查工作，但丙方需提前一周通知甲乙双方，所有未通知甲方乙方私自</w:t>
            </w:r>
            <w:r>
              <w:rPr>
                <w:rFonts w:hint="eastAsia" w:ascii="宋体" w:hAnsi="宋体" w:eastAsia="宋体" w:cs="宋体"/>
                <w:sz w:val="22"/>
                <w:szCs w:val="22"/>
                <w:highlight w:val="none"/>
                <w:lang w:eastAsia="zh-CN" w:bidi="ar"/>
              </w:rPr>
              <w:t xml:space="preserve">质检</w:t>
            </w:r>
            <w:r>
              <w:rPr>
                <w:rFonts w:hint="eastAsia" w:ascii="宋体" w:hAnsi="宋体" w:eastAsia="宋体" w:cs="宋体"/>
                <w:sz w:val="22"/>
                <w:szCs w:val="22"/>
                <w:highlight w:val="none"/>
                <w:lang w:bidi="ar"/>
              </w:rPr>
              <w:t xml:space="preserve">的质检费用由丙方承担。</w:t>
            </w:r>
            <w:r/>
          </w:p>
        </w:tc>
        <w:tc>
          <w:tcPr>
            <w:tcW w:w="84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   次</w:t>
            </w:r>
            <w:r/>
          </w:p>
        </w:tc>
        <w:tc>
          <w:tcPr>
            <w:tcW w:w="900" w:type="dxa"/>
            <w:vAlign w:val="center"/>
            <w:textDirection w:val="lrTb"/>
            <w:noWrap w:val="false"/>
          </w:tcPr>
          <w:p>
            <w:pPr>
              <w:pStyle w:val="1110"/>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5" w:type="dxa"/>
            <w:vAlign w:val="center"/>
            <w:textDirection w:val="lrTb"/>
            <w:noWrap w:val="false"/>
          </w:tcPr>
          <w:p>
            <w:pPr>
              <w:pStyle w:val="1110"/>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r>
      <w:tr>
        <w:trPr>
          <w:trHeight w:val="634"/>
        </w:trPr>
        <w:tc>
          <w:tcPr>
            <w:tcW w:w="476" w:type="dxa"/>
            <w:vAlign w:val="center"/>
            <w:textDirection w:val="lrTb"/>
            <w:noWrap w:val="false"/>
          </w:tcPr>
          <w:p>
            <w:pPr>
              <w:pStyle w:val="1110"/>
              <w:ind w:left="0" w:right="0" w:firstLine="0"/>
              <w:jc w:val="center"/>
              <w:keepLines w:val="0"/>
              <w:keepNext w:val="0"/>
              <w:pageBreakBefore w:val="0"/>
              <w:spacing w:after="0" w:line="240" w:lineRule="auto"/>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4</w:t>
            </w:r>
            <w:r/>
          </w:p>
        </w:tc>
        <w:tc>
          <w:tcPr>
            <w:tcW w:w="7296" w:type="dxa"/>
            <w:vAlign w:val="center"/>
            <w:textDirection w:val="lrTb"/>
            <w:noWrap w:val="false"/>
          </w:tcPr>
          <w:p>
            <w:pPr>
              <w:ind w:left="0"/>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发现乙方、丙方委派无维保资格证的人员保养电梯：扣罚违约金200 元/人/次；</w:t>
            </w:r>
            <w:r/>
          </w:p>
        </w:tc>
        <w:tc>
          <w:tcPr>
            <w:tcW w:w="84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   次</w:t>
            </w:r>
            <w:r/>
          </w:p>
        </w:tc>
        <w:tc>
          <w:tcPr>
            <w:tcW w:w="900" w:type="dxa"/>
            <w:vAlign w:val="center"/>
            <w:textDirection w:val="lrTb"/>
            <w:noWrap w:val="false"/>
          </w:tcPr>
          <w:p>
            <w:pPr>
              <w:pStyle w:val="1110"/>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5" w:type="dxa"/>
            <w:vAlign w:val="center"/>
            <w:textDirection w:val="lrTb"/>
            <w:noWrap w:val="false"/>
          </w:tcPr>
          <w:p>
            <w:pPr>
              <w:pStyle w:val="1110"/>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r>
      <w:tr>
        <w:trPr>
          <w:trHeight w:val="945"/>
        </w:trPr>
        <w:tc>
          <w:tcPr>
            <w:tcW w:w="476" w:type="dxa"/>
            <w:vAlign w:val="center"/>
            <w:textDirection w:val="lrTb"/>
            <w:noWrap w:val="false"/>
          </w:tcPr>
          <w:p>
            <w:pPr>
              <w:pStyle w:val="1110"/>
              <w:ind w:left="0" w:right="0" w:firstLine="0"/>
              <w:jc w:val="center"/>
              <w:keepLines w:val="0"/>
              <w:keepNext w:val="0"/>
              <w:pageBreakBefore w:val="0"/>
              <w:spacing w:after="0" w:line="240" w:lineRule="auto"/>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5</w:t>
            </w:r>
            <w:r/>
          </w:p>
        </w:tc>
        <w:tc>
          <w:tcPr>
            <w:tcW w:w="7296" w:type="dxa"/>
            <w:vAlign w:val="center"/>
            <w:textDirection w:val="lrTb"/>
            <w:noWrap w:val="false"/>
          </w:tcPr>
          <w:p>
            <w:pPr>
              <w:ind w:left="0"/>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乙方、丙方保养、维修时，基站不设警示标识：扣罚违约金200元/次，若因丙方安全预防措施不到位而导致的事故，均由乙方、丙方承担责任；</w:t>
            </w:r>
            <w:r/>
          </w:p>
        </w:tc>
        <w:tc>
          <w:tcPr>
            <w:tcW w:w="84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次</w:t>
            </w:r>
            <w:r/>
          </w:p>
        </w:tc>
        <w:tc>
          <w:tcPr>
            <w:tcW w:w="900" w:type="dxa"/>
            <w:vAlign w:val="center"/>
            <w:textDirection w:val="lrTb"/>
            <w:noWrap w:val="false"/>
          </w:tcPr>
          <w:p>
            <w:pPr>
              <w:pStyle w:val="1110"/>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5" w:type="dxa"/>
            <w:vAlign w:val="center"/>
            <w:textDirection w:val="lrTb"/>
            <w:noWrap w:val="false"/>
          </w:tcPr>
          <w:p>
            <w:pPr>
              <w:pStyle w:val="1110"/>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r>
      <w:tr>
        <w:trPr>
          <w:trHeight w:val="234"/>
        </w:trPr>
        <w:tc>
          <w:tcPr>
            <w:tcW w:w="476" w:type="dxa"/>
            <w:vAlign w:val="center"/>
            <w:textDirection w:val="lrTb"/>
            <w:noWrap w:val="false"/>
          </w:tcPr>
          <w:p>
            <w:pPr>
              <w:pStyle w:val="1110"/>
              <w:ind w:left="0" w:right="0" w:firstLine="0"/>
              <w:jc w:val="center"/>
              <w:keepLines w:val="0"/>
              <w:keepNext w:val="0"/>
              <w:pageBreakBefore w:val="0"/>
              <w:spacing w:after="0" w:line="240" w:lineRule="auto"/>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6</w:t>
            </w:r>
            <w:r/>
          </w:p>
        </w:tc>
        <w:tc>
          <w:tcPr>
            <w:tcW w:w="7296" w:type="dxa"/>
            <w:vAlign w:val="center"/>
            <w:textDirection w:val="lrTb"/>
            <w:noWrap w:val="false"/>
          </w:tcPr>
          <w:p>
            <w:pPr>
              <w:ind w:left="0"/>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乙方、丙方接到报修没有在30分钟内到达现场：违约金为扣款200元/次；</w:t>
            </w:r>
            <w:r/>
          </w:p>
        </w:tc>
        <w:tc>
          <w:tcPr>
            <w:tcW w:w="84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次</w:t>
            </w:r>
            <w:r/>
          </w:p>
        </w:tc>
        <w:tc>
          <w:tcPr>
            <w:tcW w:w="900" w:type="dxa"/>
            <w:vAlign w:val="center"/>
            <w:textDirection w:val="lrTb"/>
            <w:noWrap w:val="false"/>
          </w:tcPr>
          <w:p>
            <w:pPr>
              <w:pStyle w:val="1110"/>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5" w:type="dxa"/>
            <w:vAlign w:val="center"/>
            <w:textDirection w:val="lrTb"/>
            <w:noWrap w:val="false"/>
          </w:tcPr>
          <w:p>
            <w:pPr>
              <w:pStyle w:val="1110"/>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r>
      <w:tr>
        <w:trPr>
          <w:trHeight w:val="129"/>
        </w:trPr>
        <w:tc>
          <w:tcPr>
            <w:tcW w:w="476" w:type="dxa"/>
            <w:vAlign w:val="center"/>
            <w:textDirection w:val="lrTb"/>
            <w:noWrap w:val="false"/>
          </w:tcPr>
          <w:p>
            <w:pPr>
              <w:pStyle w:val="1110"/>
              <w:ind w:left="0" w:right="0" w:firstLine="0"/>
              <w:jc w:val="center"/>
              <w:keepLines w:val="0"/>
              <w:keepNext w:val="0"/>
              <w:pageBreakBefore w:val="0"/>
              <w:spacing w:after="0" w:line="240" w:lineRule="auto"/>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7</w:t>
            </w:r>
            <w:r/>
          </w:p>
        </w:tc>
        <w:tc>
          <w:tcPr>
            <w:tcW w:w="7296" w:type="dxa"/>
            <w:vAlign w:val="center"/>
            <w:textDirection w:val="lrTb"/>
            <w:noWrap w:val="false"/>
          </w:tcPr>
          <w:p>
            <w:pPr>
              <w:ind w:left="0"/>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乙方、丙方接到困人报修未在20分钟内到达现场</w:t>
            </w:r>
            <w:r>
              <w:rPr>
                <w:rFonts w:hint="eastAsia" w:ascii="宋体" w:hAnsi="宋体" w:eastAsia="宋体" w:cs="宋体"/>
                <w:sz w:val="22"/>
                <w:szCs w:val="22"/>
                <w:highlight w:val="none"/>
                <w:lang w:eastAsia="zh-CN" w:bidi="ar"/>
              </w:rPr>
              <w:t xml:space="preserve">，</w:t>
            </w:r>
            <w:r>
              <w:rPr>
                <w:rFonts w:hint="eastAsia" w:ascii="宋体" w:hAnsi="宋体" w:eastAsia="宋体" w:cs="宋体"/>
                <w:sz w:val="22"/>
                <w:szCs w:val="22"/>
                <w:highlight w:val="none"/>
                <w:lang w:bidi="ar"/>
              </w:rPr>
              <w:t xml:space="preserve">扣罚违约金 300 元/次</w:t>
            </w:r>
            <w:r/>
          </w:p>
        </w:tc>
        <w:tc>
          <w:tcPr>
            <w:tcW w:w="84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次</w:t>
            </w:r>
            <w:r/>
          </w:p>
        </w:tc>
        <w:tc>
          <w:tcPr>
            <w:tcW w:w="900" w:type="dxa"/>
            <w:vAlign w:val="center"/>
            <w:textDirection w:val="lrTb"/>
            <w:noWrap w:val="false"/>
          </w:tcPr>
          <w:p>
            <w:pPr>
              <w:pStyle w:val="1110"/>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5" w:type="dxa"/>
            <w:vAlign w:val="center"/>
            <w:textDirection w:val="lrTb"/>
            <w:noWrap w:val="false"/>
          </w:tcPr>
          <w:p>
            <w:pPr>
              <w:pStyle w:val="1110"/>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r>
      <w:tr>
        <w:trPr>
          <w:trHeight w:val="945"/>
        </w:trPr>
        <w:tc>
          <w:tcPr>
            <w:tcW w:w="476" w:type="dxa"/>
            <w:vAlign w:val="center"/>
            <w:textDirection w:val="lrTb"/>
            <w:noWrap w:val="false"/>
          </w:tcPr>
          <w:p>
            <w:pPr>
              <w:pStyle w:val="1110"/>
              <w:ind w:left="0" w:right="0" w:firstLine="0"/>
              <w:jc w:val="center"/>
              <w:keepLines w:val="0"/>
              <w:keepNext w:val="0"/>
              <w:pageBreakBefore w:val="0"/>
              <w:spacing w:after="0" w:line="240" w:lineRule="auto"/>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8</w:t>
            </w:r>
            <w:r/>
          </w:p>
        </w:tc>
        <w:tc>
          <w:tcPr>
            <w:tcW w:w="7296" w:type="dxa"/>
            <w:vAlign w:val="center"/>
            <w:textDirection w:val="lrTb"/>
            <w:noWrap w:val="false"/>
          </w:tcPr>
          <w:p>
            <w:pPr>
              <w:ind w:left="0"/>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因乙方、丙方保养不善或技术能力不足，当月同一台电梯连续发生故障2次的：扣除违约金200元/次；当月同一台电梯连续发生故障3次及以上的：扣除该台电梯当月维保费用总额。（电梯年度费用除以12）</w:t>
            </w:r>
            <w:r/>
          </w:p>
        </w:tc>
        <w:tc>
          <w:tcPr>
            <w:tcW w:w="84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次</w:t>
            </w:r>
            <w:r/>
          </w:p>
        </w:tc>
        <w:tc>
          <w:tcPr>
            <w:tcW w:w="900" w:type="dxa"/>
            <w:vAlign w:val="center"/>
            <w:textDirection w:val="lrTb"/>
            <w:noWrap w:val="false"/>
          </w:tcPr>
          <w:p>
            <w:pPr>
              <w:pStyle w:val="1110"/>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5" w:type="dxa"/>
            <w:vAlign w:val="center"/>
            <w:textDirection w:val="lrTb"/>
            <w:noWrap w:val="false"/>
          </w:tcPr>
          <w:p>
            <w:pPr>
              <w:pStyle w:val="1110"/>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r>
      <w:tr>
        <w:trPr>
          <w:trHeight w:val="90"/>
        </w:trPr>
        <w:tc>
          <w:tcPr>
            <w:tcW w:w="476" w:type="dxa"/>
            <w:vAlign w:val="center"/>
            <w:textDirection w:val="lrTb"/>
            <w:noWrap w:val="false"/>
          </w:tcPr>
          <w:p>
            <w:pPr>
              <w:pStyle w:val="1110"/>
              <w:ind w:left="0" w:right="0" w:firstLine="0"/>
              <w:jc w:val="center"/>
              <w:keepLines w:val="0"/>
              <w:keepNext w:val="0"/>
              <w:pageBreakBefore w:val="0"/>
              <w:spacing w:after="0" w:line="240" w:lineRule="auto"/>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9</w:t>
            </w:r>
            <w:r/>
          </w:p>
        </w:tc>
        <w:tc>
          <w:tcPr>
            <w:tcW w:w="7296" w:type="dxa"/>
            <w:vAlign w:val="center"/>
            <w:textDirection w:val="lrTb"/>
            <w:noWrap w:val="false"/>
          </w:tcPr>
          <w:p>
            <w:pPr>
              <w:ind w:left="0"/>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mc:AlternateContent>
                <mc:Choice Requires="wpg">
                  <w:drawing>
                    <wp:inline xmlns:wp="http://schemas.openxmlformats.org/drawingml/2006/wordprocessingDrawing" distT="0" distB="0" distL="0" distR="0">
                      <wp:extent cx="3756660" cy="1287145"/>
                      <wp:effectExtent l="0" t="0" r="7620" b="8255"/>
                      <wp:docPr id="4" name="图片 17"/>
                      <wp:cNvGraphicFramePr/>
                      <a:graphic xmlns:a="http://schemas.openxmlformats.org/drawingml/2006/main">
                        <a:graphicData uri="http://schemas.openxmlformats.org/drawingml/2006/picture">
                          <pic:pic xmlns:pic="http://schemas.openxmlformats.org/drawingml/2006/picture">
                            <pic:nvPicPr>
                              <pic:cNvPr id="6" name="图片 17"/>
                              <pic:cNvPicPr/>
                              <pic:nvPr/>
                            </pic:nvPicPr>
                            <pic:blipFill>
                              <a:blip r:embed="rId16"/>
                              <a:stretch/>
                            </pic:blipFill>
                            <pic:spPr bwMode="auto">
                              <a:xfrm>
                                <a:off x="0" y="0"/>
                                <a:ext cx="3756660" cy="12872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95.8pt;height:101.3pt;mso-wrap-distance-left:0.0pt;mso-wrap-distance-top:0.0pt;mso-wrap-distance-right:0.0pt;mso-wrap-distance-bottom:0.0pt;" stroked="f">
                      <v:path textboxrect="0,0,0,0"/>
                      <v:imagedata r:id="rId16" o:title=""/>
                    </v:shape>
                  </w:pict>
                </mc:Fallback>
              </mc:AlternateContent>
            </w:r>
            <w:r/>
          </w:p>
          <w:p>
            <w:pPr>
              <w:ind w:left="0"/>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1、电梯总量＞30 台的总体平均故障率＞15%，电梯总量≤30 台的故障次数累计＞6 次，乙方可根据实际情况约谈甲方，连续2个月无明显改善的，乙方有权更换电梯承保单位；</w:t>
            </w:r>
            <w:r/>
          </w:p>
          <w:p>
            <w:pPr>
              <w:ind w:left="0"/>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以上所述“电梯故障率”指因丙方维保不当、技术能力不足导致的电梯故障；例如装修原因、电网电压波动、电梯浸水、恶劣天气、底坑渗漏水、井道渗漏水、使用不当造成的电梯故障不纳入对丙方考核范畴；</w:t>
            </w:r>
            <w:r/>
          </w:p>
          <w:p>
            <w:pPr>
              <w:ind w:left="0"/>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3、总体平均故障率=当月电梯故障次数/电梯总台数。</w:t>
            </w:r>
            <w:r/>
          </w:p>
        </w:tc>
        <w:tc>
          <w:tcPr>
            <w:tcW w:w="84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本 月 电</w:t>
            </w:r>
            <w:r/>
          </w:p>
          <w:p>
            <w:pPr>
              <w:ind w:left="0"/>
              <w:jc w:val="center"/>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梯 总 体</w:t>
            </w:r>
            <w:r/>
          </w:p>
          <w:p>
            <w:pPr>
              <w:ind w:left="0"/>
              <w:jc w:val="center"/>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平 均 故</w:t>
            </w:r>
            <w:r/>
          </w:p>
          <w:p>
            <w:pPr>
              <w:ind w:left="0"/>
              <w:jc w:val="center"/>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障率（ ）%</w:t>
            </w:r>
            <w:r/>
          </w:p>
          <w:p>
            <w:pPr>
              <w:ind w:left="0"/>
              <w:jc w:val="center"/>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故 障 次</w:t>
            </w:r>
            <w:r/>
          </w:p>
          <w:p>
            <w:pPr>
              <w:ind w:left="0"/>
              <w:jc w:val="center"/>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数 累 计（ ）次</w:t>
            </w:r>
            <w:r/>
          </w:p>
        </w:tc>
        <w:tc>
          <w:tcPr>
            <w:tcW w:w="900" w:type="dxa"/>
            <w:vAlign w:val="center"/>
            <w:textDirection w:val="lrTb"/>
            <w:noWrap w:val="false"/>
          </w:tcPr>
          <w:p>
            <w:pPr>
              <w:pStyle w:val="1110"/>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5" w:type="dxa"/>
            <w:vAlign w:val="center"/>
            <w:textDirection w:val="lrTb"/>
            <w:noWrap w:val="false"/>
          </w:tcPr>
          <w:p>
            <w:pPr>
              <w:pStyle w:val="1110"/>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r>
      <w:tr>
        <w:trPr>
          <w:trHeight w:val="1257"/>
        </w:trPr>
        <w:tc>
          <w:tcPr>
            <w:tcW w:w="476" w:type="dxa"/>
            <w:vAlign w:val="center"/>
            <w:textDirection w:val="lrTb"/>
            <w:noWrap w:val="false"/>
          </w:tcPr>
          <w:p>
            <w:pPr>
              <w:pStyle w:val="1110"/>
              <w:ind w:left="0" w:right="0" w:firstLine="0"/>
              <w:jc w:val="center"/>
              <w:keepLines w:val="0"/>
              <w:keepNext w:val="0"/>
              <w:pageBreakBefore w:val="0"/>
              <w:spacing w:after="0" w:line="240" w:lineRule="auto"/>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10</w:t>
            </w:r>
            <w:r/>
          </w:p>
        </w:tc>
        <w:tc>
          <w:tcPr>
            <w:tcW w:w="7296" w:type="dxa"/>
            <w:vAlign w:val="center"/>
            <w:textDirection w:val="lrTb"/>
            <w:noWrap w:val="false"/>
          </w:tcPr>
          <w:p>
            <w:pPr>
              <w:ind w:left="0"/>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丙方因机械、工具或技术、劳力等跟不上管理维保需要造成管理维保质量不合格的，第一个月甲方要求丙方限期整改；第二个月仍不合格的，由此造成的损失由乙方、丙方承担，乙方、丙方需向甲方支付合同总额 10%的违约金。</w:t>
            </w:r>
            <w:r/>
          </w:p>
        </w:tc>
        <w:tc>
          <w:tcPr>
            <w:tcW w:w="840" w:type="dxa"/>
            <w:vAlign w:val="center"/>
            <w:textDirection w:val="lrTb"/>
            <w:noWrap w:val="false"/>
          </w:tcPr>
          <w:p>
            <w:pPr>
              <w:pStyle w:val="1110"/>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0" w:type="dxa"/>
            <w:vAlign w:val="center"/>
            <w:textDirection w:val="lrTb"/>
            <w:noWrap w:val="false"/>
          </w:tcPr>
          <w:p>
            <w:pPr>
              <w:pStyle w:val="1110"/>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5" w:type="dxa"/>
            <w:vAlign w:val="center"/>
            <w:textDirection w:val="lrTb"/>
            <w:noWrap w:val="false"/>
          </w:tcPr>
          <w:p>
            <w:pPr>
              <w:pStyle w:val="1110"/>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r>
      <w:tr>
        <w:trPr>
          <w:trHeight w:val="1002"/>
        </w:trPr>
        <w:tc>
          <w:tcPr>
            <w:tcW w:w="476" w:type="dxa"/>
            <w:vAlign w:val="center"/>
            <w:vMerge w:val="restart"/>
            <w:textDirection w:val="lrTb"/>
            <w:noWrap w:val="false"/>
          </w:tcPr>
          <w:p>
            <w:pPr>
              <w:pStyle w:val="1110"/>
              <w:ind w:left="0" w:right="0" w:firstLine="0"/>
              <w:jc w:val="center"/>
              <w:keepLines w:val="0"/>
              <w:keepNext w:val="0"/>
              <w:pageBreakBefore w:val="0"/>
              <w:spacing w:after="0" w:line="240" w:lineRule="auto"/>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11</w:t>
            </w:r>
            <w:r/>
          </w:p>
        </w:tc>
        <w:tc>
          <w:tcPr>
            <w:tcW w:w="7296" w:type="dxa"/>
            <w:vAlign w:val="center"/>
            <w:textDirection w:val="lrTb"/>
            <w:noWrap w:val="false"/>
          </w:tcPr>
          <w:p>
            <w:pPr>
              <w:ind w:left="0"/>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未经甲方同意，乙方、丙方不得擅自更换派驻在甲方工作的技术人员（员工离职除外）。否则，乙方、丙方向甲方支付合同总额10%的违约金。</w:t>
            </w:r>
            <w:r/>
          </w:p>
        </w:tc>
        <w:tc>
          <w:tcPr>
            <w:tcW w:w="840" w:type="dxa"/>
            <w:vAlign w:val="center"/>
            <w:vMerge w:val="restart"/>
            <w:textDirection w:val="lrTb"/>
            <w:noWrap w:val="false"/>
          </w:tcPr>
          <w:p>
            <w:pPr>
              <w:pStyle w:val="1110"/>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0" w:type="dxa"/>
            <w:vAlign w:val="center"/>
            <w:vMerge w:val="restart"/>
            <w:textDirection w:val="lrTb"/>
            <w:noWrap w:val="false"/>
          </w:tcPr>
          <w:p>
            <w:pPr>
              <w:pStyle w:val="1110"/>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5" w:type="dxa"/>
            <w:vAlign w:val="center"/>
            <w:vMerge w:val="restart"/>
            <w:textDirection w:val="lrTb"/>
            <w:noWrap w:val="false"/>
          </w:tcPr>
          <w:p>
            <w:pPr>
              <w:pStyle w:val="1110"/>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r>
      <w:tr>
        <w:trPr>
          <w:trHeight w:val="1257"/>
        </w:trPr>
        <w:tc>
          <w:tcPr>
            <w:tcW w:w="476" w:type="dxa"/>
            <w:vAlign w:val="center"/>
            <w:vMerge w:val="continue"/>
            <w:textDirection w:val="lrTb"/>
            <w:noWrap w:val="false"/>
          </w:tcPr>
          <w:p>
            <w:pPr>
              <w:ind w:left="0" w:right="0" w:firstLine="0"/>
              <w:jc w:val="center"/>
              <w:keepLines w:val="0"/>
              <w:keepNext w:val="0"/>
              <w:pageBreakBefore w:val="0"/>
              <w:spacing w:line="240" w:lineRule="auto"/>
              <w:widowControl/>
              <w:rPr>
                <w:rFonts w:ascii="Cambria" w:hAnsi="Cambria" w:eastAsia="华文细黑" w:cs="Cambria"/>
                <w:sz w:val="22"/>
                <w:szCs w:val="22"/>
                <w:highlight w:val="none"/>
              </w:rPr>
            </w:pPr>
            <w:r>
              <w:rPr>
                <w:rFonts w:ascii="Cambria" w:hAnsi="Cambria" w:eastAsia="华文细黑" w:cs="Cambria"/>
                <w:sz w:val="22"/>
                <w:szCs w:val="22"/>
                <w:highlight w:val="none"/>
              </w:rPr>
            </w:r>
            <w:r/>
          </w:p>
        </w:tc>
        <w:tc>
          <w:tcPr>
            <w:tcW w:w="7296" w:type="dxa"/>
            <w:vAlign w:val="center"/>
            <w:textDirection w:val="lrTb"/>
            <w:noWrap w:val="false"/>
          </w:tcPr>
          <w:p>
            <w:pPr>
              <w:ind w:left="0"/>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合同期内，未经甲方同意，乙方、丙方擅自更改维保计划3次及以上的，甲方有权要求乙方、丙方赔偿合同总金额 20%的违约金，违约金不足以赔偿丙方损失的，甲方有权继续向</w:t>
            </w:r>
            <w:r>
              <w:rPr>
                <w:rFonts w:hint="eastAsia" w:ascii="宋体" w:hAnsi="宋体" w:eastAsia="宋体" w:cs="宋体"/>
                <w:sz w:val="22"/>
                <w:szCs w:val="22"/>
                <w:highlight w:val="none"/>
                <w:lang w:eastAsia="zh-CN" w:bidi="ar"/>
              </w:rPr>
              <w:t xml:space="preserve">双方</w:t>
            </w:r>
            <w:r>
              <w:rPr>
                <w:rFonts w:hint="eastAsia" w:ascii="宋体" w:hAnsi="宋体" w:eastAsia="宋体" w:cs="宋体"/>
                <w:sz w:val="22"/>
                <w:szCs w:val="22"/>
                <w:highlight w:val="none"/>
                <w:lang w:bidi="ar"/>
              </w:rPr>
              <w:t xml:space="preserve">追偿给甲方造成的直接经济损失。</w:t>
            </w:r>
            <w:r/>
          </w:p>
        </w:tc>
        <w:tc>
          <w:tcPr>
            <w:tcW w:w="840" w:type="dxa"/>
            <w:vAlign w:val="center"/>
            <w:vMerge w:val="continue"/>
            <w:textDirection w:val="lrTb"/>
            <w:noWrap w:val="false"/>
          </w:tcPr>
          <w:p>
            <w:pPr>
              <w:ind w:left="0"/>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00" w:type="dxa"/>
            <w:vAlign w:val="center"/>
            <w:vMerge w:val="continue"/>
            <w:textDirection w:val="lrTb"/>
            <w:noWrap w:val="false"/>
          </w:tcPr>
          <w:p>
            <w:pPr>
              <w:ind w:left="0"/>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05" w:type="dxa"/>
            <w:vAlign w:val="center"/>
            <w:vMerge w:val="continue"/>
            <w:textDirection w:val="lrTb"/>
            <w:noWrap w:val="false"/>
          </w:tcPr>
          <w:p>
            <w:pPr>
              <w:ind w:left="0"/>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trHeight w:val="1257"/>
        </w:trPr>
        <w:tc>
          <w:tcPr>
            <w:tcW w:w="476" w:type="dxa"/>
            <w:vAlign w:val="center"/>
            <w:textDirection w:val="lrTb"/>
            <w:noWrap w:val="false"/>
          </w:tcPr>
          <w:p>
            <w:pPr>
              <w:pStyle w:val="1110"/>
              <w:ind w:left="0" w:right="0" w:firstLine="0"/>
              <w:jc w:val="center"/>
              <w:keepLines w:val="0"/>
              <w:keepNext w:val="0"/>
              <w:pageBreakBefore w:val="0"/>
              <w:spacing w:after="0" w:line="240" w:lineRule="auto"/>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11</w:t>
            </w:r>
            <w:r/>
          </w:p>
        </w:tc>
        <w:tc>
          <w:tcPr>
            <w:tcW w:w="7296" w:type="dxa"/>
            <w:vAlign w:val="center"/>
            <w:textDirection w:val="lrTb"/>
            <w:noWrap w:val="false"/>
          </w:tcPr>
          <w:p>
            <w:pPr>
              <w:ind w:left="0"/>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电梯维保服务月度质量评价表评分达到90分（含90分）以上的不另扣该项目当月维修保养费，考核评分低于90分相应扣减该项目当月保养费的5%，低于85分相应扣减该项目当月保养费的10%，</w:t>
            </w:r>
            <w:r>
              <w:rPr>
                <w:rFonts w:hint="eastAsia" w:ascii="宋体" w:hAnsi="宋体" w:cs="宋体"/>
                <w:sz w:val="22"/>
                <w:szCs w:val="22"/>
                <w:highlight w:val="none"/>
                <w:lang w:eastAsia="zh-CN" w:bidi="ar"/>
              </w:rPr>
              <w:t xml:space="preserve">以此类推</w:t>
            </w:r>
            <w:r>
              <w:rPr>
                <w:rFonts w:hint="eastAsia" w:ascii="宋体" w:hAnsi="宋体" w:eastAsia="宋体" w:cs="宋体"/>
                <w:sz w:val="22"/>
                <w:szCs w:val="22"/>
                <w:highlight w:val="none"/>
                <w:lang w:bidi="ar"/>
              </w:rPr>
              <w:t xml:space="preserve">；连续两个月考核评分低于50分的甲方有权终止合同。</w:t>
            </w:r>
            <w:r/>
          </w:p>
        </w:tc>
        <w:tc>
          <w:tcPr>
            <w:tcW w:w="840" w:type="dxa"/>
            <w:vAlign w:val="center"/>
            <w:textDirection w:val="lrTb"/>
            <w:noWrap w:val="false"/>
          </w:tcPr>
          <w:p>
            <w:pPr>
              <w:pStyle w:val="1110"/>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本月电梯评分（ ）分</w:t>
            </w:r>
            <w:r/>
          </w:p>
        </w:tc>
        <w:tc>
          <w:tcPr>
            <w:tcW w:w="900" w:type="dxa"/>
            <w:vAlign w:val="center"/>
            <w:textDirection w:val="lrTb"/>
            <w:noWrap w:val="false"/>
          </w:tcPr>
          <w:p>
            <w:pPr>
              <w:pStyle w:val="1110"/>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5" w:type="dxa"/>
            <w:vAlign w:val="center"/>
            <w:textDirection w:val="lrTb"/>
            <w:noWrap w:val="false"/>
          </w:tcPr>
          <w:p>
            <w:pPr>
              <w:pStyle w:val="1110"/>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r>
      <w:tr>
        <w:trPr>
          <w:trHeight w:val="510"/>
        </w:trPr>
        <w:tc>
          <w:tcPr>
            <w:gridSpan w:val="5"/>
            <w:tcW w:w="10417" w:type="dxa"/>
            <w:vAlign w:val="center"/>
            <w:textDirection w:val="lrTb"/>
            <w:noWrap w:val="false"/>
          </w:tcPr>
          <w:p>
            <w:pPr>
              <w:ind w:left="0"/>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当月扣罚维保费总计： 元（大写： ）                      </w:t>
            </w:r>
            <w:r/>
          </w:p>
        </w:tc>
      </w:tr>
    </w:tbl>
    <w:p>
      <w:pPr>
        <w:jc w:val="left"/>
        <w:spacing w:line="440" w:lineRule="exact"/>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物业公司项目负责人（甲方）： 承保单位电梯管理人员（乙方）： 承保单位电梯管理人员（丙方）： </w:t>
      </w:r>
      <w:r/>
    </w:p>
    <w:p>
      <w:pPr>
        <w:jc w:val="left"/>
        <w:rPr>
          <w:rFonts w:hint="eastAsia" w:ascii="宋体" w:hAnsi="宋体" w:eastAsia="宋体" w:cs="宋体"/>
          <w:sz w:val="24"/>
          <w:szCs w:val="24"/>
          <w:highlight w:val="none"/>
          <w:lang w:bidi="ar"/>
        </w:rPr>
      </w:pPr>
      <w:r>
        <w:rPr>
          <w:rFonts w:hint="eastAsia" w:ascii="宋体" w:hAnsi="宋体" w:eastAsia="宋体" w:cs="宋体"/>
          <w:sz w:val="22"/>
          <w:szCs w:val="22"/>
          <w:highlight w:val="none"/>
          <w:lang w:bidi="ar"/>
        </w:rPr>
        <w:t xml:space="preserve">日期：                      日期：    </w:t>
      </w:r>
      <w:r>
        <w:rPr>
          <w:rFonts w:hint="eastAsia" w:ascii="宋体" w:hAnsi="宋体" w:eastAsia="宋体" w:cs="宋体"/>
          <w:sz w:val="24"/>
          <w:szCs w:val="24"/>
          <w:highlight w:val="none"/>
          <w:lang w:bidi="ar"/>
        </w:rPr>
        <w:t xml:space="preserve">                  </w:t>
      </w:r>
      <w:r>
        <w:rPr>
          <w:rFonts w:hint="eastAsia" w:ascii="宋体" w:hAnsi="宋体" w:eastAsia="宋体" w:cs="宋体"/>
          <w:sz w:val="22"/>
          <w:szCs w:val="22"/>
          <w:highlight w:val="none"/>
          <w:lang w:bidi="ar"/>
        </w:rPr>
        <w:t xml:space="preserve">日期： </w:t>
      </w:r>
      <w:r>
        <w:rPr>
          <w:rFonts w:hint="eastAsia" w:ascii="宋体" w:hAnsi="宋体" w:eastAsia="宋体" w:cs="宋体"/>
          <w:sz w:val="24"/>
          <w:szCs w:val="24"/>
          <w:highlight w:val="none"/>
          <w:lang w:bidi="ar"/>
        </w:rPr>
        <w:t xml:space="preserve"> </w:t>
      </w:r>
      <w:r/>
    </w:p>
    <w:p>
      <w:pPr>
        <w:ind w:firstLine="480"/>
        <w:jc w:val="both"/>
        <w:widowControl w:val="off"/>
        <w:rPr>
          <w:rFonts w:hint="eastAsia" w:ascii="Times New Roman" w:hAnsi="Times New Roman" w:eastAsia="宋体" w:cs="Times New Roman"/>
          <w:sz w:val="21"/>
          <w:szCs w:val="20"/>
          <w:highlight w:val="none"/>
          <w:lang w:val="zh-CN" w:eastAsia="zh-CN" w:bidi="ar-SA"/>
        </w:rPr>
      </w:pPr>
      <w:r>
        <w:rPr>
          <w:rFonts w:hint="eastAsia" w:ascii="Times New Roman" w:hAnsi="Times New Roman" w:eastAsia="宋体" w:cs="Times New Roman"/>
          <w:sz w:val="21"/>
          <w:szCs w:val="20"/>
          <w:highlight w:val="none"/>
          <w:lang w:val="zh-CN" w:eastAsia="zh-CN" w:bidi="ar-SA"/>
        </w:rPr>
      </w:r>
      <w:r/>
    </w:p>
    <w:p>
      <w:pPr>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bidi="ar"/>
        </w:rPr>
        <w:br w:type="page" w:clear="all"/>
      </w:r>
      <w:r/>
    </w:p>
    <w:p>
      <w:pPr>
        <w:jc w:val="center"/>
        <w:spacing w:line="440" w:lineRule="exact"/>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bidi="ar"/>
        </w:rPr>
        <w:t xml:space="preserve">（</w:t>
      </w:r>
      <w:r>
        <w:rPr>
          <w:rFonts w:hint="eastAsia" w:ascii="宋体" w:hAnsi="宋体" w:eastAsia="宋体" w:cs="宋体"/>
          <w:b/>
          <w:bCs/>
          <w:sz w:val="24"/>
          <w:szCs w:val="24"/>
          <w:highlight w:val="none"/>
          <w:lang w:val="en-US" w:eastAsia="zh-CN" w:bidi="ar"/>
        </w:rPr>
        <w:t xml:space="preserve">3</w:t>
      </w:r>
      <w:r>
        <w:rPr>
          <w:rFonts w:hint="eastAsia" w:ascii="宋体" w:hAnsi="宋体" w:eastAsia="宋体" w:cs="宋体"/>
          <w:b/>
          <w:bCs/>
          <w:sz w:val="24"/>
          <w:szCs w:val="24"/>
          <w:highlight w:val="none"/>
          <w:lang w:bidi="ar"/>
        </w:rPr>
        <w:t xml:space="preserve">）</w:t>
      </w:r>
      <w:r>
        <w:rPr>
          <w:rFonts w:hint="eastAsia" w:ascii="宋体" w:hAnsi="宋体" w:eastAsia="宋体" w:cs="宋体"/>
          <w:b/>
          <w:bCs/>
          <w:sz w:val="24"/>
          <w:szCs w:val="24"/>
          <w:highlight w:val="none"/>
          <w:lang w:val="en-US" w:eastAsia="zh-CN" w:bidi="ar"/>
        </w:rPr>
        <w:t xml:space="preserve">应急救援及安全培训体系年度</w:t>
      </w:r>
      <w:r>
        <w:rPr>
          <w:rFonts w:hint="eastAsia" w:ascii="宋体" w:hAnsi="宋体" w:eastAsia="宋体" w:cs="宋体"/>
          <w:b/>
          <w:bCs/>
          <w:sz w:val="24"/>
          <w:szCs w:val="24"/>
          <w:highlight w:val="none"/>
          <w:lang w:bidi="ar"/>
        </w:rPr>
        <w:t xml:space="preserve">考核表</w:t>
      </w:r>
      <w:r/>
    </w:p>
    <w:p>
      <w:pPr>
        <w:spacing w:line="440" w:lineRule="exact"/>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spacing w:line="440" w:lineRule="exact"/>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bidi="ar"/>
        </w:rPr>
        <w:t xml:space="preserve">项目名称：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            </w:t>
      </w: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  </w:t>
      </w:r>
      <w:r>
        <w:rPr>
          <w:rFonts w:hint="eastAsia" w:ascii="宋体" w:hAnsi="宋体" w:eastAsia="宋体" w:cs="宋体"/>
          <w:sz w:val="24"/>
          <w:szCs w:val="24"/>
          <w:highlight w:val="none"/>
          <w:lang w:val="en-US" w:eastAsia="zh-CN" w:bidi="ar"/>
        </w:rPr>
        <w:t xml:space="preserve">日期：</w:t>
      </w:r>
      <w:r/>
    </w:p>
    <w:p>
      <w:pPr>
        <w:ind w:left="0" w:firstLine="0"/>
        <w:jc w:val="both"/>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bl>
      <w:tblPr>
        <w:tblStyle w:val="828"/>
        <w:tblW w:w="9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650"/>
        <w:gridCol w:w="1995"/>
        <w:gridCol w:w="1115"/>
        <w:gridCol w:w="2995"/>
        <w:gridCol w:w="1195"/>
      </w:tblGrid>
      <w:tr>
        <w:trPr>
          <w:jc w:val="center"/>
          <w:trHeight w:val="671"/>
        </w:trPr>
        <w:tc>
          <w:tcPr>
            <w:tcW w:w="735" w:type="dxa"/>
            <w:vAlign w:val="center"/>
            <w:textDirection w:val="lrTb"/>
            <w:noWrap w:val="false"/>
          </w:tcPr>
          <w:p>
            <w:pPr>
              <w:ind w:left="0" w:firstLine="0"/>
              <w:jc w:val="center"/>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t xml:space="preserve">序号</w:t>
            </w:r>
            <w:r/>
          </w:p>
        </w:tc>
        <w:tc>
          <w:tcPr>
            <w:tcW w:w="1650" w:type="dxa"/>
            <w:vAlign w:val="center"/>
            <w:textDirection w:val="lrTb"/>
            <w:noWrap w:val="false"/>
          </w:tcPr>
          <w:p>
            <w:pPr>
              <w:ind w:left="0" w:firstLine="0"/>
              <w:jc w:val="center"/>
              <w:spacing w:after="0" w:line="240" w:lineRule="auto"/>
              <w:widowControl w:val="off"/>
              <w:rPr>
                <w:rFonts w:hint="default"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t xml:space="preserve">考核项目</w:t>
            </w:r>
            <w:r/>
          </w:p>
        </w:tc>
        <w:tc>
          <w:tcPr>
            <w:tcW w:w="1995"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000000"/>
                <w:sz w:val="24"/>
                <w:szCs w:val="24"/>
                <w:highlight w:val="none"/>
                <w:vertAlign w:val="baseline"/>
              </w:rPr>
            </w:pPr>
            <w:r>
              <w:rPr>
                <w:rFonts w:hint="eastAsia" w:ascii="宋体" w:hAnsi="宋体" w:eastAsia="宋体" w:cs="宋体"/>
                <w:sz w:val="22"/>
                <w:szCs w:val="22"/>
                <w:highlight w:val="none"/>
                <w:lang w:bidi="ar"/>
              </w:rPr>
              <w:t xml:space="preserve">考核具体内容</w:t>
            </w:r>
            <w:r/>
          </w:p>
        </w:tc>
        <w:tc>
          <w:tcPr>
            <w:tcW w:w="1115" w:type="dxa"/>
            <w:vAlign w:val="center"/>
            <w:textDirection w:val="lrTb"/>
            <w:noWrap w:val="false"/>
          </w:tcPr>
          <w:p>
            <w:pPr>
              <w:ind w:left="0"/>
              <w:jc w:val="center"/>
              <w:keepLines w:val="0"/>
              <w:keepNext w:val="0"/>
              <w:pageBreakBefore w:val="0"/>
              <w:spacing w:after="0" w:line="240" w:lineRule="auto"/>
              <w:widowControl/>
              <w:rPr>
                <w:rFonts w:hint="default"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分值</w:t>
            </w:r>
            <w:r/>
          </w:p>
        </w:tc>
        <w:tc>
          <w:tcPr>
            <w:tcW w:w="2995"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000000"/>
                <w:sz w:val="24"/>
                <w:szCs w:val="24"/>
                <w:highlight w:val="none"/>
                <w:vertAlign w:val="baseline"/>
                <w:lang w:eastAsia="zh-CN"/>
              </w:rPr>
            </w:pPr>
            <w:r>
              <w:rPr>
                <w:rFonts w:hint="eastAsia" w:ascii="宋体" w:hAnsi="宋体" w:eastAsia="宋体" w:cs="宋体"/>
                <w:sz w:val="22"/>
                <w:szCs w:val="22"/>
                <w:highlight w:val="none"/>
                <w:lang w:val="en-US" w:eastAsia="zh-CN" w:bidi="ar"/>
              </w:rPr>
              <w:t xml:space="preserve">评分标准</w:t>
            </w:r>
            <w:r/>
          </w:p>
        </w:tc>
        <w:tc>
          <w:tcPr>
            <w:tcW w:w="1195"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000000"/>
                <w:sz w:val="24"/>
                <w:szCs w:val="24"/>
                <w:highlight w:val="none"/>
                <w:vertAlign w:val="baseline"/>
                <w:lang w:eastAsia="zh-CN"/>
              </w:rPr>
            </w:pPr>
            <w:r>
              <w:rPr>
                <w:rFonts w:hint="eastAsia" w:ascii="宋体" w:hAnsi="宋体" w:eastAsia="宋体" w:cs="宋体"/>
                <w:sz w:val="22"/>
                <w:szCs w:val="22"/>
                <w:highlight w:val="none"/>
                <w:lang w:val="en-US" w:eastAsia="zh-CN" w:bidi="ar"/>
              </w:rPr>
              <w:t xml:space="preserve">得分</w:t>
            </w:r>
            <w:r/>
          </w:p>
        </w:tc>
      </w:tr>
      <w:tr>
        <w:trPr>
          <w:jc w:val="center"/>
          <w:trHeight w:val="935"/>
        </w:trPr>
        <w:tc>
          <w:tcPr>
            <w:tcW w:w="735" w:type="dxa"/>
            <w:vAlign w:val="center"/>
            <w:textDirection w:val="lrTb"/>
            <w:noWrap w:val="false"/>
          </w:tcPr>
          <w:p>
            <w:pPr>
              <w:ind w:left="0" w:firstLine="0"/>
              <w:jc w:val="center"/>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t xml:space="preserve">1</w:t>
            </w:r>
            <w:r/>
          </w:p>
        </w:tc>
        <w:tc>
          <w:tcPr>
            <w:tcW w:w="1650" w:type="dxa"/>
            <w:vAlign w:val="center"/>
            <w:vMerge w:val="restart"/>
            <w:textDirection w:val="lrTb"/>
            <w:noWrap w:val="false"/>
          </w:tcPr>
          <w:p>
            <w:pPr>
              <w:ind w:left="0" w:firstLine="0"/>
              <w:jc w:val="center"/>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t xml:space="preserve">应急急救处置、应急演练</w:t>
            </w:r>
            <w:r/>
          </w:p>
        </w:tc>
        <w:tc>
          <w:tcPr>
            <w:tcW w:w="1995" w:type="dxa"/>
            <w:vAlign w:val="center"/>
            <w:textDirection w:val="lrTb"/>
            <w:noWrap w:val="false"/>
          </w:tcPr>
          <w:p>
            <w:pPr>
              <w:ind w:left="0" w:firstLine="0"/>
              <w:jc w:val="center"/>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lang w:val="en-US" w:eastAsia="zh-CN" w:bidi="ar-SA"/>
              </w:rPr>
              <w:t xml:space="preserve">组织次数</w:t>
            </w:r>
            <w:r/>
          </w:p>
        </w:tc>
        <w:tc>
          <w:tcPr>
            <w:tcW w:w="1115" w:type="dxa"/>
            <w:vAlign w:val="center"/>
            <w:textDirection w:val="lrTb"/>
            <w:noWrap w:val="false"/>
          </w:tcPr>
          <w:p>
            <w:pPr>
              <w:ind w:left="0" w:firstLine="0"/>
              <w:jc w:val="center"/>
              <w:spacing w:after="0" w:line="240" w:lineRule="auto"/>
              <w:widowControl w:val="off"/>
              <w:rPr>
                <w:rFonts w:hint="default"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t xml:space="preserve">20分</w:t>
            </w:r>
            <w:r/>
          </w:p>
        </w:tc>
        <w:tc>
          <w:tcPr>
            <w:tcW w:w="2995" w:type="dxa"/>
            <w:vAlign w:val="center"/>
            <w:textDirection w:val="lrTb"/>
            <w:noWrap w:val="false"/>
          </w:tcPr>
          <w:p>
            <w:pPr>
              <w:ind w:left="0" w:firstLine="0"/>
              <w:jc w:val="center"/>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t xml:space="preserve">2次及以上得2分；少于2次，每少一次扣10分</w:t>
            </w:r>
            <w:r/>
          </w:p>
        </w:tc>
        <w:tc>
          <w:tcPr>
            <w:tcW w:w="1195" w:type="dxa"/>
            <w:vAlign w:val="center"/>
            <w:textDirection w:val="lrTb"/>
            <w:noWrap w:val="false"/>
          </w:tcPr>
          <w:p>
            <w:pPr>
              <w:ind w:firstLine="420"/>
              <w:jc w:val="center"/>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r>
            <w:r/>
          </w:p>
        </w:tc>
      </w:tr>
      <w:tr>
        <w:trPr>
          <w:jc w:val="center"/>
          <w:trHeight w:val="935"/>
        </w:trPr>
        <w:tc>
          <w:tcPr>
            <w:tcW w:w="735"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t xml:space="preserve">2</w:t>
            </w:r>
            <w:r/>
          </w:p>
        </w:tc>
        <w:tc>
          <w:tcPr>
            <w:tcW w:w="1650" w:type="dxa"/>
            <w:vAlign w:val="center"/>
            <w:vMerge w:val="continue"/>
            <w:textDirection w:val="lrTb"/>
            <w:noWrap w:val="false"/>
          </w:tcPr>
          <w:p>
            <w:pPr>
              <w:ind w:firstLine="420"/>
              <w:jc w:val="center"/>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r>
            <w:r/>
          </w:p>
        </w:tc>
        <w:tc>
          <w:tcPr>
            <w:tcW w:w="1995" w:type="dxa"/>
            <w:vAlign w:val="center"/>
            <w:textDirection w:val="lrTb"/>
            <w:noWrap w:val="false"/>
          </w:tcPr>
          <w:p>
            <w:pPr>
              <w:ind w:left="0" w:firstLine="0"/>
              <w:jc w:val="center"/>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default" w:ascii="宋体" w:hAnsi="宋体" w:eastAsia="宋体" w:cs="宋体"/>
                <w:sz w:val="24"/>
                <w:szCs w:val="24"/>
                <w:highlight w:val="none"/>
                <w:lang w:val="en-US" w:eastAsia="zh-CN" w:bidi="ar-SA"/>
              </w:rPr>
              <w:t xml:space="preserve">演练质量</w:t>
            </w:r>
            <w:r/>
          </w:p>
        </w:tc>
        <w:tc>
          <w:tcPr>
            <w:tcW w:w="1115" w:type="dxa"/>
            <w:vAlign w:val="center"/>
            <w:textDirection w:val="lrTb"/>
            <w:noWrap w:val="false"/>
          </w:tcPr>
          <w:p>
            <w:pPr>
              <w:ind w:firstLine="0"/>
              <w:jc w:val="center"/>
              <w:keepLines w:val="0"/>
              <w:keepNext w:val="0"/>
              <w:pageBreakBefore w:val="0"/>
              <w:spacing w:after="0" w:line="240" w:lineRule="auto"/>
              <w:widowControl w:val="off"/>
              <w:rPr>
                <w:rFonts w:hint="default"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t xml:space="preserve">20分</w:t>
            </w:r>
            <w:r/>
          </w:p>
        </w:tc>
        <w:tc>
          <w:tcPr>
            <w:tcW w:w="2995" w:type="dxa"/>
            <w:vAlign w:val="center"/>
            <w:textDirection w:val="lrTb"/>
            <w:noWrap w:val="false"/>
          </w:tcPr>
          <w:p>
            <w:pPr>
              <w:ind w:left="0" w:firstLine="0"/>
              <w:jc w:val="center"/>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t xml:space="preserve">优秀20分，良好15分，一般10分，较差5分，未进行或极差0分</w:t>
            </w:r>
            <w:r/>
          </w:p>
        </w:tc>
        <w:tc>
          <w:tcPr>
            <w:tcW w:w="1195" w:type="dxa"/>
            <w:vAlign w:val="center"/>
            <w:textDirection w:val="lrTb"/>
            <w:noWrap w:val="false"/>
          </w:tcPr>
          <w:p>
            <w:pPr>
              <w:ind w:firstLine="420"/>
              <w:jc w:val="center"/>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r>
            <w:r/>
          </w:p>
        </w:tc>
      </w:tr>
      <w:tr>
        <w:trPr>
          <w:jc w:val="center"/>
          <w:trHeight w:val="935"/>
        </w:trPr>
        <w:tc>
          <w:tcPr>
            <w:tcW w:w="735"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t xml:space="preserve">3</w:t>
            </w:r>
            <w:r/>
          </w:p>
        </w:tc>
        <w:tc>
          <w:tcPr>
            <w:tcW w:w="1650" w:type="dxa"/>
            <w:vAlign w:val="center"/>
            <w:vMerge w:val="continue"/>
            <w:textDirection w:val="lrTb"/>
            <w:noWrap w:val="false"/>
          </w:tcPr>
          <w:p>
            <w:pPr>
              <w:ind w:firstLine="420"/>
              <w:jc w:val="center"/>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r>
            <w:r/>
          </w:p>
        </w:tc>
        <w:tc>
          <w:tcPr>
            <w:tcW w:w="1995" w:type="dxa"/>
            <w:vAlign w:val="center"/>
            <w:textDirection w:val="lrTb"/>
            <w:noWrap w:val="false"/>
          </w:tcPr>
          <w:p>
            <w:pPr>
              <w:ind w:left="0" w:firstLine="0"/>
              <w:jc w:val="center"/>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default" w:ascii="宋体" w:hAnsi="宋体" w:eastAsia="宋体" w:cs="宋体"/>
                <w:sz w:val="24"/>
                <w:szCs w:val="24"/>
                <w:highlight w:val="none"/>
                <w:lang w:val="en-US" w:eastAsia="zh-CN" w:bidi="ar-SA"/>
              </w:rPr>
              <w:t xml:space="preserve">记录与报告</w:t>
            </w:r>
            <w:r/>
          </w:p>
        </w:tc>
        <w:tc>
          <w:tcPr>
            <w:tcW w:w="1115" w:type="dxa"/>
            <w:vAlign w:val="center"/>
            <w:textDirection w:val="lrTb"/>
            <w:noWrap w:val="false"/>
          </w:tcPr>
          <w:p>
            <w:pPr>
              <w:ind w:firstLine="0"/>
              <w:jc w:val="center"/>
              <w:keepLines w:val="0"/>
              <w:keepNext w:val="0"/>
              <w:pageBreakBefore w:val="0"/>
              <w:spacing w:after="0" w:line="240" w:lineRule="auto"/>
              <w:widowControl w:val="off"/>
              <w:rPr>
                <w:rFonts w:hint="default"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t xml:space="preserve">10分</w:t>
            </w:r>
            <w:r/>
          </w:p>
        </w:tc>
        <w:tc>
          <w:tcPr>
            <w:tcW w:w="2995" w:type="dxa"/>
            <w:vAlign w:val="center"/>
            <w:textDirection w:val="lrTb"/>
            <w:noWrap w:val="false"/>
          </w:tcPr>
          <w:p>
            <w:pPr>
              <w:ind w:left="0" w:firstLine="0"/>
              <w:jc w:val="center"/>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default" w:ascii="宋体" w:hAnsi="宋体" w:eastAsia="宋体" w:cs="宋体"/>
                <w:sz w:val="24"/>
                <w:szCs w:val="24"/>
                <w:highlight w:val="none"/>
                <w:lang w:val="en-US" w:eastAsia="zh-CN" w:bidi="ar-SA"/>
              </w:rPr>
              <w:t xml:space="preserve">每次演练应有</w:t>
            </w:r>
            <w:r>
              <w:rPr>
                <w:rFonts w:hint="eastAsia" w:ascii="宋体" w:hAnsi="宋体" w:eastAsia="宋体" w:cs="宋体"/>
                <w:sz w:val="24"/>
                <w:szCs w:val="24"/>
                <w:highlight w:val="none"/>
                <w:lang w:val="en-US" w:eastAsia="zh-CN" w:bidi="ar-SA"/>
              </w:rPr>
              <w:t xml:space="preserve">详细</w:t>
            </w:r>
            <w:r>
              <w:rPr>
                <w:rFonts w:hint="default" w:ascii="宋体" w:hAnsi="宋体" w:eastAsia="宋体" w:cs="宋体"/>
                <w:sz w:val="24"/>
                <w:szCs w:val="24"/>
                <w:highlight w:val="none"/>
                <w:lang w:val="en-US" w:eastAsia="zh-CN" w:bidi="ar-SA"/>
              </w:rPr>
              <w:t xml:space="preserve">记录和报告，每少一次扣3分</w:t>
            </w:r>
            <w:r/>
          </w:p>
        </w:tc>
        <w:tc>
          <w:tcPr>
            <w:tcW w:w="1195" w:type="dxa"/>
            <w:vAlign w:val="center"/>
            <w:textDirection w:val="lrTb"/>
            <w:noWrap w:val="false"/>
          </w:tcPr>
          <w:p>
            <w:pPr>
              <w:ind w:firstLine="420"/>
              <w:jc w:val="center"/>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r>
            <w:r/>
          </w:p>
        </w:tc>
      </w:tr>
      <w:tr>
        <w:trPr>
          <w:jc w:val="center"/>
          <w:trHeight w:val="935"/>
        </w:trPr>
        <w:tc>
          <w:tcPr>
            <w:tcW w:w="735"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t xml:space="preserve">4</w:t>
            </w:r>
            <w:r/>
          </w:p>
        </w:tc>
        <w:tc>
          <w:tcPr>
            <w:tcW w:w="1650" w:type="dxa"/>
            <w:vAlign w:val="center"/>
            <w:vMerge w:val="restart"/>
            <w:textDirection w:val="lrTb"/>
            <w:noWrap w:val="false"/>
          </w:tcPr>
          <w:p>
            <w:pPr>
              <w:ind w:left="0" w:firstLine="0"/>
              <w:jc w:val="center"/>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t xml:space="preserve">电梯安全知识宣传、教育和培训</w:t>
            </w:r>
            <w:r/>
          </w:p>
        </w:tc>
        <w:tc>
          <w:tcPr>
            <w:tcW w:w="1995"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default" w:ascii="宋体" w:hAnsi="宋体" w:eastAsia="宋体" w:cs="宋体"/>
                <w:sz w:val="24"/>
                <w:szCs w:val="24"/>
                <w:highlight w:val="none"/>
                <w:lang w:val="en-US" w:eastAsia="zh-CN" w:bidi="ar-SA"/>
              </w:rPr>
              <w:t xml:space="preserve">组织次数</w:t>
            </w:r>
            <w:r/>
          </w:p>
        </w:tc>
        <w:tc>
          <w:tcPr>
            <w:tcW w:w="1115" w:type="dxa"/>
            <w:vAlign w:val="center"/>
            <w:textDirection w:val="lrTb"/>
            <w:noWrap w:val="false"/>
          </w:tcPr>
          <w:p>
            <w:pPr>
              <w:ind w:left="0" w:firstLine="0"/>
              <w:jc w:val="center"/>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t xml:space="preserve">20分</w:t>
            </w:r>
            <w:r/>
          </w:p>
        </w:tc>
        <w:tc>
          <w:tcPr>
            <w:tcW w:w="2995"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t xml:space="preserve">2次及以上得2分；少于2次，每少一次扣10分</w:t>
            </w:r>
            <w:r/>
          </w:p>
        </w:tc>
        <w:tc>
          <w:tcPr>
            <w:tcW w:w="1195"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r>
            <w:r/>
          </w:p>
        </w:tc>
      </w:tr>
      <w:tr>
        <w:trPr>
          <w:jc w:val="center"/>
          <w:trHeight w:val="935"/>
        </w:trPr>
        <w:tc>
          <w:tcPr>
            <w:tcW w:w="735"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t xml:space="preserve">5</w:t>
            </w:r>
            <w:r/>
          </w:p>
        </w:tc>
        <w:tc>
          <w:tcPr>
            <w:tcW w:w="1650" w:type="dxa"/>
            <w:vAlign w:val="center"/>
            <w:vMerge w:val="continue"/>
            <w:textDirection w:val="lrTb"/>
            <w:noWrap w:val="false"/>
          </w:tcPr>
          <w:p>
            <w:pPr>
              <w:ind w:firstLine="420"/>
              <w:jc w:val="center"/>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r>
            <w:r/>
          </w:p>
        </w:tc>
        <w:tc>
          <w:tcPr>
            <w:tcW w:w="1995"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default" w:ascii="宋体" w:hAnsi="宋体" w:eastAsia="宋体" w:cs="宋体"/>
                <w:sz w:val="24"/>
                <w:szCs w:val="24"/>
                <w:highlight w:val="none"/>
                <w:lang w:val="en-US" w:eastAsia="zh-CN" w:bidi="ar-SA"/>
              </w:rPr>
              <w:t xml:space="preserve">培训内容与效果</w:t>
            </w:r>
            <w:r/>
          </w:p>
        </w:tc>
        <w:tc>
          <w:tcPr>
            <w:tcW w:w="1115"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t xml:space="preserve">20分</w:t>
            </w:r>
            <w:r/>
          </w:p>
        </w:tc>
        <w:tc>
          <w:tcPr>
            <w:tcW w:w="2995"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t xml:space="preserve">优秀20分，良好15分，一般10分，较差5分，未进行或极差0分</w:t>
            </w:r>
            <w:r/>
          </w:p>
        </w:tc>
        <w:tc>
          <w:tcPr>
            <w:tcW w:w="1195"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r>
            <w:r/>
          </w:p>
        </w:tc>
      </w:tr>
      <w:tr>
        <w:trPr>
          <w:jc w:val="center"/>
          <w:trHeight w:val="935"/>
        </w:trPr>
        <w:tc>
          <w:tcPr>
            <w:tcW w:w="735"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t xml:space="preserve">6</w:t>
            </w:r>
            <w:r/>
          </w:p>
        </w:tc>
        <w:tc>
          <w:tcPr>
            <w:tcW w:w="1650" w:type="dxa"/>
            <w:vAlign w:val="center"/>
            <w:vMerge w:val="continue"/>
            <w:textDirection w:val="lrTb"/>
            <w:noWrap w:val="false"/>
          </w:tcPr>
          <w:p>
            <w:pPr>
              <w:ind w:firstLine="420"/>
              <w:jc w:val="center"/>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r>
            <w:r/>
          </w:p>
        </w:tc>
        <w:tc>
          <w:tcPr>
            <w:tcW w:w="1995"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default" w:ascii="宋体" w:hAnsi="宋体" w:eastAsia="宋体" w:cs="宋体"/>
                <w:sz w:val="24"/>
                <w:szCs w:val="24"/>
                <w:highlight w:val="none"/>
                <w:lang w:val="en-US" w:eastAsia="zh-CN" w:bidi="ar-SA"/>
              </w:rPr>
              <w:t xml:space="preserve">参与人员反馈</w:t>
            </w:r>
            <w:r/>
          </w:p>
        </w:tc>
        <w:tc>
          <w:tcPr>
            <w:tcW w:w="1115"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t xml:space="preserve">10分</w:t>
            </w:r>
            <w:r/>
          </w:p>
        </w:tc>
        <w:tc>
          <w:tcPr>
            <w:tcW w:w="2995"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default" w:ascii="宋体" w:hAnsi="宋体" w:eastAsia="宋体" w:cs="宋体"/>
                <w:sz w:val="24"/>
                <w:szCs w:val="24"/>
                <w:highlight w:val="none"/>
                <w:lang w:val="en-US" w:eastAsia="zh-CN" w:bidi="ar-SA"/>
              </w:rPr>
              <w:t xml:space="preserve">满意度高10分，较高8分，一般6分，较差4分，未收集反馈0分</w:t>
            </w:r>
            <w:r/>
          </w:p>
        </w:tc>
        <w:tc>
          <w:tcPr>
            <w:tcW w:w="1195"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r>
            <w:r/>
          </w:p>
        </w:tc>
      </w:tr>
      <w:tr>
        <w:trPr>
          <w:jc w:val="center"/>
          <w:trHeight w:val="935"/>
        </w:trPr>
        <w:tc>
          <w:tcPr>
            <w:tcW w:w="735"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bCs w:val="0"/>
                <w:color w:val="000000"/>
                <w:sz w:val="24"/>
                <w:szCs w:val="24"/>
                <w:highlight w:val="none"/>
                <w:vertAlign w:val="baseline"/>
                <w:lang w:val="en-US" w:eastAsia="zh-CN" w:bidi="ar-SA"/>
              </w:rPr>
            </w:pPr>
            <w:r>
              <w:rPr>
                <w:rFonts w:hint="eastAsia" w:ascii="宋体" w:hAnsi="宋体" w:eastAsia="宋体" w:cs="宋体"/>
                <w:b/>
                <w:bCs w:val="0"/>
                <w:color w:val="000000"/>
                <w:sz w:val="24"/>
                <w:szCs w:val="24"/>
                <w:highlight w:val="none"/>
                <w:vertAlign w:val="baseline"/>
                <w:lang w:val="en-US" w:eastAsia="zh-CN" w:bidi="ar-SA"/>
              </w:rPr>
              <w:t xml:space="preserve">7</w:t>
            </w:r>
            <w:r/>
          </w:p>
        </w:tc>
        <w:tc>
          <w:tcPr>
            <w:gridSpan w:val="4"/>
            <w:tcW w:w="7755" w:type="dxa"/>
            <w:vAlign w:val="center"/>
            <w:textDirection w:val="lrTb"/>
            <w:noWrap w:val="false"/>
          </w:tcPr>
          <w:p>
            <w:pPr>
              <w:ind w:firstLine="420"/>
              <w:jc w:val="center"/>
              <w:spacing w:after="0" w:line="240" w:lineRule="auto"/>
              <w:widowControl w:val="off"/>
              <w:rPr>
                <w:rFonts w:hint="eastAsia" w:ascii="宋体" w:hAnsi="宋体" w:eastAsia="宋体" w:cs="宋体"/>
                <w:b/>
                <w:bCs w:val="0"/>
                <w:color w:val="000000"/>
                <w:sz w:val="24"/>
                <w:szCs w:val="24"/>
                <w:highlight w:val="none"/>
                <w:vertAlign w:val="baseline"/>
                <w:lang w:val="en-US" w:eastAsia="zh-CN" w:bidi="ar-SA"/>
              </w:rPr>
            </w:pPr>
            <w:r>
              <w:rPr>
                <w:rFonts w:hint="eastAsia" w:ascii="宋体" w:hAnsi="宋体" w:eastAsia="宋体" w:cs="宋体"/>
                <w:b/>
                <w:bCs w:val="0"/>
                <w:color w:val="000000"/>
                <w:sz w:val="24"/>
                <w:szCs w:val="24"/>
                <w:highlight w:val="none"/>
                <w:vertAlign w:val="baseline"/>
                <w:lang w:val="en-US" w:eastAsia="zh-CN" w:bidi="ar-SA"/>
              </w:rPr>
              <w:t xml:space="preserve">总得分</w:t>
            </w:r>
            <w:r/>
          </w:p>
        </w:tc>
        <w:tc>
          <w:tcPr>
            <w:tcW w:w="1195" w:type="dxa"/>
            <w:vAlign w:val="center"/>
            <w:textDirection w:val="lrTb"/>
            <w:noWrap w:val="false"/>
          </w:tcPr>
          <w:p>
            <w:pPr>
              <w:ind w:firstLine="420"/>
              <w:jc w:val="center"/>
              <w:spacing w:after="0" w:line="240" w:lineRule="auto"/>
              <w:widowControl w:val="off"/>
              <w:rPr>
                <w:rFonts w:hint="eastAsia" w:ascii="宋体" w:hAnsi="宋体" w:eastAsia="宋体" w:cs="宋体"/>
                <w:bCs/>
                <w:color w:val="000000"/>
                <w:sz w:val="24"/>
                <w:szCs w:val="24"/>
                <w:highlight w:val="none"/>
                <w:vertAlign w:val="baseline"/>
                <w:lang w:val="en-US" w:eastAsia="zh-CN" w:bidi="ar-SA"/>
              </w:rPr>
            </w:pPr>
            <w:r>
              <w:rPr>
                <w:rFonts w:hint="eastAsia" w:ascii="宋体" w:hAnsi="宋体" w:eastAsia="宋体" w:cs="宋体"/>
                <w:bCs/>
                <w:color w:val="000000"/>
                <w:sz w:val="24"/>
                <w:szCs w:val="24"/>
                <w:highlight w:val="none"/>
                <w:vertAlign w:val="baseline"/>
                <w:lang w:val="en-US" w:eastAsia="zh-CN" w:bidi="ar-SA"/>
              </w:rPr>
            </w:r>
            <w:r/>
          </w:p>
        </w:tc>
      </w:tr>
    </w:tbl>
    <w:p>
      <w:pPr>
        <w:ind w:left="0" w:firstLine="0"/>
        <w:jc w:val="both"/>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备注：</w:t>
      </w:r>
      <w:r/>
    </w:p>
    <w:p>
      <w:pPr>
        <w:keepLines w:val="0"/>
        <w:keepNext w:val="0"/>
        <w:pageBreakBefore w:val="0"/>
        <w:spacing w:line="360" w:lineRule="auto"/>
        <w:widowControl w:val="off"/>
        <w:rPr>
          <w:rFonts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根据上述标准，对供应商的服务进行评分</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评分结果将作为供应商年度考核的重要依据。对于未达到标准的供应商，将要求其限期整改，并可能影响后续合作。</w:t>
      </w:r>
      <w:r/>
    </w:p>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考核时，需根据实际表现填写具体分数，并附上相关证明材料（如演练记录、培训照片、反馈意见等）。</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3.考核表可根据实际情况进行调整和优化，确保全面、客观地评价供应商的服务质量。</w:t>
      </w:r>
      <w:r/>
    </w:p>
    <w:p>
      <w:pPr>
        <w:keepLines w:val="0"/>
        <w:keepNext w:val="0"/>
        <w:pageBreakBefore w:val="0"/>
        <w:spacing w:line="360" w:lineRule="auto"/>
        <w:widowControl w:val="off"/>
        <w:rPr>
          <w:rFonts w:hint="default" w:ascii="宋体" w:hAnsi="宋体" w:eastAsia="宋体" w:cs="宋体"/>
          <w:sz w:val="21"/>
          <w:szCs w:val="21"/>
          <w:highlight w:val="none"/>
          <w:lang w:val="en-US" w:eastAsia="zh-CN" w:bidi="ar-SA"/>
        </w:rPr>
        <w:outlineLvl w:val="9"/>
      </w:pPr>
      <w:r>
        <w:rPr>
          <w:rFonts w:hint="eastAsia" w:ascii="宋体" w:hAnsi="宋体" w:eastAsia="宋体" w:cs="宋体"/>
          <w:sz w:val="24"/>
          <w:szCs w:val="24"/>
          <w:highlight w:val="none"/>
          <w:lang w:val="en-US" w:eastAsia="zh-CN"/>
        </w:rPr>
        <w:t xml:space="preserve">4.如考核结果达到基准分90分（含），则本年度服务费全得；如得分低于90分（不含），每低于基准分一分扣除本年度</w:t>
      </w:r>
      <w:r>
        <w:rPr>
          <w:rFonts w:hint="eastAsia" w:ascii="宋体" w:hAnsi="宋体" w:cs="宋体"/>
          <w:sz w:val="24"/>
          <w:szCs w:val="24"/>
          <w:highlight w:val="none"/>
          <w:lang w:val="en-US" w:eastAsia="zh-CN"/>
        </w:rPr>
        <w:t xml:space="preserve">服务</w:t>
      </w:r>
      <w:r>
        <w:rPr>
          <w:rFonts w:hint="eastAsia" w:ascii="宋体" w:hAnsi="宋体" w:eastAsia="宋体" w:cs="宋体"/>
          <w:sz w:val="24"/>
          <w:szCs w:val="24"/>
          <w:highlight w:val="none"/>
          <w:lang w:val="en-US" w:eastAsia="zh-CN"/>
        </w:rPr>
        <w:t xml:space="preserve">费的0.5%；如得分低于60分（不含），则扣除本年度服务费的20%。</w:t>
      </w:r>
      <w:r>
        <w:rPr>
          <w:rFonts w:hint="default" w:ascii="宋体" w:hAnsi="宋体" w:eastAsia="宋体" w:cs="宋体"/>
          <w:sz w:val="21"/>
          <w:szCs w:val="21"/>
          <w:highlight w:val="none"/>
          <w:lang w:val="en-US" w:eastAsia="zh-CN" w:bidi="ar-SA"/>
        </w:rPr>
        <w:br/>
      </w:r>
      <w:r/>
    </w:p>
    <w:p>
      <w:pPr>
        <w:ind w:firstLine="480"/>
        <w:jc w:val="center"/>
        <w:spacing w:line="288" w:lineRule="auto"/>
        <w:rPr>
          <w:rFonts w:hint="eastAsia" w:hAnsi="宋体"/>
          <w:color w:val="000000"/>
          <w:sz w:val="36"/>
          <w:szCs w:val="36"/>
          <w:highlight w:val="none"/>
        </w:rPr>
      </w:pPr>
      <w:r>
        <w:rPr>
          <w:rFonts w:hint="eastAsia" w:ascii="黑体" w:eastAsia="黑体"/>
          <w:bCs/>
          <w:color w:val="000000"/>
          <w:sz w:val="36"/>
          <w:szCs w:val="36"/>
          <w:highlight w:val="none"/>
        </w:rPr>
        <w:t xml:space="preserve">第</w:t>
      </w:r>
      <w:bookmarkEnd w:id="184"/>
      <w:r>
        <w:rPr>
          <w:rFonts w:hint="eastAsia" w:ascii="黑体" w:eastAsia="黑体"/>
          <w:bCs/>
          <w:color w:val="000000"/>
          <w:sz w:val="36"/>
          <w:szCs w:val="36"/>
          <w:highlight w:val="none"/>
        </w:rPr>
        <w:t xml:space="preserve">四章 采购需求</w:t>
      </w:r>
      <w:bookmarkEnd w:id="185"/>
      <w:r/>
      <w:bookmarkEnd w:id="186"/>
      <w:r/>
      <w:bookmarkEnd w:id="187"/>
      <w:r/>
      <w:r/>
    </w:p>
    <w:p>
      <w:pPr>
        <w:ind w:firstLine="300"/>
        <w:jc w:val="left"/>
        <w:spacing w:line="360" w:lineRule="auto"/>
        <w:rPr>
          <w:rFonts w:hint="eastAsia" w:ascii="黑体" w:hAnsi="黑体" w:eastAsia="黑体"/>
          <w:color w:val="000000"/>
          <w:sz w:val="30"/>
          <w:szCs w:val="30"/>
          <w:highlight w:val="none"/>
        </w:rPr>
      </w:pPr>
      <w:r/>
      <w:bookmarkStart w:id="190" w:name="_Toc26554093"/>
      <w:r/>
      <w:bookmarkStart w:id="191" w:name="_Toc49090575"/>
      <w:r>
        <w:rPr>
          <w:rFonts w:hint="eastAsia" w:ascii="黑体" w:hAnsi="黑体" w:eastAsia="黑体"/>
          <w:color w:val="000000"/>
          <w:sz w:val="30"/>
          <w:szCs w:val="30"/>
          <w:highlight w:val="none"/>
        </w:rPr>
        <w:t xml:space="preserve">本项目属性：服务类项目</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本项目标的物所</w:t>
      </w:r>
      <w:r>
        <w:rPr>
          <w:rFonts w:hint="eastAsia" w:ascii="宋体" w:hAnsi="宋体"/>
          <w:color w:val="000000"/>
          <w:sz w:val="24"/>
          <w:szCs w:val="24"/>
          <w:highlight w:val="none"/>
        </w:rPr>
        <w:t xml:space="preserve">属行业：</w:t>
      </w:r>
      <w:r>
        <w:rPr>
          <w:rFonts w:hint="eastAsia" w:ascii="宋体" w:hAnsi="宋体" w:cs="宋体"/>
          <w:bCs/>
          <w:sz w:val="24"/>
          <w:highlight w:val="none"/>
        </w:rPr>
        <w:t xml:space="preserve">其他未列明行业</w:t>
      </w:r>
      <w:r/>
    </w:p>
    <w:p>
      <w:pPr>
        <w:numPr>
          <w:ilvl w:val="0"/>
          <w:numId w:val="7"/>
        </w:numPr>
        <w:ind w:left="481" w:firstLine="0"/>
        <w:jc w:val="both"/>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项目技术要求</w:t>
      </w:r>
      <w:r/>
    </w:p>
    <w:p>
      <w:pPr>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一、</w:t>
      </w:r>
      <w:r>
        <w:rPr>
          <w:rFonts w:hint="eastAsia" w:ascii="宋体" w:hAnsi="宋体" w:eastAsia="宋体" w:cs="宋体"/>
          <w:b/>
          <w:bCs w:val="0"/>
          <w:color w:val="000000"/>
          <w:sz w:val="24"/>
          <w:szCs w:val="24"/>
          <w:highlight w:val="none"/>
        </w:rPr>
        <w:t xml:space="preserve">项目背景</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bookmarkStart w:id="192" w:name="_Toc23416"/>
      <w:r>
        <w:rPr>
          <w:rFonts w:hint="eastAsia" w:ascii="宋体" w:hAnsi="宋体" w:eastAsia="宋体" w:cs="宋体"/>
          <w:bCs/>
          <w:color w:val="000000"/>
          <w:sz w:val="24"/>
          <w:szCs w:val="24"/>
          <w:highlight w:val="none"/>
        </w:rPr>
        <w:t xml:space="preserve">因</w:t>
      </w:r>
      <w:r>
        <w:rPr>
          <w:rFonts w:hint="eastAsia" w:ascii="宋体" w:hAnsi="宋体" w:eastAsia="宋体" w:cs="宋体"/>
          <w:bCs/>
          <w:color w:val="000000"/>
          <w:sz w:val="24"/>
          <w:szCs w:val="24"/>
          <w:highlight w:val="none"/>
        </w:rPr>
        <w:t xml:space="preserve">无锡市</w:t>
      </w:r>
      <w:r>
        <w:rPr>
          <w:rFonts w:hint="eastAsia" w:ascii="宋体" w:hAnsi="宋体" w:cs="宋体"/>
          <w:bCs/>
          <w:color w:val="000000"/>
          <w:sz w:val="24"/>
          <w:szCs w:val="24"/>
          <w:highlight w:val="none"/>
          <w:lang w:val="en-US" w:eastAsia="zh-CN"/>
        </w:rPr>
        <w:t xml:space="preserve">新吴</w:t>
      </w:r>
      <w:r>
        <w:rPr>
          <w:rFonts w:hint="eastAsia" w:ascii="宋体" w:hAnsi="宋体" w:eastAsia="宋体" w:cs="宋体"/>
          <w:bCs/>
          <w:color w:val="000000"/>
          <w:sz w:val="24"/>
          <w:szCs w:val="24"/>
          <w:highlight w:val="none"/>
        </w:rPr>
        <w:t xml:space="preserve">区</w:t>
      </w:r>
      <w:r>
        <w:rPr>
          <w:rFonts w:hint="eastAsia" w:ascii="宋体" w:hAnsi="宋体" w:eastAsia="宋体" w:cs="宋体"/>
          <w:bCs/>
          <w:color w:val="000000"/>
          <w:sz w:val="24"/>
          <w:szCs w:val="24"/>
          <w:highlight w:val="none"/>
          <w:lang w:val="en-US" w:eastAsia="zh-CN"/>
        </w:rPr>
        <w:t xml:space="preserve">华庄街道</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管理需要，所管辖</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（1）华庄社区华憬佳园97台电梯；（2）禾塘社区水乡苑二区四区102台电梯；（3）华新社区凯发苑三期五期60台电梯</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梯龄已十余年，电梯使用及安全管理面临管理难度大、缺乏专业有效的管理手段、机械配件维修更换成本逐年增高等痛点问题。为确保居民日常出行的安全乘梯，无锡市</w:t>
      </w:r>
      <w:r>
        <w:rPr>
          <w:rFonts w:hint="eastAsia" w:ascii="宋体" w:hAnsi="宋体" w:cs="宋体"/>
          <w:bCs/>
          <w:color w:val="000000"/>
          <w:sz w:val="24"/>
          <w:szCs w:val="24"/>
          <w:highlight w:val="none"/>
          <w:lang w:val="en-US" w:eastAsia="zh-CN"/>
        </w:rPr>
        <w:t xml:space="preserve">新吴</w:t>
      </w:r>
      <w:r>
        <w:rPr>
          <w:rFonts w:hint="eastAsia" w:ascii="宋体" w:hAnsi="宋体" w:eastAsia="宋体" w:cs="宋体"/>
          <w:bCs/>
          <w:color w:val="000000"/>
          <w:sz w:val="24"/>
          <w:szCs w:val="24"/>
          <w:highlight w:val="none"/>
        </w:rPr>
        <w:t xml:space="preserve">区</w:t>
      </w:r>
      <w:r>
        <w:rPr>
          <w:rFonts w:hint="eastAsia" w:ascii="宋体" w:hAnsi="宋体" w:eastAsia="宋体" w:cs="宋体"/>
          <w:bCs/>
          <w:color w:val="000000"/>
          <w:sz w:val="24"/>
          <w:szCs w:val="24"/>
          <w:highlight w:val="none"/>
          <w:lang w:val="en-US" w:eastAsia="zh-CN"/>
        </w:rPr>
        <w:t xml:space="preserve">华庄街道</w:t>
      </w:r>
      <w:r>
        <w:rPr>
          <w:rFonts w:hint="eastAsia" w:ascii="宋体" w:hAnsi="宋体" w:eastAsia="宋体" w:cs="宋体"/>
          <w:bCs/>
          <w:color w:val="000000"/>
          <w:sz w:val="24"/>
          <w:szCs w:val="24"/>
          <w:highlight w:val="none"/>
        </w:rPr>
        <w:t xml:space="preserve">拟通过推动发展电梯责任保险，优化发展“保险+服务”新模式，发挥保险的事故赔偿和风险预防作用，促进电梯使用管理和维保水平提升。</w:t>
      </w:r>
      <w:bookmarkEnd w:id="192"/>
      <w:r>
        <w:rPr>
          <w:rFonts w:hint="eastAsia" w:ascii="宋体" w:hAnsi="宋体" w:eastAsia="宋体" w:cs="宋体"/>
          <w:bCs/>
          <w:color w:val="000000"/>
          <w:sz w:val="24"/>
          <w:szCs w:val="24"/>
          <w:highlight w:val="none"/>
        </w:rPr>
        <w:t xml:space="preserve">现采用公开招标方式选聘第三方服务机构开展电梯“保险+服务”项目工作。</w:t>
      </w:r>
      <w:r/>
    </w:p>
    <w:p>
      <w:pPr>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二、</w:t>
      </w:r>
      <w:r>
        <w:rPr>
          <w:rFonts w:hint="eastAsia" w:ascii="宋体" w:hAnsi="宋体" w:eastAsia="宋体" w:cs="宋体"/>
          <w:b/>
          <w:bCs w:val="0"/>
          <w:color w:val="000000"/>
          <w:sz w:val="24"/>
          <w:szCs w:val="24"/>
          <w:highlight w:val="none"/>
        </w:rPr>
        <w:t xml:space="preserve">项目概况</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1.项目地点：</w:t>
      </w:r>
      <w:r>
        <w:rPr>
          <w:rFonts w:hint="eastAsia" w:ascii="宋体" w:hAnsi="宋体" w:eastAsia="宋体" w:cs="宋体"/>
          <w:bCs/>
          <w:color w:val="000000"/>
          <w:sz w:val="24"/>
          <w:szCs w:val="24"/>
          <w:highlight w:val="none"/>
          <w:lang w:val="en-US" w:eastAsia="zh-CN"/>
        </w:rPr>
        <w:t xml:space="preserve">华庄社区华憬佳园、禾塘社区水乡苑二区四区、华新社区凯发苑三期五期</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2.实施对象：</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标段一：华庄街道华憬佳园电梯综合保险服务（97台）；</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标段二：华庄街道水乡苑二区四区电梯综合保险服务（102台电梯）；</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标段三：华庄街道凯发苑三期五期电梯综合保险服务（60台电梯）；</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3.服务期：</w:t>
      </w: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lang w:val="zh-CN"/>
        </w:rPr>
        <w:t xml:space="preserve">年</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4.服务目标：对</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（1）华庄社区华憬佳园97台电梯；（2）禾塘社区水乡苑二区四区102台电梯；（3）华新社区凯发苑三期五期60台电梯</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电梯保险，并保证设备安全正常运行，保障年审检验合格通过。</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5.项目需求：</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本次采用保险+服务的模式，对</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（1）华庄社区华憬佳园97台电梯；（2）禾塘社区水乡苑二区四区102台电梯；（3）华新社区凯发苑三期五期60台电梯</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电梯设备进行包括但不限于日常巡查、维护保养、维修、</w:t>
      </w:r>
      <w:r>
        <w:rPr>
          <w:rFonts w:hint="eastAsia" w:ascii="宋体" w:hAnsi="宋体" w:eastAsia="宋体" w:cs="宋体"/>
          <w:bCs/>
          <w:color w:val="000000"/>
          <w:sz w:val="24"/>
          <w:szCs w:val="24"/>
          <w:highlight w:val="none"/>
          <w:lang w:val="en-US" w:eastAsia="zh-CN"/>
        </w:rPr>
        <w:t xml:space="preserve">年检、</w:t>
      </w:r>
      <w:r>
        <w:rPr>
          <w:rFonts w:hint="eastAsia" w:ascii="宋体" w:hAnsi="宋体" w:eastAsia="宋体" w:cs="宋体"/>
          <w:bCs/>
          <w:color w:val="000000"/>
          <w:sz w:val="24"/>
          <w:szCs w:val="24"/>
          <w:highlight w:val="none"/>
        </w:rPr>
        <w:t xml:space="preserve">应急演练、安全培训宣传、保险服务。</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具体包括：</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第一部分：第三者责任保险</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（1）人身伤亡或财产损失赔偿：因电梯发生意外事故，造成乘梯人员人身伤亡或财产损失，保险人按照保险合同约定负责赔偿。</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（2）人员滞留赔偿：因电梯发生意外事故，虽未造成人身伤亡但导致乘梯人员在电梯内滞留超过约定时间，保险人按照保险合同约定赔偿标准给予赔偿。</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en-US"/>
        </w:rPr>
        <w:outlineLvl w:val="9"/>
      </w:pPr>
      <w:r>
        <w:rPr>
          <w:rFonts w:hint="eastAsia" w:ascii="宋体" w:hAnsi="宋体" w:eastAsia="宋体" w:cs="宋体"/>
          <w:bCs/>
          <w:color w:val="000000"/>
          <w:sz w:val="24"/>
          <w:szCs w:val="24"/>
          <w:highlight w:val="none"/>
        </w:rPr>
        <w:t xml:space="preserve">第二部分：</w:t>
      </w:r>
      <w:r>
        <w:rPr>
          <w:rFonts w:hint="eastAsia" w:ascii="宋体" w:hAnsi="宋体" w:eastAsia="宋体" w:cs="宋体"/>
          <w:sz w:val="24"/>
          <w:szCs w:val="24"/>
          <w:highlight w:val="none"/>
          <w:lang w:val="en-US" w:eastAsia="en-US"/>
        </w:rPr>
        <w:t xml:space="preserve">电梯维修费用</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en-US"/>
        </w:rPr>
        <w:outlineLvl w:val="9"/>
      </w:pPr>
      <w:r>
        <w:rPr>
          <w:rFonts w:hint="eastAsia" w:ascii="宋体" w:hAnsi="宋体" w:eastAsia="宋体" w:cs="宋体"/>
          <w:sz w:val="24"/>
          <w:szCs w:val="24"/>
          <w:highlight w:val="none"/>
          <w:lang w:val="en-US" w:eastAsia="en-US"/>
        </w:rPr>
        <w:t xml:space="preserve">保证电梯安全运行所实际支出的相关费用，包括：</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en-US"/>
        </w:rPr>
        <w:outlineLvl w:val="9"/>
      </w:pPr>
      <w:r>
        <w:rPr>
          <w:rFonts w:hint="eastAsia" w:ascii="宋体" w:hAnsi="宋体" w:eastAsia="宋体" w:cs="宋体"/>
          <w:sz w:val="24"/>
          <w:szCs w:val="24"/>
          <w:highlight w:val="none"/>
          <w:lang w:val="en-US" w:eastAsia="en-US"/>
        </w:rPr>
        <w:t xml:space="preserve">（1）被保险电梯存在安全事故隐患或发生故障产生的维修费用，以上费用包括零配件费用、维修费用、人工费用、安全检验费用、重置费用、现场安装调试达到正常可使用状态产生的费用和其他必要且合理的费用。</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sz w:val="24"/>
          <w:szCs w:val="24"/>
          <w:highlight w:val="none"/>
          <w:lang w:val="en-US" w:eastAsia="en-US"/>
        </w:rPr>
        <w:t xml:space="preserve">（2）由于潜在/存在安全隐患，为保证电梯安全运行所实际支出的费用</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en-US"/>
        </w:rPr>
        <w:t xml:space="preserve">包含维护保养费用、安全检验检测等费用</w:t>
      </w:r>
      <w:r>
        <w:rPr>
          <w:rFonts w:hint="eastAsia" w:ascii="宋体" w:hAnsi="宋体" w:cs="宋体"/>
          <w:sz w:val="24"/>
          <w:szCs w:val="24"/>
          <w:highlight w:val="none"/>
          <w:lang w:val="en-US" w:eastAsia="zh-CN"/>
        </w:rPr>
        <w:t xml:space="preserve">）</w:t>
      </w:r>
      <w:r>
        <w:rPr>
          <w:rFonts w:hint="eastAsia" w:ascii="宋体" w:hAnsi="宋体" w:eastAsia="宋体" w:cs="宋体"/>
          <w:bCs/>
          <w:color w:val="000000"/>
          <w:sz w:val="24"/>
          <w:szCs w:val="24"/>
          <w:highlight w:val="none"/>
        </w:rPr>
        <w:t xml:space="preserve">。</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第三部分：专业技术服务</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组织电梯安全运营专业管理技术力量，委托专业机构提供电梯安全专业技术服务。建立电梯使用日常巡查制度，加强电梯日常运行安全管理；建立电梯维保质量巡查制度，推动维保单位提高电梯维修质量；负责电梯风险管理和事故隐患排查，促进双重预防体系运行；开展“老旧电梯”安全评估，及时消除电梯安全隐患；建立电梯严重隐患向市场监管部门告知制度；每年度按片区应组织相应电梯事故应急急救处置、应急演练不少于2次；每年组织电梯安全知识宣传、教育和培训等服务不少于2次。</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6.承保方案</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第一部分：电梯安全责任保险</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（1）第三者责任：</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每梯每次累计事故赔偿限额1000万元</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（含人身伤亡或财产损失）；</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每人每次事故死亡及伤残赔偿限额100万元</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（其中含每人每次事故医疗费用赔偿限额10万元）；</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每次事故财产损失赔偿限额3万元。</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第二部分：电梯维修费用</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每台电梯累计责任限额10万元</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7.下列原因造成的损失不在保险责任范围内，但承保人应对其造成的故障或损坏按规定时间及时响应维修，确保正常使用。除不可抗力外、</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相关损失及费用优先向第三方追偿。</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（1）由于人为损坏造成的材料和费用；</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（2）因自然灾害、战争等不可抗力造成的所有材料与费用；</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（3）将原电梯更新为其他电梯的设备和费用。</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8.维保维修服务</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（1）确定电梯维保服务机构。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委托的电梯维保服务机构应具有相应资质，经招标人同意。中标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及其委托的维保单位应接受和服从招标人管理，否则招标人有权按照合同文件及相关规定进行相应处罚。</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（2）维保服务团队管理要求。</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服务人员必须是维保服务公司正式编制员工，并持有《中华人民共和国特种设备作业人员证》。</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（3）制定维保服务内容。</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要依法依规制定维保服务方案，并安排维保服务单位按照方案为区域内投保电梯提供日常维保服务。</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（4）制定维保服务要求。</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日常维护保养要求符合行业标准，同时应满足国家相关规范及行业主管部门要求。</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（5）制定维修服务方案。</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对于电梯零部件、配件的更换，原则上主要以原品牌、原型号为主，特殊情况如原型号已停产的，需提供替代品技术说明并经招标人同意。</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服务方案包括但不限于有关电梯维修的时效保证、品质保证。</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（6）现场管理要求。</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维保单位在维保作业时，必须按要求在相关区域放置保养专用警示牌；维保单位保养人员在进入机房、轿顶或井道作业完毕后，必须锁好门栓。</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在合同履行期间，因维修、维保作业而与此相关的导致各类安全意外事故责任均由中标人及维保单位自行承担全部责任。</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具备抢修、急修的服务和设备，设立24小时值班电话和值班管理制度；建立报修电话</w:t>
      </w:r>
      <w:r>
        <w:rPr>
          <w:rFonts w:hint="eastAsia" w:ascii="宋体" w:hAnsi="宋体" w:eastAsia="宋体" w:cs="宋体"/>
          <w:bCs/>
          <w:color w:val="000000"/>
          <w:sz w:val="24"/>
          <w:szCs w:val="24"/>
          <w:highlight w:val="none"/>
          <w:lang w:eastAsia="zh-CN"/>
        </w:rPr>
        <w:t xml:space="preserve">登记台账</w:t>
      </w:r>
      <w:r>
        <w:rPr>
          <w:rFonts w:hint="eastAsia" w:ascii="宋体" w:hAnsi="宋体" w:eastAsia="宋体" w:cs="宋体"/>
          <w:bCs/>
          <w:color w:val="000000"/>
          <w:sz w:val="24"/>
          <w:szCs w:val="24"/>
          <w:highlight w:val="none"/>
        </w:rPr>
        <w:t xml:space="preserve">，对电梯发生的故障等情况及时进行详细记录。</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故障处理：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故障处理及时，从电梯维保单位接到报修后不超过30分钟到达现场；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维保人员到达现场后应告知项目管理处开始检修，工作结束后告知项目管理处检修结果；</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一般故障修复不超过1小时，如需购买更换零件的故障，应及时告知项目经理和工程部备案，并张贴停梯通知和检修恢复时间。</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（7）维保服务过程监督。</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保险机构通过自有的人员和平台对电梯维保和维修服务过程进行监控，对于服务过程中发现的问题，提出整改要求，监督维保单位及时整改。</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（8）安全宣传服务。</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保险公司可根据需要制定相关宣传资料向公众宣传电梯安全使用知识，并定期组织投保客户单位安全员进行电梯安全运行培训，减少电梯正常使用过程中发生意外事故的概率。</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（9）年检服务要求。</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保险机构负责按时办理合同约定维保清单内电梯安全年检手续，保证在年检到期前一次性通过特种设备质量监督部门的检验并取得《电梯使用合格证》。</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）电梯安全综合管理平台功能要求：</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1）实现承保电梯项目管理，实现对承保电梯相关单位，人员进行项目分组。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电梯基础数据档案管理，实现电梯基础信息查看、编辑功能。信息至少包含：电梯编号、电梯使用登记证号、在用停用状态、电梯安装位置所属区、街道/乡镇、具体地址、楼栋、单元、使用状态、电梯类别及使用场所。</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3）单位管理：电梯相关使用单位、物业单位、维保单位基础数据录入、查看、编辑功能。</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4）电梯状态：可以通过电梯列表快速查看任意一台电梯实时状态大数据看</w:t>
      </w:r>
      <w:r>
        <w:rPr>
          <w:rFonts w:hint="eastAsia" w:ascii="宋体" w:hAnsi="宋体" w:eastAsia="宋体" w:cs="宋体"/>
          <w:bCs/>
          <w:color w:val="000000"/>
          <w:sz w:val="24"/>
          <w:szCs w:val="24"/>
          <w:highlight w:val="none"/>
        </w:rPr>
        <w:t xml:space="preserve">板，看板信息至少包含电梯基础信息，电梯维保信息，电梯使用频率，电梯30日内维修记录，电梯疲劳度数据（电梯运行楼距离，电梯累计运行时间，电梯运行次数，电梯开关门次数，钢丝绳折弯次数）和电梯实时状态信息。电梯运行状态需要能够监测以下数据项：</w:t>
      </w:r>
      <w:r/>
    </w:p>
    <w:tbl>
      <w:tblPr>
        <w:tblStyle w:val="800"/>
        <w:tblW w:w="8981" w:type="dxa"/>
        <w:jc w:val="center"/>
        <w:tblLayout w:type="fixed"/>
        <w:tblCellMar>
          <w:left w:w="108" w:type="dxa"/>
          <w:top w:w="0" w:type="dxa"/>
          <w:right w:w="108" w:type="dxa"/>
          <w:bottom w:w="0" w:type="dxa"/>
        </w:tblCellMar>
        <w:tblLook w:val="04A0" w:firstRow="1" w:lastRow="0" w:firstColumn="1" w:lastColumn="0" w:noHBand="0" w:noVBand="1"/>
      </w:tblPr>
      <w:tblGrid>
        <w:gridCol w:w="1757"/>
        <w:gridCol w:w="972"/>
        <w:gridCol w:w="2658"/>
        <w:gridCol w:w="3594"/>
      </w:tblGrid>
      <w:tr>
        <w:trPr>
          <w:jc w:val="center"/>
          <w:trHeight w:val="280"/>
        </w:trPr>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数据类型</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属性标识符</w:t>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备注</w:t>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1757" w:type="dxa"/>
            <w:vAlign w:val="center"/>
            <w:vMerge w:val="restart"/>
            <w:textDirection w:val="lrTb"/>
            <w:noWrap w:val="false"/>
          </w:tcPr>
          <w:p>
            <w:pPr>
              <w:ind w:left="0" w:firstLine="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电梯运行状态</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电梯停靠楼层</w:t>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ind w:left="0" w:firstLine="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电梯停靠层站或楼层</w:t>
            </w:r>
            <w:r/>
          </w:p>
        </w:tc>
      </w:tr>
      <w:tr>
        <w:trPr>
          <w:jc w:val="center"/>
          <w:trHeight w:val="801"/>
        </w:trPr>
        <w:tc>
          <w:tcPr>
            <w:tcBorders>
              <w:top w:val="single" w:color="000000" w:sz="4" w:space="0"/>
              <w:left w:val="single" w:color="000000" w:sz="4" w:space="0"/>
              <w:bottom w:val="single" w:color="000000" w:sz="4" w:space="0"/>
              <w:right w:val="single" w:color="000000" w:sz="4" w:space="0"/>
            </w:tcBorders>
            <w:tcW w:w="1757" w:type="dxa"/>
            <w:vAlign w:val="center"/>
            <w:vMerge w:val="continue"/>
            <w:textDirection w:val="lrTb"/>
            <w:noWrap w:val="false"/>
          </w:tcPr>
          <w:p>
            <w:pPr>
              <w:ind w:left="0" w:firstLine="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电梯当前服务模式</w:t>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ind w:left="0" w:firstLine="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正常运行、停止服务、检修服务、维修模式、应急电源启动</w:t>
            </w:r>
            <w:r/>
          </w:p>
        </w:tc>
      </w:tr>
      <w:tr>
        <w:trPr>
          <w:jc w:val="center"/>
          <w:trHeight w:val="471"/>
        </w:trPr>
        <w:tc>
          <w:tcPr>
            <w:tcBorders>
              <w:top w:val="single" w:color="000000" w:sz="4" w:space="0"/>
              <w:left w:val="single" w:color="000000" w:sz="4" w:space="0"/>
              <w:bottom w:val="single" w:color="000000" w:sz="4" w:space="0"/>
              <w:right w:val="single" w:color="000000" w:sz="4" w:space="0"/>
            </w:tcBorders>
            <w:tcW w:w="1757" w:type="dxa"/>
            <w:vAlign w:val="center"/>
            <w:vMerge w:val="continue"/>
            <w:textDirection w:val="lrTb"/>
            <w:noWrap w:val="false"/>
          </w:tcPr>
          <w:p>
            <w:pPr>
              <w:ind w:left="0" w:firstLine="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轿厢运行状态</w:t>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ind w:left="0" w:firstLine="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停止、运行</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757" w:type="dxa"/>
            <w:vAlign w:val="center"/>
            <w:vMerge w:val="continue"/>
            <w:textDirection w:val="lrTb"/>
            <w:noWrap w:val="false"/>
          </w:tcPr>
          <w:p>
            <w:pPr>
              <w:ind w:left="0" w:firstLine="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轿厢运行方向</w:t>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ind w:left="0" w:firstLine="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无方向、上行、下行</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757" w:type="dxa"/>
            <w:vAlign w:val="center"/>
            <w:vMerge w:val="continue"/>
            <w:textDirection w:val="lrTb"/>
            <w:noWrap w:val="false"/>
          </w:tcPr>
          <w:p>
            <w:pPr>
              <w:ind w:left="0" w:firstLine="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采集开锁区域</w:t>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ind w:left="0" w:firstLine="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门区、上门区、下门区、非门区</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1757" w:type="dxa"/>
            <w:vAlign w:val="center"/>
            <w:vMerge w:val="continue"/>
            <w:textDirection w:val="lrTb"/>
            <w:noWrap w:val="false"/>
          </w:tcPr>
          <w:p>
            <w:pPr>
              <w:ind w:left="0" w:firstLine="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658"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采集轿门状态</w:t>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ind w:left="0" w:firstLine="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正在关门、关门到位、正在开门、开门到位、门锁锁止</w:t>
            </w:r>
            <w:r/>
          </w:p>
        </w:tc>
      </w:tr>
    </w:tbl>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5）自动检测电梯故障，第一时间向维修人员和乙方工程师发送维修通知，分析电梯故障原因，记录电梯故障时间，记录电梯修复时间，记录每一台电梯故障次数，故障识别必须能够识别以下故障：</w:t>
      </w:r>
      <w:r/>
    </w:p>
    <w:tbl>
      <w:tblPr>
        <w:tblStyle w:val="800"/>
        <w:tblW w:w="0" w:type="auto"/>
        <w:jc w:val="center"/>
        <w:tblLayout w:type="fixed"/>
        <w:tblCellMar>
          <w:left w:w="108" w:type="dxa"/>
          <w:top w:w="0" w:type="dxa"/>
          <w:right w:w="108" w:type="dxa"/>
          <w:bottom w:w="0" w:type="dxa"/>
        </w:tblCellMar>
        <w:tblLook w:val="04A0" w:firstRow="1" w:lastRow="0" w:firstColumn="1" w:lastColumn="0" w:noHBand="0" w:noVBand="1"/>
      </w:tblPr>
      <w:tblGrid>
        <w:gridCol w:w="2215"/>
        <w:gridCol w:w="1220"/>
        <w:gridCol w:w="4982"/>
      </w:tblGrid>
      <w:tr>
        <w:trPr>
          <w:jc w:val="center"/>
          <w:trHeight w:val="321"/>
        </w:trPr>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数据类型</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属性标识符</w:t>
            </w:r>
            <w:r/>
          </w:p>
        </w:tc>
      </w:tr>
      <w:tr>
        <w:trPr>
          <w:jc w:val="center"/>
          <w:trHeight w:val="478"/>
        </w:trPr>
        <w:tc>
          <w:tcPr>
            <w:tcBorders>
              <w:top w:val="single" w:color="000000" w:sz="4" w:space="0"/>
              <w:left w:val="single" w:color="000000" w:sz="4" w:space="0"/>
              <w:bottom w:val="single" w:color="000000" w:sz="4" w:space="0"/>
              <w:right w:val="single" w:color="000000" w:sz="4" w:space="0"/>
            </w:tcBorders>
            <w:tcW w:w="2215" w:type="dxa"/>
            <w:vAlign w:val="center"/>
            <w:vMerge w:val="restart"/>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电梯严重故障</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非平层停车故障</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221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冲顶故障运</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221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蹲底故障</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221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主电源故障</w:t>
            </w:r>
            <w:r/>
          </w:p>
        </w:tc>
      </w:tr>
      <w:tr>
        <w:trPr>
          <w:jc w:val="center"/>
          <w:trHeight w:val="321"/>
        </w:trPr>
        <w:tc>
          <w:tcPr>
            <w:tcBorders>
              <w:top w:val="none" w:color="000000" w:sz="4" w:space="0"/>
              <w:left w:val="single" w:color="000000" w:sz="4" w:space="0"/>
              <w:bottom w:val="single" w:color="000000" w:sz="4" w:space="0"/>
              <w:right w:val="single" w:color="000000" w:sz="4" w:space="0"/>
            </w:tcBorders>
            <w:tcW w:w="2215" w:type="dxa"/>
            <w:vAlign w:val="center"/>
            <w:vMerge w:val="restart"/>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电梯隐患</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电动机运转时限制器动作</w:t>
            </w:r>
            <w:r/>
          </w:p>
        </w:tc>
      </w:tr>
      <w:tr>
        <w:trPr>
          <w:jc w:val="center"/>
          <w:trHeight w:val="321"/>
        </w:trPr>
        <w:tc>
          <w:tcPr>
            <w:tcBorders>
              <w:top w:val="none" w:color="000000" w:sz="4" w:space="0"/>
              <w:left w:val="single" w:color="000000" w:sz="4" w:space="0"/>
              <w:bottom w:val="single" w:color="000000" w:sz="4" w:space="0"/>
              <w:right w:val="single" w:color="000000" w:sz="4" w:space="0"/>
            </w:tcBorders>
            <w:tcW w:w="221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电梯运行时安全回路断路</w:t>
            </w:r>
            <w:r/>
          </w:p>
        </w:tc>
      </w:tr>
      <w:tr>
        <w:trPr>
          <w:jc w:val="center"/>
          <w:trHeight w:val="321"/>
        </w:trPr>
        <w:tc>
          <w:tcPr>
            <w:tcBorders>
              <w:top w:val="none" w:color="000000" w:sz="4" w:space="0"/>
              <w:left w:val="single" w:color="000000" w:sz="4" w:space="0"/>
              <w:bottom w:val="single" w:color="000000" w:sz="4" w:space="0"/>
              <w:right w:val="single" w:color="000000" w:sz="4" w:space="0"/>
            </w:tcBorders>
            <w:tcW w:w="221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开门走车</w:t>
            </w:r>
            <w:r/>
          </w:p>
        </w:tc>
      </w:tr>
      <w:tr>
        <w:trPr>
          <w:jc w:val="center"/>
          <w:trHeight w:val="321"/>
        </w:trPr>
        <w:tc>
          <w:tcPr>
            <w:tcBorders>
              <w:top w:val="none" w:color="000000" w:sz="4" w:space="0"/>
              <w:left w:val="single" w:color="000000" w:sz="4" w:space="0"/>
              <w:bottom w:val="single" w:color="000000" w:sz="4" w:space="0"/>
              <w:right w:val="single" w:color="000000" w:sz="4" w:space="0"/>
            </w:tcBorders>
            <w:tcW w:w="221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运行中开门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2215" w:type="dxa"/>
            <w:vAlign w:val="center"/>
            <w:vMerge w:val="restart"/>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电梯待观察隐患</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开门未遂</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221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开门过程超时</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221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关门过程超时</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221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关门受阻超时超次</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221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超时停靠不关门</w:t>
            </w:r>
            <w:r/>
          </w:p>
        </w:tc>
      </w:tr>
      <w:tr>
        <w:trPr>
          <w:jc w:val="center"/>
          <w:trHeight w:val="332"/>
        </w:trPr>
        <w:tc>
          <w:tcPr>
            <w:tcBorders>
              <w:top w:val="single" w:color="000000" w:sz="4" w:space="0"/>
              <w:left w:val="single" w:color="000000" w:sz="4" w:space="0"/>
              <w:bottom w:val="single" w:color="000000" w:sz="4" w:space="0"/>
              <w:right w:val="single" w:color="000000" w:sz="4" w:space="0"/>
            </w:tcBorders>
            <w:tcW w:w="221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反复开关门</w:t>
            </w:r>
            <w:r/>
          </w:p>
        </w:tc>
      </w:tr>
    </w:tbl>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6）物联网设备安装必须满足：</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A.安装位置不影响电梯正常维保和救援作业，不影响已有各类设备设施正常使用和运行。</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B.所有物联网设备及附件不与电梯控制系统及电梯本身数据接口相连接。设备安装时不破坏电梯原有结构。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C.所有设备及附件安装，在安装过程中不得涉及电梯改造，不可对电梯原有部件，线路进行拆卸或重组。即使拆卸后重新复原也不被允许。</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D.井道内不可增加任何连接线。</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E.轿顶加装设备采用落地式安装。设备箱体牢固可靠不晃动。</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7）维保过程远程管理，审核维保单位对电梯的保养工作</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A.每台电梯添加现场维保经理和维保人员，并附加证件</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B.每台电梯记录电梯保养时间，监督电梯时效（30分钟以上）</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C.每台电梯上传保养记录，乙方工程师现场审核</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D.如保养不合格，将退回通知保养人员整改</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8）维修过程远程管理，维保单位对电梯的维修工作</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A.记录维修人员到场维修时间和电梯修复时间</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B.维修人员上传维修照片，平台上传到乙方电梯管理部门审核</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C.乙方电梯管理部门审核更换部件的质量和功能</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D.乙方工程师审核维修人员的维修时效</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每月可形成多项报告，并提供下载功能</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A.电梯运行报告</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B.电梯保养报告</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C.电梯维修报告</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9.本项目保险机构</w:t>
      </w:r>
      <w:r>
        <w:rPr>
          <w:rFonts w:hint="eastAsia" w:ascii="宋体" w:hAnsi="宋体" w:eastAsia="宋体" w:cs="宋体"/>
          <w:bCs/>
          <w:color w:val="000000"/>
          <w:sz w:val="24"/>
          <w:szCs w:val="24"/>
          <w:highlight w:val="none"/>
          <w:lang w:val="en-US" w:eastAsia="zh-CN"/>
        </w:rPr>
        <w:t xml:space="preserve">每个标段</w:t>
      </w:r>
      <w:r>
        <w:rPr>
          <w:rFonts w:hint="eastAsia" w:ascii="宋体" w:hAnsi="宋体" w:eastAsia="宋体" w:cs="宋体"/>
          <w:bCs/>
          <w:color w:val="000000"/>
          <w:sz w:val="24"/>
          <w:szCs w:val="24"/>
          <w:highlight w:val="none"/>
        </w:rPr>
        <w:t xml:space="preserve">最终选择1家，选择技术水平高、服务水平高、履约能力强的单位。具体要求有：保险机构制定可行的项目整体实施计划，包括提出服务工作的整体思路，主要工作内容及阶段安排等内容。保险机构制定合理的理赔服务方案，配置本项目服务团队人员的资质、规模、经验等综合实力强，服务承诺可行。</w:t>
      </w:r>
      <w:r/>
    </w:p>
    <w:p>
      <w:pPr>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三、投标报价</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1.最高限价：582.75万元</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标段一：218.25万元</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标段二：229.5万元</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标段三：135万元</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2.保费按保险年度支付。</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投标人自行踏勘现场，评估了解电梯状况后进行合理报价，中标后不得以任何理由要求额外增加费用。</w:t>
      </w:r>
      <w:r/>
    </w:p>
    <w:p>
      <w:pPr>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rPr>
        <w:t xml:space="preserve">四、保费支付方式</w:t>
      </w:r>
      <w:r>
        <w:rPr>
          <w:rFonts w:hint="eastAsia" w:ascii="宋体" w:hAnsi="宋体" w:cs="宋体"/>
          <w:b/>
          <w:bCs/>
          <w:sz w:val="24"/>
          <w:szCs w:val="24"/>
          <w:highlight w:val="none"/>
          <w:lang w:val="en-US" w:eastAsia="zh-CN"/>
        </w:rPr>
        <w:t xml:space="preserve">与退费</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1.支付方式：</w:t>
      </w:r>
      <w:r>
        <w:rPr>
          <w:rFonts w:hint="eastAsia" w:ascii="宋体" w:hAnsi="宋体" w:eastAsia="宋体" w:cs="宋体"/>
          <w:bCs/>
          <w:sz w:val="24"/>
          <w:szCs w:val="24"/>
          <w:highlight w:val="none"/>
        </w:rPr>
        <w:t xml:space="preserve">投保人于合同签订并生效后将首批实际投保电梯的年度总保费的30%支付给保险人。</w:t>
      </w:r>
      <w:r>
        <w:rPr>
          <w:rFonts w:hint="eastAsia" w:ascii="宋体" w:hAnsi="宋体" w:eastAsia="宋体" w:cs="宋体"/>
          <w:bCs/>
          <w:color w:val="000000"/>
          <w:sz w:val="24"/>
          <w:szCs w:val="24"/>
          <w:highlight w:val="none"/>
        </w:rPr>
        <w:t xml:space="preserve">中标单位在中标签订合同后一周内，出具保险范围内的全年保单。保单内容不得实质性违背本项目招投标文件及合同约定。</w:t>
      </w:r>
      <w:r>
        <w:rPr>
          <w:rFonts w:hint="eastAsia" w:ascii="宋体" w:hAnsi="宋体" w:eastAsia="宋体" w:cs="宋体"/>
          <w:bCs/>
          <w:sz w:val="24"/>
          <w:szCs w:val="24"/>
          <w:highlight w:val="none"/>
        </w:rPr>
        <w:t xml:space="preserve">剩余70%的年度保费在年度项目履约验收后根据考核结果支付给保险人。</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.因维护不当等原因造成的各类行政处罚费用均由中标单位承担。</w:t>
      </w:r>
      <w:r/>
    </w:p>
    <w:p>
      <w:pPr>
        <w:numPr>
          <w:ilvl w:val="0"/>
          <w:numId w:val="0"/>
        </w:numPr>
        <w:ind w:firstLine="480"/>
        <w:keepLines w:val="0"/>
        <w:keepNext w:val="0"/>
        <w:pageBreakBefore w:val="0"/>
        <w:spacing w:line="360" w:lineRule="auto"/>
        <w:widowControl w:val="off"/>
        <w:rPr>
          <w:rFonts w:hint="eastAsia" w:ascii="宋体" w:hAnsi="宋体" w:eastAsia="宋体" w:cs="宋体"/>
          <w:b/>
          <w:bCs/>
          <w:sz w:val="24"/>
          <w:szCs w:val="24"/>
          <w:highlight w:val="none"/>
          <w:lang w:eastAsia="en-US"/>
        </w:rPr>
        <w:outlineLvl w:val="9"/>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保险退费</w:t>
      </w:r>
      <w:r>
        <w:rPr>
          <w:rFonts w:hint="eastAsia" w:ascii="宋体" w:hAnsi="宋体" w:cs="宋体"/>
          <w:sz w:val="24"/>
          <w:szCs w:val="24"/>
          <w:highlight w:val="none"/>
          <w:lang w:val="en-US" w:eastAsia="zh-CN"/>
        </w:rPr>
        <w:t xml:space="preserve">方式：</w:t>
      </w:r>
      <w:r>
        <w:rPr>
          <w:rFonts w:hint="eastAsia" w:ascii="宋体" w:hAnsi="宋体" w:eastAsia="宋体" w:cs="宋体"/>
          <w:sz w:val="24"/>
          <w:szCs w:val="24"/>
          <w:highlight w:val="none"/>
          <w:lang w:val="en-US" w:eastAsia="zh-CN"/>
        </w:rPr>
        <w:t xml:space="preserve">投保电梯发生整机拆除更换工程的，投保人有权就对应出险电梯单项保险向保险人申请办理该台电梯保险退保手续。退保生效起算日期统一按电梯整机更换施工工期中间月份的首日核定；保费结算计费期间自前述退保起始日起算至本保单保险期限届满之日止，退保保费按照保单剩余有效承保实际天数据实核算、一次性退还投保人。</w:t>
      </w:r>
      <w:r/>
    </w:p>
    <w:p>
      <w:pPr>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rPr>
        <w:t xml:space="preserve">五、相关服务</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1.中标单位对本采购项目设立专项服务小组，负责按照本次保险的有关要求为各被保险人提供承保、理赔及其他各类保险服务，包括必要的组织与协调工作。</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2.理赔服务</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（1）采购人应协助中标单位收取理赔材料，中标单位指派专人负责定期至采购人处受理被保险单位理赔事项，确保理赔环节的高效畅通；</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（2）中标单位应在受理被保险单位理赔事项后的三十个工作日内完成赔付。</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3.本项目中标单位如为小型、微型企业，不得分包或转包给大型、中型企业，中型企业不得分包或转包给大型企业。</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4.中标单位应按主管部门或采购人或电梯年检要求提供相应的资料。</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5.电梯因故障或事故</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责任定性后，保险机构应立即组织维保单位进行电梯维修，保证电梯正常运行。</w:t>
      </w:r>
      <w:r/>
    </w:p>
    <w:p>
      <w:pPr>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rPr>
        <w:t xml:space="preserve">六、综合说明</w:t>
      </w:r>
      <w:r>
        <w:rPr>
          <w:rFonts w:hint="eastAsia" w:ascii="宋体" w:hAnsi="宋体" w:eastAsia="宋体" w:cs="宋体"/>
          <w:b/>
          <w:bCs w:val="0"/>
          <w:color w:val="000000"/>
          <w:sz w:val="24"/>
          <w:szCs w:val="24"/>
          <w:highlight w:val="none"/>
          <w:lang w:eastAsia="zh-CN"/>
        </w:rPr>
        <w:t xml:space="preserve">及其他</w:t>
      </w:r>
      <w:r>
        <w:rPr>
          <w:rFonts w:hint="eastAsia" w:ascii="宋体" w:hAnsi="宋体" w:eastAsia="宋体" w:cs="宋体"/>
          <w:b/>
          <w:bCs w:val="0"/>
          <w:color w:val="000000"/>
          <w:sz w:val="24"/>
          <w:szCs w:val="24"/>
          <w:highlight w:val="none"/>
        </w:rPr>
        <w:t xml:space="preserve">要求</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.投标人须制定详细的服务方案。</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.投标人必须承诺招标文件中提出的全部服务要求，如果其中某些条款不响应时，应在文件中逐条列出，未列出的视同响应。</w:t>
      </w:r>
      <w:r/>
    </w:p>
    <w:p>
      <w:pPr>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七、承保电梯清单</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标段一： 华庄街道华憬佳园电梯综合保险服务97台，</w:t>
      </w:r>
      <w:r>
        <w:rPr>
          <w:rFonts w:hint="eastAsia" w:ascii="宋体" w:hAnsi="宋体" w:eastAsia="宋体" w:cs="宋体"/>
          <w:bCs/>
          <w:color w:val="000000"/>
          <w:sz w:val="24"/>
          <w:szCs w:val="24"/>
          <w:highlight w:val="none"/>
        </w:rPr>
        <w:t xml:space="preserve">具体如下表：</w:t>
      </w:r>
      <w:r/>
    </w:p>
    <w:tbl>
      <w:tblPr>
        <w:tblStyle w:val="800"/>
        <w:tblpPr w:horzAnchor="page" w:tblpX="1732" w:vertAnchor="text" w:tblpY="453" w:leftFromText="180" w:topFromText="0" w:rightFromText="180" w:bottomFromText="0"/>
        <w:tblW w:w="9262" w:type="dxa"/>
        <w:tblInd w:w="0" w:type="dxa"/>
        <w:tblLayout w:type="fixed"/>
        <w:tblCellMar>
          <w:left w:w="108" w:type="dxa"/>
          <w:top w:w="0" w:type="dxa"/>
          <w:right w:w="108" w:type="dxa"/>
          <w:bottom w:w="0" w:type="dxa"/>
        </w:tblCellMar>
        <w:tblLook w:val="04A0" w:firstRow="1" w:lastRow="0" w:firstColumn="1" w:lastColumn="0" w:noHBand="0" w:noVBand="1"/>
      </w:tblPr>
      <w:tblGrid>
        <w:gridCol w:w="646"/>
        <w:gridCol w:w="2388"/>
        <w:gridCol w:w="1320"/>
        <w:gridCol w:w="1176"/>
        <w:gridCol w:w="1695"/>
        <w:gridCol w:w="1053"/>
        <w:gridCol w:w="984"/>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梯号</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层站</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速度（m/s）</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载重（kg）</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年份</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华憬佳园1#右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华憬佳园1#左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华憬佳园2#右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华憬佳园2#左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华憬佳园3#右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华憬佳园3#左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华憬佳园4#右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华憬佳园4#左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华憬佳园5#右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华憬佳园5#左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华憬佳园6#右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华憬佳园6#左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华憬佳园8#右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华憬佳园8#左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华憬佳园9#右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华憬佳园9#左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华憬佳园10#右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华憬佳园10#左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华憬佳园11#右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华憬佳园11#左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华憬佳园12#右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华憬佳园12#左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华憬佳园15#右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华憬佳园15#左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华憬佳园16#右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华憬佳园16#左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华憬佳园17#右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华憬佳园17#左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华憬佳园18#右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华憬佳园18#左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华憬佳园19#右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华憬佳园19#左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华憬佳园22#右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华憬佳园22#左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华憬佳园23#右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华憬佳园23#左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华憬佳园25#右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华憬佳园25#左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华憬佳园26#右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华憬佳园26#左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华憬佳园27#右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华憬佳园27#左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华憬佳园28#右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华憬佳园28#左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华憬佳园29#右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华憬佳园29#左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华憬佳园30#右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华憬佳园30#左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华憬佳园31#右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华憬佳园31#左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华憬佳园32#右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华憬佳园32#左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华憬佳园33#右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华憬佳园33#左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华憬佳园34#右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华憬佳园34#左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华憬佳园35#右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华憬佳园35#左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华憬佳园36#右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华憬佳园36#左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华憬佳园38#右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华憬佳园38#左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华憬佳园39#右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华憬佳园39#左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华憬佳园40#右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华憬佳园40#左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华憬佳园42#右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华憬佳园42#左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华憬佳园43#右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华憬佳园43#左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华憬佳园44#右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华憬佳园44#左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华憬佳园45#右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华憬佳园45#左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华憬佳园50#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快速</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华憬佳园51#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快速</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华憬佳园52#</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快速</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华憬佳园53#</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快速</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华憬佳园54#</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快速</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华憬佳园56#右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快速</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华憬佳园56#左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快速</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华憬佳园58#</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快速</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华憬佳园59#</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快速</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华憬佳园60#右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快速</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华憬佳园60#左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快速</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华憬佳园61#右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快速</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华憬佳园61#左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快速</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华憬佳园65#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快速</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华憬佳园66#</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快速</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华憬佳园67#右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快速</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华憬佳园67#左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快速</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华憬佳园68#右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快速</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华憬佳园68#左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快速</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华憬佳园71#右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快速</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华憬佳园71#左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快速</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华憬佳园72#右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快速</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华憬佳园72#左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快速</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2018</w:t>
            </w:r>
            <w:r/>
          </w:p>
        </w:tc>
      </w:tr>
    </w:tbl>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标段二：华庄街道水乡苑二区四区电梯综合保险服务102台电梯，</w:t>
      </w:r>
      <w:r>
        <w:rPr>
          <w:rFonts w:hint="eastAsia" w:ascii="宋体" w:hAnsi="宋体" w:eastAsia="宋体" w:cs="宋体"/>
          <w:bCs/>
          <w:color w:val="000000"/>
          <w:sz w:val="24"/>
          <w:szCs w:val="24"/>
          <w:highlight w:val="none"/>
        </w:rPr>
        <w:t xml:space="preserve">具体如下表：</w:t>
      </w:r>
      <w:r/>
    </w:p>
    <w:tbl>
      <w:tblPr>
        <w:tblStyle w:val="800"/>
        <w:tblpPr w:horzAnchor="page" w:tblpX="1838" w:vertAnchor="text" w:tblpY="442" w:leftFromText="180" w:topFromText="0" w:rightFromText="180" w:bottomFromText="0"/>
        <w:tblW w:w="8944" w:type="dxa"/>
        <w:tblInd w:w="0" w:type="dxa"/>
        <w:tblLayout w:type="autofit"/>
        <w:tblCellMar>
          <w:left w:w="108" w:type="dxa"/>
          <w:top w:w="0" w:type="dxa"/>
          <w:right w:w="108" w:type="dxa"/>
          <w:bottom w:w="0" w:type="dxa"/>
        </w:tblCellMar>
        <w:tblLook w:val="04A0" w:firstRow="1" w:lastRow="0" w:firstColumn="1" w:lastColumn="0" w:noHBand="0" w:noVBand="1"/>
      </w:tblPr>
      <w:tblGrid>
        <w:gridCol w:w="542"/>
        <w:gridCol w:w="2372"/>
        <w:gridCol w:w="1306"/>
        <w:gridCol w:w="1148"/>
        <w:gridCol w:w="1439"/>
        <w:gridCol w:w="1306"/>
        <w:gridCol w:w="936"/>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梯号</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层站</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速度（m/s）</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载重（kg）</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年份</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水乡苑二区6#右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三菱</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27</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2008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水乡苑二区6#左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三菱</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28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2008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水乡苑二区16#右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三菱</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27</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2008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水乡苑二区16#左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三菱</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28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2008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水乡苑二区23#右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三菱</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27</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2008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水乡苑二区23#左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三菱</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28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2008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水乡苑二区52#</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水乡苑二区53#</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水乡苑二区61#右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水乡苑二区61#左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17</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水乡苑二区62#右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水乡苑二区62#左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17</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水乡苑二区63#右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水乡苑二区63#左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17</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水乡苑二区64#右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水乡苑二区64#左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17</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水乡苑二区65#右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26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水乡苑二区65#左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27</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水乡苑二区66#右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26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水乡苑二区66#左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27</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水乡苑二区67#右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26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水乡苑二区67#左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27</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水乡苑二区68#右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水乡苑二区68#左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水乡苑二区69#右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水乡苑二区69#左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水乡苑二区71#右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水乡苑二区71#左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水乡苑二区72#右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26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水乡苑二区72#左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26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水乡苑二区73#右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26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水乡苑二区73#左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26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水乡苑二区74#右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26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水乡苑二区74#左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26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水乡苑二区75#右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21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水乡苑二区75#左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22</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水乡苑二区76#右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21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水乡苑二区76#左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21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水乡苑二区77#右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21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水乡苑二区77#左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21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水乡苑四区1#右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水乡苑四区1#左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水乡苑四区2#右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水乡苑四区2#左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水乡苑四区3#右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水乡苑四区3#左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水乡苑四区4#右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水乡苑四区4#左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水乡苑四区5#右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水乡苑四区5#左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水乡苑四区6#右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水乡苑四区6#左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水乡苑四区8#右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水乡苑四区8#左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水乡苑四区9#右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水乡苑四区9#左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水乡苑四区10#右梯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水乡苑四区10#左梯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水乡苑四区11#右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水乡苑四区11#左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水乡苑四区12#右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水乡苑四区12#左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水乡苑四区13#右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水乡苑四区13#左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水乡苑四区14#右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水乡苑四区14#左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水乡苑四区15#右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水乡苑四区15#左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水乡苑四区16#右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水乡苑四区16#左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水乡苑四区17#右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水乡苑四区17#左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水乡苑四区18#右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水乡苑四区18#左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水乡苑四区19#右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水乡苑四区19#左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水乡苑四区20#右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水乡苑四区20#左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水乡苑四区21#右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水乡苑四区21#左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水乡苑四区22#右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水乡苑四区22#左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水乡苑四区23#右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水乡苑四区23#左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水乡苑四区24#右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水乡苑四区24#左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水乡苑四区25#右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水乡苑四区25#左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水乡苑四区26#右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水乡苑四区26#左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水乡苑四区27#右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水乡苑四区27#左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水乡苑四区28#右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水乡苑四区28#左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水乡苑四区29#右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水乡苑四区29#左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水乡苑四区30#右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水乡苑四区30#左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水乡苑四区31# 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水乡苑四区31#右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水乡苑四区32#右</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4"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水乡苑四区32#左</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 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2010</w:t>
            </w:r>
            <w:r/>
          </w:p>
        </w:tc>
      </w:tr>
    </w:tbl>
    <w:p>
      <w:pP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标段三：华庄街道凯发苑三期五期电梯综合保险服务60台电梯，</w:t>
      </w:r>
      <w:r>
        <w:rPr>
          <w:rFonts w:hint="eastAsia" w:ascii="宋体" w:hAnsi="宋体" w:eastAsia="宋体" w:cs="宋体"/>
          <w:bCs/>
          <w:color w:val="000000"/>
          <w:sz w:val="24"/>
          <w:szCs w:val="24"/>
          <w:highlight w:val="none"/>
        </w:rPr>
        <w:t xml:space="preserve">具体如下表：</w:t>
      </w:r>
      <w:r/>
    </w:p>
    <w:tbl>
      <w:tblPr>
        <w:tblStyle w:val="800"/>
        <w:tblpPr w:horzAnchor="page" w:tblpX="1838" w:vertAnchor="text" w:tblpY="483" w:leftFromText="180" w:topFromText="0" w:rightFromText="180" w:bottomFromText="0"/>
        <w:tblW w:w="9180" w:type="dxa"/>
        <w:tblInd w:w="0" w:type="dxa"/>
        <w:tblLayout w:type="fixed"/>
        <w:tblCellMar>
          <w:left w:w="108" w:type="dxa"/>
          <w:top w:w="0" w:type="dxa"/>
          <w:right w:w="108" w:type="dxa"/>
          <w:bottom w:w="0" w:type="dxa"/>
        </w:tblCellMar>
        <w:tblLook w:val="04A0" w:firstRow="1" w:lastRow="0" w:firstColumn="1" w:lastColumn="0" w:noHBand="0" w:noVBand="1"/>
      </w:tblPr>
      <w:tblGrid>
        <w:gridCol w:w="457"/>
        <w:gridCol w:w="1701"/>
        <w:gridCol w:w="976"/>
        <w:gridCol w:w="591"/>
        <w:gridCol w:w="1909"/>
        <w:gridCol w:w="1902"/>
        <w:gridCol w:w="1644"/>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梯号</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层站</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速度（m/s）</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载重（kg）</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年份</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凯发苑615#右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凯发苑576#右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凯发苑615#左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 凯发苑583#右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凯发苑585#右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凯发苑613#右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凯发苑586#左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凯发苑613#左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凯发苑616#右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凯发苑606#右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凯发苑606#左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凯发苑570#右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凯发苑605#右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凯发苑581#左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凯发苑571#左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凯发苑616#左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凯发苑619#左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凯发苑605#左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凯发苑565#左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凯发苑623#右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凯发苑570#左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凯发苑563#左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凯发苑582#左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凯发苑578#右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凯发苑583#左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凯发苑565#右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凯发苑581#右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凯发苑582#右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凯发苑623#左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凯发苑579#右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凯发苑576#左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凯发苑622#左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凯发苑571#右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凯发苑621#右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凯发苑621#左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凯发苑622#右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凯发苑611#右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凯发苑612#右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凯发苑611#左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凯发苑580#右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凯发苑612#左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凯发苑585#左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凯发苑620#左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凯发苑619#右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凯发苑620#右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凯发苑575#右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凯发苑618#左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凯发苑618#右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凯发苑579#左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凯发苑602#左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凯发苑602#右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凯发苑563#右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凯发苑577#右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凯发苑580#左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凯发苑586#右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凯发苑601#左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凯发苑601#右</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凯发苑577#左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凯发苑578#左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凯发苑575#左</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新纺</w:t>
            </w:r>
            <w:r/>
          </w:p>
        </w:tc>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9"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2"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widowControl/>
              <w:rPr>
                <w:rFonts w:ascii="宋体" w:hAnsi="宋体" w:eastAsia="宋体" w:cs="宋体"/>
                <w:sz w:val="22"/>
                <w:szCs w:val="24"/>
                <w:highlight w:val="none"/>
              </w:rPr>
            </w:pPr>
            <w:r>
              <w:rPr>
                <w:rFonts w:hint="eastAsia" w:ascii="宋体" w:hAnsi="宋体" w:eastAsia="宋体" w:cs="宋体"/>
                <w:sz w:val="22"/>
                <w:szCs w:val="24"/>
                <w:highlight w:val="none"/>
              </w:rPr>
              <w:t xml:space="preserve">2010</w:t>
            </w:r>
            <w:r/>
          </w:p>
        </w:tc>
      </w:tr>
    </w:tbl>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keepLines w:val="0"/>
        <w:keepNext w:val="0"/>
        <w:pageBreakBefore w:val="0"/>
        <w:spacing w:before="136" w:beforeAutospacing="0" w:line="360" w:lineRule="auto"/>
        <w:widowControl w:val="off"/>
        <w:rPr>
          <w:rFonts w:ascii="宋体" w:hAnsi="宋体"/>
          <w:b/>
          <w:color w:val="000000"/>
          <w:sz w:val="30"/>
          <w:szCs w:val="30"/>
          <w:highlight w:val="none"/>
        </w:rPr>
      </w:pPr>
      <w:r>
        <w:rPr>
          <w:rFonts w:hint="eastAsia" w:ascii="宋体" w:hAnsi="宋体"/>
          <w:b/>
          <w:color w:val="000000"/>
          <w:sz w:val="30"/>
          <w:szCs w:val="30"/>
          <w:highlight w:val="none"/>
        </w:rPr>
        <w:t xml:space="preserve">第二部分  有关说明</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ascii="宋体"/>
          <w:bCs/>
          <w:color w:val="000000"/>
          <w:sz w:val="24"/>
          <w:szCs w:val="24"/>
          <w:highlight w:val="none"/>
        </w:rPr>
      </w:pPr>
      <w:r>
        <w:rPr>
          <w:rFonts w:hint="eastAsia" w:ascii="宋体" w:cs="Times New Roman"/>
          <w:bCs/>
          <w:color w:val="000000"/>
          <w:sz w:val="24"/>
          <w:szCs w:val="24"/>
          <w:highlight w:val="none"/>
          <w:lang w:val="en-US" w:eastAsia="zh-CN" w:bidi="ar-SA"/>
        </w:rPr>
        <w:t xml:space="preserve">1</w:t>
      </w:r>
      <w:r>
        <w:rPr>
          <w:rFonts w:hint="default" w:ascii="宋体" w:hAnsi="Times New Roman" w:eastAsia="宋体" w:cs="Times New Roman"/>
          <w:bCs/>
          <w:color w:val="000000"/>
          <w:sz w:val="24"/>
          <w:szCs w:val="24"/>
          <w:highlight w:val="none"/>
          <w:lang w:val="en-US" w:eastAsia="zh-CN" w:bidi="ar-SA"/>
        </w:rPr>
        <w:t xml:space="preserve">.</w:t>
      </w:r>
      <w:r>
        <w:rPr>
          <w:rFonts w:hint="eastAsia" w:ascii="宋体" w:hAnsi="宋体"/>
          <w:bCs/>
          <w:color w:val="000000"/>
          <w:sz w:val="24"/>
          <w:szCs w:val="24"/>
          <w:highlight w:val="none"/>
        </w:rPr>
        <w:t xml:space="preserve">投标人必须在满足招标文件要求的基础上进行报价，如有技术偏离请于投标偏离表中说明。</w:t>
      </w:r>
      <w:r/>
    </w:p>
    <w:p>
      <w:pPr>
        <w:numPr>
          <w:ilvl w:val="0"/>
          <w:numId w:val="0"/>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cs="Times New Roman"/>
          <w:bCs/>
          <w:color w:val="000000"/>
          <w:sz w:val="24"/>
          <w:szCs w:val="24"/>
          <w:highlight w:val="none"/>
          <w:lang w:val="en-US" w:eastAsia="zh-CN" w:bidi="ar-SA"/>
        </w:rPr>
        <w:t xml:space="preserve">2</w:t>
      </w:r>
      <w:r>
        <w:rPr>
          <w:rFonts w:hint="default" w:ascii="宋体" w:hAnsi="Times New Roman" w:eastAsia="宋体" w:cs="Times New Roman"/>
          <w:bCs/>
          <w:color w:val="000000"/>
          <w:sz w:val="24"/>
          <w:szCs w:val="24"/>
          <w:highlight w:val="none"/>
          <w:lang w:val="en-US" w:eastAsia="zh-CN" w:bidi="ar-SA"/>
        </w:rPr>
        <w:t xml:space="preserve">.</w:t>
      </w:r>
      <w:r>
        <w:rPr>
          <w:rFonts w:hint="eastAsia" w:ascii="宋体" w:hAnsi="宋体" w:cs="宋体"/>
          <w:color w:val="000000"/>
          <w:sz w:val="24"/>
          <w:highlight w:val="none"/>
        </w:rPr>
        <w:t xml:space="preserve">合同履行期限</w:t>
      </w:r>
      <w:r>
        <w:rPr>
          <w:rFonts w:hint="eastAsia" w:ascii="宋体" w:hAnsi="宋体"/>
          <w:bCs/>
          <w:color w:val="000000"/>
          <w:sz w:val="24"/>
          <w:szCs w:val="24"/>
          <w:highlight w:val="none"/>
        </w:rPr>
        <w:t xml:space="preserve">：</w:t>
      </w:r>
      <w:r>
        <w:rPr>
          <w:rFonts w:hint="eastAsia" w:ascii="宋体" w:hAnsi="宋体" w:cs="宋体"/>
          <w:color w:val="000000"/>
          <w:sz w:val="24"/>
          <w:szCs w:val="24"/>
          <w:highlight w:val="none"/>
          <w:lang w:val="en-US" w:eastAsia="zh-CN"/>
        </w:rPr>
        <w:t xml:space="preserve">3年</w:t>
      </w:r>
      <w:r>
        <w:rPr>
          <w:rFonts w:hint="eastAsia" w:ascii="宋体" w:hAnsi="宋体" w:cs="宋体"/>
          <w:color w:val="000000"/>
          <w:sz w:val="24"/>
          <w:highlight w:val="none"/>
        </w:rPr>
        <w:t xml:space="preserve">；</w:t>
      </w:r>
      <w:r/>
    </w:p>
    <w:p>
      <w:pPr>
        <w:numPr>
          <w:ilvl w:val="0"/>
          <w:numId w:val="0"/>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cs="Times New Roman"/>
          <w:bCs/>
          <w:color w:val="000000"/>
          <w:sz w:val="24"/>
          <w:szCs w:val="24"/>
          <w:highlight w:val="none"/>
          <w:lang w:val="en-US" w:eastAsia="zh-CN" w:bidi="ar-SA"/>
        </w:rPr>
        <w:t xml:space="preserve">3</w:t>
      </w:r>
      <w:r>
        <w:rPr>
          <w:rFonts w:hint="default" w:ascii="宋体" w:hAnsi="Times New Roman" w:eastAsia="宋体" w:cs="Times New Roman"/>
          <w:bCs/>
          <w:color w:val="000000"/>
          <w:sz w:val="24"/>
          <w:szCs w:val="24"/>
          <w:highlight w:val="none"/>
          <w:lang w:val="en-US" w:eastAsia="zh-CN" w:bidi="ar-SA"/>
        </w:rPr>
        <w:t xml:space="preserve">.</w:t>
      </w:r>
      <w:r>
        <w:rPr>
          <w:rFonts w:hint="eastAsia" w:ascii="宋体" w:hAnsi="宋体"/>
          <w:bCs/>
          <w:color w:val="000000"/>
          <w:sz w:val="24"/>
          <w:szCs w:val="24"/>
          <w:highlight w:val="none"/>
        </w:rPr>
        <w:t xml:space="preserve">本项目合同履行地点：</w:t>
      </w:r>
      <w:r>
        <w:rPr>
          <w:rFonts w:hint="eastAsia" w:ascii="宋体" w:hAnsi="宋体" w:cs="宋体"/>
          <w:color w:val="000000"/>
          <w:sz w:val="24"/>
          <w:highlight w:val="none"/>
        </w:rPr>
        <w:t xml:space="preserve">采购人指定地点</w:t>
      </w:r>
      <w:r>
        <w:rPr>
          <w:rFonts w:hint="eastAsia" w:ascii="宋体" w:hAnsi="宋体"/>
          <w:bCs/>
          <w:color w:val="000000"/>
          <w:sz w:val="24"/>
          <w:szCs w:val="24"/>
          <w:highlight w:val="none"/>
        </w:rPr>
        <w:t xml:space="preserve">。</w:t>
      </w:r>
      <w:r/>
    </w:p>
    <w:p>
      <w:pPr>
        <w:numPr>
          <w:ilvl w:val="0"/>
          <w:numId w:val="0"/>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bCs/>
          <w:sz w:val="24"/>
          <w:szCs w:val="24"/>
          <w:highlight w:val="none"/>
        </w:rPr>
      </w:pPr>
      <w:r>
        <w:rPr>
          <w:rFonts w:hint="eastAsia" w:ascii="宋体" w:cs="Times New Roman"/>
          <w:bCs/>
          <w:sz w:val="24"/>
          <w:szCs w:val="24"/>
          <w:highlight w:val="none"/>
          <w:lang w:val="en-US" w:eastAsia="zh-CN" w:bidi="ar-SA"/>
        </w:rPr>
        <w:t xml:space="preserve">4</w:t>
      </w:r>
      <w:r>
        <w:rPr>
          <w:rFonts w:hint="eastAsia" w:ascii="宋体" w:hAnsi="Times New Roman" w:eastAsia="宋体" w:cs="Times New Roman"/>
          <w:bCs/>
          <w:sz w:val="24"/>
          <w:szCs w:val="24"/>
          <w:highlight w:val="none"/>
          <w:lang w:val="en-US" w:eastAsia="zh-CN" w:bidi="ar-SA"/>
        </w:rPr>
        <w:t xml:space="preserve">.</w:t>
      </w:r>
      <w:r>
        <w:rPr>
          <w:rFonts w:hint="eastAsia" w:ascii="宋体" w:hAnsi="宋体"/>
          <w:bCs/>
          <w:color w:val="000000"/>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0"/>
          <w:numId w:val="0"/>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bCs/>
          <w:sz w:val="24"/>
          <w:szCs w:val="24"/>
          <w:highlight w:val="none"/>
        </w:rPr>
      </w:pPr>
      <w:r>
        <w:rPr>
          <w:rFonts w:hint="eastAsia" w:ascii="宋体" w:cs="Times New Roman"/>
          <w:bCs/>
          <w:sz w:val="24"/>
          <w:szCs w:val="24"/>
          <w:highlight w:val="none"/>
          <w:lang w:val="en-US" w:eastAsia="zh-CN" w:bidi="ar-SA"/>
        </w:rPr>
        <w:t xml:space="preserve">5</w:t>
      </w:r>
      <w:r>
        <w:rPr>
          <w:rFonts w:hint="eastAsia" w:ascii="宋体" w:hAnsi="Times New Roman" w:eastAsia="宋体" w:cs="Times New Roman"/>
          <w:bCs/>
          <w:sz w:val="24"/>
          <w:szCs w:val="24"/>
          <w:highlight w:val="none"/>
          <w:lang w:val="en-US" w:eastAsia="zh-CN" w:bidi="ar-SA"/>
        </w:rPr>
        <w:t xml:space="preserve">.</w:t>
      </w: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0"/>
          <w:numId w:val="0"/>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cs="Times New Roman"/>
          <w:bCs/>
          <w:color w:val="000000"/>
          <w:sz w:val="24"/>
          <w:szCs w:val="24"/>
          <w:highlight w:val="none"/>
          <w:lang w:val="en-US" w:eastAsia="zh-CN" w:bidi="ar-SA"/>
        </w:rPr>
        <w:t xml:space="preserve">6</w:t>
      </w:r>
      <w:r>
        <w:rPr>
          <w:rFonts w:hint="eastAsia" w:ascii="宋体" w:hAnsi="Times New Roman" w:eastAsia="宋体" w:cs="Times New Roman"/>
          <w:bCs/>
          <w:color w:val="000000"/>
          <w:sz w:val="24"/>
          <w:szCs w:val="24"/>
          <w:highlight w:val="none"/>
          <w:lang w:val="en-US" w:eastAsia="zh-CN" w:bidi="ar-SA"/>
        </w:rPr>
        <w:t xml:space="preserve">.</w:t>
      </w: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0"/>
          <w:numId w:val="0"/>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cs="Times New Roman"/>
          <w:bCs/>
          <w:color w:val="000000"/>
          <w:sz w:val="24"/>
          <w:szCs w:val="24"/>
          <w:highlight w:val="none"/>
          <w:lang w:val="en-US" w:eastAsia="zh-CN" w:bidi="ar-SA"/>
        </w:rPr>
        <w:t xml:space="preserve">7</w:t>
      </w:r>
      <w:r>
        <w:rPr>
          <w:rFonts w:hint="eastAsia" w:ascii="宋体" w:hAnsi="Times New Roman" w:eastAsia="宋体" w:cs="Times New Roman"/>
          <w:bCs/>
          <w:color w:val="000000"/>
          <w:sz w:val="24"/>
          <w:szCs w:val="24"/>
          <w:highlight w:val="none"/>
          <w:lang w:val="en-US" w:eastAsia="zh-CN" w:bidi="ar-SA"/>
        </w:rPr>
        <w:t xml:space="preserve">.</w:t>
      </w: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0"/>
          <w:numId w:val="0"/>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cs="Times New Roman"/>
          <w:bCs/>
          <w:color w:val="000000"/>
          <w:sz w:val="24"/>
          <w:szCs w:val="21"/>
          <w:highlight w:val="none"/>
          <w:lang w:val="en-US" w:eastAsia="zh-CN" w:bidi="ar-SA"/>
        </w:rPr>
        <w:t xml:space="preserve">8</w:t>
      </w:r>
      <w:r>
        <w:rPr>
          <w:rFonts w:hint="default" w:ascii="宋体" w:hAnsi="宋体" w:eastAsia="宋体" w:cs="Times New Roman"/>
          <w:bCs/>
          <w:color w:val="000000"/>
          <w:sz w:val="24"/>
          <w:szCs w:val="21"/>
          <w:highlight w:val="none"/>
          <w:lang w:val="en-US" w:eastAsia="zh-CN" w:bidi="ar-SA"/>
        </w:rPr>
        <w:t xml:space="preserve">.</w:t>
      </w: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pStyle w:val="805"/>
        <w:ind w:left="0" w:firstLine="480"/>
        <w:keepLines w:val="0"/>
        <w:keepNext w:val="0"/>
        <w:pageBreakBefore w:val="0"/>
        <w:spacing w:line="360" w:lineRule="auto"/>
        <w:widowControl w:val="off"/>
        <w:rPr>
          <w:rFonts w:hint="eastAsia" w:cs="宋体"/>
          <w:bCs/>
          <w:sz w:val="24"/>
          <w:szCs w:val="24"/>
          <w:highlight w:val="none"/>
          <w:lang w:val="en-US" w:eastAsia="zh-CN"/>
        </w:rPr>
        <w:sectPr>
          <w:footnotePr/>
          <w:endnotePr/>
          <w:type w:val="nextPage"/>
          <w:pgSz w:w="11906" w:h="16838" w:orient="portrait"/>
          <w:pgMar w:top="1440" w:right="1440" w:bottom="1440" w:left="1417" w:header="0" w:footer="816" w:gutter="0"/>
          <w:cols w:num="1" w:sep="0" w:space="0" w:equalWidth="1"/>
          <w:docGrid w:linePitch="360"/>
        </w:sectPr>
      </w:pPr>
      <w:r>
        <w:rPr>
          <w:rFonts w:hint="eastAsia" w:cs="宋体"/>
          <w:bCs/>
          <w:sz w:val="24"/>
          <w:szCs w:val="24"/>
          <w:highlight w:val="none"/>
          <w:lang w:val="en-US" w:eastAsia="zh-CN"/>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hint="eastAsia" w:ascii="宋体" w:hAnsi="宋体"/>
          <w:b/>
          <w:color w:val="000000"/>
          <w:sz w:val="30"/>
          <w:szCs w:val="30"/>
          <w:highlight w:val="none"/>
        </w:rPr>
        <w:t xml:space="preserve">第三部分  政府采购政策（包括但不限于下列具体政策要求）</w:t>
      </w:r>
      <w:r/>
    </w:p>
    <w:p>
      <w:pPr>
        <w:pStyle w:val="836"/>
        <w:numPr>
          <w:ilvl w:val="0"/>
          <w:numId w:val="8"/>
        </w:numPr>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落实政府采购政策的价格调整</w:t>
      </w:r>
      <w:r/>
    </w:p>
    <w:p>
      <w:pPr>
        <w:ind w:left="525"/>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小微型企业价格扣除：专门面向中小/小微企业的项目不做价格扣除。</w:t>
      </w:r>
      <w:r/>
    </w:p>
    <w:p>
      <w:pPr>
        <w:ind w:left="525"/>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1.对小型和微型企业产品的价格给予10%的扣除，用扣除后的价格参与评审</w:t>
      </w:r>
      <w:r/>
    </w:p>
    <w:p>
      <w:pPr>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参加投标的中小企业，应当按照《政府采购促进中小企业发展管理办法》（财库﹝2020﹞46 号）的规定提供《中小企业声明函》（中小企业划型标准详见《关于印发中小企业划型标准规定的通知》工信部联企业〔2011〕300号）。</w:t>
      </w:r>
      <w:r/>
    </w:p>
    <w:p>
      <w:pPr>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　　2.监狱企业视同小型、微型企业，对其产品价格给予10%的扣除，用扣除后的价格参与评审。参加投标的监狱企业，应当按照《关于政府采购支持监狱企业发展有关问题的通知》（财库</w:t>
      </w:r>
      <w:r>
        <w:rPr>
          <w:rFonts w:hint="eastAsia" w:ascii="宋体"/>
          <w:bCs/>
          <w:sz w:val="24"/>
          <w:szCs w:val="24"/>
          <w:highlight w:val="none"/>
          <w:lang w:eastAsia="zh-CN"/>
        </w:rPr>
        <w:t xml:space="preserve">〔2014〕68号</w:t>
      </w:r>
      <w:r>
        <w:rPr>
          <w:rFonts w:hint="eastAsia" w:ascii="宋体"/>
          <w:bCs/>
          <w:sz w:val="24"/>
          <w:szCs w:val="24"/>
          <w:highlight w:val="none"/>
        </w:rPr>
        <w:t xml:space="preserve">）的规定提供由省级以上监狱管理局、戒毒管理局</w:t>
      </w:r>
      <w:r>
        <w:rPr>
          <w:rFonts w:hint="eastAsia" w:ascii="宋体"/>
          <w:bCs/>
          <w:sz w:val="24"/>
          <w:szCs w:val="24"/>
          <w:highlight w:val="none"/>
          <w:lang w:eastAsia="zh-CN"/>
        </w:rPr>
        <w:t xml:space="preserve">（</w:t>
      </w:r>
      <w:r>
        <w:rPr>
          <w:rFonts w:hint="eastAsia" w:ascii="宋体"/>
          <w:bCs/>
          <w:sz w:val="24"/>
          <w:szCs w:val="24"/>
          <w:highlight w:val="none"/>
        </w:rPr>
        <w:t xml:space="preserve">含新疆生产建设兵团</w:t>
      </w:r>
      <w:r>
        <w:rPr>
          <w:rFonts w:hint="eastAsia" w:ascii="宋体"/>
          <w:bCs/>
          <w:sz w:val="24"/>
          <w:szCs w:val="24"/>
          <w:highlight w:val="none"/>
          <w:lang w:eastAsia="zh-CN"/>
        </w:rPr>
        <w:t xml:space="preserve">）</w:t>
      </w:r>
      <w:r>
        <w:rPr>
          <w:rFonts w:hint="eastAsia" w:ascii="宋体"/>
          <w:bCs/>
          <w:sz w:val="24"/>
          <w:szCs w:val="24"/>
          <w:highlight w:val="none"/>
        </w:rPr>
        <w:t xml:space="preserve">出具的属于监狱企业的证明文件扫描件。</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３.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4.残疾人福利单位、监狱企业属于小型、微型企业的，不重复享受政策。</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5.</w:t>
      </w:r>
      <w:r>
        <w:rPr>
          <w:rFonts w:hint="eastAsia" w:ascii="宋体"/>
          <w:bCs/>
          <w:color w:val="auto"/>
          <w:sz w:val="24"/>
          <w:szCs w:val="24"/>
          <w:highlight w:val="none"/>
        </w:rPr>
        <w:t xml:space="preserve">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rPr>
          <w:rFonts w:hint="eastAsia" w:ascii="宋体"/>
          <w:bCs/>
          <w:sz w:val="24"/>
          <w:szCs w:val="24"/>
          <w:highlight w:val="none"/>
        </w:rPr>
        <w:t xml:space="preserve">。</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联合体各方均为小型、微型企业的，联合体视同为小型、微型企业按规定享受价格扣除。</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二、本项目中如有</w:t>
      </w:r>
      <w:r>
        <w:rPr>
          <w:rFonts w:hint="eastAsia" w:ascii="宋体"/>
          <w:bCs/>
          <w:sz w:val="24"/>
          <w:szCs w:val="24"/>
          <w:highlight w:val="none"/>
          <w:lang w:eastAsia="zh-CN"/>
        </w:rPr>
        <w:t xml:space="preserve">涉及</w:t>
      </w:r>
      <w:r>
        <w:rPr>
          <w:rFonts w:hint="eastAsia" w:ascii="宋体"/>
          <w:bCs/>
          <w:sz w:val="24"/>
          <w:szCs w:val="24"/>
          <w:highlight w:val="none"/>
        </w:rPr>
        <w:t xml:space="preserve">商品包装、快递包装要求的，应当按《关于印发〈商品包装政府采购需求标准（试行）〉、〈快递包装政府采购需求标准（试行）〉的通知》（财办库〔2020〕123号）文件执行。采购人在招标（采购）文</w:t>
      </w:r>
      <w:r>
        <w:rPr>
          <w:rFonts w:hint="eastAsia" w:ascii="宋体"/>
          <w:bCs/>
          <w:sz w:val="24"/>
          <w:szCs w:val="24"/>
          <w:highlight w:val="none"/>
          <w:lang w:eastAsia="zh-CN"/>
        </w:rPr>
        <w:t xml:space="preserve">件中</w:t>
      </w:r>
      <w:r>
        <w:rPr>
          <w:rFonts w:hint="eastAsia" w:ascii="宋体"/>
          <w:bCs/>
          <w:sz w:val="24"/>
          <w:szCs w:val="24"/>
          <w:highlight w:val="none"/>
        </w:rPr>
        <w:t xml:space="preserve">对商品包装和快递包装提出具体要求的，在政府采购合同中应当载明对政府采购供应商提</w:t>
      </w:r>
      <w:r>
        <w:rPr>
          <w:rFonts w:hint="eastAsia" w:ascii="宋体"/>
          <w:bCs/>
          <w:sz w:val="24"/>
          <w:szCs w:val="24"/>
          <w:highlight w:val="none"/>
          <w:lang w:eastAsia="zh-CN"/>
        </w:rPr>
        <w:t xml:space="preserve">供的</w:t>
      </w:r>
      <w:r>
        <w:rPr>
          <w:rFonts w:hint="eastAsia" w:ascii="宋体"/>
          <w:bCs/>
          <w:sz w:val="24"/>
          <w:szCs w:val="24"/>
          <w:highlight w:val="none"/>
        </w:rPr>
        <w:t xml:space="preserve">产品及相关快递服务的具体包装要求和履约验收相关条款，中标（成交）供应商须严格执行，必要时应按照要求在履约验收环节出具检测报告。</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采购产品属于《节能产品政府采购品目清单</w:t>
      </w:r>
      <w:r>
        <w:rPr>
          <w:rFonts w:hint="eastAsia" w:ascii="宋体"/>
          <w:bCs/>
          <w:sz w:val="24"/>
          <w:szCs w:val="24"/>
          <w:highlight w:val="none"/>
          <w:lang w:eastAsia="zh-CN"/>
        </w:rPr>
        <w:t xml:space="preserve">》《</w:t>
      </w:r>
      <w:r>
        <w:rPr>
          <w:rFonts w:hint="eastAsia" w:ascii="宋体"/>
          <w:bCs/>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认证机构详见市场监管总局发布的《参与实施政府采购节能产品认证机构名录》和《参与实施政府采购环境标志产品认证机构名录》。</w:t>
      </w:r>
      <w:r/>
    </w:p>
    <w:p>
      <w:pPr>
        <w:ind w:firstLine="480"/>
        <w:spacing w:line="520" w:lineRule="exact"/>
        <w:tabs>
          <w:tab w:val="left" w:pos="525" w:leader="none"/>
          <w:tab w:val="left" w:pos="630" w:leader="none"/>
          <w:tab w:val="left" w:pos="735" w:leader="none"/>
          <w:tab w:val="left" w:pos="945" w:leader="none"/>
          <w:tab w:val="left" w:pos="1080" w:leader="none"/>
        </w:tabs>
        <w:rPr>
          <w:sz w:val="24"/>
          <w:szCs w:val="24"/>
          <w:highlight w:val="none"/>
        </w:rPr>
      </w:pPr>
      <w:r>
        <w:rPr>
          <w:rFonts w:hint="eastAsia" w:ascii="宋体"/>
          <w:bCs/>
          <w:sz w:val="24"/>
          <w:szCs w:val="24"/>
          <w:highlight w:val="none"/>
        </w:rPr>
        <w:t xml:space="preserve">四、</w:t>
      </w:r>
      <w:r>
        <w:rPr>
          <w:rFonts w:hint="eastAsia"/>
          <w:sz w:val="24"/>
          <w:szCs w:val="24"/>
          <w:highlight w:val="none"/>
        </w:rPr>
        <w:t xml:space="preserve">本项目中如有</w:t>
      </w:r>
      <w:r>
        <w:rPr>
          <w:rFonts w:hint="eastAsia"/>
          <w:sz w:val="24"/>
          <w:szCs w:val="24"/>
          <w:highlight w:val="none"/>
          <w:lang w:eastAsia="zh-CN"/>
        </w:rPr>
        <w:t xml:space="preserve">涉及</w:t>
      </w:r>
      <w:r>
        <w:rPr>
          <w:rFonts w:hint="eastAsia"/>
          <w:sz w:val="24"/>
          <w:szCs w:val="24"/>
          <w:highlight w:val="none"/>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sz w:val="24"/>
          <w:szCs w:val="24"/>
          <w:highlight w:val="none"/>
        </w:rPr>
        <w:t xml:space="preserve">五、</w:t>
      </w:r>
      <w:r>
        <w:rPr>
          <w:rFonts w:hint="eastAsia" w:ascii="宋体"/>
          <w:bCs/>
          <w:sz w:val="24"/>
          <w:szCs w:val="24"/>
          <w:highlight w:val="none"/>
        </w:rPr>
        <w:t xml:space="preserve">中标、成交供应商可采用合同融资形式，中标人可凭政府采购合同办理融资贷款，详见无锡市政府采购网“政采贷”专栏。</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hAnsi="宋体" w:cs="宋体"/>
          <w:sz w:val="24"/>
          <w:szCs w:val="24"/>
          <w:highlight w:val="none"/>
        </w:rPr>
      </w:pPr>
      <w:r>
        <w:rPr>
          <w:rFonts w:hint="eastAsia" w:ascii="宋体"/>
          <w:bCs/>
          <w:sz w:val="24"/>
          <w:szCs w:val="24"/>
          <w:highlight w:val="none"/>
        </w:rPr>
        <w:t xml:space="preserve">六、履约担保，是指由专业担保机构为中标、成交供应商支付履约保证金的义务向采购人提供的保函担保。专业担保机构根据中标、成交供应商的中标（成交）通知书为凭据，进行资信审查后出具保函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highlight w:val="none"/>
          <w:lang w:eastAsia="zh-CN"/>
        </w:rPr>
        <w:t xml:space="preserve">，</w:t>
      </w:r>
      <w:r>
        <w:rPr>
          <w:rFonts w:hint="eastAsia" w:ascii="宋体"/>
          <w:bCs/>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rPr>
        <w:t xml:space="preserve">为深入贯彻落实《国务院办公厅关于印发〈政府采购领域“整顿市场秩序、建设法规体系、促进产业发展”三年行动方案（2024－2026 年）〉的通知》（国办发〔2024〕33 号）精神，提升政府采购便利度，持续优化政府采购营商环境，进一步全面推广政府采购电子履约保函：</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1.</w:t>
      </w:r>
      <w:r>
        <w:rPr>
          <w:rFonts w:hint="eastAsia" w:ascii="宋体"/>
          <w:bCs/>
          <w:sz w:val="24"/>
          <w:szCs w:val="24"/>
          <w:highlight w:val="none"/>
        </w:rPr>
        <w:t xml:space="preserve">江苏省财政厅通过政府采购流程确定开鑫科技有限公司为“政府采购电子履约保函（保险）平台”提供系统技术服务。该平台可通过江苏省政府采购网、“苏采云”系统链接访问（首次使用需注册）。</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2.</w:t>
      </w:r>
      <w:r>
        <w:rPr>
          <w:rFonts w:hint="eastAsia" w:ascii="宋体"/>
          <w:bCs/>
          <w:sz w:val="24"/>
          <w:szCs w:val="24"/>
          <w:highlight w:val="none"/>
        </w:rPr>
        <w:t xml:space="preserve">“政府采购电子履约保函（保险）平台”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3.</w:t>
      </w:r>
      <w:r>
        <w:rPr>
          <w:rFonts w:hint="eastAsia" w:ascii="宋体"/>
          <w:bCs/>
          <w:sz w:val="24"/>
          <w:szCs w:val="24"/>
          <w:highlight w:val="none"/>
        </w:rPr>
        <w:t xml:space="preserve">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4.</w:t>
      </w:r>
      <w:r>
        <w:rPr>
          <w:rFonts w:hint="eastAsia" w:ascii="宋体"/>
          <w:bCs/>
          <w:sz w:val="24"/>
          <w:szCs w:val="24"/>
          <w:highlight w:val="none"/>
        </w:rPr>
        <w:t xml:space="preserve">电子履约保函与履约保证金、纸质保函具有同等法律效力，是我市优化政府采购营商环境的重要措施。</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5.</w:t>
      </w:r>
      <w:r>
        <w:rPr>
          <w:rFonts w:hint="eastAsia" w:ascii="宋体"/>
          <w:bCs/>
          <w:sz w:val="24"/>
          <w:szCs w:val="24"/>
          <w:highlight w:val="none"/>
        </w:rPr>
        <w:t xml:space="preserve">供应商可通过江苏政府采购网下载“政府采购电子履约保 函 （ 保 险 ） 操 作 手 册 ”</w:t>
      </w:r>
      <w:r>
        <w:rPr>
          <w:rFonts w:hint="eastAsia" w:ascii="宋体"/>
          <w:bCs/>
          <w:sz w:val="24"/>
          <w:szCs w:val="24"/>
          <w:highlight w:val="none"/>
          <w:lang w:eastAsia="zh-CN"/>
        </w:rPr>
        <w:t xml:space="preserve">，</w:t>
      </w:r>
      <w:r>
        <w:rPr>
          <w:rFonts w:hint="eastAsia" w:ascii="宋体"/>
          <w:bCs/>
          <w:sz w:val="24"/>
          <w:szCs w:val="24"/>
          <w:highlight w:val="none"/>
        </w:rPr>
        <w:t xml:space="preserve"> 具 体 地 址 为 ：http://www.ccgp-jiangsu.gov.cn/jiangsu/zlxz/。</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七、</w:t>
      </w:r>
      <w:r>
        <w:rPr>
          <w:rFonts w:hint="eastAsia" w:ascii="宋体" w:hAnsi="宋体" w:cs="宋体"/>
          <w:color w:val="000000"/>
          <w:sz w:val="24"/>
          <w:szCs w:val="24"/>
          <w:highlight w:val="none"/>
        </w:rPr>
        <w:t xml:space="preserve">本项目中如有</w:t>
      </w:r>
      <w:r>
        <w:rPr>
          <w:rFonts w:hint="eastAsia" w:ascii="宋体" w:hAnsi="宋体" w:cs="宋体"/>
          <w:color w:val="000000"/>
          <w:sz w:val="24"/>
          <w:szCs w:val="24"/>
          <w:highlight w:val="none"/>
          <w:lang w:eastAsia="zh-CN"/>
        </w:rPr>
        <w:t xml:space="preserve">涉及</w:t>
      </w:r>
      <w:r>
        <w:rPr>
          <w:rFonts w:hint="eastAsia" w:ascii="宋体" w:hAnsi="宋体" w:cs="宋体"/>
          <w:color w:val="000000"/>
          <w:sz w:val="24"/>
          <w:szCs w:val="24"/>
          <w:highlight w:val="none"/>
        </w:rPr>
        <w:t xml:space="preserve">数据库、操作系统、通用服务器、工作站、一体式计算机、便携式计算机、台式计算机等七种软硬件的，投标人不得违反财政部、工信部共同发</w:t>
      </w:r>
      <w:r>
        <w:rPr>
          <w:rFonts w:hint="eastAsia" w:ascii="宋体" w:hAnsi="宋体" w:cs="宋体"/>
          <w:color w:val="000000"/>
          <w:sz w:val="24"/>
          <w:szCs w:val="24"/>
          <w:highlight w:val="none"/>
          <w:lang w:eastAsia="zh-CN"/>
        </w:rPr>
        <w:t xml:space="preserve">布的</w:t>
      </w:r>
      <w:r>
        <w:rPr>
          <w:rFonts w:hint="eastAsia" w:ascii="宋体" w:hAnsi="宋体" w:cs="宋体"/>
          <w:color w:val="000000"/>
          <w:sz w:val="24"/>
          <w:szCs w:val="24"/>
          <w:highlight w:val="none"/>
        </w:rPr>
        <w:t xml:space="preserve">数据库、操作系统、通用服务器、工作站、一体式计算机、便携式计算机、台式计算机等七种软硬件的需求标准。</w:t>
      </w:r>
      <w:r>
        <w:rPr>
          <w:rFonts w:hint="eastAsia" w:ascii="宋体" w:hAnsi="宋体" w:cs="宋体"/>
          <w:sz w:val="24"/>
          <w:szCs w:val="24"/>
          <w:highlight w:val="none"/>
        </w:rPr>
        <w:t xml:space="preserve">《需求标准》详见财库〔2023〕29号、30号、31号、32号、33号、34号、35号。在满足《需求标准》的前提下，如招标文件中有其他要求的，投标人应满足招标文件要求。</w:t>
      </w:r>
      <w:r>
        <w:rPr>
          <w:rFonts w:hint="eastAsia" w:ascii="宋体"/>
          <w:bCs/>
          <w:sz w:val="24"/>
          <w:szCs w:val="24"/>
          <w:highlight w:val="none"/>
        </w:rPr>
        <w:t xml:space="preserve">采购人可在合同中约定，</w:t>
      </w:r>
      <w:r>
        <w:rPr>
          <w:rFonts w:hint="eastAsia" w:ascii="宋体" w:hAnsi="宋体" w:cs="宋体"/>
          <w:sz w:val="24"/>
          <w:szCs w:val="24"/>
          <w:highlight w:val="none"/>
        </w:rPr>
        <w:t xml:space="preserve">在</w:t>
      </w:r>
      <w:r>
        <w:rPr>
          <w:rFonts w:hint="eastAsia" w:ascii="宋体"/>
          <w:bCs/>
          <w:sz w:val="24"/>
          <w:szCs w:val="24"/>
          <w:highlight w:val="none"/>
        </w:rPr>
        <w:t xml:space="preserve">履约验收管理时，可对所提供的七种软硬件进行验收，必要时可以委托依法取得检测、认证资质的机构进行检测、认证。</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八、采购人应当严格按照政府采购法有关规定，在中标、成交通知书发出之日起</w:t>
      </w:r>
      <w:r>
        <w:rPr>
          <w:rFonts w:hint="eastAsia" w:ascii="宋体"/>
          <w:bCs/>
          <w:sz w:val="24"/>
          <w:szCs w:val="24"/>
          <w:highlight w:val="none"/>
          <w:lang w:val="en-US" w:eastAsia="zh-CN"/>
        </w:rPr>
        <w:t xml:space="preserve">30</w:t>
      </w:r>
      <w:r>
        <w:rPr>
          <w:rFonts w:hint="eastAsia" w:ascii="宋体"/>
          <w:bCs/>
          <w:sz w:val="24"/>
          <w:szCs w:val="24"/>
          <w:highlight w:val="none"/>
        </w:rPr>
        <w:t xml:space="preserve">日内，按照采购文件确定的事项与中标、成交供应商签订政府采购合同。采购人因不可抗力原因迟延签订合同的，应当自不可抗力事由消除之日起7日内完成合同签订事宜。</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sz w:val="36"/>
          <w:szCs w:val="36"/>
          <w:highlight w:val="none"/>
        </w:rPr>
      </w:pPr>
      <w:r>
        <w:rPr>
          <w:rFonts w:ascii="宋体"/>
          <w:bCs/>
          <w:color w:val="000000"/>
          <w:sz w:val="24"/>
          <w:szCs w:val="24"/>
          <w:highlight w:val="none"/>
        </w:rPr>
        <w:br w:type="page" w:clear="all"/>
      </w:r>
      <w:bookmarkStart w:id="193" w:name="_Toc120614281"/>
      <w:r>
        <w:rPr>
          <w:rFonts w:hint="eastAsia" w:ascii="黑体" w:hAnsi="黑体" w:eastAsia="黑体"/>
          <w:bCs/>
          <w:color w:val="000000"/>
          <w:sz w:val="36"/>
          <w:szCs w:val="36"/>
          <w:highlight w:val="none"/>
        </w:rPr>
        <w:t xml:space="preserve">第五章  </w:t>
      </w:r>
      <w:r>
        <w:rPr>
          <w:rFonts w:hint="eastAsia" w:ascii="黑体" w:hAnsi="黑体" w:eastAsia="黑体"/>
          <w:b/>
          <w:bCs/>
          <w:color w:val="000000"/>
          <w:sz w:val="36"/>
          <w:szCs w:val="36"/>
          <w:highlight w:val="none"/>
        </w:rPr>
        <w:t xml:space="preserve">评标方法与评标标准</w:t>
      </w:r>
      <w:r/>
    </w:p>
    <w:p>
      <w:pPr>
        <w:pStyle w:val="1070"/>
        <w:ind w:firstLine="602"/>
        <w:spacing w:before="0" w:after="0" w:line="500" w:lineRule="exact"/>
        <w:rPr>
          <w:rFonts w:hint="eastAsia" w:cs="Arial"/>
          <w:b/>
          <w:color w:val="000000"/>
          <w:sz w:val="30"/>
          <w:szCs w:val="30"/>
          <w:highlight w:val="none"/>
        </w:rPr>
      </w:pPr>
      <w:r>
        <w:rPr>
          <w:rFonts w:hint="eastAsia" w:cs="Arial"/>
          <w:b/>
          <w:color w:val="000000"/>
          <w:sz w:val="30"/>
          <w:szCs w:val="30"/>
          <w:highlight w:val="none"/>
        </w:rPr>
        <w:t xml:space="preserve">第一部分  评标方法</w:t>
      </w:r>
      <w:r/>
    </w:p>
    <w:p>
      <w:pPr>
        <w:pStyle w:val="1070"/>
        <w:spacing w:before="0" w:after="0" w:line="500" w:lineRule="exact"/>
        <w:rPr>
          <w:rFonts w:hint="eastAsia" w:cs="Arial"/>
          <w:color w:val="000000"/>
          <w:highlight w:val="none"/>
        </w:rPr>
      </w:pPr>
      <w:r>
        <w:rPr>
          <w:rFonts w:hint="eastAsia" w:cs="Arial"/>
          <w:color w:val="000000"/>
          <w:highlight w:val="none"/>
        </w:rPr>
        <w:t xml:space="preserve">投标人通过初审的，方可进入比较与评价程序。</w:t>
      </w:r>
      <w:r/>
    </w:p>
    <w:p>
      <w:pPr>
        <w:pStyle w:val="1070"/>
        <w:spacing w:before="0" w:after="0" w:line="500" w:lineRule="exact"/>
        <w:rPr>
          <w:rFonts w:hint="eastAsia" w:cs="Arial"/>
          <w:color w:val="000000"/>
          <w:highlight w:val="none"/>
        </w:rPr>
      </w:pPr>
      <w:r>
        <w:rPr>
          <w:rFonts w:hint="eastAsia" w:cs="Arial"/>
          <w:color w:val="000000"/>
          <w:highlight w:val="none"/>
        </w:rPr>
        <w:t xml:space="preserve">比较与评价采用综合评分法。</w:t>
      </w:r>
      <w:r/>
    </w:p>
    <w:p>
      <w:pPr>
        <w:pStyle w:val="1070"/>
        <w:spacing w:before="0" w:after="0" w:line="500" w:lineRule="exact"/>
        <w:rPr>
          <w:rFonts w:hint="eastAsia" w:cs="Arial"/>
          <w:color w:val="000000"/>
          <w:highlight w:val="none"/>
        </w:rPr>
        <w:pBdr>
          <w:top w:val="none" w:color="000000" w:sz="0" w:space="0"/>
          <w:left w:val="none" w:color="000000" w:sz="0" w:space="0"/>
          <w:bottom w:val="none" w:color="000000" w:sz="0" w:space="0"/>
          <w:right w:val="none" w:color="000000" w:sz="0" w:space="0"/>
        </w:pBdr>
      </w:pPr>
      <w:r>
        <w:rPr>
          <w:rFonts w:hint="eastAsia" w:cs="Arial"/>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070"/>
        <w:spacing w:before="0" w:after="0" w:line="500" w:lineRule="exact"/>
        <w:rPr>
          <w:rFonts w:hint="eastAsia" w:cs="Arial"/>
          <w:color w:val="000000"/>
          <w:highlight w:val="none"/>
          <w14:ligatures w14:val="none"/>
        </w:rPr>
        <w:pBdr>
          <w:top w:val="none" w:color="000000" w:sz="0" w:space="0"/>
          <w:left w:val="none" w:color="000000" w:sz="0" w:space="0"/>
          <w:bottom w:val="none" w:color="000000" w:sz="0" w:space="0"/>
          <w:right w:val="none" w:color="000000" w:sz="0" w:space="0"/>
        </w:pBdr>
      </w:pPr>
      <w:r>
        <w:rPr>
          <w:rFonts w:hint="eastAsia" w:cs="Arial"/>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70"/>
        <w:ind w:firstLine="602"/>
        <w:spacing w:before="0" w:after="0" w:line="500" w:lineRule="exact"/>
        <w:rPr>
          <w:rFonts w:hint="eastAsia" w:cs="Arial"/>
          <w:b/>
          <w:color w:val="000000"/>
          <w:sz w:val="30"/>
          <w:szCs w:val="30"/>
          <w:highlight w:val="none"/>
        </w:rPr>
      </w:pPr>
      <w:r>
        <w:rPr>
          <w:rFonts w:hint="eastAsia" w:cs="Arial"/>
          <w:b/>
          <w:color w:val="000000"/>
          <w:sz w:val="30"/>
          <w:szCs w:val="30"/>
          <w:highlight w:val="none"/>
        </w:rPr>
        <w:t xml:space="preserve">第二部分  评标标准</w:t>
      </w:r>
      <w:r/>
    </w:p>
    <w:p>
      <w:pPr>
        <w:pStyle w:val="1070"/>
        <w:ind w:firstLine="56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sz w:val="24"/>
          <w:szCs w:val="24"/>
          <w:highlight w:val="none"/>
          <w:lang w:eastAsia="zh-CN"/>
        </w:rPr>
        <w:t xml:space="preserve">〔2014〕68号</w:t>
      </w:r>
      <w:r>
        <w:rPr>
          <w:rFonts w:hint="eastAsia" w:ascii="宋体" w:hAnsi="宋体"/>
          <w:bCs/>
          <w:color w:val="000000"/>
          <w:sz w:val="24"/>
          <w:szCs w:val="24"/>
          <w:highlight w:val="none"/>
        </w:rPr>
        <w:t xml:space="preserve">）的规定提供由省级以上监狱管理局、戒毒管理局</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含新疆生产建设兵团</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出具的属于监狱企业的证明文件扫描件。</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p>
    <w:p>
      <w:pPr>
        <w:ind w:firstLine="480"/>
        <w:jc w:val="left"/>
        <w:spacing w:line="500" w:lineRule="exact"/>
        <w:rPr>
          <w:color w:val="000000"/>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p>
    <w:p>
      <w:pPr>
        <w:pStyle w:val="1070"/>
        <w:numPr>
          <w:ilvl w:val="0"/>
          <w:numId w:val="9"/>
        </w:numPr>
        <w:ind w:firstLine="360"/>
        <w:keepLines w:val="0"/>
        <w:keepNext w:val="0"/>
        <w:pageBreakBefore w:val="0"/>
        <w:spacing w:before="0" w:after="0" w:line="360" w:lineRule="auto"/>
        <w:widowControl w:val="off"/>
        <w:rPr>
          <w:rFonts w:hint="eastAsia" w:ascii="宋体" w:hAnsi="宋体"/>
          <w:b/>
          <w:color w:val="000000"/>
          <w:sz w:val="28"/>
          <w:szCs w:val="28"/>
          <w:highlight w:val="none"/>
        </w:rPr>
      </w:pPr>
      <w:r>
        <w:rPr>
          <w:rFonts w:ascii="宋体" w:hAnsi="宋体"/>
          <w:color w:val="000000"/>
          <w:highlight w:val="none"/>
          <w:shd w:val="clear" w:color="ffffff" w:fill="d9d9d9"/>
        </w:rPr>
        <w:br w:type="page" w:clear="all"/>
      </w:r>
      <w:r>
        <w:rPr>
          <w:rFonts w:hint="eastAsia" w:ascii="宋体" w:hAnsi="宋体"/>
          <w:b/>
          <w:color w:val="000000"/>
          <w:sz w:val="28"/>
          <w:szCs w:val="28"/>
          <w:highlight w:val="none"/>
        </w:rPr>
        <w:t xml:space="preserve">评分标准</w:t>
      </w:r>
      <w:r/>
    </w:p>
    <w:p>
      <w:pPr>
        <w:numPr>
          <w:ilvl w:val="4"/>
          <w:numId w:val="0"/>
        </w:numPr>
        <w:ind w:left="0"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eastAsia="宋体" w:cs="Times New Roman"/>
          <w:b/>
          <w:bCs/>
          <w:color w:val="000000"/>
          <w:sz w:val="24"/>
          <w:szCs w:val="24"/>
          <w:highlight w:val="none"/>
          <w:lang w:val="en-US" w:eastAsia="zh-CN" w:bidi="ar-SA"/>
        </w:rPr>
        <w:t xml:space="preserve">1.</w:t>
      </w:r>
      <w:r>
        <w:rPr>
          <w:rFonts w:hint="eastAsia" w:ascii="宋体" w:hAnsi="宋体"/>
          <w:b/>
          <w:bCs/>
          <w:color w:val="000000"/>
          <w:sz w:val="24"/>
          <w:szCs w:val="24"/>
          <w:highlight w:val="none"/>
        </w:rPr>
        <w:t xml:space="preserve">价格（</w:t>
      </w:r>
      <w:r>
        <w:rPr>
          <w:rFonts w:hint="eastAsia" w:ascii="宋体" w:hAnsi="宋体"/>
          <w:b/>
          <w:bCs/>
          <w:color w:val="000000"/>
          <w:sz w:val="24"/>
          <w:szCs w:val="24"/>
          <w:highlight w:val="none"/>
          <w:lang w:val="en-US" w:eastAsia="zh-CN"/>
        </w:rPr>
        <w:t xml:space="preserve">30</w:t>
      </w:r>
      <w:r>
        <w:rPr>
          <w:rFonts w:hint="eastAsia" w:ascii="宋体" w:hAnsi="宋体"/>
          <w:b/>
          <w:bCs/>
          <w:color w:val="000000"/>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评标基准价／投标报价</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关于价格扣除详见本章第二部分“一、落实政府采购政策的价格调整”。</w:t>
      </w:r>
      <w:r/>
    </w:p>
    <w:p>
      <w:pPr>
        <w:numPr>
          <w:ilvl w:val="4"/>
          <w:numId w:val="0"/>
        </w:numPr>
        <w:ind w:left="0"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hint="eastAsia" w:ascii="宋体" w:hAnsi="宋体"/>
          <w:b/>
          <w:bCs/>
          <w:color w:val="000000"/>
          <w:sz w:val="24"/>
          <w:szCs w:val="24"/>
          <w:highlight w:val="none"/>
        </w:rPr>
      </w:pPr>
      <w:r>
        <w:rPr>
          <w:rFonts w:hint="eastAsia" w:ascii="宋体" w:hAnsi="宋体" w:eastAsia="宋体" w:cs="Times New Roman"/>
          <w:b/>
          <w:bCs/>
          <w:color w:val="000000"/>
          <w:sz w:val="24"/>
          <w:szCs w:val="24"/>
          <w:highlight w:val="none"/>
          <w:lang w:val="en-US" w:eastAsia="zh-CN" w:bidi="ar-SA"/>
        </w:rPr>
        <w:t xml:space="preserve">2.</w:t>
      </w:r>
      <w:r>
        <w:rPr>
          <w:rFonts w:hint="eastAsia" w:ascii="宋体" w:hAnsi="宋体"/>
          <w:b/>
          <w:bCs/>
          <w:color w:val="000000"/>
          <w:sz w:val="24"/>
          <w:szCs w:val="24"/>
          <w:highlight w:val="none"/>
          <w:lang w:val="en-US" w:eastAsia="zh-CN"/>
        </w:rPr>
        <w:t xml:space="preserve">商务</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20</w:t>
      </w:r>
      <w:r>
        <w:rPr>
          <w:rFonts w:hint="eastAsia" w:ascii="宋体" w:hAnsi="宋体"/>
          <w:b/>
          <w:bCs/>
          <w:color w:val="000000"/>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（1）公司偿付能力（4分）</w:t>
      </w:r>
      <w:r/>
    </w:p>
    <w:p>
      <w:pPr>
        <w:ind w:firstLine="480"/>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根据投标人或投标人总公司202</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年度偿付能力充足率：偿付能力﹤100%，不得分；100%≤偿付能力﹤150%，得2分；150%≤偿付能力﹤200%，得3分；200%≤偿付能力，得4分，本项最高得4分。</w:t>
      </w:r>
      <w:r/>
    </w:p>
    <w:p>
      <w:pPr>
        <w:ind w:firstLine="480"/>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注：需提供经过审计的偿付能力报告扫描件上传至投标文件并电子签章，不提供或提供不全本项不得分。</w:t>
      </w:r>
      <w:r/>
    </w:p>
    <w:p>
      <w:pPr>
        <w:ind w:firstLine="480"/>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（2）项目经验（4分）</w:t>
      </w:r>
      <w:r/>
    </w:p>
    <w:p>
      <w:pPr>
        <w:ind w:firstLine="480"/>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投标人近三年以来（以合同签订或保单出具时间为准）承担过类似项目的，每提供一个得2分，本项最高得4分。</w:t>
      </w:r>
      <w:r/>
    </w:p>
    <w:p>
      <w:pPr>
        <w:ind w:firstLine="480"/>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注：需提供业绩相关证明材料扫描件上传至投标文件并电子签章，证明材料包括但不限于合同协议书、保险单及保险明细表等（涉密信息部分可涂黑），如有必要可另加以补充说明。所提供的材料必须反映出相关数据和内容，否则视同未提供。不按要求提供或不提供的不得分。</w:t>
      </w:r>
      <w:r/>
    </w:p>
    <w:p>
      <w:pPr>
        <w:ind w:firstLine="480"/>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（3）服务团队（6分）</w:t>
      </w:r>
      <w:r/>
    </w:p>
    <w:p>
      <w:pPr>
        <w:ind w:firstLine="480"/>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①具备特种设备安全管理和作业人员证的，每提供一人得1分，本项最高得2分；</w:t>
      </w:r>
      <w:r/>
    </w:p>
    <w:p>
      <w:pPr>
        <w:ind w:firstLine="480"/>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②具备特种设备检验人员证的，每提供一人得1分，本项最高得2分；</w:t>
      </w:r>
      <w:r/>
    </w:p>
    <w:p>
      <w:pPr>
        <w:ind w:firstLine="480"/>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③具备电梯安装维修工等相关技术职称的，每提供一人得1分，本项最高得2分。</w:t>
      </w:r>
      <w:r/>
    </w:p>
    <w:p>
      <w:pPr>
        <w:ind w:firstLine="480"/>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注：以上人员不可重复得分，需提供以上人员的相关证书扫描件上传至投标文件并电子签章，否则不得分。</w:t>
      </w:r>
      <w:r/>
    </w:p>
    <w:p>
      <w:pPr>
        <w:ind w:firstLine="480"/>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（4）电梯安全管理系统（6分）</w:t>
      </w:r>
      <w:r/>
    </w:p>
    <w:p>
      <w:pPr>
        <w:ind w:firstLine="480"/>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根据投标人提供的电梯智慧管理系统；包括：</w:t>
      </w:r>
      <w:r/>
    </w:p>
    <w:p>
      <w:pPr>
        <w:ind w:firstLine="480"/>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①采集安装电梯物联网设备的电梯基础数据，建立电梯基础数据库。可供使用单位、物业单位、维保单位查看（2分）；</w:t>
      </w:r>
      <w:r/>
    </w:p>
    <w:p>
      <w:pPr>
        <w:ind w:firstLine="480"/>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②建立智慧电梯远程监测系统。可供使用单位、物业单位、维保单位查看（2分）；</w:t>
      </w:r>
      <w:r/>
    </w:p>
    <w:p>
      <w:pPr>
        <w:ind w:firstLine="480"/>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③建立无纸化维保及在线报修系统（2分）。</w:t>
      </w:r>
      <w:r/>
    </w:p>
    <w:p>
      <w:pPr>
        <w:ind w:firstLine="480"/>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注：需提供平台界面截图及功能等相关证明材料复印件上传至投标文件中，不提供不得分。</w:t>
      </w:r>
      <w:r/>
    </w:p>
    <w:p>
      <w:pPr>
        <w:numPr>
          <w:ilvl w:val="0"/>
          <w:numId w:val="0"/>
        </w:numPr>
        <w:ind w:left="510" w:hanging="360"/>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b/>
          <w:bCs/>
          <w:color w:val="000000"/>
          <w:sz w:val="24"/>
          <w:szCs w:val="24"/>
          <w:highlight w:val="none"/>
        </w:rPr>
      </w:pPr>
      <w:r>
        <w:rPr>
          <w:rFonts w:hint="eastAsia" w:ascii="宋体" w:hAnsi="宋体" w:cs="Times New Roman"/>
          <w:b/>
          <w:bCs/>
          <w:color w:val="000000"/>
          <w:sz w:val="24"/>
          <w:szCs w:val="24"/>
          <w:highlight w:val="none"/>
          <w:lang w:val="en-US" w:eastAsia="zh-CN" w:bidi="ar-SA"/>
        </w:rPr>
        <w:t xml:space="preserve">3</w:t>
      </w:r>
      <w:r>
        <w:rPr>
          <w:rFonts w:hint="eastAsia" w:ascii="宋体" w:hAnsi="宋体" w:eastAsia="宋体" w:cs="Times New Roman"/>
          <w:b/>
          <w:bCs/>
          <w:color w:val="000000"/>
          <w:sz w:val="24"/>
          <w:szCs w:val="24"/>
          <w:highlight w:val="none"/>
          <w:lang w:val="en-US" w:eastAsia="zh-CN" w:bidi="ar-SA"/>
        </w:rPr>
        <w:t xml:space="preserve">.</w:t>
      </w:r>
      <w:r>
        <w:rPr>
          <w:rFonts w:hint="eastAsia" w:ascii="宋体" w:hAnsi="宋体"/>
          <w:b/>
          <w:bCs/>
          <w:color w:val="000000"/>
          <w:sz w:val="24"/>
          <w:szCs w:val="24"/>
          <w:highlight w:val="none"/>
          <w:lang w:val="en-US" w:eastAsia="zh-CN"/>
        </w:rPr>
        <w:t xml:space="preserve">技术</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50</w:t>
      </w:r>
      <w:r>
        <w:rPr>
          <w:rFonts w:hint="eastAsia" w:ascii="宋体" w:hAnsi="宋体"/>
          <w:b/>
          <w:bCs/>
          <w:color w:val="000000"/>
          <w:sz w:val="24"/>
          <w:szCs w:val="24"/>
          <w:highlight w:val="none"/>
        </w:rPr>
        <w:t xml:space="preserve">分）：</w:t>
      </w:r>
      <w:r/>
    </w:p>
    <w:p>
      <w:pPr>
        <w:pStyle w:val="1070"/>
        <w:ind w:firstLine="422"/>
        <w:spacing w:before="0" w:after="0" w:line="360" w:lineRule="auto"/>
        <w:rPr>
          <w:rFonts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u w:val="single"/>
          <w14:textFill>
            <w14:solidFill>
              <w14:schemeClr w14:val="tx1"/>
            </w14:solidFill>
          </w14:textFill>
        </w:rPr>
        <w:t xml:space="preserve">注：技术部分属于暗标，投标人在制作技术部分相关内容时</w:t>
      </w:r>
      <w:r>
        <w:rPr>
          <w:rFonts w:hint="eastAsia" w:ascii="宋体" w:hAnsi="宋体"/>
          <w:b/>
          <w:color w:val="000000" w:themeColor="text1"/>
          <w:sz w:val="28"/>
          <w:szCs w:val="28"/>
          <w:highlight w:val="none"/>
          <w:u w:val="single"/>
          <w:lang w:val="en-US" w:eastAsia="zh-CN"/>
          <w14:textFill>
            <w14:solidFill>
              <w14:schemeClr w14:val="tx1"/>
            </w14:solidFill>
          </w14:textFill>
        </w:rPr>
        <w:t xml:space="preserve">应注意暗标要求</w:t>
      </w:r>
      <w:r>
        <w:rPr>
          <w:rFonts w:hint="eastAsia" w:ascii="宋体" w:hAnsi="宋体"/>
          <w:b/>
          <w:color w:val="000000" w:themeColor="text1"/>
          <w:sz w:val="28"/>
          <w:szCs w:val="28"/>
          <w:highlight w:val="none"/>
          <w:u w:val="single"/>
          <w14:textFill>
            <w14:solidFill>
              <w14:schemeClr w14:val="tx1"/>
            </w14:solidFill>
          </w14:textFill>
        </w:rPr>
        <w:t xml:space="preserve">，否则投标无效。</w:t>
      </w:r>
      <w:r/>
    </w:p>
    <w:p>
      <w:pPr>
        <w:numPr>
          <w:ilvl w:val="0"/>
          <w:numId w:val="0"/>
        </w:numPr>
        <w:ind w:left="150" w:firstLine="480"/>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b/>
          <w:bCs/>
          <w:color w:val="000000"/>
          <w:sz w:val="24"/>
          <w:szCs w:val="24"/>
          <w:highlight w:val="none"/>
        </w:rPr>
      </w:pPr>
      <w:r>
        <w:rPr>
          <w:rFonts w:hint="eastAsia" w:ascii="宋体" w:hAnsi="宋体"/>
          <w:bCs/>
          <w:color w:val="000000"/>
          <w:sz w:val="24"/>
          <w:highlight w:val="none"/>
        </w:rPr>
        <w:t xml:space="preserve">在响应采购文件需求的基础上针对下列各部分进行</w:t>
      </w:r>
      <w:r>
        <w:rPr>
          <w:rFonts w:hint="eastAsia" w:ascii="宋体" w:hAnsi="宋体"/>
          <w:bCs/>
          <w:color w:val="000000"/>
          <w:sz w:val="24"/>
          <w:szCs w:val="24"/>
          <w:highlight w:val="none"/>
        </w:rPr>
        <w:t xml:space="preserve">评价，要求体现科学合理性、条理性、可行性、完善性、针对性，无方案不得分。</w:t>
      </w:r>
      <w:r>
        <w:rPr>
          <w:rFonts w:hint="eastAsia" w:ascii="宋体" w:hAnsi="宋体"/>
          <w:bCs/>
          <w:color w:val="000000"/>
          <w:sz w:val="24"/>
          <w:szCs w:val="24"/>
          <w:highlight w:val="none"/>
          <w:lang w:val="en-US" w:eastAsia="zh-CN"/>
        </w:rPr>
        <w:t xml:space="preserve">投标人</w:t>
      </w:r>
      <w:r>
        <w:rPr>
          <w:rFonts w:hint="eastAsia" w:ascii="宋体" w:hAnsi="宋体"/>
          <w:bCs/>
          <w:color w:val="000000"/>
          <w:sz w:val="24"/>
          <w:szCs w:val="24"/>
          <w:highlight w:val="none"/>
        </w:rPr>
        <w:t xml:space="preserve">编制方案时请</w:t>
      </w:r>
      <w:r>
        <w:rPr>
          <w:rFonts w:hint="eastAsia" w:ascii="宋体" w:hAnsi="宋体"/>
          <w:color w:val="000000"/>
          <w:sz w:val="24"/>
          <w:szCs w:val="24"/>
          <w:highlight w:val="none"/>
        </w:rPr>
        <w:t xml:space="preserve">按以下顺序编制，以便评审。</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lang w:eastAsia="zh-CN"/>
        </w:rPr>
        <w:t xml:space="preserve">）对项目的理解及需求分析（</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lang w:eastAsia="zh-CN"/>
        </w:rPr>
        <w:t xml:space="preserve">根据投标人对本项目及背景理解认识的深刻性，需求分析的合理性、针对性、全面性进行综合分析比较。</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内容详实、需求贴合度高且条理清晰的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内容较为简单、可行、细节</w:t>
      </w:r>
      <w:r>
        <w:rPr>
          <w:rFonts w:hint="eastAsia" w:ascii="宋体" w:hAnsi="宋体" w:eastAsia="宋体" w:cs="宋体"/>
          <w:bCs/>
          <w:color w:val="000000"/>
          <w:sz w:val="24"/>
          <w:szCs w:val="24"/>
          <w:highlight w:val="none"/>
          <w:lang w:eastAsia="zh-CN"/>
        </w:rPr>
        <w:t xml:space="preserve">有待</w:t>
      </w:r>
      <w:r>
        <w:rPr>
          <w:rFonts w:hint="eastAsia" w:ascii="宋体" w:hAnsi="宋体" w:eastAsia="宋体" w:cs="宋体"/>
          <w:bCs/>
          <w:color w:val="000000"/>
          <w:sz w:val="24"/>
          <w:szCs w:val="24"/>
          <w:highlight w:val="none"/>
        </w:rPr>
        <w:t xml:space="preserve">完善的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内容粗略、无针对性、基本满足采购需求的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lang w:eastAsia="zh-CN"/>
        </w:rPr>
        <w:t xml:space="preserve">未提供概述的此项不得分。本项最高得</w:t>
      </w: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eastAsia="zh-CN"/>
        </w:rPr>
        <w:t xml:space="preserve">）安全保障方案（</w:t>
      </w:r>
      <w:r>
        <w:rPr>
          <w:rFonts w:hint="eastAsia" w:ascii="宋体" w:hAnsi="宋体" w:eastAsia="宋体" w:cs="宋体"/>
          <w:b/>
          <w:bCs w:val="0"/>
          <w:color w:val="000000"/>
          <w:sz w:val="24"/>
          <w:szCs w:val="24"/>
          <w:highlight w:val="none"/>
          <w:lang w:val="en-US" w:eastAsia="zh-CN"/>
        </w:rPr>
        <w:t xml:space="preserve">18</w:t>
      </w:r>
      <w:r>
        <w:rPr>
          <w:rFonts w:hint="eastAsia" w:ascii="宋体" w:hAnsi="宋体" w:eastAsia="宋体" w:cs="宋体"/>
          <w:b/>
          <w:bCs w:val="0"/>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lang w:eastAsia="zh-CN"/>
        </w:rPr>
        <w:t xml:space="preserve">根据投标人提供的安全保障方案，包括：</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lang w:eastAsia="zh-CN"/>
        </w:rPr>
        <w:t xml:space="preserve">①维保阶段（</w:t>
      </w: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lang w:eastAsia="zh-CN"/>
        </w:rPr>
        <w:t xml:space="preserve">②维修阶段（</w:t>
      </w: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lang w:eastAsia="zh-CN"/>
        </w:rPr>
        <w:t xml:space="preserve">③现场日常使用阶段（</w:t>
      </w: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内容详实、需求贴合度高且条理清晰的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内容较为简单、可行、细节</w:t>
      </w:r>
      <w:r>
        <w:rPr>
          <w:rFonts w:hint="eastAsia" w:ascii="宋体" w:hAnsi="宋体" w:eastAsia="宋体" w:cs="宋体"/>
          <w:bCs/>
          <w:color w:val="000000"/>
          <w:sz w:val="24"/>
          <w:szCs w:val="24"/>
          <w:highlight w:val="none"/>
          <w:lang w:eastAsia="zh-CN"/>
        </w:rPr>
        <w:t xml:space="preserve">有待</w:t>
      </w:r>
      <w:r>
        <w:rPr>
          <w:rFonts w:hint="eastAsia" w:ascii="宋体" w:hAnsi="宋体" w:eastAsia="宋体" w:cs="宋体"/>
          <w:bCs/>
          <w:color w:val="000000"/>
          <w:sz w:val="24"/>
          <w:szCs w:val="24"/>
          <w:highlight w:val="none"/>
        </w:rPr>
        <w:t xml:space="preserve">完善的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内容粗略、无针对性、基本满足采购需求的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lang w:eastAsia="zh-CN"/>
        </w:rPr>
        <w:t xml:space="preserve">未提供概述的此项不得分。本项最高得</w:t>
      </w:r>
      <w:r>
        <w:rPr>
          <w:rFonts w:hint="eastAsia" w:ascii="宋体" w:hAnsi="宋体" w:eastAsia="宋体" w:cs="宋体"/>
          <w:b w:val="0"/>
          <w:bCs/>
          <w:color w:val="000000"/>
          <w:sz w:val="24"/>
          <w:szCs w:val="24"/>
          <w:highlight w:val="none"/>
          <w:lang w:val="en-US" w:eastAsia="zh-CN"/>
        </w:rPr>
        <w:t xml:space="preserve">18</w:t>
      </w:r>
      <w:r>
        <w:rPr>
          <w:rFonts w:hint="eastAsia" w:ascii="宋体" w:hAnsi="宋体" w:eastAsia="宋体" w:cs="宋体"/>
          <w:b w:val="0"/>
          <w:bCs/>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lang w:eastAsia="zh-CN"/>
        </w:rPr>
        <w:t xml:space="preserve">）保险条款（</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lang w:eastAsia="zh-CN"/>
        </w:rPr>
        <w:t xml:space="preserve">根据投标人是否能够提供响应保险责任的条款或相关约定内容进行评定。</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内容详实、需求贴合度高且条理清晰的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内容较为简单、可行、细节</w:t>
      </w:r>
      <w:r>
        <w:rPr>
          <w:rFonts w:hint="eastAsia" w:ascii="宋体" w:hAnsi="宋体" w:eastAsia="宋体" w:cs="宋体"/>
          <w:bCs/>
          <w:color w:val="000000"/>
          <w:sz w:val="24"/>
          <w:szCs w:val="24"/>
          <w:highlight w:val="none"/>
          <w:lang w:eastAsia="zh-CN"/>
        </w:rPr>
        <w:t xml:space="preserve">有待</w:t>
      </w:r>
      <w:r>
        <w:rPr>
          <w:rFonts w:hint="eastAsia" w:ascii="宋体" w:hAnsi="宋体" w:eastAsia="宋体" w:cs="宋体"/>
          <w:bCs/>
          <w:color w:val="000000"/>
          <w:sz w:val="24"/>
          <w:szCs w:val="24"/>
          <w:highlight w:val="none"/>
        </w:rPr>
        <w:t xml:space="preserve">完善的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内容粗略、无针对性、基本满足采购需求的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lang w:eastAsia="zh-CN"/>
        </w:rPr>
        <w:t xml:space="preserve">未提供概述的此项不得分。本项最高得</w:t>
      </w: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eastAsia="zh-CN"/>
        </w:rPr>
        <w:t xml:space="preserve">）理赔服务方案（</w:t>
      </w:r>
      <w:r>
        <w:rPr>
          <w:rFonts w:hint="eastAsia" w:ascii="宋体" w:hAnsi="宋体" w:eastAsia="宋体" w:cs="宋体"/>
          <w:b/>
          <w:bCs w:val="0"/>
          <w:color w:val="000000"/>
          <w:sz w:val="24"/>
          <w:szCs w:val="24"/>
          <w:highlight w:val="none"/>
          <w:lang w:val="en-US" w:eastAsia="zh-CN"/>
        </w:rPr>
        <w:t xml:space="preserve">8</w:t>
      </w:r>
      <w:r>
        <w:rPr>
          <w:rFonts w:hint="eastAsia" w:ascii="宋体" w:hAnsi="宋体" w:eastAsia="宋体" w:cs="宋体"/>
          <w:b/>
          <w:bCs w:val="0"/>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lang w:eastAsia="zh-CN"/>
        </w:rPr>
        <w:t xml:space="preserve">根据投标人提供的理赔服务方案的科学性、合理性和可执行性，能覆盖招标人的需求进行综合评定。</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内容详实、需求贴合度高且条理清晰的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内容较为简单、可行、细节</w:t>
      </w:r>
      <w:r>
        <w:rPr>
          <w:rFonts w:hint="eastAsia" w:ascii="宋体" w:hAnsi="宋体" w:eastAsia="宋体" w:cs="宋体"/>
          <w:bCs/>
          <w:color w:val="000000"/>
          <w:sz w:val="24"/>
          <w:szCs w:val="24"/>
          <w:highlight w:val="none"/>
          <w:lang w:eastAsia="zh-CN"/>
        </w:rPr>
        <w:t xml:space="preserve">有待</w:t>
      </w:r>
      <w:r>
        <w:rPr>
          <w:rFonts w:hint="eastAsia" w:ascii="宋体" w:hAnsi="宋体" w:eastAsia="宋体" w:cs="宋体"/>
          <w:bCs/>
          <w:color w:val="000000"/>
          <w:sz w:val="24"/>
          <w:szCs w:val="24"/>
          <w:highlight w:val="none"/>
        </w:rPr>
        <w:t xml:space="preserve">完善的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内容粗略、无针对性、基本满足采购需求的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lang w:eastAsia="zh-CN"/>
        </w:rPr>
        <w:t xml:space="preserve">未提供概述的此项不得分。本项最高得</w:t>
      </w:r>
      <w:r>
        <w:rPr>
          <w:rFonts w:hint="eastAsia" w:ascii="宋体" w:hAnsi="宋体" w:eastAsia="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eastAsia="zh-CN"/>
        </w:rPr>
        <w:t xml:space="preserve">）属地化服务承诺（</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lang w:eastAsia="zh-CN"/>
        </w:rPr>
        <w:t xml:space="preserve">供应商须</w:t>
      </w:r>
      <w:r>
        <w:rPr>
          <w:rFonts w:hint="eastAsia" w:ascii="宋体" w:hAnsi="宋体" w:eastAsia="宋体" w:cs="宋体"/>
          <w:b w:val="0"/>
          <w:bCs/>
          <w:color w:val="000000"/>
          <w:sz w:val="24"/>
          <w:szCs w:val="24"/>
          <w:highlight w:val="none"/>
          <w:lang w:val="en-US" w:eastAsia="zh-CN"/>
        </w:rPr>
        <w:t xml:space="preserve">提供承诺书（格式自拟），</w:t>
      </w:r>
      <w:r>
        <w:rPr>
          <w:rFonts w:hint="eastAsia" w:ascii="宋体" w:hAnsi="宋体" w:eastAsia="宋体" w:cs="宋体"/>
          <w:b w:val="0"/>
          <w:bCs/>
          <w:color w:val="000000"/>
          <w:sz w:val="24"/>
          <w:szCs w:val="24"/>
          <w:highlight w:val="none"/>
          <w:lang w:eastAsia="zh-CN"/>
        </w:rPr>
        <w:t xml:space="preserve">承诺中标后，在本地设立常驻服务机构及派驻本地服务人员，投标文件中须提供详细、可操作、有针对性的本地化服务措施。</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lang w:eastAsia="zh-CN"/>
        </w:rPr>
        <w:t xml:space="preserve">供应商在本地设立有效的服务网点（包括分支机构、营销服务部或营业部）用于赔案处理及满足服务要求的，且派驻本地服务人员结构合理、综合能力强，服务实施方案合理、全面、可行性强，得</w:t>
      </w: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lang w:eastAsia="zh-CN"/>
        </w:rPr>
        <w:t xml:space="preserve">供应商在本地设立有效的服务网点（包括分支机构、营销服务部或营业部）用于赔案处理及满足服务要求的，且派驻本地服务人员结构一般、综合能力一般，服务实施方案一般，得</w:t>
      </w: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lang w:eastAsia="zh-CN"/>
        </w:rPr>
        <w:t xml:space="preserve">供应商在本地设立有效的服务网点（包括分支机构、营销服务部或营业部）用于赔案处理及满足服务要求的，且服务实施方案不够合理、不够全面、可行性差，得</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lang w:eastAsia="zh-CN"/>
        </w:rPr>
        <w:t xml:space="preserve">未提供概述的此项不得分。本项最高得</w:t>
      </w: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lang w:eastAsia="zh-CN"/>
        </w:rPr>
        <w:t xml:space="preserve">）其他增值服务（</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lang w:eastAsia="zh-CN"/>
        </w:rPr>
        <w:t xml:space="preserve">根据投标人可提供的其能力许可范围内的增值服务、个性化等特色服务进行综合评定。</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内容详实、需求贴合度高且条理清晰的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内容较为简单、可行、细节</w:t>
      </w:r>
      <w:r>
        <w:rPr>
          <w:rFonts w:hint="eastAsia" w:ascii="宋体" w:hAnsi="宋体" w:eastAsia="宋体" w:cs="宋体"/>
          <w:bCs/>
          <w:color w:val="000000"/>
          <w:sz w:val="24"/>
          <w:szCs w:val="24"/>
          <w:highlight w:val="none"/>
          <w:lang w:eastAsia="zh-CN"/>
        </w:rPr>
        <w:t xml:space="preserve">有待</w:t>
      </w:r>
      <w:r>
        <w:rPr>
          <w:rFonts w:hint="eastAsia" w:ascii="宋体" w:hAnsi="宋体" w:eastAsia="宋体" w:cs="宋体"/>
          <w:bCs/>
          <w:color w:val="000000"/>
          <w:sz w:val="24"/>
          <w:szCs w:val="24"/>
          <w:highlight w:val="none"/>
        </w:rPr>
        <w:t xml:space="preserve">完善的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内容粗略、无针对性、基本满足采购需求的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lang w:eastAsia="zh-CN"/>
        </w:rPr>
        <w:t xml:space="preserve">未提供概述的此项不得分。本项最高得</w:t>
      </w: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eastAsia="zh-CN"/>
        </w:rPr>
        <w:t xml:space="preserve">分。</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注：投标供应商须针对本项目的实际情况，结合自身条件，编制符合本项目实际要求且切实可行的技术标（服务方案）。评分取所有评委打分分值的平均值。</w:t>
      </w:r>
      <w:r/>
    </w:p>
    <w:p>
      <w:pPr>
        <w:ind w:firstLine="480"/>
        <w:keepLines w:val="0"/>
        <w:keepNext w:val="0"/>
        <w:pageBreakBefore w:val="0"/>
        <w:spacing w:line="360" w:lineRule="auto"/>
        <w:widowControl w:val="off"/>
        <w:rPr>
          <w:rFonts w:hint="eastAsia" w:hAnsi="宋体" w:cs="宋体"/>
          <w:sz w:val="24"/>
          <w:highlight w:val="none"/>
        </w:rPr>
      </w:pPr>
      <w:r>
        <w:rPr>
          <w:rFonts w:hint="eastAsia" w:hAnsi="宋体" w:cs="宋体"/>
          <w:sz w:val="24"/>
          <w:highlight w:val="none"/>
        </w:rPr>
      </w:r>
      <w:r/>
    </w:p>
    <w:p>
      <w:pPr>
        <w:ind w:firstLine="720"/>
        <w:keepLines w:val="0"/>
        <w:keepNext w:val="0"/>
        <w:pageBreakBefore w:val="0"/>
        <w:spacing w:line="360" w:lineRule="auto"/>
        <w:widowControl w:val="off"/>
        <w:rPr>
          <w:rFonts w:hint="eastAsia" w:ascii="黑体" w:eastAsia="黑体"/>
          <w:bCs/>
          <w:color w:val="000000"/>
          <w:sz w:val="36"/>
          <w:szCs w:val="36"/>
          <w:highlight w:val="none"/>
        </w:rPr>
      </w:pPr>
      <w:r>
        <w:rPr>
          <w:rFonts w:hint="eastAsia" w:ascii="黑体" w:eastAsia="黑体"/>
          <w:bCs/>
          <w:color w:val="000000"/>
          <w:sz w:val="36"/>
          <w:szCs w:val="36"/>
          <w:highlight w:val="none"/>
        </w:rPr>
        <w:br w:type="page" w:clear="all"/>
      </w:r>
      <w:r/>
    </w:p>
    <w:p>
      <w:pPr>
        <w:ind w:firstLine="480"/>
        <w:jc w:val="center"/>
        <w:spacing w:line="360" w:lineRule="auto"/>
        <w:rPr>
          <w:rFonts w:hint="eastAsia" w:ascii="黑体" w:eastAsia="黑体"/>
          <w:bCs/>
          <w:color w:val="000000"/>
          <w:sz w:val="36"/>
          <w:szCs w:val="36"/>
          <w:highlight w:val="none"/>
        </w:rPr>
      </w:pPr>
      <w:r>
        <w:rPr>
          <w:rFonts w:hint="eastAsia" w:ascii="黑体" w:eastAsia="黑体"/>
          <w:bCs/>
          <w:color w:val="000000"/>
          <w:sz w:val="36"/>
          <w:szCs w:val="36"/>
          <w:highlight w:val="none"/>
        </w:rPr>
        <w:t xml:space="preserve">第六章  投标文件内容与格式</w:t>
      </w:r>
      <w:r/>
    </w:p>
    <w:p>
      <w:pPr>
        <w:pStyle w:val="1070"/>
        <w:ind w:firstLine="602"/>
        <w:spacing w:before="0" w:after="0" w:line="500" w:lineRule="exact"/>
        <w:rPr>
          <w:rFonts w:hint="eastAsia" w:cs="Arial"/>
          <w:b/>
          <w:color w:val="000000"/>
          <w:sz w:val="30"/>
          <w:szCs w:val="30"/>
          <w:highlight w:val="none"/>
        </w:rPr>
      </w:pPr>
      <w:r>
        <w:rPr>
          <w:rFonts w:hint="eastAsia" w:cs="Arial"/>
          <w:b/>
          <w:color w:val="000000"/>
          <w:sz w:val="30"/>
          <w:szCs w:val="30"/>
          <w:highlight w:val="none"/>
        </w:rPr>
        <w:t xml:space="preserve">第一部分  投标文件内容</w:t>
      </w:r>
      <w:r/>
    </w:p>
    <w:p>
      <w:pPr>
        <w:pStyle w:val="1070"/>
        <w:ind w:firstLine="0"/>
        <w:spacing w:before="0" w:after="0" w:line="500" w:lineRule="exact"/>
        <w:rPr>
          <w:rFonts w:hint="eastAsia"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p>
    <w:tbl>
      <w:tblPr>
        <w:tblStyle w:val="800"/>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70"/>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序号</w:t>
            </w:r>
            <w:r/>
          </w:p>
        </w:tc>
        <w:tc>
          <w:tcPr>
            <w:tcW w:w="6104" w:type="dxa"/>
            <w:vAlign w:val="center"/>
            <w:textDirection w:val="lrTb"/>
            <w:noWrap w:val="false"/>
          </w:tcPr>
          <w:p>
            <w:pPr>
              <w:pStyle w:val="107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评审项及评审要求</w:t>
            </w:r>
            <w:r/>
          </w:p>
        </w:tc>
        <w:tc>
          <w:tcPr>
            <w:tcW w:w="2449" w:type="dxa"/>
            <w:vAlign w:val="center"/>
            <w:textDirection w:val="lrTb"/>
            <w:noWrap w:val="false"/>
          </w:tcPr>
          <w:p>
            <w:pPr>
              <w:pStyle w:val="1070"/>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审查因素</w:t>
            </w:r>
            <w:r/>
          </w:p>
        </w:tc>
      </w:tr>
      <w:tr>
        <w:trPr>
          <w:cantSplit/>
          <w:jc w:val="center"/>
          <w:trHeight w:val="1335"/>
        </w:trPr>
        <w:tc>
          <w:tcPr>
            <w:tcW w:w="719" w:type="dxa"/>
            <w:vAlign w:val="center"/>
            <w:textDirection w:val="lrTb"/>
            <w:noWrap w:val="false"/>
          </w:tcPr>
          <w:p>
            <w:pPr>
              <w:pStyle w:val="1070"/>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1</w:t>
            </w:r>
            <w:r/>
          </w:p>
        </w:tc>
        <w:tc>
          <w:tcPr>
            <w:tcW w:w="6104" w:type="dxa"/>
            <w:vAlign w:val="center"/>
            <w:textDirection w:val="lrTb"/>
            <w:noWrap w:val="false"/>
          </w:tcPr>
          <w:p>
            <w:pPr>
              <w:pStyle w:val="1070"/>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70"/>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70"/>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2</w:t>
            </w:r>
            <w:r/>
          </w:p>
        </w:tc>
        <w:tc>
          <w:tcPr>
            <w:tcW w:w="6104" w:type="dxa"/>
            <w:vAlign w:val="center"/>
            <w:textDirection w:val="lrTb"/>
            <w:noWrap w:val="false"/>
          </w:tcPr>
          <w:p>
            <w:pPr>
              <w:pStyle w:val="1070"/>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p>
        </w:tc>
        <w:tc>
          <w:tcPr>
            <w:tcW w:w="2449" w:type="dxa"/>
            <w:vAlign w:val="center"/>
            <w:vMerge w:val="continue"/>
            <w:textDirection w:val="lrTb"/>
            <w:noWrap w:val="false"/>
          </w:tcPr>
          <w:p>
            <w:pPr>
              <w:pStyle w:val="1070"/>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cantSplit/>
          <w:jc w:val="center"/>
          <w:trHeight w:val="1684"/>
        </w:trPr>
        <w:tc>
          <w:tcPr>
            <w:tcW w:w="719" w:type="dxa"/>
            <w:vAlign w:val="center"/>
            <w:textDirection w:val="lrTb"/>
            <w:noWrap w:val="false"/>
          </w:tcPr>
          <w:p>
            <w:pPr>
              <w:pStyle w:val="1070"/>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3</w:t>
            </w:r>
            <w:r/>
          </w:p>
        </w:tc>
        <w:tc>
          <w:tcPr>
            <w:tcW w:w="6104" w:type="dxa"/>
            <w:vAlign w:val="center"/>
            <w:textDirection w:val="lrTb"/>
            <w:noWrap w:val="false"/>
          </w:tcPr>
          <w:p>
            <w:pPr>
              <w:pStyle w:val="1070"/>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不含投标当月</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60"/>
                <w:rFonts w:hint="eastAsia" w:ascii="宋体" w:hAnsi="宋体" w:cs="宋体"/>
                <w:color w:val="000000"/>
                <w:sz w:val="24"/>
                <w:szCs w:val="24"/>
                <w:highlight w:val="none"/>
              </w:rPr>
              <w:t xml:space="preserve">。</w:t>
            </w:r>
            <w:r/>
          </w:p>
        </w:tc>
        <w:tc>
          <w:tcPr>
            <w:tcW w:w="2449" w:type="dxa"/>
            <w:vAlign w:val="center"/>
            <w:vMerge w:val="continue"/>
            <w:textDirection w:val="lrTb"/>
            <w:noWrap w:val="false"/>
          </w:tcPr>
          <w:p>
            <w:pPr>
              <w:pStyle w:val="1070"/>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cantSplit/>
          <w:jc w:val="center"/>
          <w:trHeight w:val="963"/>
        </w:trPr>
        <w:tc>
          <w:tcPr>
            <w:tcW w:w="719" w:type="dxa"/>
            <w:vAlign w:val="center"/>
            <w:textDirection w:val="lrTb"/>
            <w:noWrap w:val="false"/>
          </w:tcPr>
          <w:p>
            <w:pPr>
              <w:pStyle w:val="1070"/>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4</w:t>
            </w:r>
            <w:r/>
          </w:p>
        </w:tc>
        <w:tc>
          <w:tcPr>
            <w:tcW w:w="6104" w:type="dxa"/>
            <w:vAlign w:val="center"/>
            <w:textDirection w:val="lrTb"/>
            <w:noWrap w:val="false"/>
          </w:tcPr>
          <w:p>
            <w:pPr>
              <w:pStyle w:val="1070"/>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不含投标当月</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的依法缴纳税收的相关材料（提供相关主管部门证明或银行代扣证明）。</w:t>
            </w:r>
            <w:r/>
          </w:p>
        </w:tc>
        <w:tc>
          <w:tcPr>
            <w:tcW w:w="2449" w:type="dxa"/>
            <w:vAlign w:val="center"/>
            <w:vMerge w:val="continue"/>
            <w:textDirection w:val="lrTb"/>
            <w:noWrap w:val="false"/>
          </w:tcPr>
          <w:p>
            <w:pPr>
              <w:pStyle w:val="1070"/>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cantSplit/>
          <w:jc w:val="center"/>
          <w:trHeight w:val="1023"/>
        </w:trPr>
        <w:tc>
          <w:tcPr>
            <w:tcW w:w="719" w:type="dxa"/>
            <w:vAlign w:val="center"/>
            <w:textDirection w:val="lrTb"/>
            <w:noWrap w:val="false"/>
          </w:tcPr>
          <w:p>
            <w:pPr>
              <w:pStyle w:val="1070"/>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5</w:t>
            </w:r>
            <w:r/>
          </w:p>
        </w:tc>
        <w:tc>
          <w:tcPr>
            <w:tcW w:w="6104" w:type="dxa"/>
            <w:vAlign w:val="center"/>
            <w:textDirection w:val="lrTb"/>
            <w:noWrap w:val="false"/>
          </w:tcPr>
          <w:p>
            <w:pPr>
              <w:pStyle w:val="1070"/>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不含投标当月</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的依法缴纳社会保障资金的相关材料（提供相关主管部门证明或银行代扣证明）。</w:t>
            </w:r>
            <w:r/>
          </w:p>
        </w:tc>
        <w:tc>
          <w:tcPr>
            <w:tcW w:w="2449" w:type="dxa"/>
            <w:vAlign w:val="center"/>
            <w:vMerge w:val="continue"/>
            <w:textDirection w:val="lrTb"/>
            <w:noWrap w:val="false"/>
          </w:tcPr>
          <w:p>
            <w:pPr>
              <w:pStyle w:val="1070"/>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070"/>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6</w:t>
            </w:r>
            <w:r/>
          </w:p>
        </w:tc>
        <w:tc>
          <w:tcPr>
            <w:tcBorders>
              <w:bottom w:val="single" w:color="000000" w:sz="4" w:space="0"/>
            </w:tcBorders>
            <w:tcW w:w="6104" w:type="dxa"/>
            <w:vAlign w:val="center"/>
            <w:textDirection w:val="lrTb"/>
            <w:noWrap w:val="false"/>
          </w:tcPr>
          <w:p>
            <w:pPr>
              <w:pStyle w:val="1070"/>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《资格声明函》（给定格式）。</w:t>
            </w:r>
            <w:r/>
          </w:p>
        </w:tc>
        <w:tc>
          <w:tcPr>
            <w:tcW w:w="2449" w:type="dxa"/>
            <w:vAlign w:val="center"/>
            <w:vMerge w:val="continue"/>
            <w:textDirection w:val="lrTb"/>
            <w:noWrap w:val="false"/>
          </w:tcPr>
          <w:p>
            <w:pPr>
              <w:pStyle w:val="1070"/>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700"/>
        </w:trPr>
        <w:tc>
          <w:tcPr>
            <w:tcW w:w="719" w:type="dxa"/>
            <w:vAlign w:val="center"/>
            <w:textDirection w:val="lrTb"/>
            <w:noWrap w:val="false"/>
          </w:tcPr>
          <w:p>
            <w:pPr>
              <w:pStyle w:val="1070"/>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7</w:t>
            </w:r>
            <w:r/>
          </w:p>
        </w:tc>
        <w:tc>
          <w:tcPr>
            <w:tcW w:w="6104" w:type="dxa"/>
            <w:vAlign w:val="center"/>
            <w:textDirection w:val="lrTb"/>
            <w:noWrap w:val="false"/>
          </w:tcPr>
          <w:p>
            <w:pPr>
              <w:pStyle w:val="1070"/>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p>
        </w:tc>
        <w:tc>
          <w:tcPr>
            <w:tcW w:w="2449" w:type="dxa"/>
            <w:vAlign w:val="center"/>
            <w:textDirection w:val="lrTb"/>
            <w:noWrap w:val="false"/>
          </w:tcPr>
          <w:p>
            <w:pPr>
              <w:pStyle w:val="1070"/>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70"/>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8</w:t>
            </w:r>
            <w:r/>
          </w:p>
        </w:tc>
        <w:tc>
          <w:tcPr>
            <w:tcW w:w="6104" w:type="dxa"/>
            <w:vAlign w:val="center"/>
            <w:textDirection w:val="lrTb"/>
            <w:noWrap w:val="false"/>
          </w:tcPr>
          <w:p>
            <w:pPr>
              <w:pStyle w:val="1070"/>
              <w:ind w:firstLine="0"/>
              <w:jc w:val="both"/>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rFonts w:hint="eastAsia" w:ascii="宋体" w:hAnsi="宋体" w:cs="宋体"/>
                <w:bCs/>
                <w:color w:val="000000"/>
                <w:highlight w:val="none"/>
              </w:rPr>
              <w:t xml:space="preserve">如有</w:t>
            </w:r>
            <w:r>
              <w:rPr>
                <w:rFonts w:hint="eastAsia" w:ascii="宋体" w:hAnsi="宋体" w:cs="宋体"/>
                <w:color w:val="000000"/>
                <w:highlight w:val="none"/>
              </w:rPr>
              <w:t xml:space="preserve">特定资格要求的）。</w:t>
            </w:r>
            <w:r/>
          </w:p>
        </w:tc>
        <w:tc>
          <w:tcPr>
            <w:tcW w:w="2449" w:type="dxa"/>
            <w:vAlign w:val="center"/>
            <w:textDirection w:val="lrTb"/>
            <w:noWrap w:val="false"/>
          </w:tcPr>
          <w:p>
            <w:pPr>
              <w:pStyle w:val="1070"/>
              <w:ind w:firstLine="0"/>
              <w:spacing w:before="0" w:after="0" w:line="240" w:lineRule="auto"/>
              <w:rPr>
                <w:rFonts w:hint="eastAsia" w:ascii="宋体" w:hAnsi="宋体" w:cs="宋体"/>
                <w:bCs/>
                <w:color w:val="000000"/>
                <w:highlight w:val="none"/>
              </w:rPr>
            </w:pPr>
            <w:r>
              <w:rPr>
                <w:rFonts w:hint="eastAsia" w:ascii="宋体" w:hAnsi="宋体" w:cs="宋体"/>
                <w:color w:val="000000"/>
                <w:highlight w:val="none"/>
              </w:rPr>
              <w:t xml:space="preserve">特定资格要求，详见第一章《投标邀请》</w:t>
            </w:r>
            <w:r/>
          </w:p>
        </w:tc>
      </w:tr>
      <w:tr>
        <w:trPr>
          <w:jc w:val="center"/>
          <w:trHeight w:val="632"/>
        </w:trPr>
        <w:tc>
          <w:tcPr>
            <w:tcW w:w="719" w:type="dxa"/>
            <w:vAlign w:val="center"/>
            <w:textDirection w:val="lrTb"/>
            <w:noWrap w:val="false"/>
          </w:tcPr>
          <w:p>
            <w:pPr>
              <w:pStyle w:val="1070"/>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9</w:t>
            </w:r>
            <w:r/>
          </w:p>
        </w:tc>
        <w:tc>
          <w:tcPr>
            <w:gridSpan w:val="2"/>
            <w:tcW w:w="8553" w:type="dxa"/>
            <w:vAlign w:val="center"/>
            <w:textDirection w:val="lrTb"/>
            <w:noWrap w:val="false"/>
          </w:tcPr>
          <w:p>
            <w:pPr>
              <w:pStyle w:val="1070"/>
              <w:ind w:firstLine="0"/>
              <w:spacing w:before="0" w:after="0" w:line="240" w:lineRule="auto"/>
              <w:rPr>
                <w:rFonts w:hint="eastAsia"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p>
        </w:tc>
      </w:tr>
    </w:tbl>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10"/>
        </w:num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p>
    <w:p>
      <w:pPr>
        <w:numPr>
          <w:ilvl w:val="0"/>
          <w:numId w:val="10"/>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p>
    <w:p>
      <w:pPr>
        <w:rPr>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70"/>
              <w:ind w:firstLine="0"/>
              <w:jc w:val="center"/>
              <w:spacing w:before="0" w:after="0" w:line="240" w:lineRule="auto"/>
              <w:rPr>
                <w:rFonts w:hint="eastAsia" w:cs="Arial"/>
                <w:b/>
                <w:color w:val="000000"/>
                <w:highlight w:val="none"/>
              </w:rPr>
            </w:pPr>
            <w:r>
              <w:rPr>
                <w:rFonts w:hint="eastAsia" w:cs="Arial"/>
                <w:b/>
                <w:color w:val="000000"/>
                <w:highlight w:val="none"/>
              </w:rPr>
              <w:t xml:space="preserve">序号</w:t>
            </w:r>
            <w:r/>
          </w:p>
        </w:tc>
        <w:tc>
          <w:tcPr>
            <w:tcW w:w="6095" w:type="dxa"/>
            <w:vAlign w:val="center"/>
            <w:textDirection w:val="lrTb"/>
            <w:noWrap w:val="false"/>
          </w:tcPr>
          <w:p>
            <w:pPr>
              <w:pStyle w:val="1070"/>
              <w:ind w:firstLine="0"/>
              <w:jc w:val="center"/>
              <w:spacing w:before="0" w:after="0" w:line="240" w:lineRule="auto"/>
              <w:rPr>
                <w:rFonts w:hint="eastAsia" w:cs="Arial"/>
                <w:b/>
                <w:color w:val="000000"/>
                <w:highlight w:val="none"/>
              </w:rPr>
            </w:pPr>
            <w:r>
              <w:rPr>
                <w:rFonts w:hint="eastAsia" w:ascii="宋体" w:hAnsi="宋体" w:cs="宋体"/>
                <w:b/>
                <w:color w:val="000000"/>
                <w:highlight w:val="none"/>
              </w:rPr>
              <w:t xml:space="preserve">评审项及评审要求</w:t>
            </w:r>
            <w:r/>
          </w:p>
        </w:tc>
        <w:tc>
          <w:tcPr>
            <w:tcW w:w="1979" w:type="dxa"/>
            <w:vAlign w:val="center"/>
            <w:textDirection w:val="lrTb"/>
            <w:noWrap w:val="false"/>
          </w:tcPr>
          <w:p>
            <w:pPr>
              <w:pStyle w:val="1070"/>
              <w:ind w:firstLine="0"/>
              <w:jc w:val="center"/>
              <w:spacing w:before="0" w:after="0" w:line="240" w:lineRule="auto"/>
              <w:rPr>
                <w:rFonts w:hint="eastAsia" w:cs="Arial"/>
                <w:b/>
                <w:color w:val="000000"/>
                <w:highlight w:val="none"/>
              </w:rPr>
            </w:pPr>
            <w:r>
              <w:rPr>
                <w:rFonts w:hint="eastAsia" w:cs="Arial"/>
                <w:b/>
                <w:color w:val="000000"/>
                <w:highlight w:val="none"/>
              </w:rPr>
              <w:t xml:space="preserve">审查因素</w:t>
            </w:r>
            <w:r/>
          </w:p>
        </w:tc>
      </w:tr>
      <w:tr>
        <w:trPr>
          <w:cantSplit/>
          <w:jc w:val="center"/>
          <w:trHeight w:val="567"/>
        </w:trPr>
        <w:tc>
          <w:tcPr>
            <w:tcW w:w="823" w:type="dxa"/>
            <w:vAlign w:val="center"/>
            <w:textDirection w:val="lrTb"/>
            <w:noWrap w:val="false"/>
          </w:tcPr>
          <w:p>
            <w:pPr>
              <w:pStyle w:val="1070"/>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1</w:t>
            </w:r>
            <w:r/>
          </w:p>
        </w:tc>
        <w:tc>
          <w:tcPr>
            <w:tcW w:w="6095" w:type="dxa"/>
            <w:vAlign w:val="center"/>
            <w:textDirection w:val="lrTb"/>
            <w:noWrap w:val="false"/>
          </w:tcPr>
          <w:p>
            <w:pPr>
              <w:pStyle w:val="1070"/>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投标函（给定格式）</w:t>
            </w:r>
            <w:r/>
          </w:p>
        </w:tc>
        <w:tc>
          <w:tcPr>
            <w:tcW w:w="1979" w:type="dxa"/>
            <w:vAlign w:val="center"/>
            <w:vMerge w:val="restart"/>
            <w:textDirection w:val="lrTb"/>
            <w:noWrap w:val="false"/>
          </w:tcPr>
          <w:p>
            <w:pPr>
              <w:pStyle w:val="1070"/>
              <w:ind w:firstLine="0"/>
              <w:jc w:val="both"/>
              <w:spacing w:before="0" w:after="0" w:line="240" w:lineRule="auto"/>
              <w:rPr>
                <w:rFonts w:hint="eastAsia" w:cs="Arial"/>
                <w:color w:val="000000"/>
                <w:highlight w:val="none"/>
              </w:rPr>
            </w:pPr>
            <w:r>
              <w:rPr>
                <w:rFonts w:hint="eastAsia" w:cs="Arial"/>
                <w:color w:val="000000"/>
                <w:highlight w:val="none"/>
              </w:rPr>
              <w:t xml:space="preserve">符合性证明文件</w:t>
            </w:r>
            <w:r/>
          </w:p>
        </w:tc>
      </w:tr>
      <w:tr>
        <w:trPr>
          <w:cantSplit/>
          <w:jc w:val="center"/>
          <w:trHeight w:val="567"/>
        </w:trPr>
        <w:tc>
          <w:tcPr>
            <w:tcW w:w="823" w:type="dxa"/>
            <w:vAlign w:val="center"/>
            <w:textDirection w:val="lrTb"/>
            <w:noWrap w:val="false"/>
          </w:tcPr>
          <w:p>
            <w:pPr>
              <w:pStyle w:val="1070"/>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2</w:t>
            </w:r>
            <w:r/>
          </w:p>
        </w:tc>
        <w:tc>
          <w:tcPr>
            <w:tcW w:w="6095" w:type="dxa"/>
            <w:vAlign w:val="center"/>
            <w:textDirection w:val="lrTb"/>
            <w:noWrap w:val="false"/>
          </w:tcPr>
          <w:p>
            <w:pPr>
              <w:pStyle w:val="1070"/>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承诺书（给定格式）</w:t>
            </w:r>
            <w:r/>
          </w:p>
        </w:tc>
        <w:tc>
          <w:tcPr>
            <w:tcW w:w="1979" w:type="dxa"/>
            <w:vAlign w:val="center"/>
            <w:vMerge w:val="continue"/>
            <w:textDirection w:val="lrTb"/>
            <w:noWrap w:val="false"/>
          </w:tcPr>
          <w:p>
            <w:pPr>
              <w:pStyle w:val="1070"/>
              <w:ind w:firstLine="0"/>
              <w:jc w:val="both"/>
              <w:spacing w:before="0" w:after="0" w:line="240" w:lineRule="auto"/>
              <w:rPr>
                <w:rFonts w:hint="eastAsia" w:cs="Arial"/>
                <w:color w:val="000000"/>
                <w:highlight w:val="none"/>
              </w:rPr>
            </w:pPr>
            <w:r>
              <w:rPr>
                <w:rFonts w:hint="eastAsia" w:cs="Arial"/>
                <w:color w:val="000000"/>
                <w:highlight w:val="none"/>
              </w:rPr>
            </w:r>
            <w:r/>
          </w:p>
        </w:tc>
      </w:tr>
      <w:tr>
        <w:trPr>
          <w:cantSplit/>
          <w:jc w:val="center"/>
          <w:trHeight w:val="567"/>
        </w:trPr>
        <w:tc>
          <w:tcPr>
            <w:tcW w:w="823" w:type="dxa"/>
            <w:vAlign w:val="center"/>
            <w:textDirection w:val="lrTb"/>
            <w:noWrap w:val="false"/>
          </w:tcPr>
          <w:p>
            <w:pPr>
              <w:pStyle w:val="1070"/>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3</w:t>
            </w:r>
            <w:r/>
          </w:p>
        </w:tc>
        <w:tc>
          <w:tcPr>
            <w:tcW w:w="6095" w:type="dxa"/>
            <w:vAlign w:val="center"/>
            <w:textDirection w:val="lrTb"/>
            <w:noWrap w:val="false"/>
          </w:tcPr>
          <w:p>
            <w:pPr>
              <w:pStyle w:val="1070"/>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开标一览表（给定格式）</w:t>
            </w:r>
            <w:r/>
          </w:p>
        </w:tc>
        <w:tc>
          <w:tcPr>
            <w:tcW w:w="1979" w:type="dxa"/>
            <w:vAlign w:val="center"/>
            <w:vMerge w:val="continue"/>
            <w:textDirection w:val="lrTb"/>
            <w:noWrap w:val="false"/>
          </w:tcPr>
          <w:p>
            <w:pPr>
              <w:pStyle w:val="1070"/>
              <w:ind w:firstLine="0"/>
              <w:jc w:val="both"/>
              <w:spacing w:before="0" w:after="0" w:line="240" w:lineRule="auto"/>
              <w:rPr>
                <w:rFonts w:hint="eastAsia" w:cs="Arial"/>
                <w:color w:val="000000"/>
                <w:highlight w:val="none"/>
              </w:rPr>
            </w:pPr>
            <w:r>
              <w:rPr>
                <w:rFonts w:hint="eastAsia" w:cs="Arial"/>
                <w:color w:val="000000"/>
                <w:highlight w:val="none"/>
              </w:rPr>
            </w:r>
            <w:r/>
          </w:p>
        </w:tc>
      </w:tr>
      <w:tr>
        <w:trPr>
          <w:cantSplit/>
          <w:jc w:val="center"/>
          <w:trHeight w:val="567"/>
        </w:trPr>
        <w:tc>
          <w:tcPr>
            <w:tcW w:w="823" w:type="dxa"/>
            <w:vAlign w:val="center"/>
            <w:textDirection w:val="lrTb"/>
            <w:noWrap w:val="false"/>
          </w:tcPr>
          <w:p>
            <w:pPr>
              <w:pStyle w:val="1070"/>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4</w:t>
            </w:r>
            <w:r/>
          </w:p>
        </w:tc>
        <w:tc>
          <w:tcPr>
            <w:tcW w:w="6095" w:type="dxa"/>
            <w:vAlign w:val="center"/>
            <w:textDirection w:val="lrTb"/>
            <w:noWrap w:val="false"/>
          </w:tcPr>
          <w:p>
            <w:pPr>
              <w:pStyle w:val="1070"/>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分项报价表（给定格式）</w:t>
            </w:r>
            <w:r/>
          </w:p>
        </w:tc>
        <w:tc>
          <w:tcPr>
            <w:tcW w:w="1979" w:type="dxa"/>
            <w:vAlign w:val="center"/>
            <w:vMerge w:val="continue"/>
            <w:textDirection w:val="lrTb"/>
            <w:noWrap w:val="false"/>
          </w:tcPr>
          <w:p>
            <w:pPr>
              <w:pStyle w:val="1070"/>
              <w:ind w:firstLine="0"/>
              <w:jc w:val="both"/>
              <w:spacing w:before="0" w:after="0" w:line="240" w:lineRule="auto"/>
              <w:rPr>
                <w:rFonts w:hint="eastAsia" w:cs="Arial"/>
                <w:color w:val="000000"/>
                <w:highlight w:val="none"/>
              </w:rPr>
            </w:pPr>
            <w:r>
              <w:rPr>
                <w:rFonts w:hint="eastAsia" w:cs="Arial"/>
                <w:color w:val="000000"/>
                <w:highlight w:val="none"/>
              </w:rPr>
            </w:r>
            <w:r/>
          </w:p>
        </w:tc>
      </w:tr>
      <w:tr>
        <w:trPr>
          <w:cantSplit/>
          <w:jc w:val="center"/>
          <w:trHeight w:val="567"/>
        </w:trPr>
        <w:tc>
          <w:tcPr>
            <w:tcW w:w="823" w:type="dxa"/>
            <w:vAlign w:val="center"/>
            <w:textDirection w:val="lrTb"/>
            <w:noWrap w:val="false"/>
          </w:tcPr>
          <w:p>
            <w:pPr>
              <w:pStyle w:val="1070"/>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5</w:t>
            </w:r>
            <w:r/>
          </w:p>
        </w:tc>
        <w:tc>
          <w:tcPr>
            <w:tcW w:w="6095" w:type="dxa"/>
            <w:vAlign w:val="center"/>
            <w:textDirection w:val="lrTb"/>
            <w:noWrap w:val="false"/>
          </w:tcPr>
          <w:p>
            <w:pPr>
              <w:pStyle w:val="1070"/>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p>
        </w:tc>
        <w:tc>
          <w:tcPr>
            <w:tcW w:w="1979" w:type="dxa"/>
            <w:vAlign w:val="center"/>
            <w:vMerge w:val="continue"/>
            <w:textDirection w:val="lrTb"/>
            <w:noWrap w:val="false"/>
          </w:tcPr>
          <w:p>
            <w:pPr>
              <w:pStyle w:val="1070"/>
              <w:ind w:firstLine="0"/>
              <w:jc w:val="both"/>
              <w:spacing w:before="0" w:after="0" w:line="240" w:lineRule="auto"/>
              <w:rPr>
                <w:rFonts w:hint="eastAsia" w:cs="Arial"/>
                <w:color w:val="000000"/>
                <w:highlight w:val="none"/>
              </w:rPr>
            </w:pPr>
            <w:r>
              <w:rPr>
                <w:rFonts w:hint="eastAsia" w:cs="Arial"/>
                <w:color w:val="000000"/>
                <w:highlight w:val="none"/>
              </w:rPr>
            </w:r>
            <w:r/>
          </w:p>
        </w:tc>
      </w:tr>
      <w:tr>
        <w:trPr>
          <w:cantSplit/>
          <w:jc w:val="center"/>
          <w:trHeight w:val="567"/>
        </w:trPr>
        <w:tc>
          <w:tcPr>
            <w:tcW w:w="823" w:type="dxa"/>
            <w:vAlign w:val="center"/>
            <w:textDirection w:val="lrTb"/>
            <w:noWrap w:val="false"/>
          </w:tcPr>
          <w:p>
            <w:pPr>
              <w:pStyle w:val="1070"/>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6</w:t>
            </w:r>
            <w:r/>
          </w:p>
        </w:tc>
        <w:tc>
          <w:tcPr>
            <w:tcW w:w="6095" w:type="dxa"/>
            <w:vAlign w:val="center"/>
            <w:textDirection w:val="lrTb"/>
            <w:noWrap w:val="false"/>
          </w:tcPr>
          <w:p>
            <w:pPr>
              <w:pStyle w:val="1070"/>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《采购需求》中如有要求须提供的证明文件</w:t>
            </w:r>
            <w:r/>
          </w:p>
        </w:tc>
        <w:tc>
          <w:tcPr>
            <w:tcW w:w="1979" w:type="dxa"/>
            <w:vAlign w:val="center"/>
            <w:vMerge w:val="continue"/>
            <w:textDirection w:val="lrTb"/>
            <w:noWrap w:val="false"/>
          </w:tcPr>
          <w:p>
            <w:pPr>
              <w:pStyle w:val="1070"/>
              <w:ind w:firstLine="0"/>
              <w:jc w:val="both"/>
              <w:spacing w:before="0" w:after="0" w:line="240" w:lineRule="auto"/>
              <w:rPr>
                <w:rFonts w:hint="eastAsia" w:cs="Arial"/>
                <w:color w:val="000000"/>
                <w:highlight w:val="none"/>
              </w:rPr>
            </w:pPr>
            <w:r>
              <w:rPr>
                <w:rFonts w:hint="eastAsia" w:cs="Arial"/>
                <w:color w:val="000000"/>
                <w:highlight w:val="none"/>
              </w:rPr>
            </w:r>
            <w:r/>
          </w:p>
        </w:tc>
      </w:tr>
      <w:tr>
        <w:trPr>
          <w:cantSplit/>
          <w:jc w:val="center"/>
          <w:trHeight w:val="567"/>
        </w:trPr>
        <w:tc>
          <w:tcPr>
            <w:tcW w:w="823" w:type="dxa"/>
            <w:vAlign w:val="center"/>
            <w:textDirection w:val="lrTb"/>
            <w:noWrap w:val="false"/>
          </w:tcPr>
          <w:p>
            <w:pPr>
              <w:pStyle w:val="1070"/>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7</w:t>
            </w:r>
            <w:r/>
          </w:p>
        </w:tc>
        <w:tc>
          <w:tcPr>
            <w:tcW w:w="6095" w:type="dxa"/>
            <w:vAlign w:val="center"/>
            <w:textDirection w:val="lrTb"/>
            <w:noWrap w:val="false"/>
          </w:tcPr>
          <w:p>
            <w:pPr>
              <w:pStyle w:val="1070"/>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《评标方法与评标标准》中涉及的证明文件</w:t>
            </w:r>
            <w:r/>
          </w:p>
        </w:tc>
        <w:tc>
          <w:tcPr>
            <w:tcW w:w="1979" w:type="dxa"/>
            <w:vAlign w:val="center"/>
            <w:vMerge w:val="restart"/>
            <w:textDirection w:val="lrTb"/>
            <w:noWrap w:val="false"/>
          </w:tcPr>
          <w:p>
            <w:pPr>
              <w:pStyle w:val="1070"/>
              <w:ind w:firstLine="0"/>
              <w:jc w:val="both"/>
              <w:spacing w:before="0" w:after="0" w:line="240" w:lineRule="auto"/>
              <w:rPr>
                <w:rFonts w:hint="eastAsia" w:cs="Arial"/>
                <w:color w:val="000000"/>
                <w:highlight w:val="none"/>
              </w:rPr>
            </w:pPr>
            <w:r>
              <w:rPr>
                <w:rFonts w:hint="eastAsia" w:cs="Arial"/>
                <w:color w:val="000000"/>
                <w:highlight w:val="none"/>
              </w:rPr>
              <w:t xml:space="preserve">其他证明文件</w:t>
            </w:r>
            <w:r/>
          </w:p>
        </w:tc>
      </w:tr>
      <w:tr>
        <w:trPr>
          <w:cantSplit/>
          <w:jc w:val="center"/>
          <w:trHeight w:val="567"/>
        </w:trPr>
        <w:tc>
          <w:tcPr>
            <w:tcW w:w="823" w:type="dxa"/>
            <w:vAlign w:val="center"/>
            <w:textDirection w:val="lrTb"/>
            <w:noWrap w:val="false"/>
          </w:tcPr>
          <w:p>
            <w:pPr>
              <w:pStyle w:val="1070"/>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8</w:t>
            </w:r>
            <w:r/>
          </w:p>
        </w:tc>
        <w:tc>
          <w:tcPr>
            <w:tcW w:w="6095" w:type="dxa"/>
            <w:vAlign w:val="center"/>
            <w:textDirection w:val="lrTb"/>
            <w:noWrap w:val="false"/>
          </w:tcPr>
          <w:p>
            <w:pPr>
              <w:pStyle w:val="1070"/>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其他投标人认为应附的文件（如有，自拟并自行添加）</w:t>
            </w:r>
            <w:r/>
          </w:p>
        </w:tc>
        <w:tc>
          <w:tcPr>
            <w:tcW w:w="1979" w:type="dxa"/>
            <w:vAlign w:val="top"/>
            <w:vMerge w:val="continue"/>
            <w:textDirection w:val="lrTb"/>
            <w:noWrap w:val="false"/>
          </w:tcPr>
          <w:p>
            <w:pPr>
              <w:pStyle w:val="1070"/>
              <w:ind w:firstLine="0"/>
              <w:spacing w:before="0" w:after="0" w:line="240" w:lineRule="auto"/>
              <w:rPr>
                <w:rFonts w:hint="eastAsia" w:cs="Arial"/>
                <w:color w:val="000000"/>
                <w:highlight w:val="none"/>
              </w:rPr>
            </w:pPr>
            <w:r>
              <w:rPr>
                <w:rFonts w:hint="eastAsia" w:cs="Arial"/>
                <w:color w:val="000000"/>
                <w:highlight w:val="none"/>
              </w:rPr>
            </w:r>
            <w:r/>
          </w:p>
        </w:tc>
      </w:tr>
    </w:tbl>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11"/>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1～6项必须按要求全部提供（有给定格式的，必须按给定格式的要求正确填报并提供，相应格式见本章第二部分），否则投标文件无效。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符合性证明文件及其他证明文件</w:t>
      </w:r>
      <w:r>
        <w:rPr>
          <w:rFonts w:hint="eastAsia" w:ascii="宋体" w:hAnsi="宋体" w:cs="宋体"/>
          <w:color w:val="000000"/>
          <w:sz w:val="24"/>
          <w:szCs w:val="24"/>
          <w:highlight w:val="none"/>
        </w:rPr>
        <w:t xml:space="preserve">第1～5项可由联合体主体单位（即联合体牵头人）代表联合体提供。</w:t>
      </w:r>
      <w:r/>
    </w:p>
    <w:p>
      <w:pPr>
        <w:ind w:firstLine="480"/>
        <w:rPr>
          <w:rFonts w:hint="eastAsia"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p>
    <w:p>
      <w:pPr>
        <w:pStyle w:val="1070"/>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ind w:firstLine="9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0"/>
          <w:szCs w:val="30"/>
          <w:highlight w:val="none"/>
          <w:lang w:eastAsia="zh-CN"/>
        </w:rPr>
        <w:t xml:space="preserve">JSZC-320292-YDGC-G2026-0018</w:t>
      </w:r>
      <w:r/>
    </w:p>
    <w:p>
      <w:pPr>
        <w:ind w:firstLine="900"/>
        <w:rPr>
          <w:rFonts w:hint="default" w:ascii="黑体" w:hAnsi="华文中宋" w:eastAsia="黑体"/>
          <w:bCs/>
          <w:color w:val="000000"/>
          <w:sz w:val="30"/>
          <w:szCs w:val="30"/>
          <w:highlight w:val="none"/>
          <w:lang w:val="en-US" w:eastAsia="zh-CN"/>
        </w:rPr>
      </w:pPr>
      <w:r>
        <w:rPr>
          <w:rFonts w:hint="eastAsia" w:ascii="黑体" w:hAnsi="华文中宋" w:eastAsia="黑体"/>
          <w:bCs/>
          <w:color w:val="000000"/>
          <w:sz w:val="30"/>
          <w:szCs w:val="30"/>
          <w:highlight w:val="none"/>
          <w:lang w:val="en-US" w:eastAsia="zh-CN"/>
        </w:rPr>
        <w:t xml:space="preserve">标段编号：</w:t>
      </w:r>
      <w:r/>
    </w:p>
    <w:p>
      <w:pPr>
        <w:ind w:firstLine="9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t xml:space="preserve">华庄街道安置房电梯综合保险服务</w:t>
      </w:r>
      <w:r/>
    </w:p>
    <w:p>
      <w:pPr>
        <w:ind w:firstLine="900"/>
        <w:rPr>
          <w:rFonts w:hint="default" w:ascii="黑体" w:hAnsi="华文中宋" w:eastAsia="黑体"/>
          <w:bCs/>
          <w:color w:val="000000"/>
          <w:sz w:val="30"/>
          <w:szCs w:val="30"/>
          <w:highlight w:val="none"/>
          <w:lang w:val="en-US" w:eastAsia="zh-CN"/>
        </w:rPr>
      </w:pPr>
      <w:r>
        <w:rPr>
          <w:rFonts w:hint="eastAsia" w:ascii="黑体" w:hAnsi="华文中宋" w:eastAsia="黑体"/>
          <w:bCs/>
          <w:color w:val="000000"/>
          <w:sz w:val="30"/>
          <w:szCs w:val="30"/>
          <w:highlight w:val="none"/>
          <w:lang w:val="en-US" w:eastAsia="zh-CN"/>
        </w:rPr>
        <w:t xml:space="preserve">标段名称：</w:t>
      </w:r>
      <w:r/>
    </w:p>
    <w:p>
      <w:pPr>
        <w:ind w:firstLine="9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p>
    <w:p>
      <w:pPr>
        <w:ind w:firstLine="9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p>
    <w:p>
      <w:pPr>
        <w:spacing w:line="440" w:lineRule="exact"/>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p>
    <w:p>
      <w:pPr>
        <w:jc w:val="center"/>
        <w:spacing w:line="360" w:lineRule="auto"/>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p>
    <w:p>
      <w:pPr>
        <w:pStyle w:val="1068"/>
        <w:ind w:firstLine="480"/>
        <w:spacing w:line="360" w:lineRule="auto"/>
        <w:rPr>
          <w:rFonts w:hint="eastAsia"/>
          <w:color w:val="000000"/>
          <w:sz w:val="24"/>
          <w:szCs w:val="24"/>
          <w:highlight w:val="none"/>
        </w:rPr>
      </w:pPr>
      <w:r>
        <w:rPr>
          <w:rFonts w:hint="eastAsia"/>
          <w:color w:val="000000"/>
          <w:sz w:val="24"/>
          <w:szCs w:val="24"/>
          <w:highlight w:val="none"/>
        </w:rPr>
        <w:t xml:space="preserve">我公司（单位）针对</w:t>
      </w:r>
      <w:r>
        <w:rPr>
          <w:rFonts w:hint="eastAsia" w:ascii="宋体" w:hAnsi="宋体"/>
          <w:bCs/>
          <w:color w:val="000000"/>
          <w:sz w:val="24"/>
          <w:szCs w:val="24"/>
          <w:highlight w:val="none"/>
          <w:lang w:eastAsia="zh-CN"/>
        </w:rPr>
        <w:t xml:space="preserve">JSZC-320292-YDGC-G2026-0018</w:t>
      </w:r>
      <w:r>
        <w:rPr>
          <w:rFonts w:hint="eastAsia" w:ascii="宋体" w:hAnsi="宋体"/>
          <w:bCs/>
          <w:color w:val="000000"/>
          <w:sz w:val="24"/>
          <w:szCs w:val="24"/>
          <w:highlight w:val="none"/>
        </w:rPr>
        <w:t xml:space="preserve">项目</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lang w:val="en-US" w:eastAsia="zh-CN"/>
        </w:rPr>
        <w:t xml:space="preserve">标段</w:t>
      </w:r>
      <w:r>
        <w:rPr>
          <w:rFonts w:hint="eastAsia" w:ascii="宋体" w:hAnsi="宋体"/>
          <w:bCs/>
          <w:color w:val="000000"/>
          <w:sz w:val="24"/>
          <w:szCs w:val="24"/>
          <w:highlight w:val="none"/>
        </w:rPr>
        <w:t xml:space="preserve">，兹授权：</w:t>
      </w:r>
      <w:r/>
    </w:p>
    <w:p>
      <w:pPr>
        <w:pStyle w:val="1068"/>
        <w:ind w:firstLine="480"/>
        <w:spacing w:line="360" w:lineRule="auto"/>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pStyle w:val="1068"/>
        <w:ind w:firstLine="480"/>
        <w:spacing w:line="360" w:lineRule="auto"/>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pStyle w:val="1068"/>
        <w:ind w:firstLine="480"/>
        <w:spacing w:line="360" w:lineRule="auto"/>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p>
    <w:p>
      <w:pPr>
        <w:pStyle w:val="1068"/>
        <w:ind w:firstLine="480"/>
        <w:spacing w:line="360" w:lineRule="auto"/>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p>
    <w:p>
      <w:pPr>
        <w:pStyle w:val="1068"/>
        <w:ind w:firstLine="480"/>
        <w:spacing w:line="360" w:lineRule="auto"/>
        <w:rPr>
          <w:rFonts w:hint="eastAsia"/>
          <w:color w:val="000000"/>
          <w:sz w:val="24"/>
          <w:szCs w:val="24"/>
          <w:highlight w:val="none"/>
        </w:rPr>
      </w:pPr>
      <w:r>
        <w:rPr>
          <w:rFonts w:hint="eastAsia"/>
          <w:color w:val="000000"/>
          <w:sz w:val="24"/>
          <w:szCs w:val="24"/>
          <w:highlight w:val="none"/>
        </w:rPr>
        <w:t xml:space="preserve">特此授权委托。</w:t>
      </w:r>
      <w:r/>
    </w:p>
    <w:p>
      <w:pPr>
        <w:pStyle w:val="1068"/>
        <w:ind w:firstLine="0"/>
        <w:rPr>
          <w:rFonts w:hint="eastAsia"/>
          <w:color w:val="000000"/>
          <w:sz w:val="24"/>
          <w:szCs w:val="24"/>
          <w:highlight w:val="none"/>
        </w:rPr>
      </w:pPr>
      <w:r>
        <w:rPr>
          <w:rFonts w:hint="eastAsia"/>
          <w:color w:val="000000"/>
          <w:sz w:val="24"/>
          <w:szCs w:val="24"/>
          <w:highlight w:val="none"/>
        </w:rPr>
      </w:r>
      <w:r/>
    </w:p>
    <w:p>
      <w:pPr>
        <w:pStyle w:val="1068"/>
        <w:ind w:firstLine="0"/>
        <w:rPr>
          <w:rFonts w:hint="eastAsia"/>
          <w:color w:val="000000"/>
          <w:sz w:val="24"/>
          <w:szCs w:val="24"/>
          <w:highlight w:val="none"/>
        </w:rPr>
      </w:pPr>
      <w:r>
        <w:rPr>
          <w:rFonts w:hint="eastAsia"/>
          <w:color w:val="000000"/>
          <w:sz w:val="24"/>
          <w:szCs w:val="24"/>
          <w:highlight w:val="none"/>
        </w:rPr>
      </w:r>
      <w:r/>
    </w:p>
    <w:p>
      <w:pPr>
        <w:pStyle w:val="1068"/>
        <w:ind w:firstLine="0"/>
        <w:rPr>
          <w:rFonts w:hint="eastAsia"/>
          <w:color w:val="000000"/>
          <w:sz w:val="24"/>
          <w:szCs w:val="24"/>
          <w:highlight w:val="none"/>
        </w:rPr>
      </w:pPr>
      <w:r>
        <w:rPr>
          <w:rFonts w:hint="eastAsia"/>
          <w:color w:val="000000"/>
          <w:sz w:val="24"/>
          <w:szCs w:val="24"/>
          <w:highlight w:val="none"/>
        </w:rPr>
      </w:r>
      <w:r/>
    </w:p>
    <w:p>
      <w:pPr>
        <w:pStyle w:val="1068"/>
        <w:ind w:firstLine="0"/>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p>
    <w:p>
      <w:pPr>
        <w:pStyle w:val="1068"/>
        <w:ind w:firstLine="0"/>
        <w:rPr>
          <w:rFonts w:hint="eastAsia"/>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p>
    <w:p>
      <w:pPr>
        <w:pStyle w:val="1068"/>
        <w:ind w:firstLine="0"/>
        <w:rPr>
          <w:rFonts w:hint="eastAsia"/>
          <w:color w:val="000000"/>
          <w:sz w:val="24"/>
          <w:szCs w:val="24"/>
          <w:highlight w:val="none"/>
        </w:rPr>
      </w:pPr>
      <w:r>
        <w:rPr>
          <w:rFonts w:hint="eastAsia" w:ascii="宋体" w:hAnsi="宋体" w:cs="宋体"/>
          <w:b/>
          <w:color w:val="000000"/>
          <w:sz w:val="30"/>
          <w:highlight w:val="none"/>
          <w:lang w:eastAsia="zh-CN"/>
        </w:rPr>
        <w:t xml:space="preserve">（</w:t>
      </w:r>
      <w:r>
        <w:rPr>
          <w:rFonts w:hint="eastAsia" w:ascii="宋体" w:hAnsi="宋体" w:cs="宋体"/>
          <w:b/>
          <w:color w:val="000000"/>
          <w:sz w:val="30"/>
          <w:highlight w:val="none"/>
        </w:rPr>
        <w:t xml:space="preserve">被授权人身份证原件扫描件附后</w:t>
      </w:r>
      <w:r>
        <w:rPr>
          <w:rFonts w:hint="eastAsia" w:ascii="宋体" w:hAnsi="宋体" w:cs="宋体"/>
          <w:b/>
          <w:color w:val="000000"/>
          <w:sz w:val="30"/>
          <w:highlight w:val="none"/>
          <w:lang w:eastAsia="zh-CN"/>
        </w:rPr>
        <w:t xml:space="preserve">）</w:t>
      </w:r>
      <w:r/>
    </w:p>
    <w:p>
      <w:pPr>
        <w:pStyle w:val="1068"/>
        <w:ind w:firstLine="0"/>
        <w:rPr>
          <w:rFonts w:hint="eastAsia"/>
          <w:color w:val="000000"/>
          <w:sz w:val="24"/>
          <w:szCs w:val="24"/>
          <w:highlight w:val="none"/>
        </w:rPr>
      </w:pPr>
      <w:r>
        <w:rPr>
          <w:rFonts w:hint="eastAsia"/>
          <w:color w:val="000000"/>
          <w:sz w:val="24"/>
          <w:szCs w:val="24"/>
          <w:highlight w:val="none"/>
        </w:rPr>
      </w:r>
      <w:r/>
    </w:p>
    <w:p>
      <w:pPr>
        <w:pStyle w:val="1068"/>
        <w:ind w:firstLine="0"/>
        <w:rPr>
          <w:rFonts w:hint="eastAsia"/>
          <w:color w:val="000000"/>
          <w:sz w:val="24"/>
          <w:szCs w:val="24"/>
          <w:highlight w:val="none"/>
        </w:rPr>
      </w:pPr>
      <w:r>
        <w:rPr>
          <w:rFonts w:hint="eastAsia"/>
          <w:color w:val="000000"/>
          <w:sz w:val="24"/>
          <w:szCs w:val="24"/>
          <w:highlight w:val="none"/>
        </w:rPr>
      </w:r>
      <w:r/>
    </w:p>
    <w:p>
      <w:pPr>
        <w:pStyle w:val="1068"/>
        <w:ind w:firstLine="0"/>
        <w:rPr>
          <w:rFonts w:hint="eastAsia"/>
          <w:color w:val="000000"/>
          <w:sz w:val="24"/>
          <w:szCs w:val="24"/>
          <w:highlight w:val="none"/>
        </w:rPr>
      </w:pPr>
      <w:r>
        <w:rPr>
          <w:rFonts w:hint="eastAsia"/>
          <w:color w:val="000000"/>
          <w:sz w:val="24"/>
          <w:szCs w:val="24"/>
          <w:highlight w:val="none"/>
        </w:rPr>
        <w:t xml:space="preserve">说明：</w:t>
      </w:r>
      <w:r/>
    </w:p>
    <w:p>
      <w:pPr>
        <w:pStyle w:val="1068"/>
        <w:numPr>
          <w:ilvl w:val="0"/>
          <w:numId w:val="12"/>
        </w:numPr>
        <w:ind w:firstLine="480"/>
        <w:rPr>
          <w:rFonts w:hint="eastAsia" w:ascii="宋体" w:hAnsi="宋体"/>
          <w:color w:val="000000"/>
          <w:sz w:val="24"/>
          <w:szCs w:val="20"/>
          <w:highlight w:val="none"/>
        </w:rPr>
      </w:pPr>
      <w:r>
        <w:rPr>
          <w:rFonts w:ascii="宋体" w:hAnsi="宋体"/>
          <w:color w:val="000000"/>
          <w:sz w:val="24"/>
          <w:szCs w:val="20"/>
          <w:highlight w:val="none"/>
        </w:rPr>
        <w:t xml:space="preserve">若</w:t>
      </w:r>
      <w:r>
        <w:rPr>
          <w:rFonts w:hint="eastAsia" w:ascii="宋体" w:hAnsi="宋体"/>
          <w:color w:val="000000"/>
          <w:sz w:val="24"/>
          <w:szCs w:val="20"/>
          <w:highlight w:val="none"/>
        </w:rPr>
        <w:t xml:space="preserve">投标人</w:t>
      </w:r>
      <w:r>
        <w:rPr>
          <w:rFonts w:ascii="宋体" w:hAnsi="宋体"/>
          <w:color w:val="000000"/>
          <w:sz w:val="24"/>
          <w:szCs w:val="20"/>
          <w:highlight w:val="none"/>
        </w:rPr>
        <w:t xml:space="preserve">为事业单位或其他组织或分支机构（仅</w:t>
      </w:r>
      <w:r>
        <w:rPr>
          <w:rFonts w:hint="eastAsia" w:ascii="宋体" w:hAnsi="宋体"/>
          <w:color w:val="000000"/>
          <w:sz w:val="24"/>
          <w:szCs w:val="20"/>
          <w:highlight w:val="none"/>
        </w:rPr>
        <w:t xml:space="preserve">限</w:t>
      </w:r>
      <w:r>
        <w:rPr>
          <w:rFonts w:hint="eastAsia" w:ascii="宋体" w:hAnsi="宋体"/>
          <w:color w:val="000000"/>
          <w:sz w:val="24"/>
          <w:szCs w:val="20"/>
          <w:highlight w:val="none"/>
          <w:lang w:val="en-US" w:eastAsia="zh-CN"/>
        </w:rPr>
        <w:t xml:space="preserve">采购</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投标情形</w:t>
      </w:r>
      <w:r>
        <w:rPr>
          <w:rFonts w:ascii="宋体" w:hAnsi="宋体"/>
          <w:color w:val="000000"/>
          <w:sz w:val="24"/>
          <w:szCs w:val="20"/>
          <w:highlight w:val="none"/>
        </w:rPr>
        <w:t xml:space="preserve">的），则法定代表人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w:t>
      </w:r>
      <w:r>
        <w:rPr>
          <w:rFonts w:hint="eastAsia" w:ascii="宋体" w:hAnsi="宋体"/>
          <w:color w:val="000000"/>
          <w:sz w:val="24"/>
          <w:szCs w:val="20"/>
          <w:highlight w:val="none"/>
        </w:rPr>
        <w:t xml:space="preserve">字</w:t>
      </w:r>
      <w:r>
        <w:rPr>
          <w:rFonts w:ascii="宋体" w:hAnsi="宋体"/>
          <w:color w:val="000000"/>
          <w:sz w:val="24"/>
          <w:szCs w:val="20"/>
          <w:highlight w:val="none"/>
        </w:rPr>
        <w:t xml:space="preserve">人可为单位负责人</w:t>
      </w:r>
      <w:r>
        <w:rPr>
          <w:rFonts w:hint="eastAsia" w:ascii="宋体" w:hAnsi="宋体"/>
          <w:color w:val="000000"/>
          <w:sz w:val="24"/>
          <w:szCs w:val="20"/>
          <w:highlight w:val="none"/>
        </w:rPr>
        <w:t xml:space="preserve">。</w:t>
      </w:r>
      <w:r/>
    </w:p>
    <w:p>
      <w:pPr>
        <w:pStyle w:val="1068"/>
        <w:numPr>
          <w:ilvl w:val="0"/>
          <w:numId w:val="12"/>
        </w:numPr>
        <w:ind w:firstLine="480"/>
        <w:rPr>
          <w:rFonts w:hint="eastAsia" w:ascii="宋体" w:hAnsi="宋体"/>
          <w:color w:val="000000"/>
          <w:sz w:val="24"/>
          <w:szCs w:val="20"/>
          <w:highlight w:val="none"/>
        </w:rPr>
      </w:pPr>
      <w:r>
        <w:rPr>
          <w:rFonts w:hint="eastAsia" w:ascii="宋体" w:hAnsi="宋体"/>
          <w:color w:val="000000"/>
          <w:sz w:val="24"/>
          <w:szCs w:val="20"/>
          <w:highlight w:val="none"/>
        </w:rPr>
        <w:t xml:space="preserve">当被授权人为法定代表人（或上述情况的单位负责人）时，只需在</w:t>
      </w:r>
      <w:r>
        <w:rPr>
          <w:rFonts w:ascii="宋体" w:hAnsi="宋体"/>
          <w:color w:val="000000"/>
          <w:sz w:val="24"/>
          <w:szCs w:val="20"/>
          <w:highlight w:val="none"/>
        </w:rPr>
        <w:t xml:space="preserve">法定代表人</w:t>
      </w:r>
      <w:r>
        <w:rPr>
          <w:rFonts w:hint="eastAsia" w:ascii="宋体" w:hAnsi="宋体"/>
          <w:color w:val="000000"/>
          <w:sz w:val="24"/>
          <w:szCs w:val="20"/>
          <w:highlight w:val="none"/>
        </w:rPr>
        <w:t xml:space="preserve">处签字</w:t>
      </w:r>
      <w:r>
        <w:rPr>
          <w:rFonts w:hint="eastAsia"/>
          <w:color w:val="000000"/>
          <w:sz w:val="24"/>
          <w:szCs w:val="24"/>
          <w:highlight w:val="none"/>
        </w:rPr>
        <w:t xml:space="preserve">或盖章</w:t>
      </w:r>
      <w:r>
        <w:rPr>
          <w:rFonts w:hint="eastAsia" w:ascii="宋体" w:hAnsi="宋体"/>
          <w:color w:val="000000"/>
          <w:sz w:val="24"/>
          <w:szCs w:val="20"/>
          <w:highlight w:val="none"/>
        </w:rPr>
        <w:t xml:space="preserve">即可。</w:t>
      </w:r>
      <w:r/>
    </w:p>
    <w:p>
      <w:pPr>
        <w:pStyle w:val="1068"/>
        <w:numPr>
          <w:ilvl w:val="0"/>
          <w:numId w:val="12"/>
        </w:numPr>
        <w:ind w:firstLine="480"/>
        <w:rPr>
          <w:rFonts w:hint="eastAsia" w:ascii="宋体" w:hAnsi="宋体"/>
          <w:color w:val="000000"/>
          <w:sz w:val="24"/>
          <w:szCs w:val="20"/>
          <w:highlight w:val="none"/>
        </w:rPr>
      </w:pPr>
      <w:r>
        <w:rPr>
          <w:rFonts w:hint="eastAsia" w:ascii="宋体" w:hAnsi="宋体"/>
          <w:color w:val="000000"/>
          <w:sz w:val="24"/>
          <w:szCs w:val="20"/>
          <w:highlight w:val="none"/>
        </w:rPr>
        <w:t xml:space="preserve">投标人为自然人情形的，可不提供本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p>
    <w:p>
      <w:pPr>
        <w:pStyle w:val="1068"/>
        <w:numPr>
          <w:ilvl w:val="0"/>
          <w:numId w:val="12"/>
        </w:numPr>
        <w:ind w:firstLine="480"/>
        <w:rPr>
          <w:rFonts w:hint="eastAsia" w:ascii="宋体" w:hAnsi="宋体"/>
          <w:color w:val="000000"/>
          <w:sz w:val="24"/>
          <w:szCs w:val="20"/>
          <w:highlight w:val="none"/>
        </w:rPr>
      </w:pPr>
      <w:r>
        <w:rPr>
          <w:rFonts w:hint="eastAsia" w:ascii="宋体" w:hAnsi="宋体"/>
          <w:bCs/>
          <w:color w:val="000000"/>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bCs/>
          <w:color w:val="000000"/>
          <w:sz w:val="24"/>
          <w:szCs w:val="24"/>
          <w:highlight w:val="none"/>
          <w:lang w:eastAsia="zh-CN"/>
        </w:rPr>
        <w:t xml:space="preserve">其他可以</w:t>
      </w:r>
      <w:r>
        <w:rPr>
          <w:rFonts w:hint="eastAsia" w:ascii="宋体" w:hAnsi="宋体"/>
          <w:bCs/>
          <w:color w:val="000000"/>
          <w:sz w:val="24"/>
          <w:szCs w:val="24"/>
          <w:highlight w:val="none"/>
        </w:rPr>
        <w:t xml:space="preserve">在中国大陆有效居留的许可证明。</w:t>
      </w:r>
      <w:r/>
    </w:p>
    <w:p>
      <w:pPr>
        <w:pStyle w:val="1068"/>
        <w:ind w:firstLine="0"/>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资格声明函</w:t>
      </w:r>
      <w:r/>
    </w:p>
    <w:p>
      <w:pPr>
        <w:jc w:val="cente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永道工程咨询（江苏）有限公司</w:t>
      </w:r>
      <w:r>
        <w:rPr>
          <w:rFonts w:hint="eastAsia" w:ascii="宋体" w:hAnsi="宋体"/>
          <w:bCs/>
          <w:color w:val="000000"/>
          <w:sz w:val="24"/>
          <w:szCs w:val="24"/>
          <w:highlight w:val="none"/>
        </w:rPr>
        <w:t xml:space="preserve">：</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我公司（单位）针对本次项目</w:t>
      </w:r>
      <w:r>
        <w:rPr>
          <w:rFonts w:hint="eastAsia" w:ascii="宋体" w:hAnsi="宋体"/>
          <w:bCs/>
          <w:color w:val="000000"/>
          <w:sz w:val="24"/>
          <w:szCs w:val="24"/>
          <w:highlight w:val="none"/>
          <w:lang w:eastAsia="zh-CN"/>
        </w:rPr>
        <w:t xml:space="preserve">JSZC-320292-YDGC-G2026-0018</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lang w:val="en-US" w:eastAsia="zh-CN"/>
        </w:rPr>
        <w:t xml:space="preserve">标段</w:t>
      </w:r>
      <w:r>
        <w:rPr>
          <w:rFonts w:hint="eastAsia" w:ascii="宋体" w:hAnsi="宋体"/>
          <w:bCs/>
          <w:color w:val="000000"/>
          <w:sz w:val="24"/>
          <w:szCs w:val="24"/>
          <w:highlight w:val="none"/>
        </w:rPr>
        <w:t xml:space="preserve">进行投标，并</w:t>
      </w:r>
      <w:r>
        <w:rPr>
          <w:rFonts w:hint="eastAsia" w:ascii="宋体" w:hAnsi="宋体"/>
          <w:bCs/>
          <w:color w:val="000000"/>
          <w:sz w:val="24"/>
          <w:szCs w:val="24"/>
          <w:highlight w:val="none"/>
          <w:lang w:eastAsia="zh-CN"/>
        </w:rPr>
        <w:t xml:space="preserve">做</w:t>
      </w:r>
      <w:r>
        <w:rPr>
          <w:rFonts w:hint="eastAsia" w:ascii="宋体" w:hAnsi="宋体"/>
          <w:bCs/>
          <w:color w:val="000000"/>
          <w:sz w:val="24"/>
          <w:szCs w:val="24"/>
          <w:highlight w:val="none"/>
        </w:rPr>
        <w:t xml:space="preserve">如下声明</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2.本公司（单位）具备本次项目履行合同所必需的设备和专业技术能力。</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3.本公司（单位）无被“信用中国”网站（www.creditchina.gov.cn）、中国政府采购网</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www.ccgp.gov.cn</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列入失信被执行人、</w:t>
      </w:r>
      <w:r>
        <w:rPr>
          <w:rFonts w:hint="eastAsia" w:ascii="宋体" w:hAnsi="宋体"/>
          <w:bCs/>
          <w:color w:val="000000"/>
          <w:sz w:val="24"/>
          <w:szCs w:val="24"/>
          <w:highlight w:val="none"/>
          <w:lang w:eastAsia="zh-CN"/>
        </w:rPr>
        <w:t xml:space="preserve">重大税收违法失信主体名单</w:t>
      </w:r>
      <w:r>
        <w:rPr>
          <w:rFonts w:hint="eastAsia" w:ascii="宋体" w:hAnsi="宋体"/>
          <w:bCs/>
          <w:color w:val="000000"/>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440" w:lineRule="exact"/>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 </w:t>
      </w:r>
      <w:r/>
    </w:p>
    <w:p>
      <w:pPr>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hint="eastAsia" w:ascii="宋体" w:hAnsi="宋体"/>
          <w:bCs/>
          <w:color w:val="000000"/>
          <w:sz w:val="24"/>
          <w:szCs w:val="24"/>
          <w:highlight w:val="none"/>
          <w:u w:val="single"/>
          <w:lang w:eastAsia="zh-CN"/>
        </w:rPr>
        <w:t xml:space="preserve">、</w:t>
      </w:r>
      <w:r>
        <w:rPr>
          <w:rFonts w:hint="eastAsia" w:ascii="宋体" w:hAnsi="宋体"/>
          <w:bCs/>
          <w:color w:val="000000"/>
          <w:sz w:val="24"/>
          <w:szCs w:val="24"/>
          <w:highlight w:val="none"/>
          <w:u w:val="single"/>
          <w:lang w:val="en-US" w:eastAsia="zh-CN"/>
        </w:rPr>
        <w:t xml:space="preserve">标段名称</w:t>
      </w:r>
      <w:r>
        <w:rPr>
          <w:rFonts w:ascii="宋体" w:hAnsi="宋体"/>
          <w:bCs/>
          <w:color w:val="000000"/>
          <w:sz w:val="24"/>
          <w:szCs w:val="24"/>
          <w:highlight w:val="none"/>
          <w:u w:val="single"/>
        </w:rPr>
        <w:t xml:space="preserve">）</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ind w:firstLine="420"/>
        <w:spacing w:line="360" w:lineRule="auto"/>
        <w:rPr>
          <w:rFonts w:hint="eastAsia"/>
          <w:color w:val="000000"/>
          <w:highlight w:val="none"/>
        </w:rPr>
      </w:pPr>
      <w:r>
        <w:rPr>
          <w:rFonts w:hint="eastAsia"/>
          <w:color w:val="000000"/>
          <w:highlight w:val="none"/>
        </w:rPr>
      </w:r>
      <w:r/>
    </w:p>
    <w:p>
      <w:pPr>
        <w:ind w:firstLine="420"/>
        <w:spacing w:line="360" w:lineRule="auto"/>
        <w:rPr>
          <w:rFonts w:hint="eastAsia"/>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p>
    <w:p>
      <w:pPr>
        <w:ind w:firstLine="420"/>
        <w:spacing w:line="360" w:lineRule="auto"/>
        <w:rPr>
          <w:rFonts w:hint="eastAsia"/>
          <w:color w:val="000000"/>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sz w:val="28"/>
          <w:szCs w:val="28"/>
          <w:highlight w:val="none"/>
        </w:rPr>
      </w:pPr>
      <w:r>
        <w:rPr>
          <w:rFonts w:hint="eastAsia"/>
          <w:color w:val="000000"/>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p>
    <w:p>
      <w:pPr>
        <w:ind w:firstLine="482"/>
        <w:spacing w:line="440" w:lineRule="exact"/>
        <w:rPr>
          <w:rFonts w:ascii="Arial" w:hAnsi="Arial"/>
          <w:b/>
          <w:color w:val="000000"/>
          <w:sz w:val="24"/>
          <w:highlight w:val="none"/>
        </w:rPr>
      </w:pPr>
      <w:r>
        <w:rPr>
          <w:rFonts w:ascii="Arial" w:hAnsi="Arial"/>
          <w:b/>
          <w:color w:val="000000"/>
          <w:sz w:val="24"/>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bCs/>
          <w:color w:val="000000"/>
          <w:sz w:val="24"/>
          <w:szCs w:val="24"/>
          <w:highlight w:val="none"/>
          <w:lang w:eastAsia="zh-CN"/>
        </w:rPr>
        <w:t xml:space="preserve">〔2017〕141号</w:t>
      </w:r>
      <w:r>
        <w:rPr>
          <w:rFonts w:hint="eastAsia" w:ascii="宋体" w:hAnsi="宋体"/>
          <w:bCs/>
          <w:color w:val="000000"/>
          <w:sz w:val="24"/>
          <w:szCs w:val="24"/>
          <w:highlight w:val="none"/>
        </w:rPr>
        <w:t xml:space="preserve">）的规定，本单位为符合条件的残疾人福利性单位，且本单位参加______单位的______项目</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lang w:val="en-US" w:eastAsia="zh-CN"/>
        </w:rPr>
        <w:t xml:space="preserve">标段</w:t>
      </w:r>
      <w:r>
        <w:rPr>
          <w:rFonts w:hint="eastAsia" w:ascii="宋体" w:hAnsi="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p>
    <w:p>
      <w:pPr>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p>
    <w:p>
      <w:pPr>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永道工程咨询（江苏）有限公司</w:t>
      </w:r>
      <w:r>
        <w:rPr>
          <w:rFonts w:hint="eastAsia" w:ascii="宋体" w:hAnsi="宋体"/>
          <w:bCs/>
          <w:color w:val="000000"/>
          <w:sz w:val="24"/>
          <w:szCs w:val="24"/>
          <w:highlight w:val="none"/>
        </w:rPr>
        <w:t xml:space="preserve">：</w:t>
      </w:r>
      <w:r/>
    </w:p>
    <w:p>
      <w:pPr>
        <w:ind w:firstLine="480"/>
        <w:spacing w:line="400" w:lineRule="exact"/>
        <w:rPr>
          <w:rFonts w:ascii="宋体"/>
          <w:bCs/>
          <w:color w:val="000000"/>
          <w:sz w:val="24"/>
          <w:szCs w:val="24"/>
          <w:highlight w:val="none"/>
        </w:rPr>
      </w:pPr>
      <w:r>
        <w:rPr>
          <w:rFonts w:ascii="宋体"/>
          <w:bCs/>
          <w:color w:val="000000"/>
          <w:sz w:val="24"/>
          <w:szCs w:val="24"/>
          <w:highlight w:val="none"/>
        </w:rPr>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lang w:eastAsia="zh-CN"/>
        </w:rPr>
        <w:t xml:space="preserve">JSZC-320292-YDGC-G2026-0018</w:t>
      </w:r>
      <w:r>
        <w:rPr>
          <w:rFonts w:hint="eastAsia" w:ascii="宋体" w:hAnsi="宋体"/>
          <w:bCs/>
          <w:color w:val="000000"/>
          <w:sz w:val="24"/>
          <w:szCs w:val="24"/>
          <w:highlight w:val="none"/>
        </w:rPr>
        <w:t xml:space="preserve">招标文件，经仔细阅读和研究，我方决定参加此项目</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u w:val="none"/>
          <w:lang w:val="en-US" w:eastAsia="zh-CN"/>
        </w:rPr>
        <w:t xml:space="preserve">标段</w:t>
      </w:r>
      <w:r>
        <w:rPr>
          <w:rFonts w:hint="eastAsia" w:ascii="宋体" w:hAnsi="宋体"/>
          <w:bCs/>
          <w:color w:val="000000"/>
          <w:sz w:val="24"/>
          <w:szCs w:val="24"/>
          <w:highlight w:val="none"/>
        </w:rPr>
        <w:t xml:space="preserve">的投标。</w:t>
      </w:r>
      <w:r/>
    </w:p>
    <w:p>
      <w:pPr>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u w:val="none"/>
          <w:lang w:val="en-US" w:eastAsia="zh-CN"/>
        </w:rPr>
        <w:t xml:space="preserve">标段</w:t>
      </w:r>
      <w:r>
        <w:rPr>
          <w:rFonts w:hint="eastAsia" w:ascii="宋体" w:hAnsi="宋体"/>
          <w:bCs/>
          <w:color w:val="000000"/>
          <w:sz w:val="24"/>
          <w:szCs w:val="24"/>
          <w:highlight w:val="none"/>
        </w:rPr>
        <w:t xml:space="preserve">的投标，投标总价见《开标一览表》。</w:t>
      </w:r>
      <w:r/>
    </w:p>
    <w:p>
      <w:pPr>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58"/>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永道工程咨询（江苏）有限公司</w:t>
      </w:r>
      <w:r>
        <w:rPr>
          <w:rFonts w:hint="eastAsia" w:ascii="宋体" w:hAnsi="宋体"/>
          <w:bCs/>
          <w:color w:val="000000"/>
          <w:sz w:val="24"/>
          <w:szCs w:val="24"/>
          <w:highlight w:val="none"/>
        </w:rPr>
        <w:t xml:space="preserve">在招标文件中要求的文件、资料。</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w:t>
      </w: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w:t>
      </w: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w:t>
      </w:r>
      <w:r>
        <w:rPr>
          <w:rFonts w:hint="eastAsia" w:ascii="宋体" w:hAnsi="宋体"/>
          <w:bCs/>
          <w:color w:val="000000"/>
          <w:sz w:val="24"/>
          <w:szCs w:val="24"/>
          <w:highlight w:val="none"/>
          <w:lang w:eastAsia="zh-CN"/>
        </w:rPr>
        <w:t xml:space="preserve">缴纳</w:t>
      </w:r>
      <w:r>
        <w:rPr>
          <w:rFonts w:hint="eastAsia" w:ascii="宋体" w:hAnsi="宋体"/>
          <w:bCs/>
          <w:color w:val="000000"/>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恶意串通、决不向采购人、</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highlight w:val="none"/>
        </w:rPr>
      </w:pPr>
      <w:r>
        <w:rPr>
          <w:rFonts w:ascii="宋体"/>
          <w:bCs/>
          <w:color w:val="000000"/>
          <w:sz w:val="24"/>
          <w:szCs w:val="24"/>
          <w:highlight w:val="none"/>
        </w:rPr>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hint="eastAsia"/>
          <w:b/>
          <w:color w:val="000000"/>
          <w:sz w:val="28"/>
          <w:szCs w:val="28"/>
          <w:highlight w:val="none"/>
        </w:rPr>
        <w:t xml:space="preserve"> </w:t>
      </w:r>
      <w:r/>
    </w:p>
    <w:p>
      <w:pPr>
        <w:rPr>
          <w:rFonts w:hint="eastAsia"/>
          <w:b/>
          <w:color w:val="000000"/>
          <w:sz w:val="28"/>
          <w:szCs w:val="28"/>
          <w:highlight w:val="none"/>
        </w:rPr>
        <w:outlineLvl w:val="0"/>
      </w:pPr>
      <w:r>
        <w:rPr>
          <w:rFonts w:hint="eastAsia"/>
          <w:b/>
          <w:color w:val="000000"/>
          <w:sz w:val="28"/>
          <w:szCs w:val="28"/>
          <w:highlight w:val="none"/>
        </w:rPr>
      </w:r>
      <w:r/>
    </w:p>
    <w:p>
      <w:pPr>
        <w:rPr>
          <w:rFonts w:hint="eastAsia"/>
          <w:b/>
          <w:color w:val="000000"/>
          <w:sz w:val="28"/>
          <w:szCs w:val="28"/>
          <w:highlight w:val="none"/>
        </w:rPr>
        <w:outlineLvl w:val="0"/>
      </w:pPr>
      <w:r>
        <w:rPr>
          <w:rFonts w:hint="eastAsia"/>
          <w:b/>
          <w:color w:val="000000"/>
          <w:sz w:val="28"/>
          <w:szCs w:val="28"/>
          <w:highlight w:val="none"/>
        </w:rPr>
      </w:r>
      <w:r/>
    </w:p>
    <w:p>
      <w:pPr>
        <w:rPr>
          <w:rFonts w:hint="eastAsia"/>
          <w:b/>
          <w:color w:val="000000"/>
          <w:sz w:val="28"/>
          <w:szCs w:val="28"/>
          <w:highlight w:val="none"/>
        </w:rPr>
        <w:outlineLvl w:val="0"/>
      </w:pPr>
      <w:r>
        <w:rPr>
          <w:rFonts w:hint="eastAsia"/>
          <w:b/>
          <w:color w:val="000000"/>
          <w:sz w:val="28"/>
          <w:szCs w:val="28"/>
          <w:highlight w:val="none"/>
        </w:rPr>
      </w:r>
      <w:r/>
    </w:p>
    <w:p>
      <w:pPr>
        <w:rPr>
          <w:rFonts w:hint="eastAsia"/>
          <w:b/>
          <w:color w:val="000000"/>
          <w:sz w:val="28"/>
          <w:szCs w:val="28"/>
          <w:highlight w:val="none"/>
        </w:rPr>
        <w:outlineLvl w:val="0"/>
      </w:pPr>
      <w:r>
        <w:rPr>
          <w:rFonts w:hint="eastAsia"/>
          <w:b/>
          <w:color w:val="000000"/>
          <w:sz w:val="28"/>
          <w:szCs w:val="28"/>
          <w:highlight w:val="none"/>
        </w:rPr>
        <w:t xml:space="preserve">七、承诺书（给定格式）： </w:t>
      </w:r>
      <w:r/>
    </w:p>
    <w:p>
      <w:pPr>
        <w:ind w:firstLine="602"/>
        <w:rPr>
          <w:rFonts w:hint="eastAsia"/>
          <w:b/>
          <w:color w:val="000000"/>
          <w:sz w:val="30"/>
          <w:szCs w:val="30"/>
          <w:highlight w:val="none"/>
        </w:rPr>
        <w:outlineLvl w:val="0"/>
      </w:pPr>
      <w:r>
        <w:rPr>
          <w:rFonts w:hint="eastAsia"/>
          <w:b/>
          <w:color w:val="000000"/>
          <w:sz w:val="30"/>
          <w:szCs w:val="30"/>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p>
    <w:p>
      <w:pPr>
        <w:spacing w:line="480" w:lineRule="auto"/>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JSZC-320292-YDGC-G2026-0018</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lang w:val="en-US" w:eastAsia="zh-CN"/>
        </w:rPr>
        <w:t xml:space="preserve">标段</w:t>
      </w:r>
      <w:r>
        <w:rPr>
          <w:rFonts w:hint="eastAsia" w:ascii="宋体" w:hAnsi="宋体"/>
          <w:color w:val="000000"/>
          <w:sz w:val="24"/>
          <w:szCs w:val="24"/>
          <w:highlight w:val="none"/>
        </w:rPr>
        <w:t xml:space="preserve">在此对服务保障做如下承诺：</w:t>
      </w:r>
      <w:r/>
    </w:p>
    <w:p>
      <w:pPr>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1、本公司（单位）对本项目所提供的服务符合招标文件要求；</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2、本公司（单位）保证中标并合同签订生效后，将按招标文件要求及所投投标文件中做出的相应承诺将相关人员及时配置到位。</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p>
    <w:p>
      <w:pPr>
        <w:ind w:firstLine="465"/>
        <w:spacing w:line="360" w:lineRule="auto"/>
        <w:tabs>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p>
    <w:p>
      <w:pPr>
        <w:ind w:firstLine="960"/>
        <w:spacing w:line="480" w:lineRule="auto"/>
        <w:rPr>
          <w:rFonts w:hint="eastAsia" w:ascii="宋体" w:hAnsi="宋体"/>
          <w:bCs/>
          <w:color w:val="000000"/>
          <w:sz w:val="24"/>
          <w:szCs w:val="24"/>
          <w:highlight w:val="none"/>
        </w:rPr>
      </w:pPr>
      <w:r>
        <w:rPr>
          <w:rFonts w:ascii="宋体" w:hAnsi="宋体"/>
          <w:bCs/>
          <w:color w:val="000000"/>
          <w:sz w:val="24"/>
          <w:szCs w:val="24"/>
          <w:highlight w:val="none"/>
        </w:rPr>
        <w:t xml:space="preserve">…………………</w:t>
      </w:r>
      <w:r/>
    </w:p>
    <w:p>
      <w:pPr>
        <w:ind w:firstLine="96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p>
    <w:p>
      <w:pPr>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3720"/>
        <w:spacing w:line="48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投标人名称</w:t>
      </w:r>
      <w:r>
        <w:rPr>
          <w:rFonts w:hint="eastAsia" w:ascii="宋体" w:hAnsi="宋体"/>
          <w:bCs/>
          <w:color w:val="000000"/>
          <w:sz w:val="24"/>
          <w:szCs w:val="24"/>
          <w:highlight w:val="none"/>
        </w:rPr>
        <w:t xml:space="preserve">（盖章）：</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rPr>
          <w:rFonts w:hint="eastAsia" w:ascii="宋体" w:hAnsi="宋体"/>
          <w:bCs/>
          <w:color w:val="000000"/>
          <w:highlight w:val="none"/>
        </w:rPr>
      </w:pPr>
      <w:r>
        <w:rPr>
          <w:rFonts w:hint="eastAsia" w:ascii="宋体" w:hAnsi="宋体"/>
          <w:bCs/>
          <w:color w:val="000000"/>
          <w:highlight w:val="none"/>
        </w:rPr>
        <w:t xml:space="preserve">注：</w:t>
      </w:r>
      <w:r>
        <w:rPr>
          <w:rFonts w:hint="eastAsia" w:ascii="宋体" w:hAnsi="宋体"/>
          <w:bCs/>
          <w:color w:val="000000"/>
          <w:highlight w:val="none"/>
          <w:lang w:val="en-US" w:eastAsia="zh-CN"/>
        </w:rPr>
        <w:t xml:space="preserve">1、</w:t>
      </w:r>
      <w:r>
        <w:rPr>
          <w:rFonts w:hint="eastAsia" w:ascii="宋体" w:hAnsi="宋体"/>
          <w:bCs/>
          <w:color w:val="000000"/>
          <w:highlight w:val="none"/>
        </w:rPr>
        <w:t xml:space="preserve">以上内容由投标单位根据采购要求自行完善。</w:t>
      </w:r>
      <w:r/>
    </w:p>
    <w:p>
      <w:pPr>
        <w:rPr>
          <w:rFonts w:hint="eastAsia"/>
          <w:b/>
          <w:color w:val="000000"/>
          <w:sz w:val="28"/>
          <w:szCs w:val="28"/>
          <w:highlight w:val="none"/>
        </w:rPr>
      </w:pPr>
      <w:r>
        <w:rPr>
          <w:rFonts w:hint="eastAsia"/>
          <w:b/>
          <w:color w:val="000000"/>
          <w:sz w:val="28"/>
          <w:szCs w:val="28"/>
          <w:highlight w:val="none"/>
        </w:rPr>
        <w:br w:type="page" w:clear="all"/>
      </w:r>
      <w:r/>
    </w:p>
    <w:p>
      <w:pPr>
        <w:spacing w:line="360" w:lineRule="auto"/>
        <w:rPr>
          <w:rFonts w:hint="eastAsia"/>
          <w:b/>
          <w:color w:val="000000"/>
          <w:sz w:val="28"/>
          <w:szCs w:val="28"/>
          <w:highlight w:val="none"/>
        </w:rPr>
      </w:pPr>
      <w:r>
        <w:rPr>
          <w:rFonts w:hint="eastAsia"/>
          <w:b/>
          <w:color w:val="000000"/>
          <w:sz w:val="28"/>
          <w:szCs w:val="28"/>
          <w:highlight w:val="none"/>
        </w:rPr>
        <w:t xml:space="preserve">八、开标一览表（给定格式）：</w:t>
      </w:r>
      <w:r/>
    </w:p>
    <w:p>
      <w:pPr>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p>
    <w:p>
      <w:pPr>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 项目编号：</w:t>
      </w:r>
      <w:r/>
    </w:p>
    <w:p>
      <w:pPr>
        <w:pStyle w:val="833"/>
        <w:ind w:left="0" w:firstLine="110"/>
        <w:rPr>
          <w:rFonts w:hint="default"/>
          <w:highlight w:val="none"/>
          <w:lang w:val="en-US" w:eastAsia="zh-CN"/>
        </w:rPr>
      </w:pPr>
      <w:r>
        <w:rPr>
          <w:rFonts w:hint="eastAsia" w:ascii="黑体" w:eastAsia="黑体"/>
          <w:bCs/>
          <w:color w:val="000000"/>
          <w:sz w:val="24"/>
          <w:szCs w:val="24"/>
          <w:highlight w:val="none"/>
          <w:lang w:val="en-US" w:eastAsia="zh-CN"/>
        </w:rPr>
        <w:t xml:space="preserve">标段编号：</w:t>
      </w:r>
      <w:r/>
    </w:p>
    <w:tbl>
      <w:tblPr>
        <w:tblStyle w:val="800"/>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hint="default" w:ascii="宋体" w:eastAsia="宋体"/>
                <w:b/>
                <w:bCs/>
                <w:color w:val="000000"/>
                <w:sz w:val="24"/>
                <w:szCs w:val="24"/>
                <w:highlight w:val="none"/>
                <w:lang w:val="en-US" w:eastAsia="zh-CN"/>
              </w:rPr>
            </w:pPr>
            <w:r>
              <w:rPr>
                <w:rFonts w:hint="eastAsia" w:ascii="宋体" w:hAnsi="宋体"/>
                <w:b/>
                <w:bCs/>
                <w:color w:val="000000"/>
                <w:sz w:val="24"/>
                <w:szCs w:val="24"/>
                <w:highlight w:val="none"/>
              </w:rPr>
              <w:t xml:space="preserve">项目名称</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标段名称</w:t>
            </w:r>
            <w:r/>
          </w:p>
        </w:tc>
        <w:tc>
          <w:tcPr>
            <w:tcW w:w="3188"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投标总报价</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小写</w:t>
            </w:r>
            <w:r>
              <w:rPr>
                <w:rFonts w:hint="eastAsia" w:ascii="宋体" w:hAnsi="宋体"/>
                <w:b/>
                <w:bCs/>
                <w:color w:val="000000"/>
                <w:sz w:val="24"/>
                <w:szCs w:val="24"/>
                <w:highlight w:val="none"/>
                <w:lang w:eastAsia="zh-CN"/>
              </w:rPr>
              <w:t xml:space="preserve">）</w:t>
            </w:r>
            <w:r/>
          </w:p>
        </w:tc>
      </w:tr>
      <w:tr>
        <w:trPr>
          <w:cantSplit/>
          <w:trHeight w:val="1630"/>
        </w:trPr>
        <w:tc>
          <w:tcPr>
            <w:tcW w:w="5697" w:type="dxa"/>
            <w:vAlign w:val="center"/>
            <w:textDirection w:val="lrTb"/>
            <w:noWrap w:val="false"/>
          </w:tcPr>
          <w:p>
            <w:pPr>
              <w:pStyle w:val="1096"/>
              <w:jc w:val="center"/>
              <w:spacing w:line="400" w:lineRule="exact"/>
              <w:rPr>
                <w:rFonts w:hAnsi="宋体"/>
                <w:bCs/>
                <w:color w:val="000000"/>
                <w:szCs w:val="24"/>
                <w:highlight w:val="none"/>
              </w:rPr>
            </w:pPr>
            <w:r>
              <w:rPr>
                <w:rFonts w:hAnsi="宋体"/>
                <w:bCs/>
                <w:color w:val="000000"/>
                <w:szCs w:val="24"/>
                <w:highlight w:val="none"/>
              </w:rPr>
            </w:r>
            <w:r/>
          </w:p>
        </w:tc>
        <w:tc>
          <w:tcPr>
            <w:tcW w:w="3188" w:type="dxa"/>
            <w:vAlign w:val="center"/>
            <w:textDirection w:val="lrTb"/>
            <w:noWrap w:val="false"/>
          </w:tcPr>
          <w:p>
            <w:pPr>
              <w:pStyle w:val="1096"/>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　　　</w:t>
            </w:r>
            <w:r/>
          </w:p>
        </w:tc>
      </w:tr>
    </w:tbl>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spacing w:line="360" w:lineRule="auto"/>
        <w:rPr>
          <w:rFonts w:hint="eastAsia"/>
          <w:b/>
          <w:color w:val="000000"/>
          <w:sz w:val="28"/>
          <w:szCs w:val="28"/>
          <w:highlight w:val="none"/>
        </w:rPr>
      </w:pPr>
      <w:r>
        <w:rPr>
          <w:rFonts w:hint="eastAsia" w:ascii="黑体" w:eastAsia="黑体"/>
          <w:bCs/>
          <w:color w:val="000000"/>
          <w:sz w:val="24"/>
          <w:szCs w:val="24"/>
          <w:highlight w:val="none"/>
        </w:rPr>
        <w:br w:type="page" w:clear="all"/>
      </w:r>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r/>
    </w:p>
    <w:p>
      <w:pPr>
        <w:jc w:val="center"/>
        <w:spacing w:line="400" w:lineRule="exact"/>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分项报价表</w:t>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p>
    <w:tbl>
      <w:tblPr>
        <w:tblStyle w:val="800"/>
        <w:tblpPr w:horzAnchor="page" w:tblpX="1098" w:vertAnchor="text" w:tblpY="556" w:leftFromText="180" w:topFromText="0" w:rightFromText="180" w:bottomFromText="0"/>
        <w:tblW w:w="9912" w:type="dxa"/>
        <w:tblInd w:w="0" w:type="dxa"/>
        <w:tblLayout w:type="fixed"/>
        <w:tblCellMar>
          <w:left w:w="0" w:type="dxa"/>
          <w:top w:w="0" w:type="dxa"/>
          <w:right w:w="0" w:type="dxa"/>
          <w:bottom w:w="0" w:type="dxa"/>
        </w:tblCellMar>
        <w:tblLook w:val="04A0" w:firstRow="1" w:lastRow="0" w:firstColumn="1" w:lastColumn="0" w:noHBand="0" w:noVBand="1"/>
      </w:tblPr>
      <w:tblGrid>
        <w:gridCol w:w="747"/>
        <w:gridCol w:w="75"/>
        <w:gridCol w:w="1274"/>
        <w:gridCol w:w="1112"/>
        <w:gridCol w:w="1112"/>
        <w:gridCol w:w="1080"/>
        <w:gridCol w:w="2160"/>
        <w:gridCol w:w="2352"/>
      </w:tblGrid>
      <w:tr>
        <w:trPr>
          <w:trHeight w:val="163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47" w:type="dxa"/>
            <w:vAlign w:val="center"/>
            <w:textDirection w:val="lrTb"/>
            <w:noWrap w:val="false"/>
          </w:tcPr>
          <w:p>
            <w:pPr>
              <w:jc w:val="center"/>
              <w:widowControl/>
              <w:rPr>
                <w:rFonts w:ascii="宋体" w:hAnsi="宋体" w:cs="宋体"/>
                <w:bCs/>
                <w:szCs w:val="21"/>
                <w:highlight w:val="none"/>
              </w:rPr>
            </w:pPr>
            <w:r>
              <w:rPr>
                <w:rFonts w:hint="eastAsia" w:ascii="宋体" w:hAnsi="宋体" w:cs="宋体"/>
                <w:bCs/>
                <w:szCs w:val="21"/>
                <w:highlight w:val="none"/>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jc w:val="center"/>
              <w:widowControl/>
              <w:rPr>
                <w:rFonts w:ascii="宋体" w:hAnsi="宋体" w:cs="宋体"/>
                <w:bCs/>
                <w:szCs w:val="21"/>
                <w:highlight w:val="none"/>
              </w:rPr>
            </w:pPr>
            <w:r>
              <w:rPr>
                <w:rFonts w:hint="eastAsia" w:ascii="宋体" w:hAnsi="宋体" w:cs="宋体"/>
                <w:bCs/>
                <w:szCs w:val="21"/>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jc w:val="center"/>
              <w:widowControl/>
              <w:rPr>
                <w:rFonts w:ascii="宋体" w:hAnsi="宋体" w:cs="宋体"/>
                <w:bCs/>
                <w:szCs w:val="21"/>
                <w:highlight w:val="none"/>
              </w:rPr>
            </w:pPr>
            <w:r>
              <w:rPr>
                <w:rFonts w:hint="eastAsia" w:ascii="宋体" w:hAnsi="宋体" w:cs="宋体"/>
                <w:bCs/>
                <w:szCs w:val="21"/>
                <w:highlight w:val="none"/>
              </w:rPr>
              <w:t xml:space="preserve">相关描述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jc w:val="center"/>
              <w:widowControl/>
              <w:rPr>
                <w:rFonts w:hint="eastAsia" w:ascii="宋体" w:hAnsi="宋体" w:cs="宋体"/>
                <w:bCs/>
                <w:szCs w:val="21"/>
                <w:highlight w:val="none"/>
              </w:rPr>
            </w:pPr>
            <w:r>
              <w:rPr>
                <w:rFonts w:hint="eastAsia" w:ascii="宋体" w:hAnsi="宋体" w:cs="宋体"/>
                <w:bCs/>
                <w:szCs w:val="21"/>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jc w:val="center"/>
              <w:widowControl/>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单位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2160" w:type="dxa"/>
            <w:vAlign w:val="center"/>
            <w:textDirection w:val="lrTb"/>
            <w:noWrap w:val="false"/>
          </w:tcPr>
          <w:p>
            <w:pPr>
              <w:jc w:val="center"/>
              <w:widowControl/>
              <w:rPr>
                <w:rFonts w:ascii="宋体" w:hAnsi="宋体" w:cs="宋体"/>
                <w:bCs/>
                <w:szCs w:val="21"/>
                <w:highlight w:val="none"/>
              </w:rPr>
            </w:pPr>
            <w:r>
              <w:rPr>
                <w:rFonts w:hint="eastAsia" w:ascii="宋体" w:hAnsi="宋体" w:cs="宋体"/>
                <w:bCs/>
                <w:szCs w:val="21"/>
                <w:highlight w:val="none"/>
              </w:rPr>
              <w:t xml:space="preserve">单报价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2352" w:type="dxa"/>
            <w:vAlign w:val="center"/>
            <w:textDirection w:val="lrTb"/>
            <w:noWrap w:val="false"/>
          </w:tcPr>
          <w:p>
            <w:pPr>
              <w:jc w:val="center"/>
              <w:widowControl/>
              <w:rPr>
                <w:rFonts w:ascii="宋体" w:hAnsi="宋体" w:cs="宋体"/>
                <w:bCs/>
                <w:szCs w:val="21"/>
                <w:highlight w:val="none"/>
              </w:rPr>
            </w:pPr>
            <w:r>
              <w:rPr>
                <w:rFonts w:hint="eastAsia" w:ascii="宋体" w:hAnsi="宋体" w:cs="宋体"/>
                <w:bCs/>
                <w:szCs w:val="21"/>
                <w:highlight w:val="none"/>
              </w:rPr>
              <w:t xml:space="preserve">分项总报价</w:t>
            </w:r>
            <w:r/>
          </w:p>
        </w:tc>
      </w:tr>
      <w:tr>
        <w:trPr>
          <w:trHeight w:val="64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747" w:type="dxa"/>
            <w:vAlign w:val="center"/>
            <w:textDirection w:val="lrTb"/>
            <w:noWrap w:val="false"/>
          </w:tcPr>
          <w:p>
            <w:pPr>
              <w:jc w:val="center"/>
              <w:widowControl/>
              <w:rPr>
                <w:rFonts w:ascii="宋体" w:hAnsi="宋体" w:cs="宋体"/>
                <w:bCs/>
                <w:szCs w:val="21"/>
                <w:highlight w:val="none"/>
              </w:rPr>
            </w:pPr>
            <w:r>
              <w:rPr>
                <w:rFonts w:hint="eastAsia" w:ascii="宋体" w:hAnsi="宋体" w:cs="宋体"/>
                <w:bCs/>
                <w:szCs w:val="21"/>
                <w:highlight w:val="none"/>
              </w:rPr>
              <w:t xml:space="preserve">1</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sz w:val="18"/>
                <w:szCs w:val="18"/>
                <w:highlight w:val="none"/>
              </w:rPr>
            </w:pPr>
            <w:r>
              <w:rPr>
                <w:rFonts w:ascii="宋体" w:hAnsi="宋体" w:cs="宋体"/>
                <w:bCs/>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sz w:val="18"/>
                <w:szCs w:val="18"/>
                <w:highlight w:val="none"/>
              </w:rPr>
            </w:pPr>
            <w:r>
              <w:rPr>
                <w:rFonts w:ascii="宋体" w:hAnsi="宋体" w:cs="宋体"/>
                <w:bCs/>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60" w:type="dxa"/>
            <w:vAlign w:val="center"/>
            <w:textDirection w:val="lrTb"/>
            <w:noWrap w:val="false"/>
          </w:tcPr>
          <w:p>
            <w:pPr>
              <w:jc w:val="center"/>
              <w:rPr>
                <w:rFonts w:ascii="黑体" w:hAnsi="宋体" w:eastAsia="黑体" w:cs="黑体"/>
                <w:bCs/>
                <w:szCs w:val="21"/>
                <w:highlight w:val="none"/>
              </w:rPr>
            </w:pPr>
            <w:r>
              <w:rPr>
                <w:rFonts w:ascii="黑体" w:hAnsi="宋体" w:eastAsia="黑体" w:cs="黑体"/>
                <w:bCs/>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352" w:type="dxa"/>
            <w:vAlign w:val="center"/>
            <w:textDirection w:val="lrTb"/>
            <w:noWrap w:val="false"/>
          </w:tcPr>
          <w:p>
            <w:pPr>
              <w:jc w:val="center"/>
              <w:rPr>
                <w:rFonts w:ascii="黑体" w:hAnsi="宋体" w:eastAsia="黑体" w:cs="黑体"/>
                <w:bCs/>
                <w:highlight w:val="none"/>
              </w:rPr>
            </w:pPr>
            <w:r>
              <w:rPr>
                <w:rFonts w:ascii="黑体" w:hAnsi="宋体" w:eastAsia="黑体" w:cs="黑体"/>
                <w:bCs/>
                <w:highlight w:val="none"/>
              </w:rPr>
            </w:r>
            <w:r/>
          </w:p>
        </w:tc>
      </w:tr>
      <w:tr>
        <w:trPr>
          <w:trHeight w:val="7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747" w:type="dxa"/>
            <w:vAlign w:val="center"/>
            <w:textDirection w:val="lrTb"/>
            <w:noWrap w:val="false"/>
          </w:tcPr>
          <w:p>
            <w:pPr>
              <w:jc w:val="center"/>
              <w:widowControl/>
              <w:rPr>
                <w:rFonts w:ascii="宋体" w:hAnsi="宋体" w:cs="宋体"/>
                <w:bCs/>
                <w:szCs w:val="21"/>
                <w:highlight w:val="none"/>
              </w:rPr>
            </w:pPr>
            <w:r>
              <w:rPr>
                <w:rFonts w:hint="eastAsia" w:ascii="宋体" w:hAnsi="宋体" w:cs="宋体"/>
                <w:bCs/>
                <w:szCs w:val="21"/>
                <w:highlight w:val="none"/>
              </w:rPr>
              <w:t xml:space="preserve">2</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sz w:val="18"/>
                <w:szCs w:val="18"/>
                <w:highlight w:val="none"/>
              </w:rPr>
            </w:pPr>
            <w:r>
              <w:rPr>
                <w:rFonts w:ascii="宋体" w:hAnsi="宋体" w:cs="宋体"/>
                <w:bCs/>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sz w:val="18"/>
                <w:szCs w:val="18"/>
                <w:highlight w:val="none"/>
              </w:rPr>
            </w:pPr>
            <w:r>
              <w:rPr>
                <w:rFonts w:ascii="宋体" w:hAnsi="宋体" w:cs="宋体"/>
                <w:bCs/>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60" w:type="dxa"/>
            <w:vAlign w:val="center"/>
            <w:textDirection w:val="lrTb"/>
            <w:noWrap w:val="false"/>
          </w:tcPr>
          <w:p>
            <w:pPr>
              <w:jc w:val="center"/>
              <w:rPr>
                <w:rFonts w:ascii="黑体" w:hAnsi="宋体" w:eastAsia="黑体" w:cs="黑体"/>
                <w:bCs/>
                <w:szCs w:val="21"/>
                <w:highlight w:val="none"/>
              </w:rPr>
            </w:pPr>
            <w:r>
              <w:rPr>
                <w:rFonts w:ascii="黑体" w:hAnsi="宋体" w:eastAsia="黑体" w:cs="黑体"/>
                <w:bCs/>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352" w:type="dxa"/>
            <w:vAlign w:val="center"/>
            <w:textDirection w:val="lrTb"/>
            <w:noWrap w:val="false"/>
          </w:tcPr>
          <w:p>
            <w:pPr>
              <w:jc w:val="center"/>
              <w:rPr>
                <w:rFonts w:ascii="黑体" w:hAnsi="宋体" w:eastAsia="黑体" w:cs="黑体"/>
                <w:bCs/>
                <w:highlight w:val="none"/>
              </w:rPr>
            </w:pPr>
            <w:r>
              <w:rPr>
                <w:rFonts w:ascii="黑体" w:hAnsi="宋体" w:eastAsia="黑体" w:cs="黑体"/>
                <w:bCs/>
                <w:highlight w:val="none"/>
              </w:rPr>
            </w:r>
            <w:r/>
          </w:p>
        </w:tc>
      </w:tr>
      <w:tr>
        <w:trPr>
          <w:trHeight w:val="75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747" w:type="dxa"/>
            <w:vAlign w:val="center"/>
            <w:textDirection w:val="lrTb"/>
            <w:noWrap w:val="false"/>
          </w:tcPr>
          <w:p>
            <w:pPr>
              <w:jc w:val="center"/>
              <w:widowControl/>
              <w:rPr>
                <w:rFonts w:ascii="宋体" w:hAnsi="宋体" w:cs="宋体"/>
                <w:bCs/>
                <w:szCs w:val="21"/>
                <w:highlight w:val="none"/>
              </w:rPr>
            </w:pPr>
            <w:r>
              <w:rPr>
                <w:rFonts w:hint="eastAsia" w:ascii="宋体" w:hAnsi="宋体" w:cs="宋体"/>
                <w:bCs/>
                <w:szCs w:val="21"/>
                <w:highlight w:val="none"/>
              </w:rPr>
              <w:t xml:space="preserve">3</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sz w:val="18"/>
                <w:szCs w:val="18"/>
                <w:highlight w:val="none"/>
              </w:rPr>
            </w:pPr>
            <w:r>
              <w:rPr>
                <w:rFonts w:ascii="宋体" w:hAnsi="宋体" w:cs="宋体"/>
                <w:bCs/>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sz w:val="18"/>
                <w:szCs w:val="18"/>
                <w:highlight w:val="none"/>
              </w:rPr>
            </w:pPr>
            <w:r>
              <w:rPr>
                <w:rFonts w:ascii="宋体" w:hAnsi="宋体" w:cs="宋体"/>
                <w:bCs/>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60" w:type="dxa"/>
            <w:vAlign w:val="center"/>
            <w:textDirection w:val="lrTb"/>
            <w:noWrap w:val="false"/>
          </w:tcPr>
          <w:p>
            <w:pPr>
              <w:jc w:val="center"/>
              <w:rPr>
                <w:rFonts w:ascii="黑体" w:hAnsi="宋体" w:eastAsia="黑体" w:cs="黑体"/>
                <w:bCs/>
                <w:szCs w:val="21"/>
                <w:highlight w:val="none"/>
              </w:rPr>
            </w:pPr>
            <w:r>
              <w:rPr>
                <w:rFonts w:ascii="黑体" w:hAnsi="宋体" w:eastAsia="黑体" w:cs="黑体"/>
                <w:bCs/>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352" w:type="dxa"/>
            <w:vAlign w:val="center"/>
            <w:textDirection w:val="lrTb"/>
            <w:noWrap w:val="false"/>
          </w:tcPr>
          <w:p>
            <w:pPr>
              <w:jc w:val="center"/>
              <w:rPr>
                <w:rFonts w:ascii="黑体" w:hAnsi="宋体" w:eastAsia="黑体" w:cs="黑体"/>
                <w:bCs/>
                <w:highlight w:val="none"/>
              </w:rPr>
            </w:pPr>
            <w:r>
              <w:rPr>
                <w:rFonts w:ascii="黑体" w:hAnsi="宋体" w:eastAsia="黑体" w:cs="黑体"/>
                <w:bCs/>
                <w:highlight w:val="none"/>
              </w:rPr>
            </w:r>
            <w:r/>
          </w:p>
        </w:tc>
      </w:tr>
      <w:tr>
        <w:trPr>
          <w:trHeight w:val="660"/>
        </w:trPr>
        <w:tc>
          <w:tcPr>
            <w:gridSpan w:val="8"/>
            <w:tcBorders>
              <w:top w:val="none" w:color="000000" w:sz="4" w:space="0"/>
              <w:left w:val="single" w:color="000000" w:sz="8" w:space="0"/>
              <w:bottom w:val="single" w:color="000000" w:sz="8" w:space="0"/>
              <w:right w:val="single" w:color="000000" w:sz="8" w:space="0"/>
            </w:tcBorders>
            <w:tcMar>
              <w:left w:w="15" w:type="dxa"/>
              <w:top w:w="15" w:type="dxa"/>
              <w:right w:w="15" w:type="dxa"/>
            </w:tcMar>
            <w:tcW w:w="9912" w:type="dxa"/>
            <w:vAlign w:val="center"/>
            <w:textDirection w:val="lrTb"/>
            <w:noWrap w:val="false"/>
          </w:tcPr>
          <w:p>
            <w:pPr>
              <w:widowControl/>
              <w:rPr>
                <w:rFonts w:ascii="宋体" w:hAnsi="宋体" w:cs="宋体"/>
                <w:bCs/>
                <w:highlight w:val="none"/>
              </w:rPr>
            </w:pPr>
            <w:r>
              <w:rPr>
                <w:rFonts w:hint="eastAsia" w:ascii="宋体" w:hAnsi="宋体" w:cs="宋体"/>
                <w:bCs/>
                <w:highlight w:val="none"/>
              </w:rPr>
              <w:t xml:space="preserve">服务期： </w:t>
            </w:r>
            <w:r/>
          </w:p>
        </w:tc>
      </w:tr>
      <w:tr>
        <w:trPr>
          <w:trHeight w:val="915"/>
        </w:trPr>
        <w:tc>
          <w:tcPr>
            <w:gridSpan w:val="8"/>
            <w:tcBorders>
              <w:top w:val="none" w:color="000000" w:sz="4" w:space="0"/>
              <w:left w:val="single" w:color="000000" w:sz="8" w:space="0"/>
              <w:bottom w:val="single" w:color="000000" w:sz="8" w:space="0"/>
              <w:right w:val="single" w:color="000000" w:sz="8" w:space="0"/>
            </w:tcBorders>
            <w:tcMar>
              <w:left w:w="15" w:type="dxa"/>
              <w:top w:w="15" w:type="dxa"/>
              <w:right w:w="15" w:type="dxa"/>
            </w:tcMar>
            <w:tcW w:w="9912" w:type="dxa"/>
            <w:vAlign w:val="center"/>
            <w:textDirection w:val="lrTb"/>
            <w:noWrap w:val="false"/>
          </w:tcPr>
          <w:p>
            <w:pPr>
              <w:widowControl/>
              <w:rPr>
                <w:rFonts w:ascii="宋体" w:hAnsi="宋体" w:cs="宋体"/>
                <w:bCs/>
                <w:highlight w:val="none"/>
              </w:rPr>
            </w:pPr>
            <w:r>
              <w:rPr>
                <w:rFonts w:hint="eastAsia" w:ascii="宋体" w:hAnsi="宋体" w:cs="宋体"/>
                <w:bCs/>
                <w:highlight w:val="none"/>
              </w:rPr>
              <w:t xml:space="preserve">总报价：大写：                                   小写：</w:t>
            </w:r>
            <w:r/>
          </w:p>
        </w:tc>
      </w:tr>
      <w:tr>
        <w:trPr>
          <w:trHeight w:val="315"/>
        </w:trPr>
        <w:tc>
          <w:tcPr>
            <w:gridSpan w:val="2"/>
            <w:tcBorders>
              <w:top w:val="none" w:color="000000" w:sz="4" w:space="0"/>
              <w:left w:val="single" w:color="000000" w:sz="8" w:space="0"/>
              <w:right w:val="single" w:color="000000" w:sz="8" w:space="0"/>
            </w:tcBorders>
            <w:tcMar>
              <w:left w:w="15" w:type="dxa"/>
              <w:top w:w="15" w:type="dxa"/>
              <w:right w:w="15" w:type="dxa"/>
            </w:tcMar>
            <w:tcW w:w="822" w:type="dxa"/>
            <w:vAlign w:val="center"/>
            <w:vMerge w:val="restart"/>
            <w:textDirection w:val="lrTb"/>
            <w:noWrap w:val="false"/>
          </w:tcPr>
          <w:p>
            <w:pPr>
              <w:jc w:val="center"/>
              <w:widowControl/>
              <w:rPr>
                <w:rFonts w:ascii="宋体" w:hAnsi="宋体" w:cs="宋体"/>
                <w:bCs/>
                <w:highlight w:val="none"/>
              </w:rPr>
            </w:pPr>
            <w:r>
              <w:rPr>
                <w:rFonts w:hint="eastAsia" w:ascii="宋体" w:hAnsi="宋体" w:cs="宋体"/>
                <w:bCs/>
                <w:highlight w:val="none"/>
              </w:rPr>
              <w:t xml:space="preserve">服</w:t>
            </w:r>
            <w:r>
              <w:rPr>
                <w:rFonts w:hint="eastAsia" w:ascii="宋体" w:hAnsi="宋体" w:cs="宋体"/>
                <w:bCs/>
                <w:highlight w:val="none"/>
              </w:rPr>
              <w:br/>
            </w:r>
            <w:r>
              <w:rPr>
                <w:rFonts w:hint="eastAsia" w:ascii="宋体" w:hAnsi="宋体" w:cs="宋体"/>
                <w:bCs/>
                <w:highlight w:val="none"/>
              </w:rPr>
              <w:t xml:space="preserve">务</w:t>
            </w:r>
            <w:r>
              <w:rPr>
                <w:rFonts w:hint="eastAsia" w:ascii="宋体" w:hAnsi="宋体" w:cs="宋体"/>
                <w:bCs/>
                <w:highlight w:val="none"/>
              </w:rPr>
              <w:br/>
            </w:r>
            <w:r>
              <w:rPr>
                <w:rFonts w:hint="eastAsia" w:ascii="宋体" w:hAnsi="宋体" w:cs="宋体"/>
                <w:bCs/>
                <w:highlight w:val="none"/>
              </w:rPr>
              <w:t xml:space="preserve">承</w:t>
            </w:r>
            <w:r>
              <w:rPr>
                <w:rFonts w:hint="eastAsia" w:ascii="宋体" w:hAnsi="宋体" w:cs="宋体"/>
                <w:bCs/>
                <w:highlight w:val="none"/>
              </w:rPr>
              <w:br/>
            </w:r>
            <w:r>
              <w:rPr>
                <w:rFonts w:hint="eastAsia" w:ascii="宋体" w:hAnsi="宋体" w:cs="宋体"/>
                <w:bCs/>
                <w:highlight w:val="none"/>
              </w:rPr>
              <w:t xml:space="preserve">诺</w:t>
            </w:r>
            <w:r/>
          </w:p>
        </w:tc>
        <w:tc>
          <w:tcPr>
            <w:gridSpan w:val="6"/>
            <w:tcBorders>
              <w:top w:val="single" w:color="000000" w:sz="8" w:space="0"/>
              <w:left w:val="none" w:color="000000" w:sz="4" w:space="0"/>
              <w:bottom w:val="single" w:color="000000" w:sz="8" w:space="0"/>
              <w:right w:val="single" w:color="000000" w:sz="8" w:space="0"/>
            </w:tcBorders>
            <w:tcMar>
              <w:left w:w="15" w:type="dxa"/>
              <w:top w:w="15" w:type="dxa"/>
              <w:right w:w="15" w:type="dxa"/>
            </w:tcMar>
            <w:tcW w:w="9090" w:type="dxa"/>
            <w:vAlign w:val="center"/>
            <w:textDirection w:val="lrTb"/>
            <w:noWrap w:val="false"/>
          </w:tcPr>
          <w:p>
            <w:pPr>
              <w:jc w:val="left"/>
              <w:widowControl/>
              <w:rPr>
                <w:rFonts w:ascii="宋体" w:hAnsi="宋体" w:cs="宋体"/>
                <w:bCs/>
                <w:highlight w:val="none"/>
              </w:rPr>
            </w:pPr>
            <w:r>
              <w:rPr>
                <w:rFonts w:hint="eastAsia" w:ascii="宋体" w:hAnsi="宋体" w:cs="宋体"/>
                <w:bCs/>
                <w:highlight w:val="none"/>
              </w:rPr>
              <w:t xml:space="preserve">1. 质量 2.安装 3.</w:t>
            </w:r>
            <w:r>
              <w:rPr>
                <w:rFonts w:hint="eastAsia" w:ascii="宋体" w:hAnsi="宋体" w:cs="宋体"/>
                <w:bCs/>
                <w:highlight w:val="none"/>
                <w:lang w:eastAsia="zh-CN"/>
              </w:rPr>
              <w:t xml:space="preserve">“</w:t>
            </w:r>
            <w:r>
              <w:rPr>
                <w:rFonts w:hint="eastAsia" w:ascii="宋体" w:hAnsi="宋体" w:cs="宋体"/>
                <w:bCs/>
                <w:highlight w:val="none"/>
              </w:rPr>
              <w:t xml:space="preserve">三包</w:t>
            </w:r>
            <w:r>
              <w:rPr>
                <w:rFonts w:hint="eastAsia" w:ascii="宋体" w:hAnsi="宋体" w:cs="宋体"/>
                <w:bCs/>
                <w:highlight w:val="none"/>
                <w:lang w:eastAsia="zh-CN"/>
              </w:rPr>
              <w:t xml:space="preserve">”（</w:t>
            </w:r>
            <w:r>
              <w:rPr>
                <w:rFonts w:hint="eastAsia" w:ascii="宋体" w:hAnsi="宋体" w:cs="宋体"/>
                <w:bCs/>
                <w:highlight w:val="none"/>
              </w:rPr>
              <w:t xml:space="preserve">包修、包退、包换</w:t>
            </w:r>
            <w:r>
              <w:rPr>
                <w:rFonts w:hint="eastAsia" w:ascii="宋体" w:hAnsi="宋体" w:cs="宋体"/>
                <w:bCs/>
                <w:highlight w:val="none"/>
                <w:lang w:eastAsia="zh-CN"/>
              </w:rPr>
              <w:t xml:space="preserve">）</w:t>
            </w:r>
            <w:r>
              <w:rPr>
                <w:rFonts w:hint="eastAsia" w:ascii="宋体" w:hAnsi="宋体" w:cs="宋体"/>
                <w:bCs/>
                <w:highlight w:val="none"/>
              </w:rPr>
              <w:t xml:space="preserve">4.其他承诺</w:t>
            </w:r>
            <w:r>
              <w:rPr>
                <w:rFonts w:hint="eastAsia" w:ascii="宋体" w:hAnsi="宋体" w:cs="宋体"/>
                <w:bCs/>
                <w:highlight w:val="none"/>
              </w:rPr>
              <w:br/>
            </w:r>
            <w:r>
              <w:rPr>
                <w:rFonts w:hint="eastAsia" w:ascii="宋体" w:hAnsi="宋体" w:cs="宋体"/>
                <w:bCs/>
                <w:highlight w:val="none"/>
              </w:rPr>
              <w:t xml:space="preserve">（以上是主要承诺，供报价供应商参考，报价供应商应在满足招标文件要求的基础上，根据自己单位的情况作出具体承诺）</w:t>
            </w:r>
            <w:r/>
          </w:p>
        </w:tc>
      </w:tr>
      <w:tr>
        <w:trPr>
          <w:trHeight w:val="1525"/>
        </w:trPr>
        <w:tc>
          <w:tcPr>
            <w:gridSpan w:val="2"/>
            <w:tcBorders>
              <w:left w:val="single" w:color="000000" w:sz="8" w:space="0"/>
              <w:bottom w:val="single" w:color="000000" w:sz="8" w:space="0"/>
              <w:right w:val="single" w:color="000000" w:sz="8" w:space="0"/>
            </w:tcBorders>
            <w:tcMar>
              <w:left w:w="15" w:type="dxa"/>
              <w:top w:w="15" w:type="dxa"/>
              <w:right w:w="15" w:type="dxa"/>
            </w:tcMar>
            <w:tcW w:w="822" w:type="dxa"/>
            <w:vAlign w:val="center"/>
            <w:vMerge w:val="continue"/>
            <w:textDirection w:val="lrTb"/>
            <w:noWrap w:val="false"/>
          </w:tcPr>
          <w:p>
            <w:pPr>
              <w:rPr>
                <w:rFonts w:ascii="宋体" w:hAnsi="宋体" w:cs="宋体"/>
                <w:bCs/>
                <w:highlight w:val="none"/>
              </w:rPr>
            </w:pPr>
            <w:r>
              <w:rPr>
                <w:rFonts w:ascii="宋体" w:hAnsi="宋体" w:cs="宋体"/>
                <w:bCs/>
                <w:highlight w:val="none"/>
              </w:rPr>
            </w:r>
            <w:r/>
          </w:p>
        </w:tc>
        <w:tc>
          <w:tcPr>
            <w:gridSpan w:val="6"/>
            <w:tcBorders>
              <w:top w:val="single" w:color="000000" w:sz="8" w:space="0"/>
              <w:left w:val="none" w:color="000000" w:sz="4" w:space="0"/>
              <w:bottom w:val="single" w:color="000000" w:sz="8" w:space="0"/>
              <w:right w:val="single" w:color="000000" w:sz="8" w:space="0"/>
            </w:tcBorders>
            <w:tcMar>
              <w:left w:w="15" w:type="dxa"/>
              <w:top w:w="15" w:type="dxa"/>
              <w:right w:w="15" w:type="dxa"/>
            </w:tcMar>
            <w:tcW w:w="9090" w:type="dxa"/>
            <w:vAlign w:val="center"/>
            <w:textDirection w:val="lrTb"/>
            <w:noWrap w:val="false"/>
          </w:tcPr>
          <w:p>
            <w:pPr>
              <w:rPr>
                <w:bCs/>
                <w:highlight w:val="none"/>
              </w:rPr>
            </w:pPr>
            <w:r>
              <w:rPr>
                <w:bCs/>
                <w:highlight w:val="none"/>
              </w:rPr>
            </w:r>
            <w:r/>
          </w:p>
        </w:tc>
      </w:tr>
    </w:tbl>
    <w:p>
      <w:pPr>
        <w:spacing w:line="400" w:lineRule="exact"/>
        <w:rPr>
          <w:rFonts w:hint="default" w:ascii="黑体" w:eastAsia="黑体"/>
          <w:bCs/>
          <w:color w:val="000000"/>
          <w:sz w:val="24"/>
          <w:szCs w:val="24"/>
          <w:highlight w:val="none"/>
          <w:lang w:val="en-US" w:eastAsia="zh-CN"/>
        </w:rPr>
      </w:pPr>
      <w:r>
        <w:rPr>
          <w:rFonts w:hint="eastAsia" w:ascii="黑体" w:eastAsia="黑体"/>
          <w:bCs/>
          <w:color w:val="000000"/>
          <w:sz w:val="24"/>
          <w:szCs w:val="24"/>
          <w:highlight w:val="none"/>
          <w:lang w:val="en-US" w:eastAsia="zh-CN"/>
        </w:rPr>
        <w:t xml:space="preserve">标段编号：</w:t>
      </w:r>
      <w:r/>
    </w:p>
    <w:p>
      <w:pPr>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pStyle w:val="1098"/>
        <w:ind w:firstLine="0"/>
        <w:rPr>
          <w:rFonts w:ascii="Tahoma" w:hAnsi="Tahoma"/>
          <w:sz w:val="24"/>
          <w:highlight w:val="none"/>
          <w:lang w:val="en-US"/>
        </w:rPr>
      </w:pPr>
      <w:r>
        <w:rPr>
          <w:rFonts w:ascii="Tahoma" w:hAnsi="Tahoma"/>
          <w:sz w:val="24"/>
          <w:highlight w:val="none"/>
          <w:lang w:val="en-US"/>
        </w:rPr>
      </w:r>
      <w:r/>
    </w:p>
    <w:p>
      <w:pPr>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上述报价表由投标单位参照，不限于此，可根据采购需求自行添加条目进行投报。</w:t>
      </w:r>
      <w:r/>
    </w:p>
    <w:p>
      <w:pPr>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eastAsia="zh-CN"/>
        </w:rPr>
        <w:t xml:space="preserve">人为</w:t>
      </w:r>
      <w:r>
        <w:rPr>
          <w:rFonts w:hint="eastAsia" w:ascii="宋体" w:hAnsi="宋体"/>
          <w:bCs/>
          <w:color w:val="000000"/>
          <w:sz w:val="24"/>
          <w:szCs w:val="24"/>
          <w:highlight w:val="none"/>
        </w:rPr>
        <w:t xml:space="preserve">本项目提供的服务全部由符合政策要求的中小企业承接的，须提供按格式填写的《中小企业声明函》（服务）；或提供由省级以上监狱管理局、戒毒管理局</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含新疆生产建设兵团</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代理机构有权将相关内容进行公示；</w:t>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360" w:lineRule="auto"/>
        <w:rPr>
          <w:rFonts w:hint="eastAsia"/>
          <w:b/>
          <w:color w:val="000000"/>
          <w:sz w:val="28"/>
          <w:szCs w:val="28"/>
          <w:highlight w:val="none"/>
        </w:rPr>
      </w:pPr>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val="en-US" w:eastAsia="zh-CN"/>
        </w:rPr>
        <w:t xml:space="preserve"> </w:t>
      </w:r>
      <w:r/>
    </w:p>
    <w:p>
      <w:pPr>
        <w:pStyle w:val="833"/>
        <w:ind w:left="0" w:firstLine="0"/>
        <w:rPr>
          <w:rFonts w:hint="default"/>
          <w:highlight w:val="none"/>
          <w:lang w:val="en-US" w:eastAsia="zh-CN"/>
        </w:rPr>
      </w:pPr>
      <w:r>
        <w:rPr>
          <w:rFonts w:hint="eastAsia" w:ascii="黑体" w:eastAsia="黑体"/>
          <w:bCs/>
          <w:color w:val="000000"/>
          <w:sz w:val="24"/>
          <w:szCs w:val="24"/>
          <w:highlight w:val="none"/>
          <w:lang w:val="en-US" w:eastAsia="zh-CN"/>
        </w:rPr>
        <w:t xml:space="preserve">标段编号：</w:t>
      </w:r>
      <w:r/>
    </w:p>
    <w:tbl>
      <w:tblPr>
        <w:tblStyle w:val="800"/>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rPr>
          <w:rFonts w:hint="eastAsia" w:ascii="宋体" w:hAnsi="宋体"/>
          <w:bCs/>
          <w:i/>
          <w:color w:val="000000"/>
          <w:sz w:val="24"/>
          <w:szCs w:val="24"/>
          <w:highlight w:val="none"/>
        </w:rPr>
        <w:outlineLvl w:val="0"/>
      </w:pPr>
      <w:r>
        <w:rPr>
          <w:rFonts w:hint="eastAsia" w:ascii="宋体" w:hAnsi="宋体"/>
          <w:bCs/>
          <w:i/>
          <w:color w:val="000000"/>
          <w:sz w:val="24"/>
          <w:szCs w:val="24"/>
          <w:highlight w:val="none"/>
        </w:rPr>
      </w:r>
      <w:r/>
    </w:p>
    <w:p>
      <w:pPr>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p>
    <w:p>
      <w:pPr>
        <w:ind w:firstLine="420"/>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）如无任何服务偏离，请于本表 “偏离说明”中注明“无偏离”；</w:t>
      </w:r>
      <w:r/>
    </w:p>
    <w:p>
      <w:pPr>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   （3）如有服务偏离项，请于本表中列明偏离内容，如需要可自行延长，其余无偏离内容不须赘述。</w:t>
      </w:r>
      <w:r/>
    </w:p>
    <w:p>
      <w:pPr>
        <w:ind w:firstLine="420"/>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十一、项目管理机构配备情况表（格式）</w:t>
      </w:r>
      <w:r/>
    </w:p>
    <w:p>
      <w:pPr>
        <w:ind w:firstLine="42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90"/>
        <w:jc w:val="center"/>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项目管理机构配备情况表</w:t>
      </w:r>
      <w:r/>
    </w:p>
    <w:p>
      <w:pPr>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ind w:firstLine="480"/>
        <w:rPr>
          <w:rFonts w:hint="eastAsia" w:ascii="黑体" w:eastAsia="黑体"/>
          <w:bCs/>
          <w:color w:val="000000"/>
          <w:sz w:val="24"/>
          <w:szCs w:val="24"/>
          <w:highlight w:val="none"/>
          <w:lang w:val="en-US"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val="en-US" w:eastAsia="zh-CN"/>
        </w:rPr>
        <w:t xml:space="preserve"> </w:t>
      </w:r>
      <w:r/>
    </w:p>
    <w:p>
      <w:pPr>
        <w:ind w:firstLine="480"/>
        <w:rPr>
          <w:rFonts w:hint="default" w:ascii="黑体" w:eastAsia="黑体"/>
          <w:bCs/>
          <w:color w:val="000000"/>
          <w:sz w:val="24"/>
          <w:szCs w:val="24"/>
          <w:highlight w:val="none"/>
          <w:lang w:val="en-US" w:eastAsia="zh-CN"/>
        </w:rPr>
      </w:pPr>
      <w:r>
        <w:rPr>
          <w:rFonts w:hint="eastAsia" w:ascii="黑体" w:eastAsia="黑体"/>
          <w:bCs/>
          <w:color w:val="000000"/>
          <w:sz w:val="24"/>
          <w:szCs w:val="24"/>
          <w:highlight w:val="none"/>
          <w:lang w:val="en-US" w:eastAsia="zh-CN"/>
        </w:rPr>
        <w:t xml:space="preserve">标段编号： </w:t>
      </w:r>
      <w:r/>
    </w:p>
    <w:tbl>
      <w:tblPr>
        <w:tblStyle w:val="800"/>
        <w:tblW w:w="96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1388"/>
      </w:tblGrid>
      <w:tr>
        <w:trPr>
          <w:jc w:val="center"/>
          <w:trHeight w:val="865"/>
        </w:trPr>
        <w:tc>
          <w:tcPr>
            <w:tcW w:w="743" w:type="dxa"/>
            <w:vAlign w:val="center"/>
            <w:textDirection w:val="lrTb"/>
            <w:noWrap w:val="false"/>
          </w:tcPr>
          <w:p>
            <w:pPr>
              <w:jc w:val="center"/>
              <w:rPr>
                <w:b/>
                <w:color w:val="000000"/>
                <w:sz w:val="24"/>
                <w:highlight w:val="none"/>
              </w:rPr>
            </w:pPr>
            <w:r>
              <w:rPr>
                <w:rFonts w:hint="eastAsia"/>
                <w:b/>
                <w:color w:val="000000"/>
                <w:sz w:val="24"/>
                <w:highlight w:val="none"/>
              </w:rPr>
              <w:t xml:space="preserve">序号</w:t>
            </w:r>
            <w:r/>
          </w:p>
        </w:tc>
        <w:tc>
          <w:tcPr>
            <w:tcW w:w="1050" w:type="dxa"/>
            <w:vAlign w:val="center"/>
            <w:textDirection w:val="lrTb"/>
            <w:noWrap w:val="false"/>
          </w:tcPr>
          <w:p>
            <w:pPr>
              <w:jc w:val="center"/>
              <w:rPr>
                <w:b/>
                <w:color w:val="000000"/>
                <w:sz w:val="24"/>
                <w:highlight w:val="none"/>
              </w:rPr>
            </w:pPr>
            <w:r>
              <w:rPr>
                <w:rFonts w:hint="eastAsia"/>
                <w:b/>
                <w:color w:val="000000"/>
                <w:sz w:val="24"/>
                <w:highlight w:val="none"/>
              </w:rPr>
              <w:t xml:space="preserve">姓名</w:t>
            </w:r>
            <w:r/>
          </w:p>
        </w:tc>
        <w:tc>
          <w:tcPr>
            <w:tcW w:w="723" w:type="dxa"/>
            <w:vAlign w:val="center"/>
            <w:textDirection w:val="lrTb"/>
            <w:noWrap w:val="false"/>
          </w:tcPr>
          <w:p>
            <w:pPr>
              <w:jc w:val="center"/>
              <w:rPr>
                <w:rFonts w:hint="eastAsia"/>
                <w:b/>
                <w:color w:val="000000"/>
                <w:sz w:val="24"/>
                <w:highlight w:val="none"/>
              </w:rPr>
            </w:pPr>
            <w:r>
              <w:rPr>
                <w:rFonts w:hint="eastAsia"/>
                <w:b/>
                <w:color w:val="000000"/>
                <w:sz w:val="24"/>
                <w:highlight w:val="none"/>
              </w:rPr>
              <w:t xml:space="preserve">性别</w:t>
            </w:r>
            <w:r/>
          </w:p>
        </w:tc>
        <w:tc>
          <w:tcPr>
            <w:tcW w:w="690" w:type="dxa"/>
            <w:vAlign w:val="center"/>
            <w:textDirection w:val="lrTb"/>
            <w:noWrap w:val="false"/>
          </w:tcPr>
          <w:p>
            <w:pPr>
              <w:jc w:val="center"/>
              <w:rPr>
                <w:b/>
                <w:color w:val="000000"/>
                <w:sz w:val="24"/>
                <w:highlight w:val="none"/>
              </w:rPr>
            </w:pPr>
            <w:r>
              <w:rPr>
                <w:rFonts w:hint="eastAsia"/>
                <w:b/>
                <w:color w:val="000000"/>
                <w:sz w:val="24"/>
                <w:highlight w:val="none"/>
              </w:rPr>
              <w:t xml:space="preserve">年龄</w:t>
            </w:r>
            <w:r/>
          </w:p>
        </w:tc>
        <w:tc>
          <w:tcPr>
            <w:tcW w:w="806" w:type="dxa"/>
            <w:vAlign w:val="center"/>
            <w:textDirection w:val="lrTb"/>
            <w:noWrap w:val="false"/>
          </w:tcPr>
          <w:p>
            <w:pPr>
              <w:jc w:val="center"/>
              <w:rPr>
                <w:rFonts w:hint="eastAsia"/>
                <w:b/>
                <w:color w:val="000000"/>
                <w:sz w:val="24"/>
                <w:highlight w:val="none"/>
              </w:rPr>
            </w:pPr>
            <w:r>
              <w:rPr>
                <w:rFonts w:hint="eastAsia"/>
                <w:b/>
                <w:color w:val="000000"/>
                <w:sz w:val="24"/>
                <w:highlight w:val="none"/>
              </w:rPr>
              <w:t xml:space="preserve">学历</w:t>
            </w:r>
            <w:r/>
          </w:p>
        </w:tc>
        <w:tc>
          <w:tcPr>
            <w:tcW w:w="1233" w:type="dxa"/>
            <w:vAlign w:val="center"/>
            <w:textDirection w:val="lrTb"/>
            <w:noWrap w:val="false"/>
          </w:tcPr>
          <w:p>
            <w:pPr>
              <w:jc w:val="center"/>
              <w:rPr>
                <w:b/>
                <w:color w:val="000000"/>
                <w:sz w:val="24"/>
                <w:highlight w:val="none"/>
              </w:rPr>
            </w:pPr>
            <w:r>
              <w:rPr>
                <w:rFonts w:hint="eastAsia"/>
                <w:b/>
                <w:color w:val="000000"/>
                <w:sz w:val="24"/>
                <w:highlight w:val="none"/>
              </w:rPr>
              <w:t xml:space="preserve">岗位职责</w:t>
            </w:r>
            <w:r/>
          </w:p>
        </w:tc>
        <w:tc>
          <w:tcPr>
            <w:tcW w:w="1223" w:type="dxa"/>
            <w:vAlign w:val="center"/>
            <w:textDirection w:val="lrTb"/>
            <w:noWrap w:val="false"/>
          </w:tcPr>
          <w:p>
            <w:pPr>
              <w:jc w:val="center"/>
              <w:rPr>
                <w:b/>
                <w:color w:val="000000"/>
                <w:sz w:val="24"/>
                <w:highlight w:val="none"/>
              </w:rPr>
            </w:pPr>
            <w:r>
              <w:rPr>
                <w:rFonts w:hint="eastAsia"/>
                <w:b/>
                <w:color w:val="000000"/>
                <w:sz w:val="24"/>
                <w:highlight w:val="none"/>
              </w:rPr>
              <w:t xml:space="preserve">人员证书名称</w:t>
            </w:r>
            <w:r/>
          </w:p>
        </w:tc>
        <w:tc>
          <w:tcPr>
            <w:tcW w:w="1749" w:type="dxa"/>
            <w:vAlign w:val="center"/>
            <w:textDirection w:val="lrTb"/>
            <w:noWrap w:val="false"/>
          </w:tcPr>
          <w:p>
            <w:pPr>
              <w:jc w:val="center"/>
              <w:rPr>
                <w:rFonts w:hint="eastAsia"/>
                <w:b/>
                <w:color w:val="000000"/>
                <w:sz w:val="24"/>
                <w:highlight w:val="none"/>
              </w:rPr>
            </w:pPr>
            <w:r>
              <w:rPr>
                <w:rFonts w:hint="eastAsia"/>
                <w:b/>
                <w:color w:val="000000"/>
                <w:sz w:val="24"/>
                <w:highlight w:val="none"/>
              </w:rPr>
              <w:t xml:space="preserve">人员经验描述</w:t>
            </w:r>
            <w:r/>
          </w:p>
          <w:p>
            <w:pPr>
              <w:jc w:val="center"/>
              <w:rPr>
                <w:rFonts w:hint="eastAsia"/>
                <w:b/>
                <w:color w:val="000000"/>
                <w:sz w:val="24"/>
                <w:highlight w:val="none"/>
              </w:rPr>
            </w:pPr>
            <w:r>
              <w:rPr>
                <w:rFonts w:hint="eastAsia"/>
                <w:b/>
                <w:color w:val="000000"/>
                <w:sz w:val="24"/>
                <w:highlight w:val="none"/>
              </w:rPr>
              <w:t xml:space="preserve">（如有要求）</w:t>
            </w:r>
            <w:r/>
          </w:p>
        </w:tc>
        <w:tc>
          <w:tcPr>
            <w:tcW w:w="1388" w:type="dxa"/>
            <w:vAlign w:val="center"/>
            <w:textDirection w:val="lrTb"/>
            <w:noWrap w:val="false"/>
          </w:tcPr>
          <w:p>
            <w:pPr>
              <w:jc w:val="center"/>
              <w:rPr>
                <w:rFonts w:hint="eastAsia"/>
                <w:b/>
                <w:color w:val="000000"/>
                <w:sz w:val="24"/>
                <w:highlight w:val="none"/>
              </w:rPr>
            </w:pPr>
            <w:r>
              <w:rPr>
                <w:rFonts w:hint="eastAsia"/>
                <w:b/>
                <w:color w:val="000000"/>
                <w:sz w:val="24"/>
                <w:highlight w:val="none"/>
              </w:rPr>
              <w:t xml:space="preserve">备注</w:t>
            </w:r>
            <w:r/>
          </w:p>
        </w:tc>
      </w:tr>
      <w:tr>
        <w:trPr>
          <w:jc w:val="center"/>
          <w:trHeight w:val="680"/>
        </w:trPr>
        <w:tc>
          <w:tcPr>
            <w:tcW w:w="743"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5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69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06" w:type="dxa"/>
            <w:vAlign w:val="center"/>
            <w:textDirection w:val="lrTb"/>
            <w:noWrap w:val="false"/>
          </w:tcPr>
          <w:p>
            <w:pPr>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49"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388"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5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69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06" w:type="dxa"/>
            <w:vAlign w:val="center"/>
            <w:textDirection w:val="lrTb"/>
            <w:noWrap w:val="false"/>
          </w:tcPr>
          <w:p>
            <w:pPr>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49"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388"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5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69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06" w:type="dxa"/>
            <w:vAlign w:val="center"/>
            <w:textDirection w:val="lrTb"/>
            <w:noWrap w:val="false"/>
          </w:tcPr>
          <w:p>
            <w:pPr>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p>
        </w:tc>
        <w:tc>
          <w:tcPr>
            <w:tcW w:w="12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49"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388"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5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69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06"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49"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388"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5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69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06"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49"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388"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rPr>
          <w:rFonts w:hint="eastAsia" w:ascii="宋体" w:hAnsi="宋体"/>
          <w:bCs/>
          <w:color w:val="000000"/>
          <w:highlight w:val="none"/>
        </w:rPr>
      </w:pPr>
      <w:r>
        <w:rPr>
          <w:rFonts w:hint="eastAsia" w:ascii="宋体" w:hAnsi="宋体"/>
          <w:bCs/>
          <w:color w:val="000000"/>
          <w:highlight w:val="none"/>
        </w:rPr>
      </w:r>
      <w:r/>
    </w:p>
    <w:p>
      <w:pPr>
        <w:rPr>
          <w:rFonts w:ascii="宋体" w:hAnsi="宋体"/>
          <w:bCs/>
          <w:color w:val="000000"/>
          <w:highlight w:val="none"/>
        </w:rPr>
      </w:pPr>
      <w:r>
        <w:rPr>
          <w:rFonts w:hint="eastAsia" w:ascii="宋体" w:hAnsi="宋体"/>
          <w:bCs/>
          <w:color w:val="000000"/>
          <w:highlight w:val="none"/>
        </w:rPr>
        <w:t xml:space="preserve">注：1. 本表对应评分标准中的项目人员配置情况，表格不够可自行延长。</w:t>
      </w:r>
      <w:r/>
    </w:p>
    <w:p>
      <w:pPr>
        <w:rPr>
          <w:rFonts w:hint="eastAsia" w:ascii="宋体" w:hAnsi="宋体" w:eastAsia="宋体"/>
          <w:bCs/>
          <w:color w:val="000000"/>
          <w:highlight w:val="none"/>
          <w:lang w:eastAsia="zh-CN"/>
        </w:rPr>
      </w:pPr>
      <w:r>
        <w:rPr>
          <w:rFonts w:hint="eastAsia" w:ascii="宋体" w:hAnsi="宋体"/>
          <w:bCs/>
          <w:color w:val="000000"/>
          <w:highlight w:val="none"/>
        </w:rPr>
        <w:t xml:space="preserve">2.上表内容须按评分标准中的相关要求提供相应证明材料</w:t>
      </w:r>
      <w:r>
        <w:rPr>
          <w:rFonts w:hint="eastAsia" w:ascii="宋体" w:hAnsi="宋体"/>
          <w:bCs/>
          <w:color w:val="000000"/>
          <w:highlight w:val="none"/>
          <w:lang w:eastAsia="zh-CN"/>
        </w:rPr>
        <w:t xml:space="preserve">。</w:t>
      </w:r>
      <w:r/>
    </w:p>
    <w:p>
      <w:pPr>
        <w:rPr>
          <w:rFonts w:hint="eastAsia" w:ascii="宋体" w:hAnsi="宋体"/>
          <w:bCs/>
          <w:sz w:val="24"/>
          <w:szCs w:val="24"/>
          <w:highlight w:val="none"/>
        </w:rPr>
      </w:pPr>
      <w:r>
        <w:rPr>
          <w:rFonts w:hint="eastAsia" w:ascii="宋体" w:hAnsi="宋体"/>
          <w:bCs/>
          <w:color w:val="000000"/>
          <w:highlight w:val="none"/>
        </w:rPr>
        <w:t xml:space="preserve">3.证明材料均请附在本表之后。</w:t>
      </w:r>
      <w:r/>
    </w:p>
    <w:p>
      <w:pPr>
        <w:pStyle w:val="808"/>
        <w:ind w:left="1470" w:right="1470"/>
        <w:rPr>
          <w:color w:val="auto"/>
          <w:highlight w:val="none"/>
        </w:rPr>
      </w:pPr>
      <w:r>
        <w:rPr>
          <w:color w:val="auto"/>
          <w:highlight w:val="none"/>
        </w:rPr>
      </w:r>
      <w:r/>
    </w:p>
    <w:p>
      <w:pPr>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bookmarkEnd w:id="188"/>
      <w:r/>
      <w:bookmarkEnd w:id="189"/>
      <w:r/>
      <w:bookmarkEnd w:id="190"/>
      <w:r/>
      <w:bookmarkEnd w:id="191"/>
      <w:r/>
      <w:bookmarkEnd w:id="193"/>
      <w:r/>
      <w:r/>
    </w:p>
    <w:p>
      <w:pPr>
        <w:rPr>
          <w:rFonts w:hint="eastAsia"/>
          <w:b/>
          <w:color w:val="000000"/>
          <w:sz w:val="28"/>
          <w:szCs w:val="28"/>
          <w:highlight w:val="none"/>
        </w:rPr>
      </w:pPr>
      <w:r>
        <w:rPr>
          <w:rFonts w:hint="eastAsia"/>
          <w:b/>
          <w:color w:val="000000"/>
          <w:sz w:val="28"/>
          <w:szCs w:val="28"/>
          <w:highlight w:val="none"/>
        </w:rPr>
      </w:r>
      <w:r/>
    </w:p>
    <w:sectPr>
      <w:headerReference w:type="default" r:id="rId10"/>
      <w:footerReference w:type="default" r:id="rId12"/>
      <w:footerReference w:type="first"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Cambria">
    <w:panose1 w:val="0204050305040603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Times New Roman" w:hAnsi="Times New Roman" w:eastAsia="宋体" w:cs="Times New Roman"/>
                              <w:sz w:val="18"/>
                              <w:szCs w:val="24"/>
                            </w:rPr>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PAGE  \* MERGEFORMAT </w:instrText>
                          </w:r>
                          <w:r>
                            <w:rPr>
                              <w:rFonts w:ascii="Times New Roman" w:hAnsi="Times New Roman" w:eastAsia="宋体" w:cs="Times New Roman"/>
                              <w:szCs w:val="24"/>
                            </w:rPr>
                            <w:fldChar w:fldCharType="separate"/>
                          </w:r>
                          <w:r>
                            <w:rPr>
                              <w:rFonts w:ascii="Times New Roman" w:hAnsi="Times New Roman" w:eastAsia="宋体" w:cs="Times New Roman"/>
                              <w:sz w:val="18"/>
                              <w:szCs w:val="24"/>
                            </w:rPr>
                            <w:t xml:space="preserve">54</w:t>
                          </w:r>
                          <w:r>
                            <w:rPr>
                              <w:rFonts w:ascii="Times New Roman" w:hAnsi="Times New Roman" w:eastAsia="宋体" w:cs="Times New Roman"/>
                              <w:sz w:val="18"/>
                              <w:szCs w:val="24"/>
                            </w:rPr>
                            <w:fldChar w:fldCharType="end"/>
                          </w:r>
                          <w:r/>
                        </w:p>
                        <w:p>
                          <w:pPr>
                            <w:rPr>
                              <w:rFonts w:ascii="Times New Roman" w:hAnsi="Times New Roman" w:eastAsia="宋体" w:cs="Times New Roman"/>
                              <w:szCs w:val="24"/>
                            </w:rPr>
                          </w:pPr>
                          <w:r>
                            <w:rPr>
                              <w:rFonts w:ascii="Times New Roman" w:hAnsi="Times New Roman" w:eastAsia="宋体" w:cs="Times New Roman"/>
                              <w:szCs w:val="24"/>
                            </w:rPr>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Times New Roman" w:hAnsi="Times New Roman" w:eastAsia="宋体" w:cs="Times New Roman"/>
                        <w:sz w:val="18"/>
                        <w:szCs w:val="24"/>
                      </w:rPr>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PAGE  \* MERGEFORMAT </w:instrText>
                    </w:r>
                    <w:r>
                      <w:rPr>
                        <w:rFonts w:ascii="Times New Roman" w:hAnsi="Times New Roman" w:eastAsia="宋体" w:cs="Times New Roman"/>
                        <w:szCs w:val="24"/>
                      </w:rPr>
                      <w:fldChar w:fldCharType="separate"/>
                    </w:r>
                    <w:r>
                      <w:rPr>
                        <w:rFonts w:ascii="Times New Roman" w:hAnsi="Times New Roman" w:eastAsia="宋体" w:cs="Times New Roman"/>
                        <w:sz w:val="18"/>
                        <w:szCs w:val="24"/>
                      </w:rPr>
                      <w:t xml:space="preserve">54</w:t>
                    </w:r>
                    <w:r>
                      <w:rPr>
                        <w:rFonts w:ascii="Times New Roman" w:hAnsi="Times New Roman" w:eastAsia="宋体" w:cs="Times New Roman"/>
                        <w:sz w:val="18"/>
                        <w:szCs w:val="24"/>
                      </w:rPr>
                      <w:fldChar w:fldCharType="end"/>
                    </w:r>
                    <w:r/>
                  </w:p>
                  <w:p>
                    <w:pPr>
                      <w:rPr>
                        <w:rFonts w:ascii="Times New Roman" w:hAnsi="Times New Roman" w:eastAsia="宋体" w:cs="Times New Roman"/>
                        <w:szCs w:val="24"/>
                      </w:rPr>
                    </w:pPr>
                    <w:r>
                      <w:rPr>
                        <w:rFonts w:ascii="Times New Roman" w:hAnsi="Times New Roman" w:eastAsia="宋体" w:cs="Times New Roman"/>
                        <w:szCs w:val="24"/>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center"/>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1"/>
                            <w:rPr>
                              <w:rStyle w:val="1056"/>
                              <w:rFonts w:ascii="宋体" w:hAnsi="宋体"/>
                            </w:rPr>
                          </w:pPr>
                          <w:r>
                            <w:rPr>
                              <w:rFonts w:ascii="宋体" w:hAnsi="宋体"/>
                            </w:rPr>
                            <w:fldChar w:fldCharType="begin"/>
                          </w:r>
                          <w:r>
                            <w:rPr>
                              <w:rStyle w:val="1056"/>
                              <w:rFonts w:ascii="宋体" w:hAnsi="宋体"/>
                            </w:rPr>
                            <w:instrText xml:space="preserve">PAGE  </w:instrText>
                          </w:r>
                          <w:r>
                            <w:rPr>
                              <w:rFonts w:ascii="宋体" w:hAnsi="宋体"/>
                            </w:rPr>
                            <w:fldChar w:fldCharType="separate"/>
                          </w:r>
                          <w:r>
                            <w:rPr>
                              <w:rStyle w:val="1056"/>
                              <w:rFonts w:ascii="宋体" w:hAnsi="宋体"/>
                            </w:rPr>
                            <w:t xml:space="preserve">５９</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1"/>
                      <w:rPr>
                        <w:rStyle w:val="1056"/>
                        <w:rFonts w:ascii="宋体" w:hAnsi="宋体"/>
                      </w:rPr>
                    </w:pPr>
                    <w:r>
                      <w:rPr>
                        <w:rFonts w:ascii="宋体" w:hAnsi="宋体"/>
                      </w:rPr>
                      <w:fldChar w:fldCharType="begin"/>
                    </w:r>
                    <w:r>
                      <w:rPr>
                        <w:rStyle w:val="1056"/>
                        <w:rFonts w:ascii="宋体" w:hAnsi="宋体"/>
                      </w:rPr>
                      <w:instrText xml:space="preserve">PAGE  </w:instrText>
                    </w:r>
                    <w:r>
                      <w:rPr>
                        <w:rFonts w:ascii="宋体" w:hAnsi="宋体"/>
                      </w:rPr>
                      <w:fldChar w:fldCharType="separate"/>
                    </w:r>
                    <w:r>
                      <w:rPr>
                        <w:rStyle w:val="1056"/>
                        <w:rFonts w:ascii="宋体" w:hAnsi="宋体"/>
                      </w:rPr>
                      <w:t xml:space="preserve">５９</w:t>
                    </w:r>
                    <w:r>
                      <w:rPr>
                        <w:rFonts w:ascii="宋体" w:hAnsi="宋体"/>
                      </w:rPr>
                      <w:fldChar w:fldCharType="end"/>
                    </w:r>
                    <w:r/>
                  </w:p>
                </w:txbxContent>
              </v:textbox>
            </v:shape>
          </w:pict>
        </mc:Fallback>
      </mc:AlternateContent>
    </w:r>
    <w:r>
      <w:rPr>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both"/>
      <w:rPr>
        <w:rFonts w:ascii="宋体" w:hAnsi="宋体" w:cs="宋体"/>
        <w:szCs w:val="18"/>
      </w:rPr>
      <w:pBdr>
        <w:top w:val="none" w:color="000000" w:sz="0" w:space="0"/>
        <w:left w:val="none" w:color="000000" w:sz="0" w:space="0"/>
        <w:bottom w:val="none" w:color="000000" w:sz="0" w:space="1"/>
        <w:right w:val="none" w:color="000000" w:sz="0" w:space="0"/>
        <w:between w:val="none" w:color="000000" w:sz="0" w:space="0"/>
      </w:pBdr>
    </w:pPr>
    <w:r>
      <w:rPr>
        <w:rFonts w:ascii="宋体" w:hAnsi="宋体" w:cs="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7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960" w:hanging="48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1016"/>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91"/>
      <w:isLgl w:val="false"/>
      <w:suff w:val="nothing"/>
      <w:lvlText w:val=""/>
      <w:lvlJc w:val="left"/>
      <w:pPr>
        <w:ind w:left="0" w:firstLine="0"/>
      </w:pPr>
      <w:rPr>
        <w:rFonts w:hint="eastAsia"/>
      </w:rPr>
    </w:lvl>
    <w:lvl w:ilvl="6">
      <w:start w:val="1"/>
      <w:numFmt w:val="decimal"/>
      <w:pStyle w:val="992"/>
      <w:isLgl w:val="false"/>
      <w:suff w:val="nothing"/>
      <w:lvlText w:val=""/>
      <w:lvlJc w:val="left"/>
      <w:pPr>
        <w:ind w:left="0" w:firstLine="0"/>
      </w:pPr>
      <w:rPr>
        <w:rFonts w:hint="eastAsia"/>
      </w:rPr>
    </w:lvl>
    <w:lvl w:ilvl="7">
      <w:start w:val="1"/>
      <w:numFmt w:val="decimal"/>
      <w:pStyle w:val="993"/>
      <w:isLgl w:val="false"/>
      <w:suff w:val="nothing"/>
      <w:lvlText w:val=""/>
      <w:lvlJc w:val="left"/>
      <w:pPr>
        <w:ind w:left="0" w:firstLine="0"/>
      </w:pPr>
      <w:rPr>
        <w:rFonts w:hint="eastAsia"/>
      </w:rPr>
    </w:lvl>
    <w:lvl w:ilvl="8">
      <w:start w:val="1"/>
      <w:numFmt w:val="decimal"/>
      <w:pStyle w:val="994"/>
      <w:isLgl w:val="false"/>
      <w:suff w:val="nothing"/>
      <w:lvlText w:val=""/>
      <w:lvlJc w:val="left"/>
      <w:pPr>
        <w:ind w:left="0" w:firstLine="0"/>
      </w:pPr>
      <w:rPr>
        <w:rFonts w:hint="eastAsia"/>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07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8"/>
  </w:num>
  <w:num w:numId="2">
    <w:abstractNumId w:val="4"/>
  </w:num>
  <w:num w:numId="3">
    <w:abstractNumId w:val="12"/>
  </w:num>
  <w:num w:numId="4">
    <w:abstractNumId w:val="2"/>
  </w:num>
  <w:num w:numId="5">
    <w:abstractNumId w:val="1"/>
  </w:num>
  <w:num w:numId="6">
    <w:abstractNumId w:val="7"/>
  </w:num>
  <w:num w:numId="7">
    <w:abstractNumId w:val="0"/>
  </w:num>
  <w:num w:numId="8">
    <w:abstractNumId w:val="5"/>
  </w:num>
  <w:num w:numId="9">
    <w:abstractNumId w:val="9"/>
  </w:num>
  <w:num w:numId="10">
    <w:abstractNumId w:val="3"/>
  </w:num>
  <w:num w:numId="11">
    <w:abstractNumId w:val="11"/>
  </w:num>
  <w:num w:numId="12">
    <w:abstractNumId w:val="6"/>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default="1">
    <w:name w:val="Normal"/>
    <w:next w:val="801"/>
    <w:link w:val="106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90">
    <w:name w:val="Heading 1"/>
    <w:basedOn w:val="789"/>
    <w:next w:val="789"/>
    <w:link w:val="838"/>
    <w:uiPriority w:val="9"/>
    <w:qFormat/>
    <w:pPr>
      <w:keepLines/>
      <w:keepNext/>
      <w:spacing w:before="480" w:after="200"/>
      <w:outlineLvl w:val="0"/>
    </w:pPr>
    <w:rPr>
      <w:rFonts w:ascii="Arial" w:hAnsi="Arial" w:eastAsia="Arial" w:cs="Arial"/>
      <w:sz w:val="40"/>
      <w:szCs w:val="40"/>
    </w:rPr>
  </w:style>
  <w:style w:type="paragraph" w:styleId="791">
    <w:name w:val="Heading 2"/>
    <w:basedOn w:val="789"/>
    <w:next w:val="789"/>
    <w:link w:val="839"/>
    <w:uiPriority w:val="9"/>
    <w:unhideWhenUsed/>
    <w:qFormat/>
    <w:pPr>
      <w:keepLines/>
      <w:keepNext/>
      <w:spacing w:before="360" w:after="200"/>
      <w:outlineLvl w:val="1"/>
    </w:pPr>
    <w:rPr>
      <w:rFonts w:ascii="Arial" w:hAnsi="Arial" w:eastAsia="Arial" w:cs="Arial"/>
      <w:sz w:val="34"/>
    </w:rPr>
  </w:style>
  <w:style w:type="paragraph" w:styleId="792">
    <w:name w:val="Heading 3"/>
    <w:basedOn w:val="789"/>
    <w:next w:val="789"/>
    <w:link w:val="840"/>
    <w:uiPriority w:val="9"/>
    <w:unhideWhenUsed/>
    <w:qFormat/>
    <w:pPr>
      <w:keepLines/>
      <w:keepNext/>
      <w:spacing w:before="320" w:after="200"/>
      <w:outlineLvl w:val="2"/>
    </w:pPr>
    <w:rPr>
      <w:rFonts w:ascii="Arial" w:hAnsi="Arial" w:eastAsia="Arial" w:cs="Arial"/>
      <w:sz w:val="30"/>
      <w:szCs w:val="30"/>
    </w:rPr>
  </w:style>
  <w:style w:type="paragraph" w:styleId="793">
    <w:name w:val="Heading 4"/>
    <w:basedOn w:val="789"/>
    <w:next w:val="789"/>
    <w:link w:val="841"/>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789"/>
    <w:next w:val="789"/>
    <w:link w:val="842"/>
    <w:uiPriority w:val="9"/>
    <w:unhideWhenUsed/>
    <w:qFormat/>
    <w:pPr>
      <w:keepLines/>
      <w:keepNext/>
      <w:spacing w:before="320" w:after="200"/>
      <w:outlineLvl w:val="4"/>
    </w:pPr>
    <w:rPr>
      <w:rFonts w:ascii="Arial" w:hAnsi="Arial" w:eastAsia="Arial" w:cs="Arial"/>
      <w:b/>
      <w:bCs/>
      <w:sz w:val="24"/>
      <w:szCs w:val="24"/>
    </w:rPr>
  </w:style>
  <w:style w:type="paragraph" w:styleId="795">
    <w:name w:val="Heading 6"/>
    <w:basedOn w:val="789"/>
    <w:next w:val="789"/>
    <w:link w:val="843"/>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789"/>
    <w:next w:val="789"/>
    <w:link w:val="844"/>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789"/>
    <w:next w:val="789"/>
    <w:link w:val="845"/>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789"/>
    <w:next w:val="789"/>
    <w:link w:val="846"/>
    <w:uiPriority w:val="9"/>
    <w:unhideWhenUsed/>
    <w:qFormat/>
    <w:pPr>
      <w:keepLines/>
      <w:keepNext/>
      <w:spacing w:before="320" w:after="200"/>
      <w:outlineLvl w:val="8"/>
    </w:pPr>
    <w:rPr>
      <w:rFonts w:ascii="Arial" w:hAnsi="Arial" w:eastAsia="Arial" w:cs="Arial"/>
      <w:i/>
      <w:iCs/>
      <w:sz w:val="21"/>
      <w:szCs w:val="21"/>
    </w:rPr>
  </w:style>
  <w:style w:type="character" w:styleId="799" w:default="1">
    <w:name w:val="Default Paragraph Font"/>
    <w:uiPriority w:val="1"/>
    <w:semiHidden/>
    <w:unhideWhenUsed/>
    <w:qFormat/>
  </w:style>
  <w:style w:type="table" w:styleId="800" w:default="1">
    <w:name w:val="Normal Table"/>
    <w:uiPriority w:val="99"/>
    <w:semiHidden/>
    <w:unhideWhenUsed/>
    <w:qFormat/>
    <w:tblPr>
      <w:tblCellMar>
        <w:left w:w="108" w:type="dxa"/>
        <w:top w:w="0" w:type="dxa"/>
        <w:right w:w="108" w:type="dxa"/>
        <w:bottom w:w="0" w:type="dxa"/>
      </w:tblCellMar>
    </w:tblPr>
  </w:style>
  <w:style w:type="paragraph" w:styleId="801">
    <w:name w:val="Footer"/>
    <w:basedOn w:val="789"/>
    <w:link w:val="856"/>
    <w:uiPriority w:val="99"/>
    <w:unhideWhenUsed/>
    <w:qFormat/>
    <w:pPr>
      <w:spacing w:after="0" w:line="240" w:lineRule="auto"/>
      <w:tabs>
        <w:tab w:val="center" w:pos="7143" w:leader="none"/>
        <w:tab w:val="right" w:pos="14287" w:leader="none"/>
      </w:tabs>
    </w:pPr>
  </w:style>
  <w:style w:type="paragraph" w:styleId="802">
    <w:name w:val="toc 7"/>
    <w:basedOn w:val="789"/>
    <w:next w:val="789"/>
    <w:uiPriority w:val="39"/>
    <w:unhideWhenUsed/>
    <w:qFormat/>
    <w:pPr>
      <w:ind w:left="1701" w:right="0" w:firstLine="0"/>
      <w:spacing w:after="57"/>
    </w:pPr>
  </w:style>
  <w:style w:type="paragraph" w:styleId="803">
    <w:name w:val="Caption"/>
    <w:basedOn w:val="789"/>
    <w:next w:val="7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4">
    <w:name w:val="annotation text"/>
    <w:basedOn w:val="789"/>
    <w:uiPriority w:val="99"/>
    <w:semiHidden/>
    <w:unhideWhenUsed/>
    <w:qFormat/>
    <w:pPr>
      <w:jc w:val="left"/>
    </w:pPr>
  </w:style>
  <w:style w:type="paragraph" w:styleId="805">
    <w:name w:val="Body Text"/>
    <w:basedOn w:val="789"/>
    <w:uiPriority w:val="0"/>
    <w:semiHidden/>
    <w:qFormat/>
    <w:rPr>
      <w:rFonts w:ascii="宋体" w:hAnsi="宋体" w:eastAsia="宋体" w:cs="宋体"/>
      <w:sz w:val="25"/>
      <w:szCs w:val="25"/>
      <w:lang w:val="en-US" w:eastAsia="en-US" w:bidi="ar-SA"/>
    </w:rPr>
  </w:style>
  <w:style w:type="paragraph" w:styleId="806">
    <w:name w:val="Body Text Indent"/>
    <w:basedOn w:val="789"/>
    <w:next w:val="807"/>
    <w:uiPriority w:val="0"/>
    <w:qFormat/>
    <w:pPr>
      <w:ind w:left="156"/>
      <w:spacing w:line="300" w:lineRule="auto"/>
      <w:widowControl/>
    </w:pPr>
    <w:rPr>
      <w:rFonts w:ascii="仿宋_GB2312" w:eastAsia="仿宋_GB2312"/>
      <w:sz w:val="28"/>
    </w:rPr>
  </w:style>
  <w:style w:type="paragraph" w:styleId="807">
    <w:name w:val="envelope return"/>
    <w:basedOn w:val="789"/>
    <w:uiPriority w:val="0"/>
    <w:qFormat/>
    <w:pPr>
      <w:ind w:firstLine="471"/>
      <w:spacing w:line="420" w:lineRule="exact"/>
    </w:pPr>
    <w:rPr>
      <w:rFonts w:ascii="Arial" w:hAnsi="Arial" w:cs="Arial"/>
      <w:sz w:val="24"/>
      <w:szCs w:val="24"/>
    </w:rPr>
  </w:style>
  <w:style w:type="paragraph" w:styleId="808">
    <w:name w:val="Block Text"/>
    <w:basedOn w:val="789"/>
    <w:uiPriority w:val="0"/>
    <w:qFormat/>
    <w:pPr>
      <w:ind w:left="1440" w:right="1440"/>
      <w:spacing w:after="120"/>
    </w:pPr>
  </w:style>
  <w:style w:type="paragraph" w:styleId="809">
    <w:name w:val="toc 5"/>
    <w:basedOn w:val="789"/>
    <w:next w:val="789"/>
    <w:uiPriority w:val="39"/>
    <w:unhideWhenUsed/>
    <w:qFormat/>
    <w:pPr>
      <w:ind w:left="1134" w:right="0" w:firstLine="0"/>
      <w:spacing w:after="57"/>
    </w:pPr>
  </w:style>
  <w:style w:type="paragraph" w:styleId="810">
    <w:name w:val="toc 3"/>
    <w:basedOn w:val="789"/>
    <w:next w:val="789"/>
    <w:uiPriority w:val="39"/>
    <w:unhideWhenUsed/>
    <w:qFormat/>
    <w:pPr>
      <w:ind w:left="567" w:right="0" w:firstLine="0"/>
      <w:spacing w:after="57"/>
    </w:pPr>
  </w:style>
  <w:style w:type="paragraph" w:styleId="811">
    <w:name w:val="Plain Text"/>
    <w:basedOn w:val="789"/>
    <w:uiPriority w:val="0"/>
    <w:qFormat/>
    <w:rPr>
      <w:rFonts w:ascii="宋体" w:hAnsi="Courier New"/>
      <w:sz w:val="21"/>
      <w:szCs w:val="21"/>
    </w:rPr>
  </w:style>
  <w:style w:type="paragraph" w:styleId="812">
    <w:name w:val="toc 8"/>
    <w:basedOn w:val="789"/>
    <w:next w:val="789"/>
    <w:uiPriority w:val="39"/>
    <w:unhideWhenUsed/>
    <w:qFormat/>
    <w:pPr>
      <w:ind w:left="1984" w:right="0" w:firstLine="0"/>
      <w:spacing w:after="57"/>
    </w:pPr>
  </w:style>
  <w:style w:type="paragraph" w:styleId="813">
    <w:name w:val="endnote text"/>
    <w:basedOn w:val="789"/>
    <w:link w:val="983"/>
    <w:uiPriority w:val="99"/>
    <w:semiHidden/>
    <w:unhideWhenUsed/>
    <w:qFormat/>
    <w:pPr>
      <w:spacing w:after="0" w:line="240" w:lineRule="auto"/>
    </w:pPr>
    <w:rPr>
      <w:sz w:val="20"/>
    </w:rPr>
  </w:style>
  <w:style w:type="paragraph" w:styleId="814">
    <w:name w:val="Header"/>
    <w:basedOn w:val="789"/>
    <w:link w:val="854"/>
    <w:uiPriority w:val="99"/>
    <w:unhideWhenUsed/>
    <w:qFormat/>
    <w:pPr>
      <w:spacing w:after="0" w:line="240" w:lineRule="auto"/>
      <w:tabs>
        <w:tab w:val="center" w:pos="7143" w:leader="none"/>
        <w:tab w:val="right" w:pos="14287" w:leader="none"/>
      </w:tabs>
    </w:pPr>
  </w:style>
  <w:style w:type="paragraph" w:styleId="815">
    <w:name w:val="toc 1"/>
    <w:basedOn w:val="789"/>
    <w:next w:val="789"/>
    <w:uiPriority w:val="39"/>
    <w:unhideWhenUsed/>
    <w:qFormat/>
    <w:pPr>
      <w:ind w:left="0" w:right="0" w:firstLine="0"/>
      <w:spacing w:after="57"/>
    </w:pPr>
  </w:style>
  <w:style w:type="paragraph" w:styleId="816">
    <w:name w:val="toc 4"/>
    <w:basedOn w:val="789"/>
    <w:next w:val="789"/>
    <w:uiPriority w:val="39"/>
    <w:unhideWhenUsed/>
    <w:qFormat/>
    <w:pPr>
      <w:ind w:left="850" w:right="0" w:firstLine="0"/>
      <w:spacing w:after="57"/>
    </w:pPr>
  </w:style>
  <w:style w:type="paragraph" w:styleId="817">
    <w:name w:val="Subtitle"/>
    <w:basedOn w:val="789"/>
    <w:next w:val="789"/>
    <w:link w:val="849"/>
    <w:uiPriority w:val="11"/>
    <w:qFormat/>
    <w:pPr>
      <w:spacing w:before="200" w:after="200"/>
    </w:pPr>
    <w:rPr>
      <w:sz w:val="24"/>
      <w:szCs w:val="24"/>
    </w:rPr>
  </w:style>
  <w:style w:type="paragraph" w:styleId="818">
    <w:name w:val="footnote text"/>
    <w:basedOn w:val="789"/>
    <w:link w:val="982"/>
    <w:uiPriority w:val="99"/>
    <w:semiHidden/>
    <w:unhideWhenUsed/>
    <w:qFormat/>
    <w:pPr>
      <w:spacing w:after="40" w:line="240" w:lineRule="auto"/>
    </w:pPr>
    <w:rPr>
      <w:sz w:val="18"/>
    </w:rPr>
  </w:style>
  <w:style w:type="paragraph" w:styleId="819">
    <w:name w:val="toc 6"/>
    <w:basedOn w:val="789"/>
    <w:next w:val="789"/>
    <w:uiPriority w:val="39"/>
    <w:unhideWhenUsed/>
    <w:qFormat/>
    <w:pPr>
      <w:ind w:left="1417" w:right="0" w:firstLine="0"/>
      <w:spacing w:after="57"/>
    </w:pPr>
  </w:style>
  <w:style w:type="paragraph" w:styleId="820">
    <w:name w:val="table of figures"/>
    <w:basedOn w:val="789"/>
    <w:next w:val="789"/>
    <w:uiPriority w:val="99"/>
    <w:unhideWhenUsed/>
    <w:qFormat/>
    <w:pPr>
      <w:spacing w:after="0" w:afterAutospacing="0"/>
    </w:pPr>
  </w:style>
  <w:style w:type="paragraph" w:styleId="821">
    <w:name w:val="toc 2"/>
    <w:basedOn w:val="789"/>
    <w:next w:val="789"/>
    <w:uiPriority w:val="39"/>
    <w:unhideWhenUsed/>
    <w:qFormat/>
    <w:pPr>
      <w:ind w:left="283" w:right="0" w:firstLine="0"/>
      <w:spacing w:after="57"/>
    </w:pPr>
  </w:style>
  <w:style w:type="paragraph" w:styleId="822">
    <w:name w:val="toc 9"/>
    <w:basedOn w:val="789"/>
    <w:next w:val="789"/>
    <w:uiPriority w:val="39"/>
    <w:unhideWhenUsed/>
    <w:qFormat/>
    <w:pPr>
      <w:ind w:left="2268" w:right="0" w:firstLine="0"/>
      <w:spacing w:after="57"/>
    </w:pPr>
  </w:style>
  <w:style w:type="paragraph" w:styleId="823">
    <w:name w:val="Body Text 2"/>
    <w:basedOn w:val="789"/>
    <w:uiPriority w:val="0"/>
    <w:qFormat/>
    <w:pPr>
      <w:spacing w:after="120" w:line="480" w:lineRule="auto"/>
    </w:pPr>
  </w:style>
  <w:style w:type="paragraph" w:styleId="824">
    <w:name w:val="HTML Preformatted"/>
    <w:basedOn w:val="789"/>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25">
    <w:name w:val="Normal (Web)"/>
    <w:basedOn w:val="789"/>
    <w:uiPriority w:val="0"/>
    <w:qFormat/>
    <w:pPr>
      <w:ind w:firstLine="420"/>
      <w:jc w:val="left"/>
      <w:spacing w:before="100" w:beforeAutospacing="1" w:after="100" w:afterAutospacing="1" w:line="288" w:lineRule="auto"/>
      <w:widowControl/>
    </w:pPr>
    <w:rPr>
      <w:rFonts w:ascii="宋体" w:hAnsi="宋体"/>
      <w:sz w:val="24"/>
    </w:rPr>
  </w:style>
  <w:style w:type="paragraph" w:styleId="826">
    <w:name w:val="Title"/>
    <w:basedOn w:val="789"/>
    <w:next w:val="789"/>
    <w:link w:val="848"/>
    <w:uiPriority w:val="10"/>
    <w:qFormat/>
    <w:pPr>
      <w:contextualSpacing/>
      <w:spacing w:before="300" w:after="200"/>
    </w:pPr>
    <w:rPr>
      <w:sz w:val="48"/>
      <w:szCs w:val="48"/>
    </w:rPr>
  </w:style>
  <w:style w:type="paragraph" w:styleId="827">
    <w:name w:val="Body Text First Indent"/>
    <w:basedOn w:val="805"/>
    <w:uiPriority w:val="0"/>
    <w:qFormat/>
    <w:pPr>
      <w:ind w:firstLine="420"/>
      <w:spacing w:after="120" w:line="440" w:lineRule="exact"/>
    </w:pPr>
    <w:rPr>
      <w:rFonts w:ascii="宋体"/>
      <w:sz w:val="24"/>
      <w:szCs w:val="28"/>
    </w:rPr>
  </w:style>
  <w:style w:type="table" w:styleId="8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endnote reference"/>
    <w:uiPriority w:val="99"/>
    <w:semiHidden/>
    <w:unhideWhenUsed/>
    <w:qFormat/>
    <w:rPr>
      <w:vertAlign w:val="superscript"/>
    </w:rPr>
  </w:style>
  <w:style w:type="character" w:styleId="830">
    <w:name w:val="page number"/>
    <w:basedOn w:val="799"/>
    <w:uiPriority w:val="0"/>
    <w:qFormat/>
  </w:style>
  <w:style w:type="character" w:styleId="831">
    <w:name w:val="Hyperlink"/>
    <w:uiPriority w:val="99"/>
    <w:unhideWhenUsed/>
    <w:qFormat/>
    <w:rPr>
      <w:color w:val="0000ff" w:themeColor="hyperlink"/>
      <w:u w:val="single"/>
      <w14:textFill>
        <w14:solidFill>
          <w14:schemeClr w14:val="hlink"/>
        </w14:solidFill>
      </w14:textFill>
    </w:rPr>
  </w:style>
  <w:style w:type="character" w:styleId="832">
    <w:name w:val="footnote reference"/>
    <w:uiPriority w:val="99"/>
    <w:unhideWhenUsed/>
    <w:qFormat/>
    <w:rPr>
      <w:vertAlign w:val="superscript"/>
    </w:rPr>
  </w:style>
  <w:style w:type="paragraph" w:styleId="833" w:customStyle="1">
    <w:name w:val="列出段落1"/>
    <w:basedOn w:val="789"/>
    <w:link w:val="1064"/>
    <w:uiPriority w:val="0"/>
    <w:qFormat/>
    <w:pPr>
      <w:contextualSpacing/>
      <w:ind w:left="720"/>
      <w:jc w:val="left"/>
      <w:widowControl/>
    </w:pPr>
    <w:rPr>
      <w:rFonts w:ascii="Calibri" w:hAnsi="Calibri"/>
      <w:sz w:val="24"/>
      <w:szCs w:val="24"/>
      <w:lang w:val="en-US" w:eastAsia="en-US" w:bidi="en-US"/>
    </w:rPr>
  </w:style>
  <w:style w:type="paragraph" w:styleId="834" w:customStyle="1">
    <w:name w:val="_Style 1"/>
    <w:basedOn w:val="789"/>
    <w:uiPriority w:val="0"/>
    <w:qFormat/>
    <w:pPr>
      <w:ind w:firstLine="420"/>
    </w:pPr>
    <w:rPr>
      <w:szCs w:val="22"/>
    </w:rPr>
  </w:style>
  <w:style w:type="paragraph" w:styleId="835" w:customStyle="1">
    <w:name w:val="正文文本缩进1"/>
    <w:basedOn w:val="789"/>
    <w:next w:val="789"/>
    <w:link w:val="1018"/>
    <w:uiPriority w:val="0"/>
    <w:qFormat/>
    <w:pPr>
      <w:ind w:firstLine="645"/>
    </w:pPr>
    <w:rPr>
      <w:rFonts w:ascii="楷体_GB2312" w:eastAsia="楷体_GB2312"/>
      <w:sz w:val="32"/>
      <w:szCs w:val="32"/>
      <w:lang w:val="en-US" w:eastAsia="en-US"/>
    </w:rPr>
  </w:style>
  <w:style w:type="paragraph" w:styleId="836">
    <w:name w:val="List Paragraph"/>
    <w:basedOn w:val="789"/>
    <w:uiPriority w:val="34"/>
    <w:qFormat/>
    <w:pPr>
      <w:contextualSpacing/>
      <w:ind w:left="720"/>
    </w:pPr>
  </w:style>
  <w:style w:type="paragraph" w:styleId="837" w:customStyle="1">
    <w:name w:val="段"/>
    <w:next w:val="789"/>
    <w:uiPriority w:val="0"/>
    <w:qFormat/>
    <w:pPr>
      <w:ind w:firstLine="200"/>
      <w:jc w:val="both"/>
    </w:pPr>
    <w:rPr>
      <w:rFonts w:hint="default" w:ascii="宋体" w:hAnsi="Calibri" w:eastAsia="宋体" w:cs="Times New Roman"/>
      <w:sz w:val="21"/>
      <w:lang w:val="en-US" w:eastAsia="zh-CN" w:bidi="ar-SA"/>
    </w:rPr>
  </w:style>
  <w:style w:type="character" w:styleId="838" w:customStyle="1">
    <w:name w:val="Heading 1 Char"/>
    <w:link w:val="790"/>
    <w:uiPriority w:val="9"/>
    <w:qFormat/>
    <w:rPr>
      <w:rFonts w:ascii="Arial" w:hAnsi="Arial" w:eastAsia="Arial" w:cs="Arial"/>
      <w:sz w:val="40"/>
      <w:szCs w:val="40"/>
    </w:rPr>
  </w:style>
  <w:style w:type="character" w:styleId="839" w:customStyle="1">
    <w:name w:val="Heading 2 Char"/>
    <w:link w:val="791"/>
    <w:uiPriority w:val="9"/>
    <w:qFormat/>
    <w:rPr>
      <w:rFonts w:ascii="Arial" w:hAnsi="Arial" w:eastAsia="Arial" w:cs="Arial"/>
      <w:sz w:val="34"/>
    </w:rPr>
  </w:style>
  <w:style w:type="character" w:styleId="840" w:customStyle="1">
    <w:name w:val="Heading 3 Char"/>
    <w:link w:val="792"/>
    <w:uiPriority w:val="9"/>
    <w:qFormat/>
    <w:rPr>
      <w:rFonts w:ascii="Arial" w:hAnsi="Arial" w:eastAsia="Arial" w:cs="Arial"/>
      <w:sz w:val="30"/>
      <w:szCs w:val="30"/>
    </w:rPr>
  </w:style>
  <w:style w:type="character" w:styleId="841" w:customStyle="1">
    <w:name w:val="Heading 4 Char"/>
    <w:link w:val="793"/>
    <w:uiPriority w:val="9"/>
    <w:qFormat/>
    <w:rPr>
      <w:rFonts w:ascii="Arial" w:hAnsi="Arial" w:eastAsia="Arial" w:cs="Arial"/>
      <w:b/>
      <w:bCs/>
      <w:sz w:val="26"/>
      <w:szCs w:val="26"/>
    </w:rPr>
  </w:style>
  <w:style w:type="character" w:styleId="842" w:customStyle="1">
    <w:name w:val="Heading 5 Char"/>
    <w:link w:val="794"/>
    <w:uiPriority w:val="9"/>
    <w:qFormat/>
    <w:rPr>
      <w:rFonts w:ascii="Arial" w:hAnsi="Arial" w:eastAsia="Arial" w:cs="Arial"/>
      <w:b/>
      <w:bCs/>
      <w:sz w:val="24"/>
      <w:szCs w:val="24"/>
    </w:rPr>
  </w:style>
  <w:style w:type="character" w:styleId="843" w:customStyle="1">
    <w:name w:val="Heading 6 Char"/>
    <w:link w:val="795"/>
    <w:uiPriority w:val="9"/>
    <w:qFormat/>
    <w:rPr>
      <w:rFonts w:ascii="Arial" w:hAnsi="Arial" w:eastAsia="Arial" w:cs="Arial"/>
      <w:b/>
      <w:bCs/>
      <w:sz w:val="22"/>
      <w:szCs w:val="22"/>
    </w:rPr>
  </w:style>
  <w:style w:type="character" w:styleId="844" w:customStyle="1">
    <w:name w:val="Heading 7 Char"/>
    <w:link w:val="796"/>
    <w:uiPriority w:val="9"/>
    <w:qFormat/>
    <w:rPr>
      <w:rFonts w:ascii="Arial" w:hAnsi="Arial" w:eastAsia="Arial" w:cs="Arial"/>
      <w:b/>
      <w:bCs/>
      <w:i/>
      <w:iCs/>
      <w:sz w:val="22"/>
      <w:szCs w:val="22"/>
    </w:rPr>
  </w:style>
  <w:style w:type="character" w:styleId="845" w:customStyle="1">
    <w:name w:val="Heading 8 Char"/>
    <w:link w:val="797"/>
    <w:uiPriority w:val="9"/>
    <w:qFormat/>
    <w:rPr>
      <w:rFonts w:ascii="Arial" w:hAnsi="Arial" w:eastAsia="Arial" w:cs="Arial"/>
      <w:i/>
      <w:iCs/>
      <w:sz w:val="22"/>
      <w:szCs w:val="22"/>
    </w:rPr>
  </w:style>
  <w:style w:type="character" w:styleId="846" w:customStyle="1">
    <w:name w:val="Heading 9 Char"/>
    <w:link w:val="798"/>
    <w:uiPriority w:val="9"/>
    <w:qFormat/>
    <w:rPr>
      <w:rFonts w:ascii="Arial" w:hAnsi="Arial" w:eastAsia="Arial" w:cs="Arial"/>
      <w:i/>
      <w:iCs/>
      <w:sz w:val="21"/>
      <w:szCs w:val="21"/>
    </w:rPr>
  </w:style>
  <w:style w:type="paragraph" w:styleId="847">
    <w:name w:val="No Spacing"/>
    <w:uiPriority w:val="1"/>
    <w:qFormat/>
    <w:pPr>
      <w:spacing w:before="0" w:after="0" w:line="240" w:lineRule="auto"/>
    </w:pPr>
    <w:rPr>
      <w:rFonts w:hint="default" w:ascii="Calibri" w:hAnsi="Calibri" w:eastAsia="宋体" w:cs="Times New Roman"/>
    </w:rPr>
  </w:style>
  <w:style w:type="character" w:styleId="848" w:customStyle="1">
    <w:name w:val="Title Char"/>
    <w:link w:val="826"/>
    <w:uiPriority w:val="10"/>
    <w:qFormat/>
    <w:rPr>
      <w:sz w:val="48"/>
      <w:szCs w:val="48"/>
    </w:rPr>
  </w:style>
  <w:style w:type="character" w:styleId="849" w:customStyle="1">
    <w:name w:val="Subtitle Char"/>
    <w:link w:val="817"/>
    <w:uiPriority w:val="11"/>
    <w:qFormat/>
    <w:rPr>
      <w:sz w:val="24"/>
      <w:szCs w:val="24"/>
    </w:rPr>
  </w:style>
  <w:style w:type="paragraph" w:styleId="850">
    <w:name w:val="Quote"/>
    <w:basedOn w:val="789"/>
    <w:next w:val="789"/>
    <w:link w:val="851"/>
    <w:uiPriority w:val="29"/>
    <w:qFormat/>
    <w:pPr>
      <w:ind w:left="720" w:right="720"/>
    </w:pPr>
    <w:rPr>
      <w:i/>
    </w:rPr>
  </w:style>
  <w:style w:type="character" w:styleId="851" w:customStyle="1">
    <w:name w:val="Quote Char"/>
    <w:link w:val="850"/>
    <w:uiPriority w:val="29"/>
    <w:qFormat/>
    <w:rPr>
      <w:i/>
    </w:rPr>
  </w:style>
  <w:style w:type="paragraph" w:styleId="852">
    <w:name w:val="Intense Quote"/>
    <w:basedOn w:val="789"/>
    <w:next w:val="789"/>
    <w:link w:val="8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Intense Quote Char"/>
    <w:link w:val="852"/>
    <w:uiPriority w:val="30"/>
    <w:qFormat/>
    <w:rPr>
      <w:i/>
    </w:rPr>
  </w:style>
  <w:style w:type="character" w:styleId="854" w:customStyle="1">
    <w:name w:val="Header Char"/>
    <w:link w:val="814"/>
    <w:uiPriority w:val="99"/>
    <w:qFormat/>
  </w:style>
  <w:style w:type="character" w:styleId="855" w:customStyle="1">
    <w:name w:val="Footer Char"/>
    <w:link w:val="801"/>
    <w:uiPriority w:val="99"/>
    <w:qFormat/>
  </w:style>
  <w:style w:type="character" w:styleId="856" w:customStyle="1">
    <w:name w:val="Caption Char"/>
    <w:link w:val="801"/>
    <w:uiPriority w:val="99"/>
    <w:qFormat/>
  </w:style>
  <w:style w:type="table" w:styleId="85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2" w:customStyle="1">
    <w:name w:val="Footnote Text Char"/>
    <w:link w:val="818"/>
    <w:uiPriority w:val="99"/>
    <w:qFormat/>
    <w:rPr>
      <w:sz w:val="18"/>
    </w:rPr>
  </w:style>
  <w:style w:type="character" w:styleId="983" w:customStyle="1">
    <w:name w:val="Endnote Text Char"/>
    <w:link w:val="813"/>
    <w:uiPriority w:val="99"/>
    <w:qFormat/>
    <w:rPr>
      <w:sz w:val="20"/>
    </w:rPr>
  </w:style>
  <w:style w:type="paragraph" w:styleId="984" w:customStyle="1">
    <w:name w:val="TOC Heading"/>
    <w:uiPriority w:val="39"/>
    <w:unhideWhenUsed/>
    <w:qFormat/>
    <w:rPr>
      <w:rFonts w:hint="default" w:ascii="Calibri" w:hAnsi="Calibri" w:eastAsia="宋体" w:cs="Times New Roman"/>
    </w:rPr>
  </w:style>
  <w:style w:type="paragraph" w:styleId="985" w:customStyle="1">
    <w:name w:val="标题 11"/>
    <w:basedOn w:val="789"/>
    <w:next w:val="789"/>
    <w:link w:val="997"/>
    <w:uiPriority w:val="0"/>
    <w:qFormat/>
    <w:pPr>
      <w:jc w:val="center"/>
      <w:keepNext/>
      <w:outlineLvl w:val="0"/>
    </w:pPr>
    <w:rPr>
      <w:rFonts w:ascii="楷体_GB2312" w:eastAsia="楷体_GB2312"/>
      <w:sz w:val="28"/>
      <w:szCs w:val="28"/>
      <w:lang w:val="en-US" w:eastAsia="en-US"/>
    </w:rPr>
  </w:style>
  <w:style w:type="paragraph" w:styleId="986" w:customStyle="1">
    <w:name w:val="标题 21"/>
    <w:basedOn w:val="789"/>
    <w:next w:val="987"/>
    <w:link w:val="998"/>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87" w:customStyle="1">
    <w:name w:val="正文缩进1"/>
    <w:basedOn w:val="789"/>
    <w:link w:val="999"/>
    <w:uiPriority w:val="0"/>
    <w:qFormat/>
    <w:pPr>
      <w:ind w:firstLine="420"/>
    </w:pPr>
    <w:rPr>
      <w:sz w:val="20"/>
      <w:lang w:val="en-US" w:eastAsia="en-US"/>
    </w:rPr>
  </w:style>
  <w:style w:type="paragraph" w:styleId="988" w:customStyle="1">
    <w:name w:val="标题 31"/>
    <w:basedOn w:val="789"/>
    <w:next w:val="987"/>
    <w:link w:val="1000"/>
    <w:uiPriority w:val="0"/>
    <w:qFormat/>
    <w:pPr>
      <w:keepLines/>
      <w:keepNext/>
      <w:spacing w:before="260" w:after="260" w:line="416" w:lineRule="auto"/>
      <w:outlineLvl w:val="2"/>
    </w:pPr>
    <w:rPr>
      <w:b/>
      <w:bCs/>
      <w:sz w:val="32"/>
      <w:szCs w:val="32"/>
      <w:lang w:val="en-US" w:eastAsia="en-US"/>
    </w:rPr>
  </w:style>
  <w:style w:type="paragraph" w:styleId="989" w:customStyle="1">
    <w:name w:val="标题 41"/>
    <w:basedOn w:val="789"/>
    <w:next w:val="789"/>
    <w:link w:val="1001"/>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990" w:customStyle="1">
    <w:name w:val="标题 51"/>
    <w:basedOn w:val="789"/>
    <w:next w:val="987"/>
    <w:link w:val="1002"/>
    <w:uiPriority w:val="0"/>
    <w:qFormat/>
    <w:pPr>
      <w:keepNext/>
      <w:outlineLvl w:val="4"/>
    </w:pPr>
    <w:rPr>
      <w:rFonts w:ascii="宋体"/>
      <w:color w:val="000000"/>
      <w:sz w:val="28"/>
      <w:szCs w:val="28"/>
      <w:lang w:val="en-US" w:eastAsia="en-US"/>
    </w:rPr>
  </w:style>
  <w:style w:type="paragraph" w:styleId="991" w:customStyle="1">
    <w:name w:val="标题 61"/>
    <w:basedOn w:val="789"/>
    <w:next w:val="789"/>
    <w:link w:val="1003"/>
    <w:uiPriority w:val="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92" w:customStyle="1">
    <w:name w:val="标题 71"/>
    <w:basedOn w:val="789"/>
    <w:next w:val="789"/>
    <w:link w:val="1004"/>
    <w:uiPriority w:val="0"/>
    <w:qFormat/>
    <w:pPr>
      <w:numPr>
        <w:ilvl w:val="6"/>
        <w:numId w:val="1"/>
      </w:numPr>
      <w:keepLines/>
      <w:keepNext/>
      <w:spacing w:before="240" w:after="64" w:line="320" w:lineRule="auto"/>
      <w:outlineLvl w:val="6"/>
    </w:pPr>
    <w:rPr>
      <w:b/>
      <w:bCs/>
      <w:sz w:val="24"/>
      <w:szCs w:val="24"/>
      <w:lang w:val="en-US" w:eastAsia="en-US"/>
    </w:rPr>
  </w:style>
  <w:style w:type="paragraph" w:styleId="993" w:customStyle="1">
    <w:name w:val="标题 81"/>
    <w:basedOn w:val="789"/>
    <w:next w:val="789"/>
    <w:link w:val="1005"/>
    <w:uiPriority w:val="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94" w:customStyle="1">
    <w:name w:val="标题 91"/>
    <w:basedOn w:val="789"/>
    <w:next w:val="789"/>
    <w:link w:val="1006"/>
    <w:uiPriority w:val="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95" w:customStyle="1">
    <w:name w:val="默认段落字体1"/>
    <w:link w:val="789"/>
    <w:uiPriority w:val="1"/>
    <w:unhideWhenUsed/>
    <w:qFormat/>
  </w:style>
  <w:style w:type="table" w:styleId="996" w:customStyle="1">
    <w:name w:val="普通表格1"/>
    <w:uiPriority w:val="99"/>
    <w:unhideWhenUsed/>
    <w:qFormat/>
    <w:tblPr/>
  </w:style>
  <w:style w:type="character" w:styleId="997" w:customStyle="1">
    <w:name w:val="标题 1 Char"/>
    <w:link w:val="985"/>
    <w:uiPriority w:val="0"/>
    <w:qFormat/>
    <w:rPr>
      <w:rFonts w:ascii="楷体_GB2312" w:hAnsi="Times New Roman" w:eastAsia="楷体_GB2312" w:cs="Times New Roman"/>
      <w:sz w:val="28"/>
      <w:szCs w:val="28"/>
    </w:rPr>
  </w:style>
  <w:style w:type="character" w:styleId="998" w:customStyle="1">
    <w:name w:val="标题 2 Char"/>
    <w:link w:val="986"/>
    <w:uiPriority w:val="0"/>
    <w:qFormat/>
    <w:rPr>
      <w:rFonts w:ascii="Arial" w:hAnsi="Arial" w:eastAsia="幼圆" w:cs="Arial"/>
      <w:b/>
      <w:bCs/>
      <w:sz w:val="44"/>
      <w:szCs w:val="44"/>
    </w:rPr>
  </w:style>
  <w:style w:type="character" w:styleId="999" w:customStyle="1">
    <w:name w:val="正文缩进 Char"/>
    <w:link w:val="987"/>
    <w:uiPriority w:val="0"/>
    <w:qFormat/>
    <w:rPr>
      <w:rFonts w:ascii="Times New Roman" w:hAnsi="Times New Roman" w:eastAsia="宋体" w:cs="Times New Roman"/>
      <w:szCs w:val="21"/>
    </w:rPr>
  </w:style>
  <w:style w:type="character" w:styleId="1000" w:customStyle="1">
    <w:name w:val="标题 3 Char"/>
    <w:link w:val="988"/>
    <w:uiPriority w:val="0"/>
    <w:qFormat/>
    <w:rPr>
      <w:rFonts w:ascii="Times New Roman" w:hAnsi="Times New Roman" w:eastAsia="宋体" w:cs="Times New Roman"/>
      <w:b/>
      <w:bCs/>
      <w:sz w:val="32"/>
      <w:szCs w:val="32"/>
    </w:rPr>
  </w:style>
  <w:style w:type="character" w:styleId="1001" w:customStyle="1">
    <w:name w:val="标题 4 Char"/>
    <w:link w:val="989"/>
    <w:uiPriority w:val="0"/>
    <w:qFormat/>
    <w:rPr>
      <w:rFonts w:ascii="Arial" w:hAnsi="Arial" w:eastAsia="黑体" w:cs="Arial"/>
      <w:b/>
      <w:bCs/>
      <w:sz w:val="28"/>
      <w:szCs w:val="28"/>
    </w:rPr>
  </w:style>
  <w:style w:type="character" w:styleId="1002" w:customStyle="1">
    <w:name w:val="标题 5 Char"/>
    <w:link w:val="990"/>
    <w:uiPriority w:val="0"/>
    <w:qFormat/>
    <w:rPr>
      <w:rFonts w:ascii="宋体" w:hAnsi="Times New Roman" w:eastAsia="宋体" w:cs="Times New Roman"/>
      <w:color w:val="000000"/>
      <w:sz w:val="28"/>
      <w:szCs w:val="28"/>
    </w:rPr>
  </w:style>
  <w:style w:type="character" w:styleId="1003" w:customStyle="1">
    <w:name w:val="标题 6 Char"/>
    <w:link w:val="991"/>
    <w:uiPriority w:val="0"/>
    <w:qFormat/>
    <w:rPr>
      <w:rFonts w:ascii="Arial" w:hAnsi="Arial" w:eastAsia="黑体" w:cs="Times New Roman"/>
      <w:b/>
      <w:bCs/>
      <w:sz w:val="24"/>
      <w:szCs w:val="24"/>
    </w:rPr>
  </w:style>
  <w:style w:type="character" w:styleId="1004" w:customStyle="1">
    <w:name w:val="标题 7 Char"/>
    <w:link w:val="992"/>
    <w:uiPriority w:val="0"/>
    <w:qFormat/>
    <w:rPr>
      <w:rFonts w:ascii="Times New Roman" w:hAnsi="Times New Roman" w:eastAsia="宋体" w:cs="Times New Roman"/>
      <w:b/>
      <w:bCs/>
      <w:sz w:val="24"/>
      <w:szCs w:val="24"/>
    </w:rPr>
  </w:style>
  <w:style w:type="character" w:styleId="1005" w:customStyle="1">
    <w:name w:val="标题 8 Char"/>
    <w:link w:val="993"/>
    <w:uiPriority w:val="0"/>
    <w:qFormat/>
    <w:rPr>
      <w:rFonts w:ascii="Arial" w:hAnsi="Arial" w:eastAsia="黑体" w:cs="Times New Roman"/>
      <w:sz w:val="24"/>
      <w:szCs w:val="24"/>
    </w:rPr>
  </w:style>
  <w:style w:type="character" w:styleId="1006" w:customStyle="1">
    <w:name w:val="标题 9 Char"/>
    <w:link w:val="994"/>
    <w:uiPriority w:val="0"/>
    <w:qFormat/>
    <w:rPr>
      <w:rFonts w:ascii="Arial" w:hAnsi="Arial" w:eastAsia="黑体" w:cs="Times New Roman"/>
      <w:szCs w:val="21"/>
    </w:rPr>
  </w:style>
  <w:style w:type="paragraph" w:styleId="1007" w:customStyle="1">
    <w:name w:val="列表 31"/>
    <w:basedOn w:val="789"/>
    <w:uiPriority w:val="0"/>
    <w:qFormat/>
    <w:pPr>
      <w:ind w:left="100" w:hanging="200"/>
    </w:pPr>
  </w:style>
  <w:style w:type="paragraph" w:styleId="1008" w:customStyle="1">
    <w:name w:val="目录 71"/>
    <w:basedOn w:val="789"/>
    <w:next w:val="789"/>
    <w:uiPriority w:val="0"/>
    <w:semiHidden/>
    <w:qFormat/>
    <w:pPr>
      <w:ind w:left="1260"/>
      <w:jc w:val="left"/>
    </w:pPr>
  </w:style>
  <w:style w:type="paragraph" w:styleId="1009" w:customStyle="1">
    <w:name w:val="文档结构图1"/>
    <w:basedOn w:val="789"/>
    <w:link w:val="1010"/>
    <w:uiPriority w:val="0"/>
    <w:semiHidden/>
    <w:qFormat/>
    <w:pPr>
      <w:shd w:val="clear" w:color="auto" w:fill="000080"/>
    </w:pPr>
    <w:rPr>
      <w:sz w:val="20"/>
      <w:lang w:val="en-US" w:eastAsia="en-US"/>
    </w:rPr>
  </w:style>
  <w:style w:type="character" w:styleId="1010" w:customStyle="1">
    <w:name w:val="文档结构图 Char"/>
    <w:link w:val="1009"/>
    <w:uiPriority w:val="0"/>
    <w:semiHidden/>
    <w:qFormat/>
    <w:rPr>
      <w:rFonts w:ascii="Times New Roman" w:hAnsi="Times New Roman" w:eastAsia="宋体" w:cs="Times New Roman"/>
      <w:szCs w:val="21"/>
      <w:shd w:val="clear" w:color="auto" w:fill="000080"/>
    </w:rPr>
  </w:style>
  <w:style w:type="paragraph" w:styleId="1011" w:customStyle="1">
    <w:name w:val="批注文字1"/>
    <w:basedOn w:val="789"/>
    <w:link w:val="1012"/>
    <w:uiPriority w:val="0"/>
    <w:semiHidden/>
    <w:qFormat/>
    <w:pPr>
      <w:jc w:val="left"/>
    </w:pPr>
    <w:rPr>
      <w:sz w:val="20"/>
      <w:lang w:val="en-US" w:eastAsia="en-US"/>
    </w:rPr>
  </w:style>
  <w:style w:type="character" w:styleId="1012" w:customStyle="1">
    <w:name w:val="批注文字 Char"/>
    <w:link w:val="1011"/>
    <w:uiPriority w:val="0"/>
    <w:semiHidden/>
    <w:qFormat/>
    <w:rPr>
      <w:rFonts w:ascii="Times New Roman" w:hAnsi="Times New Roman" w:eastAsia="宋体" w:cs="Times New Roman"/>
      <w:szCs w:val="21"/>
    </w:rPr>
  </w:style>
  <w:style w:type="paragraph" w:styleId="1013" w:customStyle="1">
    <w:name w:val="正文文本 31"/>
    <w:basedOn w:val="789"/>
    <w:link w:val="1014"/>
    <w:uiPriority w:val="0"/>
    <w:qFormat/>
    <w:rPr>
      <w:rFonts w:ascii="仿宋_GB2312" w:hAnsi="Arial" w:eastAsia="仿宋_GB2312"/>
      <w:sz w:val="32"/>
      <w:szCs w:val="32"/>
      <w:lang w:val="en-US" w:eastAsia="en-US"/>
    </w:rPr>
  </w:style>
  <w:style w:type="character" w:styleId="1014" w:customStyle="1">
    <w:name w:val="正文文本 3 Char"/>
    <w:link w:val="1013"/>
    <w:uiPriority w:val="0"/>
    <w:qFormat/>
    <w:rPr>
      <w:rFonts w:ascii="仿宋_GB2312" w:hAnsi="Arial" w:eastAsia="仿宋_GB2312" w:cs="Times New Roman"/>
      <w:sz w:val="32"/>
      <w:szCs w:val="32"/>
    </w:rPr>
  </w:style>
  <w:style w:type="paragraph" w:styleId="1015" w:customStyle="1">
    <w:name w:val="正文文本1"/>
    <w:basedOn w:val="789"/>
    <w:next w:val="789"/>
    <w:link w:val="1017"/>
    <w:uiPriority w:val="0"/>
    <w:qFormat/>
    <w:rPr>
      <w:rFonts w:ascii="楷体_GB2312" w:hAnsi="Arial" w:eastAsia="楷体_GB2312"/>
      <w:sz w:val="28"/>
      <w:szCs w:val="28"/>
      <w:lang w:val="en-US" w:eastAsia="en-US"/>
    </w:rPr>
  </w:style>
  <w:style w:type="paragraph" w:styleId="1016" w:customStyle="1">
    <w:name w:val="列表项目符号 51"/>
    <w:basedOn w:val="789"/>
    <w:uiPriority w:val="0"/>
    <w:qFormat/>
    <w:pPr>
      <w:numPr>
        <w:ilvl w:val="0"/>
        <w:numId w:val="1"/>
      </w:numPr>
    </w:pPr>
  </w:style>
  <w:style w:type="character" w:styleId="1017" w:customStyle="1">
    <w:name w:val="正文文本 Char"/>
    <w:link w:val="1015"/>
    <w:uiPriority w:val="0"/>
    <w:qFormat/>
    <w:rPr>
      <w:rFonts w:ascii="楷体_GB2312" w:hAnsi="Arial" w:eastAsia="楷体_GB2312" w:cs="Times New Roman"/>
      <w:sz w:val="28"/>
      <w:szCs w:val="28"/>
    </w:rPr>
  </w:style>
  <w:style w:type="character" w:styleId="1018" w:customStyle="1">
    <w:name w:val="正文文本缩进 Char"/>
    <w:link w:val="835"/>
    <w:uiPriority w:val="0"/>
    <w:qFormat/>
    <w:rPr>
      <w:rFonts w:ascii="楷体_GB2312" w:hAnsi="Times New Roman" w:eastAsia="楷体_GB2312" w:cs="Times New Roman"/>
      <w:sz w:val="32"/>
      <w:szCs w:val="32"/>
    </w:rPr>
  </w:style>
  <w:style w:type="paragraph" w:styleId="1019" w:customStyle="1">
    <w:name w:val="列表 21"/>
    <w:basedOn w:val="789"/>
    <w:uiPriority w:val="0"/>
    <w:qFormat/>
    <w:pPr>
      <w:ind w:left="100" w:hanging="200"/>
    </w:pPr>
  </w:style>
  <w:style w:type="paragraph" w:styleId="1020" w:customStyle="1">
    <w:name w:val="目录 51"/>
    <w:basedOn w:val="789"/>
    <w:next w:val="789"/>
    <w:uiPriority w:val="0"/>
    <w:semiHidden/>
    <w:qFormat/>
    <w:pPr>
      <w:ind w:left="840"/>
      <w:jc w:val="left"/>
    </w:pPr>
  </w:style>
  <w:style w:type="paragraph" w:styleId="1021" w:customStyle="1">
    <w:name w:val="目录 31"/>
    <w:basedOn w:val="789"/>
    <w:next w:val="789"/>
    <w:uiPriority w:val="0"/>
    <w:semiHidden/>
    <w:qFormat/>
    <w:pPr>
      <w:ind w:left="420"/>
      <w:jc w:val="left"/>
    </w:pPr>
    <w:rPr>
      <w:i/>
      <w:iCs/>
      <w:szCs w:val="24"/>
    </w:rPr>
  </w:style>
  <w:style w:type="paragraph" w:styleId="1022" w:customStyle="1">
    <w:name w:val="纯文本1"/>
    <w:basedOn w:val="789"/>
    <w:link w:val="1023"/>
    <w:uiPriority w:val="0"/>
    <w:qFormat/>
    <w:rPr>
      <w:rFonts w:ascii="宋体" w:hAnsi="Courier New"/>
      <w:sz w:val="20"/>
      <w:lang w:val="en-US" w:eastAsia="en-US"/>
    </w:rPr>
  </w:style>
  <w:style w:type="character" w:styleId="1023" w:customStyle="1">
    <w:name w:val="纯文本 Char"/>
    <w:link w:val="1022"/>
    <w:uiPriority w:val="0"/>
    <w:qFormat/>
    <w:rPr>
      <w:rFonts w:ascii="宋体" w:hAnsi="Courier New" w:eastAsia="宋体" w:cs="Courier New"/>
      <w:szCs w:val="21"/>
    </w:rPr>
  </w:style>
  <w:style w:type="paragraph" w:styleId="1024" w:customStyle="1">
    <w:name w:val="目录 81"/>
    <w:basedOn w:val="789"/>
    <w:next w:val="789"/>
    <w:uiPriority w:val="0"/>
    <w:semiHidden/>
    <w:qFormat/>
    <w:pPr>
      <w:ind w:left="1470"/>
      <w:jc w:val="left"/>
    </w:pPr>
  </w:style>
  <w:style w:type="paragraph" w:styleId="1025" w:customStyle="1">
    <w:name w:val="日期1"/>
    <w:basedOn w:val="789"/>
    <w:next w:val="789"/>
    <w:link w:val="1026"/>
    <w:uiPriority w:val="0"/>
    <w:qFormat/>
    <w:rPr>
      <w:sz w:val="24"/>
      <w:szCs w:val="24"/>
      <w:lang w:val="en-US" w:eastAsia="en-US"/>
    </w:rPr>
  </w:style>
  <w:style w:type="character" w:styleId="1026" w:customStyle="1">
    <w:name w:val="日期 Char"/>
    <w:link w:val="1025"/>
    <w:uiPriority w:val="0"/>
    <w:qFormat/>
    <w:rPr>
      <w:rFonts w:ascii="Times New Roman" w:hAnsi="Times New Roman" w:eastAsia="宋体" w:cs="Times New Roman"/>
      <w:sz w:val="24"/>
      <w:szCs w:val="24"/>
    </w:rPr>
  </w:style>
  <w:style w:type="paragraph" w:styleId="1027" w:customStyle="1">
    <w:name w:val="正文文本缩进 21"/>
    <w:basedOn w:val="789"/>
    <w:link w:val="1028"/>
    <w:uiPriority w:val="0"/>
    <w:qFormat/>
    <w:pPr>
      <w:ind w:left="630" w:firstLine="645"/>
    </w:pPr>
    <w:rPr>
      <w:rFonts w:ascii="Arial" w:hAnsi="Arial" w:eastAsia="仿宋_GB2312"/>
      <w:sz w:val="32"/>
      <w:szCs w:val="32"/>
      <w:lang w:val="en-US" w:eastAsia="en-US"/>
    </w:rPr>
  </w:style>
  <w:style w:type="character" w:styleId="1028" w:customStyle="1">
    <w:name w:val="正文文本缩进 2 Char"/>
    <w:link w:val="1027"/>
    <w:uiPriority w:val="0"/>
    <w:qFormat/>
    <w:rPr>
      <w:rFonts w:ascii="Arial" w:hAnsi="Arial" w:eastAsia="仿宋_GB2312" w:cs="Arial"/>
      <w:sz w:val="32"/>
      <w:szCs w:val="32"/>
    </w:rPr>
  </w:style>
  <w:style w:type="paragraph" w:styleId="1029" w:customStyle="1">
    <w:name w:val="批注框文本1"/>
    <w:basedOn w:val="789"/>
    <w:link w:val="1030"/>
    <w:uiPriority w:val="0"/>
    <w:semiHidden/>
    <w:qFormat/>
    <w:rPr>
      <w:sz w:val="18"/>
      <w:szCs w:val="18"/>
      <w:lang w:val="en-US" w:eastAsia="en-US"/>
    </w:rPr>
  </w:style>
  <w:style w:type="character" w:styleId="1030" w:customStyle="1">
    <w:name w:val="批注框文本 Char"/>
    <w:link w:val="1029"/>
    <w:uiPriority w:val="0"/>
    <w:semiHidden/>
    <w:qFormat/>
    <w:rPr>
      <w:rFonts w:ascii="Times New Roman" w:hAnsi="Times New Roman" w:eastAsia="宋体" w:cs="Times New Roman"/>
      <w:sz w:val="18"/>
      <w:szCs w:val="18"/>
    </w:rPr>
  </w:style>
  <w:style w:type="paragraph" w:styleId="1031" w:customStyle="1">
    <w:name w:val="页脚1"/>
    <w:basedOn w:val="789"/>
    <w:link w:val="1032"/>
    <w:uiPriority w:val="0"/>
    <w:qFormat/>
    <w:pPr>
      <w:jc w:val="left"/>
      <w:tabs>
        <w:tab w:val="center" w:pos="4153" w:leader="none"/>
        <w:tab w:val="right" w:pos="8306" w:leader="none"/>
      </w:tabs>
    </w:pPr>
    <w:rPr>
      <w:sz w:val="18"/>
      <w:szCs w:val="18"/>
      <w:lang w:val="en-US" w:eastAsia="en-US"/>
    </w:rPr>
  </w:style>
  <w:style w:type="character" w:styleId="1032" w:customStyle="1">
    <w:name w:val="页脚 Char"/>
    <w:link w:val="1031"/>
    <w:uiPriority w:val="0"/>
    <w:qFormat/>
    <w:rPr>
      <w:rFonts w:ascii="Times New Roman" w:hAnsi="Times New Roman" w:eastAsia="宋体" w:cs="Times New Roman"/>
      <w:sz w:val="18"/>
      <w:szCs w:val="18"/>
    </w:rPr>
  </w:style>
  <w:style w:type="paragraph" w:styleId="1033" w:customStyle="1">
    <w:name w:val="页眉1"/>
    <w:basedOn w:val="789"/>
    <w:link w:val="1034"/>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1034" w:customStyle="1">
    <w:name w:val="页眉 Char"/>
    <w:link w:val="1033"/>
    <w:uiPriority w:val="99"/>
    <w:qFormat/>
    <w:rPr>
      <w:rFonts w:ascii="Times New Roman" w:hAnsi="Times New Roman" w:eastAsia="宋体" w:cs="Times New Roman"/>
      <w:sz w:val="18"/>
      <w:szCs w:val="18"/>
    </w:rPr>
  </w:style>
  <w:style w:type="paragraph" w:styleId="1035" w:customStyle="1">
    <w:name w:val="目录 11"/>
    <w:basedOn w:val="789"/>
    <w:next w:val="789"/>
    <w:uiPriority w:val="0"/>
    <w:semiHidden/>
    <w:qFormat/>
    <w:pPr>
      <w:jc w:val="left"/>
      <w:spacing w:before="120" w:after="120" w:line="400" w:lineRule="exact"/>
      <w:tabs>
        <w:tab w:val="right" w:pos="8720" w:leader="dot"/>
      </w:tabs>
    </w:pPr>
    <w:rPr>
      <w:rFonts w:ascii="宋体" w:hAnsi="宋体"/>
      <w:caps/>
      <w:sz w:val="24"/>
      <w:szCs w:val="24"/>
    </w:rPr>
  </w:style>
  <w:style w:type="paragraph" w:styleId="1036" w:customStyle="1">
    <w:name w:val="目录 41"/>
    <w:basedOn w:val="789"/>
    <w:next w:val="789"/>
    <w:uiPriority w:val="0"/>
    <w:semiHidden/>
    <w:qFormat/>
    <w:pPr>
      <w:ind w:left="630"/>
      <w:jc w:val="left"/>
    </w:pPr>
  </w:style>
  <w:style w:type="paragraph" w:styleId="1037" w:customStyle="1">
    <w:name w:val="列表1"/>
    <w:basedOn w:val="789"/>
    <w:uiPriority w:val="0"/>
    <w:qFormat/>
    <w:pPr>
      <w:ind w:left="200" w:hanging="200"/>
    </w:pPr>
  </w:style>
  <w:style w:type="paragraph" w:styleId="1038" w:customStyle="1">
    <w:name w:val="目录 61"/>
    <w:basedOn w:val="789"/>
    <w:next w:val="789"/>
    <w:uiPriority w:val="0"/>
    <w:semiHidden/>
    <w:qFormat/>
    <w:pPr>
      <w:ind w:left="1050"/>
      <w:jc w:val="left"/>
    </w:pPr>
  </w:style>
  <w:style w:type="paragraph" w:styleId="1039" w:customStyle="1">
    <w:name w:val="正文文本缩进 31"/>
    <w:basedOn w:val="789"/>
    <w:link w:val="1040"/>
    <w:uiPriority w:val="0"/>
    <w:qFormat/>
    <w:pPr>
      <w:ind w:left="645" w:firstLine="645"/>
    </w:pPr>
    <w:rPr>
      <w:rFonts w:ascii="Arial" w:hAnsi="Arial" w:eastAsia="仿宋_GB2312"/>
      <w:color w:val="ffff00"/>
      <w:sz w:val="32"/>
      <w:szCs w:val="32"/>
      <w:lang w:val="en-US" w:eastAsia="en-US"/>
    </w:rPr>
  </w:style>
  <w:style w:type="character" w:styleId="1040" w:customStyle="1">
    <w:name w:val="正文文本缩进 3 Char"/>
    <w:link w:val="1039"/>
    <w:uiPriority w:val="0"/>
    <w:qFormat/>
    <w:rPr>
      <w:rFonts w:ascii="Arial" w:hAnsi="Arial" w:eastAsia="仿宋_GB2312" w:cs="Arial"/>
      <w:color w:val="ffff00"/>
      <w:sz w:val="32"/>
      <w:szCs w:val="32"/>
    </w:rPr>
  </w:style>
  <w:style w:type="paragraph" w:styleId="1041" w:customStyle="1">
    <w:name w:val="图表目录1"/>
    <w:basedOn w:val="789"/>
    <w:next w:val="789"/>
    <w:uiPriority w:val="0"/>
    <w:semiHidden/>
    <w:qFormat/>
    <w:pPr>
      <w:ind w:left="840" w:hanging="420"/>
    </w:pPr>
  </w:style>
  <w:style w:type="paragraph" w:styleId="1042" w:customStyle="1">
    <w:name w:val="目录 21"/>
    <w:basedOn w:val="789"/>
    <w:next w:val="789"/>
    <w:uiPriority w:val="0"/>
    <w:semiHidden/>
    <w:qFormat/>
    <w:pPr>
      <w:ind w:left="210"/>
      <w:jc w:val="left"/>
    </w:pPr>
    <w:rPr>
      <w:smallCaps/>
      <w:szCs w:val="24"/>
    </w:rPr>
  </w:style>
  <w:style w:type="paragraph" w:styleId="1043" w:customStyle="1">
    <w:name w:val="目录 91"/>
    <w:basedOn w:val="789"/>
    <w:next w:val="789"/>
    <w:uiPriority w:val="0"/>
    <w:semiHidden/>
    <w:qFormat/>
    <w:pPr>
      <w:ind w:left="1680"/>
      <w:jc w:val="left"/>
    </w:pPr>
  </w:style>
  <w:style w:type="paragraph" w:styleId="1044" w:customStyle="1">
    <w:name w:val="正文文本 21"/>
    <w:basedOn w:val="789"/>
    <w:link w:val="1045"/>
    <w:uiPriority w:val="0"/>
    <w:qFormat/>
    <w:pPr>
      <w:jc w:val="center"/>
      <w:widowControl/>
    </w:pPr>
    <w:rPr>
      <w:rFonts w:ascii="楷体_GB2312" w:eastAsia="楷体_GB2312"/>
      <w:sz w:val="28"/>
      <w:szCs w:val="28"/>
      <w:lang w:val="en-US" w:eastAsia="en-US"/>
    </w:rPr>
  </w:style>
  <w:style w:type="character" w:styleId="1045" w:customStyle="1">
    <w:name w:val="正文文本 2 Char"/>
    <w:link w:val="1044"/>
    <w:uiPriority w:val="0"/>
    <w:qFormat/>
    <w:rPr>
      <w:rFonts w:ascii="楷体_GB2312" w:hAnsi="Times New Roman" w:eastAsia="楷体_GB2312" w:cs="Times New Roman"/>
      <w:sz w:val="28"/>
      <w:szCs w:val="28"/>
    </w:rPr>
  </w:style>
  <w:style w:type="paragraph" w:styleId="1046" w:customStyle="1">
    <w:name w:val="普通(网站)1"/>
    <w:basedOn w:val="789"/>
    <w:uiPriority w:val="99"/>
    <w:qFormat/>
    <w:pPr>
      <w:jc w:val="left"/>
      <w:spacing w:before="100" w:beforeAutospacing="1" w:after="100" w:afterAutospacing="1"/>
      <w:widowControl/>
    </w:pPr>
    <w:rPr>
      <w:rFonts w:ascii="宋体" w:hAnsi="宋体" w:cs="宋体"/>
      <w:sz w:val="24"/>
      <w:szCs w:val="24"/>
    </w:rPr>
  </w:style>
  <w:style w:type="paragraph" w:styleId="1047" w:customStyle="1">
    <w:name w:val="索引 11"/>
    <w:basedOn w:val="789"/>
    <w:next w:val="789"/>
    <w:uiPriority w:val="0"/>
    <w:semiHidden/>
    <w:qFormat/>
    <w:pPr>
      <w:spacing w:line="240" w:lineRule="atLeast"/>
    </w:pPr>
    <w:rPr>
      <w:b/>
      <w:bCs/>
    </w:rPr>
  </w:style>
  <w:style w:type="paragraph" w:styleId="1048" w:customStyle="1">
    <w:name w:val="批注主题1"/>
    <w:basedOn w:val="1011"/>
    <w:next w:val="1011"/>
    <w:link w:val="1049"/>
    <w:uiPriority w:val="0"/>
    <w:semiHidden/>
    <w:qFormat/>
    <w:rPr>
      <w:b/>
      <w:bCs/>
    </w:rPr>
  </w:style>
  <w:style w:type="character" w:styleId="1049" w:customStyle="1">
    <w:name w:val="批注主题 Char"/>
    <w:link w:val="1048"/>
    <w:uiPriority w:val="0"/>
    <w:semiHidden/>
    <w:qFormat/>
    <w:rPr>
      <w:rFonts w:ascii="Times New Roman" w:hAnsi="Times New Roman" w:eastAsia="宋体" w:cs="Times New Roman"/>
      <w:b/>
      <w:bCs/>
      <w:szCs w:val="21"/>
    </w:rPr>
  </w:style>
  <w:style w:type="paragraph" w:styleId="1050" w:customStyle="1">
    <w:name w:val="正文首行缩进1"/>
    <w:basedOn w:val="789"/>
    <w:link w:val="1051"/>
    <w:uiPriority w:val="0"/>
    <w:qFormat/>
    <w:pPr>
      <w:ind w:firstLine="200"/>
      <w:spacing w:line="360" w:lineRule="auto"/>
    </w:pPr>
    <w:rPr>
      <w:rFonts w:ascii="仿宋_GB2312" w:eastAsia="仿宋_GB2312"/>
      <w:sz w:val="30"/>
      <w:szCs w:val="30"/>
      <w:lang w:val="en-US" w:eastAsia="en-US"/>
    </w:rPr>
  </w:style>
  <w:style w:type="character" w:styleId="1051" w:customStyle="1">
    <w:name w:val="正文首行缩进 Char"/>
    <w:link w:val="1050"/>
    <w:uiPriority w:val="0"/>
    <w:qFormat/>
    <w:rPr>
      <w:rFonts w:ascii="仿宋_GB2312" w:hAnsi="Times New Roman" w:eastAsia="仿宋_GB2312" w:cs="Times New Roman"/>
      <w:sz w:val="30"/>
      <w:szCs w:val="30"/>
    </w:rPr>
  </w:style>
  <w:style w:type="paragraph" w:styleId="1052" w:customStyle="1">
    <w:name w:val="正文首行缩进 21"/>
    <w:basedOn w:val="835"/>
    <w:link w:val="1053"/>
    <w:uiPriority w:val="0"/>
    <w:qFormat/>
    <w:pPr>
      <w:ind w:firstLine="420"/>
      <w:spacing w:line="360" w:lineRule="auto"/>
    </w:pPr>
    <w:rPr>
      <w:rFonts w:ascii="宋体" w:hAnsi="宋体" w:eastAsia="宋体"/>
      <w:szCs w:val="20"/>
    </w:rPr>
  </w:style>
  <w:style w:type="character" w:styleId="1053" w:customStyle="1">
    <w:name w:val="正文首行缩进 2 Char"/>
    <w:link w:val="1052"/>
    <w:uiPriority w:val="0"/>
    <w:qFormat/>
    <w:rPr>
      <w:rFonts w:ascii="宋体" w:hAnsi="宋体" w:eastAsia="宋体" w:cs="Times New Roman"/>
      <w:sz w:val="32"/>
      <w:szCs w:val="20"/>
    </w:rPr>
  </w:style>
  <w:style w:type="table" w:styleId="1054" w:customStyle="1">
    <w:name w:val="网格型1"/>
    <w:basedOn w:val="996"/>
    <w:uiPriority w:val="0"/>
    <w:qFormat/>
    <w:pPr>
      <w:jc w:val="both"/>
      <w:widowControl w:val="off"/>
    </w:pPr>
    <w:rPr>
      <w:rFonts w:ascii="Times New Roman" w:hAnsi="Times New Roman" w:eastAsia="宋体" w:cs="Times New Roman"/>
      <w:sz w:val="20"/>
      <w:szCs w:val="20"/>
    </w:rPr>
    <w:tblPr/>
  </w:style>
  <w:style w:type="character" w:styleId="1055" w:customStyle="1">
    <w:name w:val="要点1"/>
    <w:link w:val="789"/>
    <w:uiPriority w:val="0"/>
    <w:qFormat/>
    <w:rPr>
      <w:b/>
      <w:bCs/>
    </w:rPr>
  </w:style>
  <w:style w:type="character" w:styleId="1056" w:customStyle="1">
    <w:name w:val="页码1"/>
    <w:link w:val="789"/>
    <w:uiPriority w:val="0"/>
    <w:qFormat/>
  </w:style>
  <w:style w:type="character" w:styleId="1057" w:customStyle="1">
    <w:name w:val="已访问的超链接1"/>
    <w:link w:val="789"/>
    <w:uiPriority w:val="0"/>
    <w:qFormat/>
    <w:rPr>
      <w:color w:val="800080"/>
      <w:u w:val="single"/>
    </w:rPr>
  </w:style>
  <w:style w:type="character" w:styleId="1058" w:customStyle="1">
    <w:name w:val="HTML 打字机1"/>
    <w:link w:val="789"/>
    <w:uiPriority w:val="99"/>
    <w:qFormat/>
    <w:rPr>
      <w:rFonts w:ascii="宋体" w:hAnsi="宋体" w:eastAsia="宋体" w:cs="宋体"/>
      <w:sz w:val="24"/>
      <w:szCs w:val="24"/>
    </w:rPr>
  </w:style>
  <w:style w:type="character" w:styleId="1059" w:customStyle="1">
    <w:name w:val="超链接1"/>
    <w:link w:val="789"/>
    <w:uiPriority w:val="0"/>
    <w:qFormat/>
    <w:rPr>
      <w:color w:val="0000ff"/>
      <w:u w:val="single"/>
    </w:rPr>
  </w:style>
  <w:style w:type="character" w:styleId="1060" w:customStyle="1">
    <w:name w:val="批注引用1"/>
    <w:link w:val="789"/>
    <w:uiPriority w:val="0"/>
    <w:semiHidden/>
    <w:qFormat/>
    <w:rPr>
      <w:sz w:val="21"/>
      <w:szCs w:val="21"/>
    </w:rPr>
  </w:style>
  <w:style w:type="character" w:styleId="1061" w:customStyle="1">
    <w:name w:val="font5 Char"/>
    <w:link w:val="789"/>
    <w:uiPriority w:val="0"/>
    <w:qFormat/>
    <w:rPr>
      <w:rFonts w:ascii="宋体" w:hAnsi="宋体" w:eastAsia="宋体"/>
      <w:sz w:val="28"/>
      <w:szCs w:val="28"/>
      <w:lang w:val="en-US" w:eastAsia="zh-CN" w:bidi="ar-SA"/>
    </w:rPr>
  </w:style>
  <w:style w:type="character" w:styleId="1062" w:customStyle="1">
    <w:name w:val="二级目录 Char"/>
    <w:link w:val="1063"/>
    <w:uiPriority w:val="0"/>
    <w:qFormat/>
    <w:rPr>
      <w:b/>
      <w:sz w:val="30"/>
      <w:szCs w:val="28"/>
      <w:lang w:val="en-US" w:eastAsia="zh-CN" w:bidi="ar-SA"/>
    </w:rPr>
  </w:style>
  <w:style w:type="paragraph" w:styleId="1063" w:customStyle="1">
    <w:name w:val="二级目录"/>
    <w:next w:val="789"/>
    <w:link w:val="1062"/>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64" w:customStyle="1">
    <w:name w:val="列出段落 Char"/>
    <w:link w:val="833"/>
    <w:uiPriority w:val="0"/>
    <w:qFormat/>
    <w:rPr>
      <w:rFonts w:ascii="Calibri" w:hAnsi="Calibri"/>
      <w:sz w:val="24"/>
      <w:szCs w:val="24"/>
      <w:lang w:eastAsia="en-US" w:bidi="en-US"/>
    </w:rPr>
  </w:style>
  <w:style w:type="paragraph" w:styleId="1065" w:customStyle="1">
    <w:name w:val="Body Text(ch)"/>
    <w:basedOn w:val="789"/>
    <w:next w:val="1015"/>
    <w:uiPriority w:val="0"/>
    <w:qFormat/>
    <w:pPr>
      <w:spacing w:after="120"/>
    </w:pPr>
    <w:rPr>
      <w:rFonts w:ascii="宋体" w:hAnsi="Arial"/>
      <w:bCs/>
      <w:iCs/>
      <w:szCs w:val="24"/>
    </w:rPr>
  </w:style>
  <w:style w:type="paragraph" w:styleId="1066" w:customStyle="1">
    <w:name w:val="xl27"/>
    <w:basedOn w:val="7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7" w:customStyle="1">
    <w:name w:val="xl26"/>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8" w:customStyle="1">
    <w:name w:val="Char"/>
    <w:basedOn w:val="789"/>
    <w:uiPriority w:val="0"/>
    <w:qFormat/>
    <w:pPr>
      <w:ind w:firstLine="200"/>
      <w:tabs>
        <w:tab w:val="left" w:pos="360" w:leader="none"/>
      </w:tabs>
    </w:pPr>
    <w:rPr>
      <w:sz w:val="28"/>
      <w:szCs w:val="30"/>
    </w:rPr>
  </w:style>
  <w:style w:type="paragraph" w:styleId="1069" w:customStyle="1">
    <w:name w:val=" Char"/>
    <w:basedOn w:val="1009"/>
    <w:uiPriority w:val="0"/>
    <w:qFormat/>
    <w:rPr>
      <w:rFonts w:ascii="Tahoma" w:hAnsi="Tahoma"/>
      <w:sz w:val="24"/>
      <w:szCs w:val="24"/>
    </w:rPr>
  </w:style>
  <w:style w:type="paragraph" w:styleId="1070" w:customStyle="1">
    <w:name w:val="普通正文"/>
    <w:basedOn w:val="789"/>
    <w:uiPriority w:val="0"/>
    <w:qFormat/>
    <w:pPr>
      <w:ind w:firstLine="480"/>
      <w:jc w:val="left"/>
      <w:spacing w:before="120" w:after="120" w:line="360" w:lineRule="auto"/>
    </w:pPr>
    <w:rPr>
      <w:rFonts w:ascii="Arial" w:hAnsi="Arial"/>
      <w:sz w:val="24"/>
      <w:szCs w:val="24"/>
    </w:rPr>
  </w:style>
  <w:style w:type="paragraph" w:styleId="1071" w:customStyle="1">
    <w:name w:val="table_lines"/>
    <w:basedOn w:val="789"/>
    <w:uiPriority w:val="0"/>
    <w:qFormat/>
    <w:pPr>
      <w:jc w:val="left"/>
      <w:widowControl/>
    </w:pPr>
    <w:rPr>
      <w:sz w:val="20"/>
      <w:szCs w:val="20"/>
      <w:lang w:val="de-DE" w:eastAsia="de-DE"/>
    </w:rPr>
  </w:style>
  <w:style w:type="paragraph" w:styleId="107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73" w:customStyle="1">
    <w:name w:val="font7"/>
    <w:basedOn w:val="789"/>
    <w:uiPriority w:val="0"/>
    <w:qFormat/>
    <w:pPr>
      <w:jc w:val="left"/>
      <w:spacing w:before="100" w:beforeAutospacing="1" w:after="100" w:afterAutospacing="1"/>
      <w:widowControl/>
    </w:pPr>
    <w:rPr>
      <w:rFonts w:hint="eastAsia" w:ascii="宋体" w:hAnsi="宋体"/>
      <w:sz w:val="18"/>
      <w:szCs w:val="18"/>
    </w:rPr>
  </w:style>
  <w:style w:type="paragraph" w:styleId="1074" w:customStyle="1">
    <w:name w:val=" Char Char Char Char"/>
    <w:basedOn w:val="1009"/>
    <w:uiPriority w:val="0"/>
    <w:qFormat/>
    <w:pPr>
      <w:spacing w:line="360" w:lineRule="auto"/>
    </w:pPr>
    <w:rPr>
      <w:rFonts w:ascii="Tahoma" w:hAnsi="Tahoma"/>
      <w:sz w:val="24"/>
      <w:szCs w:val="24"/>
    </w:rPr>
  </w:style>
  <w:style w:type="paragraph" w:styleId="1075" w:customStyle="1">
    <w:name w:val="列出段落"/>
    <w:basedOn w:val="789"/>
    <w:uiPriority w:val="99"/>
    <w:qFormat/>
    <w:pPr>
      <w:contextualSpacing/>
      <w:ind w:left="720"/>
      <w:jc w:val="left"/>
      <w:widowControl/>
    </w:pPr>
    <w:rPr>
      <w:rFonts w:ascii="Calibri" w:hAnsi="Calibri"/>
      <w:sz w:val="24"/>
      <w:szCs w:val="24"/>
      <w:lang w:eastAsia="en-US" w:bidi="en-US"/>
    </w:rPr>
  </w:style>
  <w:style w:type="paragraph" w:styleId="1076" w:customStyle="1">
    <w:name w:val="4"/>
    <w:basedOn w:val="789"/>
    <w:next w:val="1039"/>
    <w:uiPriority w:val="0"/>
    <w:qFormat/>
    <w:pPr>
      <w:ind w:firstLine="420"/>
      <w:spacing w:line="360" w:lineRule="auto"/>
    </w:pPr>
    <w:rPr>
      <w:color w:val="ff0000"/>
      <w:sz w:val="24"/>
      <w:szCs w:val="24"/>
    </w:rPr>
  </w:style>
  <w:style w:type="paragraph" w:styleId="1077" w:customStyle="1">
    <w:name w:val="普通 (Web)"/>
    <w:basedOn w:val="789"/>
    <w:uiPriority w:val="0"/>
    <w:qFormat/>
    <w:pPr>
      <w:jc w:val="left"/>
      <w:spacing w:before="100" w:beforeAutospacing="1" w:after="100" w:afterAutospacing="1"/>
      <w:widowControl/>
    </w:pPr>
    <w:rPr>
      <w:rFonts w:ascii="宋体" w:hAnsi="宋体"/>
      <w:sz w:val="24"/>
      <w:szCs w:val="24"/>
    </w:rPr>
  </w:style>
  <w:style w:type="paragraph" w:styleId="1078" w:customStyle="1">
    <w:name w:val=" Char Char Char Char Char Char Char Char Char Char"/>
    <w:basedOn w:val="789"/>
    <w:uiPriority w:val="0"/>
    <w:qFormat/>
    <w:pPr>
      <w:spacing w:line="360" w:lineRule="auto"/>
    </w:pPr>
    <w:rPr>
      <w:sz w:val="24"/>
      <w:szCs w:val="20"/>
    </w:rPr>
  </w:style>
  <w:style w:type="paragraph" w:styleId="1079" w:customStyle="1">
    <w:name w:val="样式1"/>
    <w:basedOn w:val="789"/>
    <w:uiPriority w:val="0"/>
    <w:qFormat/>
    <w:pPr>
      <w:numPr>
        <w:ilvl w:val="0"/>
        <w:numId w:val="3"/>
      </w:numPr>
    </w:pPr>
    <w:rPr>
      <w:rFonts w:ascii="宋体" w:hAnsi="宋体"/>
    </w:rPr>
  </w:style>
  <w:style w:type="paragraph" w:styleId="1080" w:customStyle="1">
    <w:name w:val="font6"/>
    <w:basedOn w:val="789"/>
    <w:uiPriority w:val="0"/>
    <w:qFormat/>
    <w:pPr>
      <w:jc w:val="left"/>
      <w:spacing w:before="100" w:beforeAutospacing="1" w:after="100" w:afterAutospacing="1"/>
      <w:widowControl/>
    </w:pPr>
    <w:rPr>
      <w:rFonts w:hint="eastAsia" w:ascii="宋体" w:hAnsi="宋体"/>
      <w:sz w:val="28"/>
      <w:szCs w:val="28"/>
      <w:u w:val="single"/>
    </w:rPr>
  </w:style>
  <w:style w:type="paragraph" w:styleId="1081" w:customStyle="1">
    <w:name w:val="xl25"/>
    <w:basedOn w:val="78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2" w:customStyle="1">
    <w:name w:val="图标"/>
    <w:basedOn w:val="789"/>
    <w:next w:val="78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3" w:customStyle="1">
    <w:name w:val="标题3"/>
    <w:basedOn w:val="789"/>
    <w:next w:val="789"/>
    <w:uiPriority w:val="0"/>
    <w:qFormat/>
    <w:pPr>
      <w:ind w:firstLine="624"/>
      <w:spacing w:line="590" w:lineRule="atLeast"/>
    </w:pPr>
    <w:rPr>
      <w:rFonts w:ascii="方正黑体_GBK" w:eastAsia="方正黑体_GBK"/>
      <w:sz w:val="32"/>
      <w:szCs w:val="32"/>
    </w:rPr>
  </w:style>
  <w:style w:type="paragraph" w:styleId="1084" w:customStyle="1">
    <w:name w:val="xl24"/>
    <w:basedOn w:val="7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5" w:customStyle="1">
    <w:name w:val="xl29"/>
    <w:basedOn w:val="78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6" w:customStyle="1">
    <w:name w:val="Char Char Char Char Char Char Char Char"/>
    <w:basedOn w:val="789"/>
    <w:uiPriority w:val="0"/>
    <w:qFormat/>
    <w:pPr>
      <w:jc w:val="left"/>
      <w:spacing w:after="160" w:line="240" w:lineRule="exact"/>
      <w:widowControl/>
    </w:pPr>
    <w:rPr>
      <w:rFonts w:ascii="Verdana" w:hAnsi="Verdana"/>
      <w:sz w:val="20"/>
      <w:szCs w:val="20"/>
      <w:lang w:eastAsia="en-US"/>
    </w:rPr>
  </w:style>
  <w:style w:type="paragraph" w:styleId="1087" w:customStyle="1">
    <w:name w:val="xl28"/>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8" w:customStyle="1">
    <w:name w:val=" Char Char Char Char Char Char Char Char"/>
    <w:basedOn w:val="789"/>
    <w:uiPriority w:val="0"/>
    <w:qFormat/>
    <w:pPr>
      <w:jc w:val="left"/>
      <w:spacing w:after="160" w:line="240" w:lineRule="exact"/>
      <w:widowControl/>
    </w:pPr>
    <w:rPr>
      <w:rFonts w:ascii="Verdana" w:hAnsi="Verdana"/>
      <w:sz w:val="20"/>
      <w:szCs w:val="20"/>
      <w:lang w:eastAsia="en-US"/>
    </w:rPr>
  </w:style>
  <w:style w:type="paragraph" w:styleId="1089" w:customStyle="1">
    <w:name w:val="xl30"/>
    <w:basedOn w:val="789"/>
    <w:uiPriority w:val="0"/>
    <w:qFormat/>
    <w:pPr>
      <w:jc w:val="center"/>
      <w:spacing w:before="100" w:beforeAutospacing="1" w:after="100" w:afterAutospacing="1"/>
      <w:widowControl/>
    </w:pPr>
    <w:rPr>
      <w:rFonts w:ascii="宋体" w:hAnsi="宋体"/>
      <w:b/>
      <w:bCs/>
      <w:sz w:val="36"/>
      <w:szCs w:val="36"/>
    </w:rPr>
  </w:style>
  <w:style w:type="paragraph" w:styleId="1090" w:customStyle="1">
    <w:name w:val="Char Char Char Char"/>
    <w:basedOn w:val="1009"/>
    <w:uiPriority w:val="0"/>
    <w:qFormat/>
    <w:pPr>
      <w:spacing w:line="360" w:lineRule="auto"/>
    </w:pPr>
    <w:rPr>
      <w:rFonts w:ascii="Tahoma" w:hAnsi="Tahoma"/>
      <w:sz w:val="24"/>
      <w:szCs w:val="24"/>
    </w:rPr>
  </w:style>
  <w:style w:type="paragraph" w:styleId="1091" w:customStyle="1">
    <w:name w:val="table_1stline"/>
    <w:basedOn w:val="789"/>
    <w:uiPriority w:val="0"/>
    <w:qFormat/>
    <w:pPr>
      <w:jc w:val="left"/>
      <w:spacing w:before="120"/>
      <w:widowControl/>
    </w:pPr>
    <w:rPr>
      <w:bCs/>
      <w:sz w:val="20"/>
      <w:szCs w:val="20"/>
      <w:lang w:val="de-DE" w:eastAsia="de-DE"/>
    </w:rPr>
  </w:style>
  <w:style w:type="paragraph" w:styleId="1092" w:customStyle="1">
    <w:name w:val="font5"/>
    <w:basedOn w:val="789"/>
    <w:uiPriority w:val="0"/>
    <w:qFormat/>
    <w:pPr>
      <w:jc w:val="left"/>
      <w:spacing w:before="100" w:beforeAutospacing="1" w:after="100" w:afterAutospacing="1"/>
      <w:widowControl/>
    </w:pPr>
    <w:rPr>
      <w:rFonts w:hint="eastAsia" w:ascii="宋体" w:hAnsi="宋体"/>
      <w:sz w:val="28"/>
      <w:szCs w:val="28"/>
    </w:rPr>
  </w:style>
  <w:style w:type="paragraph" w:styleId="1093" w:customStyle="1">
    <w:name w:val="标题1"/>
    <w:basedOn w:val="789"/>
    <w:next w:val="78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9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96" w:customStyle="1">
    <w:name w:val="普通文字"/>
    <w:basedOn w:val="789"/>
    <w:next w:val="789"/>
    <w:uiPriority w:val="99"/>
    <w:qFormat/>
    <w:rPr>
      <w:rFonts w:ascii="宋体" w:hAnsi="Times New Roman" w:eastAsia="宋体" w:cs="Times New Roman"/>
      <w:sz w:val="24"/>
      <w:szCs w:val="20"/>
      <w:u w:val="none"/>
    </w:rPr>
  </w:style>
  <w:style w:type="paragraph" w:styleId="1097" w:customStyle="1">
    <w:name w:val="目录 111"/>
    <w:basedOn w:val="789"/>
    <w:next w:val="789"/>
    <w:uiPriority w:val="39"/>
    <w:unhideWhenUsed/>
    <w:qFormat/>
    <w:pPr>
      <w:jc w:val="left"/>
      <w:spacing w:after="100" w:line="259" w:lineRule="auto"/>
      <w:widowControl/>
    </w:pPr>
    <w:rPr>
      <w:rFonts w:ascii="Calibri" w:hAnsi="Calibri" w:eastAsia="宋体"/>
      <w:sz w:val="22"/>
      <w:szCs w:val="22"/>
    </w:rPr>
  </w:style>
  <w:style w:type="paragraph" w:styleId="1098" w:customStyle="1">
    <w:name w:val="首行缩进"/>
    <w:uiPriority w:val="0"/>
    <w:qFormat/>
    <w:pPr>
      <w:ind w:firstLine="480"/>
      <w:jc w:val="both"/>
      <w:widowControl w:val="off"/>
    </w:pPr>
    <w:rPr>
      <w:rFonts w:hint="default" w:ascii="Calibri" w:hAnsi="Calibri" w:eastAsia="宋体" w:cs="Times New Roman"/>
      <w:sz w:val="21"/>
      <w:lang w:val="zh-CN" w:eastAsia="zh-CN" w:bidi="ar-SA"/>
    </w:rPr>
  </w:style>
  <w:style w:type="paragraph" w:styleId="1099" w:customStyle="1">
    <w:name w:val="引文目录1"/>
    <w:basedOn w:val="789"/>
    <w:next w:val="789"/>
    <w:uiPriority w:val="0"/>
    <w:qFormat/>
    <w:pPr>
      <w:ind w:left="420"/>
    </w:pPr>
  </w:style>
  <w:style w:type="paragraph" w:styleId="1100" w:customStyle="1">
    <w:name w:val="List Paragraph1"/>
    <w:uiPriority w:val="0"/>
    <w:qFormat/>
    <w:pPr>
      <w:ind w:firstLine="420"/>
      <w:jc w:val="both"/>
      <w:widowControl w:val="off"/>
    </w:pPr>
    <w:rPr>
      <w:rFonts w:hint="default" w:ascii="Times New Roman" w:hAnsi="Times New Roman" w:eastAsia="宋体" w:cs="Times New Roman"/>
      <w:sz w:val="21"/>
      <w:szCs w:val="21"/>
      <w:lang w:val="en-US" w:eastAsia="zh-CN" w:bidi="ar-SA"/>
    </w:rPr>
  </w:style>
  <w:style w:type="character" w:styleId="1101" w:customStyle="1">
    <w:name w:val="NormalCharacter1"/>
    <w:link w:val="1102"/>
    <w:uiPriority w:val="99"/>
    <w:qFormat/>
  </w:style>
  <w:style w:type="paragraph" w:styleId="1102" w:customStyle="1">
    <w:name w:val="UserStyle_4"/>
    <w:basedOn w:val="789"/>
    <w:link w:val="1101"/>
    <w:uiPriority w:val="99"/>
    <w:qFormat/>
  </w:style>
  <w:style w:type="character" w:styleId="1103" w:customStyle="1">
    <w:name w:val="font41"/>
    <w:basedOn w:val="799"/>
    <w:uiPriority w:val="0"/>
    <w:qFormat/>
    <w:rPr>
      <w:rFonts w:hint="default" w:ascii="仿宋_GB2312" w:eastAsia="仿宋_GB2312" w:cs="仿宋_GB2312"/>
      <w:color w:val="000000"/>
      <w:sz w:val="21"/>
      <w:szCs w:val="21"/>
      <w:u w:val="single"/>
    </w:rPr>
  </w:style>
  <w:style w:type="character" w:styleId="1104" w:customStyle="1">
    <w:name w:val="font21"/>
    <w:basedOn w:val="799"/>
    <w:uiPriority w:val="0"/>
    <w:qFormat/>
    <w:rPr>
      <w:rFonts w:hint="default" w:ascii="仿宋_GB2312" w:eastAsia="仿宋_GB2312" w:cs="仿宋_GB2312"/>
      <w:color w:val="000000"/>
      <w:sz w:val="21"/>
      <w:szCs w:val="21"/>
      <w:u w:val="none"/>
    </w:rPr>
  </w:style>
  <w:style w:type="character" w:styleId="1105" w:customStyle="1">
    <w:name w:val="font11"/>
    <w:basedOn w:val="799"/>
    <w:uiPriority w:val="0"/>
    <w:qFormat/>
    <w:rPr>
      <w:rFonts w:hint="eastAsia" w:ascii="宋体" w:hAnsi="宋体" w:eastAsia="宋体" w:cs="宋体"/>
      <w:color w:val="000000"/>
      <w:sz w:val="28"/>
      <w:szCs w:val="28"/>
      <w:u w:val="none"/>
    </w:rPr>
  </w:style>
  <w:style w:type="character" w:styleId="1106" w:customStyle="1">
    <w:name w:val="font71"/>
    <w:basedOn w:val="799"/>
    <w:uiPriority w:val="0"/>
    <w:qFormat/>
    <w:rPr>
      <w:rFonts w:hint="eastAsia" w:ascii="宋体" w:hAnsi="宋体" w:eastAsia="宋体" w:cs="宋体"/>
      <w:b/>
      <w:bCs/>
      <w:color w:val="000000"/>
      <w:sz w:val="24"/>
      <w:szCs w:val="24"/>
      <w:u w:val="single"/>
    </w:rPr>
  </w:style>
  <w:style w:type="character" w:styleId="1107" w:customStyle="1">
    <w:name w:val="font81"/>
    <w:basedOn w:val="799"/>
    <w:uiPriority w:val="0"/>
    <w:qFormat/>
    <w:rPr>
      <w:rFonts w:hint="eastAsia" w:ascii="宋体" w:hAnsi="宋体" w:eastAsia="宋体" w:cs="宋体"/>
      <w:color w:val="000000"/>
      <w:sz w:val="24"/>
      <w:szCs w:val="24"/>
      <w:u w:val="single"/>
    </w:rPr>
  </w:style>
  <w:style w:type="paragraph" w:styleId="1108" w:customStyle="1">
    <w:name w:val="标题 411"/>
    <w:next w:val="789"/>
    <w:uiPriority w:val="0"/>
    <w:qFormat/>
    <w:pPr>
      <w:jc w:val="center"/>
      <w:keepNext/>
      <w:widowControl w:val="off"/>
      <w:outlineLvl w:val="3"/>
    </w:pPr>
    <w:rPr>
      <w:rFonts w:hint="default" w:ascii="Times New Roman" w:hAnsi="Times New Roman" w:eastAsia="楷体_GB2312" w:cs="Times New Roman"/>
      <w:b/>
      <w:bCs/>
      <w:sz w:val="13"/>
      <w:szCs w:val="24"/>
      <w:lang w:val="en-US" w:eastAsia="zh-CN" w:bidi="ar-SA"/>
    </w:rPr>
  </w:style>
  <w:style w:type="paragraph" w:styleId="1109" w:customStyle="1">
    <w:name w:val="正文文本11"/>
    <w:uiPriority w:val="0"/>
    <w:qFormat/>
    <w:pPr>
      <w:jc w:val="both"/>
      <w:widowControl w:val="off"/>
    </w:pPr>
    <w:rPr>
      <w:rFonts w:hint="default" w:ascii="仿宋_GB2312" w:hAnsi="Times New Roman" w:eastAsia="仿宋_GB2312" w:cs="Times New Roman"/>
      <w:sz w:val="28"/>
      <w:szCs w:val="20"/>
      <w:lang w:val="en-US" w:eastAsia="zh-CN" w:bidi="ar-SA"/>
    </w:rPr>
  </w:style>
  <w:style w:type="paragraph" w:styleId="1110" w:customStyle="1">
    <w:name w:val="BodyTextIndent21"/>
    <w:next w:val="789"/>
    <w:uiPriority w:val="0"/>
    <w:qFormat/>
    <w:pPr>
      <w:ind w:left="420"/>
      <w:jc w:val="both"/>
      <w:spacing w:after="120" w:line="480" w:lineRule="auto"/>
      <w:widowControl/>
    </w:pPr>
    <w:rPr>
      <w:rFonts w:hint="default" w:ascii="Times New Roman" w:hAnsi="Times New Roman" w:eastAsia="宋体" w:cs="Times New Roman"/>
      <w:sz w:val="21"/>
      <w:szCs w:val="24"/>
      <w:lang w:val="en-US" w:eastAsia="zh-CN" w:bidi="ar-SA"/>
    </w:rPr>
  </w:style>
  <w:style w:type="paragraph" w:styleId="1111" w:customStyle="1">
    <w:name w:val="页眉1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1112" w:customStyle="1">
    <w:name w:val="页脚11"/>
    <w:uiPriority w:val="0"/>
    <w:unhideWhenUsed/>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numbering" w:styleId="11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74792a66-300b-42e2-9bfa-aea48a74fb2a</errorID>
      <errorWord>“.</errorWord>
      <group>L1_Punc</group>
      <groupName>标点问题</groupName>
      <ability>L2_Punc_CN</ability>
      <abilityName>标点符号检查</abilityName>
      <candidateList>
        <item>“</item>
      </candidateList>
      <explain/>
      <paraID>151A863A</paraID>
      <start>145</start>
      <end>147</end>
      <status>ignored</status>
      <modifiedWord/>
      <trackRevisions>false</trackRevisions>
    </reviewItem>
    <reviewItem>
      <errorID>89a4473c-3df0-43bb-b7d0-304137406a13</errorID>
      <errorWord>100万以下</errorWord>
      <group>L1_Word</group>
      <groupName>字词问题</groupName>
      <ability>L2_Typo</ability>
      <abilityName>字词错误</abilityName>
      <candidateList>
        <item>100万元以下</item>
      </candidateList>
      <explain/>
      <paraID>536EBE8B</paraID>
      <start>51</start>
      <end>57</end>
      <status>ignored</status>
      <modifiedWord/>
      <trackRevisions>false</trackRevisions>
    </reviewItem>
    <reviewItem>
      <errorID>cab0f1f6-5688-4149-a9fc-14dc48429d9c</errorID>
      <errorWord>：/</errorWord>
      <group>L1_Punc</group>
      <groupName>标点问题</groupName>
      <ability>L2_Punc_CN</ability>
      <abilityName>标点符号检查</abilityName>
      <candidateList>
        <item>：</item>
      </candidateList>
      <explain/>
      <paraID>6A2CEEE2</paraID>
      <start>5</start>
      <end>7</end>
      <status>ignored</status>
      <modifiedWord/>
      <trackRevisions>false</trackRevisions>
    </reviewItem>
    <reviewItem>
      <errorID>43b4d414-3f7a-4eab-94b4-ef70a39dab84</errorID>
      <errorWord>做</errorWord>
      <group>L1_Word</group>
      <groupName>字词问题</groupName>
      <ability>L2_Typo</ability>
      <abilityName>字词错误</abilityName>
      <candidateList>
        <item>作</item>
      </candidateList>
      <explain/>
      <paraID>45947FF4</paraID>
      <start>70</start>
      <end>71</end>
      <status>ignored</status>
      <modifiedWord/>
      <trackRevisions>false</trackRevisions>
    </reviewItem>
    <reviewItem>
      <errorID>9e8a32e7-d1e4-4a69-bc18-4f2ba4715c77</errorID>
      <errorWord>&lt;</errorWord>
      <group>L1_Format</group>
      <groupName>格式问题</groupName>
      <ability>L2_HalfPunc_CN</ability>
      <abilityName>全半角检查</abilityName>
      <candidateList>
        <item>〈</item>
      </candidateList>
      <explain>文本全半角错误。</explain>
      <paraID>2D413B44</paraID>
      <start>49</start>
      <end>50</end>
      <status>ignored</status>
      <modifiedWord/>
      <trackRevisions>false</trackRevisions>
    </reviewItem>
    <reviewItem>
      <errorID>5c4382b4-bddd-4856-bdca-8b47f1210055</errorID>
      <errorWord>&lt;</errorWord>
      <group>L1_Format</group>
      <groupName>格式问题</groupName>
      <ability>L2_HalfPunc_CN</ability>
      <abilityName>全半角检查</abilityName>
      <candidateList>
        <item>〈</item>
      </candidateList>
      <explain>文本全半角错误。</explain>
      <paraID>11B93507</paraID>
      <start>49</start>
      <end>50</end>
      <status>ignored</status>
      <modifiedWord/>
      <trackRevisions>false</trackRevisions>
    </reviewItem>
    <reviewItem>
      <errorID>69000bad-26e3-4e86-ad5c-c4a68a556c3c</errorID>
      <errorWord>&lt;</errorWord>
      <group>L1_Format</group>
      <groupName>格式问题</groupName>
      <ability>L2_HalfPunc_CN</ability>
      <abilityName>全半角检查</abilityName>
      <candidateList>
        <item>〈</item>
      </candidateList>
      <explain>文本全半角错误。</explain>
      <paraID>2B8EAFBD</paraID>
      <start>34</start>
      <end>35</end>
      <status>ignored</status>
      <modifiedWord/>
      <trackRevisions>false</trackRevisions>
    </reviewItem>
    <reviewItem>
      <errorID>f5a57b22-1765-476b-8fdb-f2f7a87fb12e</errorID>
      <errorWord>，</errorWord>
      <group>L1_Word</group>
      <groupName>字词问题</groupName>
      <ability>L2_Typo</ability>
      <abilityName>字词错误</abilityName>
      <candidateList>
        <item>，并</item>
      </candidateList>
      <explain/>
      <paraID>25EF9D72</paraID>
      <start>72</start>
      <end>73</end>
      <status>ignored</status>
      <modifiedWord/>
      <trackRevisions>false</trackRevisions>
    </reviewItem>
    <reviewItem>
      <errorID>3a68d9fb-4f4a-412f-b5f9-d1fbf086fceb</errorID>
      <errorWord>属</errorWord>
      <group>L1_Word</group>
      <groupName>字词问题</groupName>
      <ability>L2_Typo</ability>
      <abilityName>字词错误</abilityName>
      <candidateList>
        <item>属于</item>
      </candidateList>
      <explain/>
      <paraID>4BDC2E3E</paraID>
      <start>22</start>
      <end>23</end>
      <status>ignored</status>
      <modifiedWord/>
      <trackRevisions>false</trackRevisions>
    </reviewItem>
    <reviewItem>
      <errorID>f58b5316-8a3a-4646-a6db-301a0d114ac3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4263743C</paraID>
      <start>0</start>
      <end>1</end>
      <status>ignored</status>
      <modifiedWord/>
      <trackRevisions>false</trackRevisions>
    </reviewItem>
    <reviewItem>
      <errorID>fc1ad130-0ea4-459a-a4b1-b19458eba5ff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27B92154</paraID>
      <start>0</start>
      <end>2</end>
      <status>ignored</status>
      <modifiedWord/>
      <trackRevisions>false</trackRevisions>
    </reviewItem>
    <reviewItem>
      <errorID>ae79a492-aac4-45bf-b364-51ead88df477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1120D113</paraID>
      <start>0</start>
      <end>2</end>
      <status>ignored</status>
      <modifiedWord/>
      <trackRevisions>false</trackRevisions>
    </reviewItem>
    <reviewItem>
      <errorID>00613d77-4ad4-491c-ae04-a30bea7e4961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BE4F8EA</paraID>
      <start>0</start>
      <end>2</end>
      <status>ignored</status>
      <modifiedWord/>
      <trackRevisions>false</trackRevisions>
    </reviewItem>
    <reviewItem>
      <errorID>de8049d9-db6d-438e-b312-395f47a3e7b9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26866A43</paraID>
      <start>0</start>
      <end>2</end>
      <status>ignored</status>
      <modifiedWord/>
      <trackRevisions>false</trackRevisions>
    </reviewItem>
    <reviewItem>
      <errorID>1eaa5eac-b6d2-417f-a196-6f6ad7654e05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1E8609BB</paraID>
      <start>0</start>
      <end>2</end>
      <status>ignored</status>
      <modifiedWord/>
      <trackRevisions>false</trackRevisions>
    </reviewItem>
    <reviewItem>
      <errorID>12512b61-0e0e-4ab5-86d5-c86c2e72fc6a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5B122567</paraID>
      <start>0</start>
      <end>2</end>
      <status>ignored</status>
      <modifiedWord/>
      <trackRevisions>false</trackRevisions>
    </reviewItem>
    <reviewItem>
      <errorID>497147a7-b37c-4bb3-9ba8-b958a1d6994e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3D8DA107</paraID>
      <start>0</start>
      <end>2</end>
      <status>ignored</status>
      <modifiedWord/>
      <trackRevisions>false</trackRevisions>
    </reviewItem>
    <reviewItem>
      <errorID>2d7fd8d0-31a6-4a70-a48c-0e2ba3c264d7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61B55C47</paraID>
      <start>0</start>
      <end>2</end>
      <status>ignored</status>
      <modifiedWord/>
      <trackRevisions>false</trackRevisions>
    </reviewItem>
    <reviewItem>
      <errorID>d3c80514-7bf1-4a9d-8049-3e2e6de021b6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5AA63D95</paraID>
      <start>0</start>
      <end>2</end>
      <status>ignored</status>
      <modifiedWord/>
      <trackRevisions>false</trackRevisions>
    </reviewItem>
    <reviewItem>
      <errorID>b6ec3383-9323-434e-834a-9973f5a45ca1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3B6767E6</paraID>
      <start>0</start>
      <end>2</end>
      <status>ignored</status>
      <modifiedWord/>
      <trackRevisions>false</trackRevisions>
    </reviewItem>
    <reviewItem>
      <errorID>5c360764-5cf5-464d-b82c-58e5359cc917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6A3F074E</paraID>
      <start>0</start>
      <end>2</end>
      <status>ignored</status>
      <modifiedWord/>
      <trackRevisions>false</trackRevisions>
    </reviewItem>
    <reviewItem>
      <errorID>45ae3c6d-242b-49c4-86ce-531d5f4ba533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69C54DBE</paraID>
      <start>0</start>
      <end>2</end>
      <status>ignored</status>
      <modifiedWord/>
      <trackRevisions>false</trackRevisions>
    </reviewItem>
    <reviewItem>
      <errorID>869ebcf2-706e-4f60-b82d-5c1f6efe84d6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68063CFE</paraID>
      <start>0</start>
      <end>2</end>
      <status>ignored</status>
      <modifiedWord/>
      <trackRevisions>false</trackRevisions>
    </reviewItem>
    <reviewItem>
      <errorID>25a0e34e-c750-401e-b4f9-6f2ac3c2aa49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EC5A2AC</paraID>
      <start>0</start>
      <end>2</end>
      <status>ignored</status>
      <modifiedWord/>
      <trackRevisions>false</trackRevisions>
    </reviewItem>
    <reviewItem>
      <errorID>ef3d758c-c22e-469a-b48f-8b04151cd58b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298CE3D5</paraID>
      <start>0</start>
      <end>2</end>
      <status>ignored</status>
      <modifiedWord/>
      <trackRevisions>false</trackRevisions>
    </reviewItem>
    <reviewItem>
      <errorID>fcffaebc-2035-46af-b2de-059a8b513447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2DA17757</paraID>
      <start>0</start>
      <end>3</end>
      <status>ignored</status>
      <modifiedWord/>
      <trackRevisions>false</trackRevisions>
    </reviewItem>
    <reviewItem>
      <errorID>23c55b70-b302-468a-8082-2fc23d1346cf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1EB5CC41</paraID>
      <start>0</start>
      <end>3</end>
      <status>ignored</status>
      <modifiedWord/>
      <trackRevisions>false</trackRevisions>
    </reviewItem>
    <reviewItem>
      <errorID>9f4f045b-bdfd-4db5-bec1-8384a48cde9a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5B23B5D</paraID>
      <start>0</start>
      <end>3</end>
      <status>ignored</status>
      <modifiedWord/>
      <trackRevisions>false</trackRevisions>
    </reviewItem>
    <reviewItem>
      <errorID>6b8a21f8-3f44-4f83-b060-23fddcf3091c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7839677</paraID>
      <start>0</start>
      <end>3</end>
      <status>ignored</status>
      <modifiedWord/>
      <trackRevisions>false</trackRevisions>
    </reviewItem>
    <reviewItem>
      <errorID>1c3ebeb4-ae0b-4bef-b0d8-41ae5e456fee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3F99AB8F</paraID>
      <start>0</start>
      <end>3</end>
      <status>ignored</status>
      <modifiedWord/>
      <trackRevisions>false</trackRevisions>
    </reviewItem>
    <reviewItem>
      <errorID>120c4132-0b1d-4866-b241-5d0e926328a4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30CDAD27</paraID>
      <start>0</start>
      <end>3</end>
      <status>ignored</status>
      <modifiedWord/>
      <trackRevisions>false</trackRevisions>
    </reviewItem>
    <reviewItem>
      <errorID>6a0b69bb-efa9-4e83-b77d-3bd8231e241d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22DA7B31</paraID>
      <start>0</start>
      <end>2</end>
      <status>ignored</status>
      <modifiedWord/>
      <trackRevisions>false</trackRevisions>
    </reviewItem>
    <reviewItem>
      <errorID>1b065042-b9a8-485c-8dfb-52baa990f678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704066CF</paraID>
      <start>0</start>
      <end>2</end>
      <status>ignored</status>
      <modifiedWord/>
      <trackRevisions>false</trackRevisions>
    </reviewItem>
    <reviewItem>
      <errorID>a9aa24fe-bcd7-4a55-b355-11b5098b65ab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1AE03D1B</paraID>
      <start>0</start>
      <end>2</end>
      <status>ignored</status>
      <modifiedWord/>
      <trackRevisions>false</trackRevisions>
    </reviewItem>
    <reviewItem>
      <errorID>bd84db81-e159-4a8a-af6f-f63ad8915e6e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30DE1BA1</paraID>
      <start>0</start>
      <end>2</end>
      <status>ignored</status>
      <modifiedWord/>
      <trackRevisions>false</trackRevisions>
    </reviewItem>
    <reviewItem>
      <errorID>d844407e-132b-407b-9d36-ce09cb7edd87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7A77EFAB</paraID>
      <start>0</start>
      <end>2</end>
      <status>ignored</status>
      <modifiedWord/>
      <trackRevisions>false</trackRevisions>
    </reviewItem>
    <reviewItem>
      <errorID>427b2f09-f602-4bae-9199-a27c7f49fedb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A59493</paraID>
      <start>0</start>
      <end>2</end>
      <status>ignored</status>
      <modifiedWord/>
      <trackRevisions>false</trackRevisions>
    </reviewItem>
    <reviewItem>
      <errorID>ef7773c8-6b05-4b1b-9527-62e9f6ec2898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640A159A</paraID>
      <start>0</start>
      <end>2</end>
      <status>ignored</status>
      <modifiedWord/>
      <trackRevisions>false</trackRevisions>
    </reviewItem>
    <reviewItem>
      <errorID>fc40f2d5-4a08-4ad3-911e-79157b179229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6635EF97</paraID>
      <start>0</start>
      <end>2</end>
      <status>ignored</status>
      <modifiedWord/>
      <trackRevisions>false</trackRevisions>
    </reviewItem>
    <reviewItem>
      <errorID>45a4a350-0a7d-4e76-978d-882fb7f67255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71D7FAAB</paraID>
      <start>0</start>
      <end>2</end>
      <status>ignored</status>
      <modifiedWord/>
      <trackRevisions>false</trackRevisions>
    </reviewItem>
    <reviewItem>
      <errorID>f8ab58cd-3e5c-4e3a-ba7b-cccc1c9c5296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5484E879</paraID>
      <start>0</start>
      <end>3</end>
      <status>ignored</status>
      <modifiedWord/>
      <trackRevisions>false</trackRevisions>
    </reviewItem>
    <reviewItem>
      <errorID>f63545b6-aeb1-4ff9-809f-aeb3b2bb9612</errorID>
      <errorWord>造成损失的，乙方</errorWord>
      <group>L1_Word</group>
      <groupName>字词问题</groupName>
      <ability>L2_Typo</ability>
      <abilityName>字词错误</abilityName>
      <candidateList>
        <item>造成损失的，由乙方</item>
      </candidateList>
      <explain/>
      <paraID>7F2AA729</paraID>
      <start>34</start>
      <end>42</end>
      <status>ignored</status>
      <modifiedWord/>
      <trackRevisions>false</trackRevisions>
    </reviewItem>
    <reviewItem>
      <errorID>ca68f921-7967-4ca1-8633-2cf75c3dda2d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715E5B5D</paraID>
      <start>0</start>
      <end>2</end>
      <status>ignored</status>
      <modifiedWord/>
      <trackRevisions>false</trackRevisions>
    </reviewItem>
    <reviewItem>
      <errorID>0c682fae-4fad-47c9-94c7-b6ae5706a7ee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2A0077E5</paraID>
      <start>0</start>
      <end>2</end>
      <status>ignored</status>
      <modifiedWord/>
      <trackRevisions>false</trackRevisions>
    </reviewItem>
    <reviewItem>
      <errorID>e5cb735e-ca8e-4a9c-b85c-0c2541278b8c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798BBF54</paraID>
      <start>0</start>
      <end>2</end>
      <status>ignored</status>
      <modifiedWord/>
      <trackRevisions>false</trackRevisions>
    </reviewItem>
    <reviewItem>
      <errorID>32f6051b-59d5-4359-8ef8-568460005e7b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61EFA01D</paraID>
      <start>0</start>
      <end>2</end>
      <status>ignored</status>
      <modifiedWord/>
      <trackRevisions>false</trackRevisions>
    </reviewItem>
    <reviewItem>
      <errorID>bcc4e5aa-cb1a-4c09-8822-1ca681c99daa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F712498</paraID>
      <start>0</start>
      <end>2</end>
      <status>ignored</status>
      <modifiedWord/>
      <trackRevisions>false</trackRevisions>
    </reviewItem>
    <reviewItem>
      <errorID>5fc01a54-3f2b-4a24-844d-9053e051db48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2A46C9FE</paraID>
      <start>0</start>
      <end>2</end>
      <status>ignored</status>
      <modifiedWord/>
      <trackRevisions>false</trackRevisions>
    </reviewItem>
    <reviewItem>
      <errorID>df03cb1e-42a1-431a-8045-1ab713d8ef8a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6363BFD9</paraID>
      <start>0</start>
      <end>2</end>
      <status>ignored</status>
      <modifiedWord/>
      <trackRevisions>false</trackRevisions>
    </reviewItem>
    <reviewItem>
      <errorID>7315995c-ca38-41c4-a666-2f04a39548af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45E39D3C</paraID>
      <start>0</start>
      <end>2</end>
      <status>ignored</status>
      <modifiedWord/>
      <trackRevisions>false</trackRevisions>
    </reviewItem>
    <reviewItem>
      <errorID>822c62b4-c287-4be6-8197-181b2a16af78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C22F4B0</paraID>
      <start>0</start>
      <end>2</end>
      <status>ignored</status>
      <modifiedWord/>
      <trackRevisions>false</trackRevisions>
    </reviewItem>
    <reviewItem>
      <errorID>4989083a-d940-431b-970d-340dfba1c595</errorID>
      <errorWord>帐</errorWord>
      <group>L1_Word</group>
      <groupName>字词问题</groupName>
      <ability>L2_Typo</ability>
      <abilityName>字词错误</abilityName>
      <candidateList>
        <item>账</item>
      </candidateList>
      <explain/>
      <paraID> C8376E5</paraID>
      <start>0</start>
      <end>1</end>
      <status>modified</status>
      <modifiedWord>账</modifiedWord>
      <trackRevisions>false</trackRevisions>
    </reviewItem>
    <reviewItem>
      <errorID>9f5a0057-90ec-4a5a-99dd-acf8058815d9</errorID>
      <errorWord>帐</errorWord>
      <group>L1_Word</group>
      <groupName>字词问题</groupName>
      <ability>L2_Typo</ability>
      <abilityName>字词错误</abilityName>
      <candidateList>
        <item>账</item>
      </candidateList>
      <explain/>
      <paraID> C8376E5</paraID>
      <start>35</start>
      <end>36</end>
      <status>modified</status>
      <modifiedWord>账</modifiedWord>
      <trackRevisions>false</trackRevisions>
    </reviewItem>
    <reviewItem>
      <errorID>a43edbad-4818-4501-b7c2-1ef031fd7908</errorID>
      <errorWord>交于</errorWord>
      <group>L1_Word</group>
      <groupName>字词问题</groupName>
      <ability>L2_Typo</ability>
      <abilityName>字词错误</abilityName>
      <candidateList>
        <item>交予</item>
      </candidateList>
      <explain/>
      <paraID>71989CC6</paraID>
      <start>16</start>
      <end>18</end>
      <status>ignored</status>
      <modifiedWord/>
      <trackRevisions>false</trackRevisions>
    </reviewItem>
    <reviewItem>
      <errorID>620cb253-43b1-4464-b941-4bac6e2b5948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322B8A52</paraID>
      <start>6</start>
      <end>7</end>
      <status>ignored</status>
      <modifiedWord/>
      <trackRevisions>false</trackRevisions>
    </reviewItem>
    <reviewItem>
      <errorID>6f0faa7e-0282-4747-be01-da5467213740</errorID>
      <errorWord>设警示标识</errorWord>
      <group>L1_Word</group>
      <groupName>字词问题</groupName>
      <ability>L2_Typo</ability>
      <abilityName>字词错误</abilityName>
      <candidateList>
        <item>设置警示标识</item>
      </candidateList>
      <explain/>
      <paraID>53CE6F31</paraID>
      <start>15</start>
      <end>20</end>
      <status>ignored</status>
      <modifiedWord/>
      <trackRevisions>false</trackRevisions>
    </reviewItem>
    <reviewItem>
      <errorID>6c522dfc-e89a-44d0-bcbe-742036259b2c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453954FA</paraID>
      <start>0</start>
      <end>2</end>
      <status>ignored</status>
      <modifiedWord/>
      <trackRevisions>false</trackRevisions>
    </reviewItem>
    <reviewItem>
      <errorID>fd9902c6-80be-45e5-a26b-d7ec8c034437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3A53B9C5</paraID>
      <start>0</start>
      <end>2</end>
      <status>ignored</status>
      <modifiedWord/>
      <trackRevisions>false</trackRevisions>
    </reviewItem>
    <reviewItem>
      <errorID>28c6976b-f6ad-494a-81e0-aec7a7a8e597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1176FA33</paraID>
      <start>0</start>
      <end>2</end>
      <status>ignored</status>
      <modifiedWord/>
      <trackRevisions>false</trackRevisions>
    </reviewItem>
    <reviewItem>
      <errorID>940e9102-948d-4212-a869-1a312fa51658</errorID>
      <errorWord>故</errorWord>
      <group>L1_Word</group>
      <groupName>字词问题</groupName>
      <ability>L2_Typo</ability>
      <abilityName>字词错误</abilityName>
      <candidateList>
        <item>数</item>
      </candidateList>
      <explain>存在字形相近字词的误用。</explain>
      <paraID> ED455CC</paraID>
      <start>4</start>
      <end>5</end>
      <status>ignored</status>
      <modifiedWord/>
      <trackRevisions>false</trackRevisions>
    </reviewItem>
    <reviewItem>
      <errorID>aa4ee22a-ccea-4afe-aab0-9177f61c79ad</errorID>
      <errorWord>如此类推</errorWord>
      <group>L1_Word</group>
      <groupName>字词问题</groupName>
      <ability>L2_Typo</ability>
      <abilityName>字词错误</abilityName>
      <candidateList>
        <item>以此类推</item>
      </candidateList>
      <explain/>
      <paraID> 94E37FC</paraID>
      <start>90</start>
      <end>94</end>
      <status>modified</status>
      <modifiedWord>以此类推</modifiedWord>
      <trackRevisions>false</trackRevisions>
    </reviewItem>
    <reviewItem>
      <errorID>2f82ea62-7c7f-43ab-bd85-25d8814e7c4e</errorID>
      <errorWord>３</errorWord>
      <group>L1_Format</group>
      <groupName>格式问题</groupName>
      <ability>L2_HalfPunc_CN</ability>
      <abilityName>全半角检查</abilityName>
      <candidateList>
        <item>3</item>
      </candidateList>
      <explain>文本全半角错误。</explain>
      <paraID>1272F785</paraID>
      <start>0</start>
      <end>1</end>
      <status>ignored</status>
      <modifiedWord/>
      <trackRevisions>false</trackRevisions>
    </reviewItem>
    <reviewItem>
      <errorID>bf2c0f6f-7329-449c-9609-501f999aa300</errorID>
      <errorWord>，</errorWord>
      <group>L1_Word</group>
      <groupName>字词问题</groupName>
      <ability>L2_Typo</ability>
      <abilityName>字词错误</abilityName>
      <candidateList>
        <item>，在</item>
      </candidateList>
      <explain/>
      <paraID>50632F2B</paraID>
      <start>90</start>
      <end>91</end>
      <status>ignored</status>
      <modifiedWord/>
      <trackRevisions>false</trackRevisions>
    </reviewItem>
    <reviewItem>
      <errorID>c9dec513-5286-41d4-92a9-23abe13ef13e</errorID>
      <errorWord>(</errorWord>
      <group>L1_Format</group>
      <groupName>格式问题</groupName>
      <ability>L2_HalfPunc_CN</ability>
      <abilityName>全半角检查</abilityName>
      <candidateList>
        <item>（</item>
      </candidateList>
      <explain>文本全半角错误。</explain>
      <paraID>383850AC</paraID>
      <start>114</start>
      <end>115</end>
      <status>modified</status>
      <modifiedWord>（</modifiedWord>
      <trackRevisions>false</trackRevisions>
    </reviewItem>
    <reviewItem>
      <errorID>77e25272-da52-42f0-a456-8bf55b457c06</errorID>
      <errorWord>)</errorWord>
      <group>L1_Format</group>
      <groupName>格式问题</groupName>
      <ability>L2_HalfPunc_CN</ability>
      <abilityName>全半角检查</abilityName>
      <candidateList>
        <item>）</item>
      </candidateList>
      <explain>文本全半角错误。</explain>
      <paraID>383850AC</paraID>
      <start>124</start>
      <end>125</end>
      <status>modified</status>
      <modifiedWord>）</modifiedWord>
      <trackRevisions>false</trackRevisions>
    </reviewItem>
    <reviewItem>
      <errorID>5df6b57f-50f4-4198-afb4-76135a1508f9</errorID>
      <errorWord>(</errorWord>
      <group>L1_Format</group>
      <groupName>格式问题</groupName>
      <ability>L2_HalfPunc_CN</ability>
      <abilityName>全半角检查</abilityName>
      <candidateList>
        <item>（</item>
      </candidateList>
      <explain>文本全半角错误。</explain>
      <paraID>778DB713</paraID>
      <start>7</start>
      <end>8</end>
      <status>modified</status>
      <modifiedWord>（</modifiedWord>
      <trackRevisions>false</trackRevisions>
    </reviewItem>
    <reviewItem>
      <errorID>ca40e975-7550-4ccb-9237-5f408a3da48e</errorID>
      <errorWord>)</errorWord>
      <group>L1_Format</group>
      <groupName>格式问题</groupName>
      <ability>L2_HalfPunc_CN</ability>
      <abilityName>全半角检查</abilityName>
      <candidateList>
        <item>）</item>
      </candidateList>
      <explain>文本全半角错误。</explain>
      <paraID>778DB713</paraID>
      <start>18</start>
      <end>19</end>
      <status>modified</status>
      <modifiedWord>）</modifiedWord>
      <trackRevisions>false</trackRevisions>
    </reviewItem>
    <reviewItem>
      <errorID>683abe9d-adad-4535-9c5a-c9107a1cfa6c</errorID>
      <errorWord>详实</errorWord>
      <group>L1_Word</group>
      <groupName>字词问题</groupName>
      <ability>L2_Typo</ability>
      <abilityName>字词错误</abilityName>
      <candidateList>
        <item>翔实</item>
      </candidateList>
      <explain/>
      <paraID>73BE6A7F</paraID>
      <start>2</start>
      <end>4</end>
      <status>ignored</status>
      <modifiedWord/>
      <trackRevisions>false</trackRevisions>
    </reviewItem>
    <reviewItem>
      <errorID>ef7925c2-8c6a-4141-848c-3d50c19171f4</errorID>
      <errorWord>详实</errorWord>
      <group>L1_Word</group>
      <groupName>字词问题</groupName>
      <ability>L2_Typo</ability>
      <abilityName>字词错误</abilityName>
      <candidateList>
        <item>翔实</item>
      </candidateList>
      <explain/>
      <paraID>41542935</paraID>
      <start>2</start>
      <end>4</end>
      <status>ignored</status>
      <modifiedWord/>
      <trackRevisions>false</trackRevisions>
    </reviewItem>
    <reviewItem>
      <errorID>f7daaaa2-1983-4ef0-827b-ee4d1c3c6a16</errorID>
      <errorWord>详实</errorWord>
      <group>L1_Word</group>
      <groupName>字词问题</groupName>
      <ability>L2_Typo</ability>
      <abilityName>字词错误</abilityName>
      <candidateList>
        <item>翔实</item>
      </candidateList>
      <explain/>
      <paraID>538B4379</paraID>
      <start>2</start>
      <end>4</end>
      <status>ignored</status>
      <modifiedWord/>
      <trackRevisions>false</trackRevisions>
    </reviewItem>
    <reviewItem>
      <errorID>85d4f5f3-35bc-4a2c-ab46-8f9fbbcd2cdd</errorID>
      <errorWord>详实</errorWord>
      <group>L1_Word</group>
      <groupName>字词问题</groupName>
      <ability>L2_Typo</ability>
      <abilityName>字词错误</abilityName>
      <candidateList>
        <item>翔实</item>
      </candidateList>
      <explain/>
      <paraID>2F314884</paraID>
      <start>2</start>
      <end>4</end>
      <status>ignored</status>
      <modifiedWord/>
      <trackRevisions>false</trackRevisions>
    </reviewItem>
    <reviewItem>
      <errorID>a1aba83e-459f-4bc3-baef-09f56b2273a6</errorID>
      <errorWord>详实</errorWord>
      <group>L1_Word</group>
      <groupName>字词问题</groupName>
      <ability>L2_Typo</ability>
      <abilityName>字词错误</abilityName>
      <candidateList>
        <item>翔实</item>
      </candidateList>
      <explain/>
      <paraID>490F9E95</paraID>
      <start>2</start>
      <end>4</end>
      <status>ignored</status>
      <modifiedWord/>
      <trackRevisions>false</trackRevisions>
    </reviewItem>
    <reviewItem>
      <errorID>112a174d-1aea-4b2e-b1bd-f69ca1a4583b</errorID>
      <errorWord>(</errorWord>
      <group>L1_Format</group>
      <groupName>格式问题</groupName>
      <ability>L2_HalfPunc_CN</ability>
      <abilityName>全半角检查</abilityName>
      <candidateList>
        <item>（</item>
      </candidateList>
      <explain>文本全半角错误。</explain>
      <paraID>45ABD498</paraID>
      <start>13</start>
      <end>14</end>
      <status>modified</status>
      <modifiedWord>（</modifiedWord>
      <trackRevisions>false</trackRevisions>
    </reviewItem>
    <reviewItem>
      <errorID>889ce2d7-6f41-4101-92b1-98f840c12929</errorID>
      <errorWord>)</errorWord>
      <group>L1_Format</group>
      <groupName>格式问题</groupName>
      <ability>L2_HalfPunc_CN</ability>
      <abilityName>全半角检查</abilityName>
      <candidateList>
        <item>）</item>
      </candidateList>
      <explain>文本全半角错误。</explain>
      <paraID>45ABD498</paraID>
      <start>20</start>
      <end>21</end>
      <status>modified</status>
      <modifiedWord>）</modifiedWord>
      <trackRevisions>false</trackRevisions>
    </reviewItem>
    <reviewItem>
      <errorID>60fe00fe-2074-4513-8e63-2bada0373f19</errorID>
      <errorWord>(</errorWord>
      <group>L1_Format</group>
      <groupName>格式问题</groupName>
      <ability>L2_HalfPunc_CN</ability>
      <abilityName>全半角检查</abilityName>
      <candidateList>
        <item>（</item>
      </candidateList>
      <explain>文本全半角错误。</explain>
      <paraID>304D7FC5</paraID>
      <start>13</start>
      <end>14</end>
      <status>modified</status>
      <modifiedWord>（</modifiedWord>
      <trackRevisions>false</trackRevisions>
    </reviewItem>
    <reviewItem>
      <errorID>03d5e934-ea92-4519-9218-abee191a4078</errorID>
      <errorWord>)</errorWord>
      <group>L1_Format</group>
      <groupName>格式问题</groupName>
      <ability>L2_HalfPunc_CN</ability>
      <abilityName>全半角检查</abilityName>
      <candidateList>
        <item>）</item>
      </candidateList>
      <explain>文本全半角错误。</explain>
      <paraID>304D7FC5</paraID>
      <start>20</start>
      <end>21</end>
      <status>modified</status>
      <modifiedWord>）</modifiedWord>
      <trackRevisions>false</trackRevisions>
    </reviewItem>
    <reviewItem>
      <errorID>afd4e409-8300-40b1-928b-1dea54c0c6e3</errorID>
      <errorWord>(</errorWord>
      <group>L1_Format</group>
      <groupName>格式问题</groupName>
      <ability>L2_HalfPunc_CN</ability>
      <abilityName>全半角检查</abilityName>
      <candidateList>
        <item>（</item>
      </candidateList>
      <explain>文本全半角错误。</explain>
      <paraID>6944E485</paraID>
      <start>13</start>
      <end>14</end>
      <status>modified</status>
      <modifiedWord>（</modifiedWord>
      <trackRevisions>false</trackRevisions>
    </reviewItem>
    <reviewItem>
      <errorID>dfc30b74-e958-474d-984e-cfbd06182e7e</errorID>
      <errorWord>)</errorWord>
      <group>L1_Format</group>
      <groupName>格式问题</groupName>
      <ability>L2_HalfPunc_CN</ability>
      <abilityName>全半角检查</abilityName>
      <candidateList>
        <item>）</item>
      </candidateList>
      <explain>文本全半角错误。</explain>
      <paraID>6944E485</paraID>
      <start>20</start>
      <end>21</end>
      <status>modified</status>
      <modifiedWord>）</modifiedWord>
      <trackRevisions>false</trackRevisions>
    </reviewItem>
    <reviewItem>
      <errorID>31191f08-a298-4ba8-9044-a1ba6856ac5c</errorID>
      <errorWord>(</errorWord>
      <group>L1_Format</group>
      <groupName>格式问题</groupName>
      <ability>L2_HalfPunc_CN</ability>
      <abilityName>全半角检查</abilityName>
      <candidateList>
        <item>（</item>
      </candidateList>
      <explain>文本全半角错误。</explain>
      <paraID>5BCC4D95</paraID>
      <start>0</start>
      <end>1</end>
      <status>modified</status>
      <modifiedWord>（</modifiedWord>
      <trackRevisions>false</trackRevisions>
    </reviewItem>
    <reviewItem>
      <errorID>84ab0d98-cbb4-4a7c-b60a-ac0775d029f5</errorID>
      <errorWord>)</errorWord>
      <group>L1_Format</group>
      <groupName>格式问题</groupName>
      <ability>L2_HalfPunc_CN</ability>
      <abilityName>全半角检查</abilityName>
      <candidateList>
        <item>）</item>
      </candidateList>
      <explain>文本全半角错误。</explain>
      <paraID>5BCC4D95</paraID>
      <start>15</start>
      <end>16</end>
      <status>modified</status>
      <modifiedWord>）</modifiedWord>
      <trackRevisions>false</trackRevisions>
    </reviewItem>
    <reviewItem>
      <errorID>e70738a2-8e6c-4d9a-b36d-fec768b4602e</errorID>
      <errorWord>并做</errorWord>
      <group>L1_Word</group>
      <groupName>字词问题</groupName>
      <ability>L2_Typo</ability>
      <abilityName>字词错误</abilityName>
      <candidateList>
        <item>并作</item>
      </candidateList>
      <explain/>
      <paraID>343603DA</paraID>
      <start>52</start>
      <end>54</end>
      <status>ignored</status>
      <modifiedWord/>
      <trackRevisions>false</trackRevisions>
    </reviewItem>
    <reviewItem>
      <errorID>dffa769e-8161-4986-987b-1c683cfa47b3</errorID>
      <errorWord>）</errorWord>
      <group>L1_Word</group>
      <groupName>字词问题</groupName>
      <ability>L2_Typo</ability>
      <abilityName>字词错误</abilityName>
      <candidateList>
        <item>）在</item>
      </candidateList>
      <explain/>
      <paraID>385D57A8</paraID>
      <start>8</start>
      <end>9</end>
      <status>ignored</status>
      <modifiedWord/>
      <trackRevisions>false</trackRevisions>
    </reviewItem>
    <reviewItem>
      <errorID>5f1760fb-53ab-4d08-ad39-cd18897dbfb9</errorID>
      <errorWord>(</errorWord>
      <group>L1_Format</group>
      <groupName>格式问题</groupName>
      <ability>L2_HalfPunc_CN</ability>
      <abilityName>全半角检查</abilityName>
      <candidateList>
        <item>（</item>
      </candidateList>
      <explain>文本全半角错误。</explain>
      <paraID>3517893B</paraID>
      <start>51</start>
      <end>52</end>
      <status>modified</status>
      <modifiedWord>（</modifiedWord>
      <trackRevisions>false</trackRevisions>
    </reviewItem>
    <reviewItem>
      <errorID>b69c0ecc-6d66-494f-bfbb-33f3f8d9dc35</errorID>
      <errorWord>)</errorWord>
      <group>L1_Format</group>
      <groupName>格式问题</groupName>
      <ability>L2_HalfPunc_CN</ability>
      <abilityName>全半角检查</abilityName>
      <candidateList>
        <item>）</item>
      </candidateList>
      <explain>文本全半角错误。</explain>
      <paraID>3517893B</paraID>
      <start>67</start>
      <end>68</end>
      <status>modified</status>
      <modifiedWord>）</modifiedWord>
      <trackRevisions>false</trackRevisions>
    </reviewItem>
    <reviewItem>
      <errorID>953f6a64-a36d-49ef-b7a5-86db3fe7a2cd</errorID>
      <errorWord>须</errorWord>
      <group>L1_Word</group>
      <groupName>字词问题</groupName>
      <ability>L2_Typo</ability>
      <abilityName>字词错误</abilityName>
      <candidateList>
        <item>需</item>
      </candidateList>
      <explain/>
      <paraID>124EFE22</paraID>
      <start>91</start>
      <end>92</end>
      <status>ignored</status>
      <modifiedWord/>
      <trackRevisions>false</trackRevisions>
    </reviewItem>
    <reviewItem>
      <errorID>a7410ec0-b4e2-4fe7-8456-3bfc6f242045</errorID>
      <errorWord>交纳</errorWord>
      <group>L1_Word</group>
      <groupName>字词问题</groupName>
      <ability>L2_Typo</ability>
      <abilityName>字词错误</abilityName>
      <candidateList>
        <item>缴纳</item>
      </candidateList>
      <explain/>
      <paraID>4762E17F</paraID>
      <start>24</start>
      <end>26</end>
      <status>modified</status>
      <modifiedWord>缴纳</modifiedWord>
      <trackRevisions>false</trackRevisions>
    </reviewItem>
    <reviewItem>
      <errorID>06574c77-879c-4b9c-afa8-762e2ebd4a84</errorID>
      <errorWord>做如下承诺</errorWord>
      <group>L1_Word</group>
      <groupName>字词问题</groupName>
      <ability>L2_Typo</ability>
      <abilityName>字词错误</abilityName>
      <candidateList>
        <item>作如下承诺</item>
      </candidateList>
      <explain/>
      <paraID>1AD4A11B</paraID>
      <start>69</start>
      <end>74</end>
      <status>ignored</status>
      <modifiedWord/>
      <trackRevisions>false</trackRevisions>
    </reviewItem>
    <reviewItem>
      <errorID>1d32af93-4304-42dd-9756-f7af639d0ba6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63CFBB12</paraID>
      <start>0</start>
      <end>2</end>
      <status>ignored</status>
      <modifiedWord/>
      <trackRevisions>false</trackRevisions>
    </reviewItem>
    <reviewItem>
      <errorID>17bfeaa9-add9-4803-8b55-07fbd63ab94f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138C8100</paraID>
      <start>0</start>
      <end>2</end>
      <status>ignored</status>
      <modifiedWord/>
      <trackRevisions>false</trackRevisions>
    </reviewItem>
    <reviewItem>
      <errorID>cda75975-a293-4535-bdbb-effe3694afbd</errorID>
      <errorWord>(</errorWord>
      <group>L1_Format</group>
      <groupName>格式问题</groupName>
      <ability>L2_HalfPunc_CN</ability>
      <abilityName>全半角检查</abilityName>
      <candidateList>
        <item>（</item>
      </candidateList>
      <explain>文本全半角错误。</explain>
      <paraID>1632815A</paraID>
      <start>5</start>
      <end>6</end>
      <status>modified</status>
      <modifiedWord>（</modifiedWord>
      <trackRevisions>false</trackRevisions>
    </reviewItem>
    <reviewItem>
      <errorID>70ad4a47-d926-4cd4-a6ea-4a22b619ff05</errorID>
      <errorWord>)</errorWord>
      <group>L1_Format</group>
      <groupName>格式问题</groupName>
      <ability>L2_HalfPunc_CN</ability>
      <abilityName>全半角检查</abilityName>
      <candidateList>
        <item>）</item>
      </candidateList>
      <explain>文本全半角错误。</explain>
      <paraID>1632815A</paraID>
      <start>8</start>
      <end>9</end>
      <status>modified</status>
      <modifiedWord>）</modifiedWord>
      <trackRevisions>false</trackRevisions>
    </reviewItem>
    <reviewItem>
      <errorID>8cbfec31-db5f-4eaa-88ae-4397bb58cd09</errorID>
      <errorWord>(</errorWord>
      <group>L1_Format</group>
      <groupName>格式问题</groupName>
      <ability>L2_HalfPunc_CN</ability>
      <abilityName>全半角检查</abilityName>
      <candidateList>
        <item>（</item>
      </candidateList>
      <explain>文本全半角错误。</explain>
      <paraID>4116D750</paraID>
      <start>17</start>
      <end>18</end>
      <status>modified</status>
      <modifiedWord>（</modifiedWord>
      <trackRevisions>false</trackRevisions>
    </reviewItem>
    <reviewItem>
      <errorID>03f5d47d-61ae-44de-9ce4-486b10e0f818</errorID>
      <errorWord>)</errorWord>
      <group>L1_Format</group>
      <groupName>格式问题</groupName>
      <ability>L2_HalfPunc_CN</ability>
      <abilityName>全半角检查</abilityName>
      <candidateList>
        <item>）</item>
      </candidateList>
      <explain>文本全半角错误。</explain>
      <paraID>4116D750</paraID>
      <start>26</start>
      <end>27</end>
      <status>modified</status>
      <modifiedWord>）</modifiedWord>
      <trackRevisions>false</trackRevisions>
    </reviewItem>
    <reviewItem>
      <errorID>713195fc-7d43-44d6-b002-ea2014ed6f6e</errorID>
      <errorWord>(</errorWord>
      <group>L1_Format</group>
      <groupName>格式问题</groupName>
      <ability>L2_HalfPunc_CN</ability>
      <abilityName>全半角检查</abilityName>
      <candidateList>
        <item>（</item>
      </candidateList>
      <explain>文本全半角错误。</explain>
      <paraID>1E010D77</paraID>
      <start>2</start>
      <end>3</end>
      <status>modified</status>
      <modifiedWord>（</modifiedWord>
      <trackRevisions>false</trackRevisions>
    </reviewItem>
    <reviewItem>
      <errorID>732fc029-26b2-48ed-9f10-6d3895c99776</errorID>
      <errorWord>(</errorWord>
      <group>L1_Format</group>
      <groupName>格式问题</groupName>
      <ability>L2_HalfPunc_CN</ability>
      <abilityName>全半角检查</abilityName>
      <candidateList>
        <item>（</item>
      </candidateList>
      <explain>文本全半角错误。</explain>
      <paraID>76B5D183</paraID>
      <start>0</start>
      <end>1</end>
      <status>modified</status>
      <modifiedWord>（</modifiedWord>
      <trackRevisions>false</trackRevisions>
    </reviewItem>
    <reviewItem>
      <errorID>37f6bb1a-4cd7-4812-9f9a-a2b35cc68c7c</errorID>
      <errorWord>(</errorWord>
      <group>L1_Format</group>
      <groupName>格式问题</groupName>
      <ability>L2_HalfPunc_CN</ability>
      <abilityName>全半角检查</abilityName>
      <candidateList>
        <item>（</item>
      </candidateList>
      <explain>文本全半角错误。</explain>
      <paraID>76B5D183</paraID>
      <start>75</start>
      <end>76</end>
      <status>modified</status>
      <modifiedWord>（</modifiedWord>
      <trackRevisions>false</trackRevisions>
    </reviewItem>
    <reviewItem>
      <errorID>96ff55e8-b1b2-44a7-a5e4-fe1077619178</errorID>
      <errorWord>)</errorWord>
      <group>L1_Format</group>
      <groupName>格式问题</groupName>
      <ability>L2_HalfPunc_CN</ability>
      <abilityName>全半角检查</abilityName>
      <candidateList>
        <item>）</item>
      </candidateList>
      <explain>文本全半角错误。</explain>
      <paraID>76B5D183</paraID>
      <start>85</start>
      <end>86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F46AE7E-2084-464F-919C-B5D9B1D1593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顾方民</cp:lastModifiedBy>
  <cp:revision>475</cp:revision>
  <dcterms:created xsi:type="dcterms:W3CDTF">2023-03-17T18:16:00Z</dcterms:created>
  <dcterms:modified xsi:type="dcterms:W3CDTF">2026-08-10T03:51:14Z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14EAAC723639479C9B619BFA6B77C3DD_13</vt:lpwstr>
  </property>
  <property fmtid="{D5CDD505-2E9C-101B-9397-08002B2CF9AE}" pid="4" name="KSOTemplateDocerSaveRecord">
    <vt:lpwstr>eyJoZGlkIjoiYzZkNzQ4ZWFiZmQ4NTRhOWRkZTk3YTMwMjlmMmZhYmUiLCJ1c2VySWQiOiI1ODQwMTgzODcifQ==</vt:lpwstr>
  </property>
</Properties>
</file>