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8BA11">
      <w:pPr>
        <w:pStyle w:val="15"/>
        <w:spacing w:before="120" w:beforeAutospacing="0" w:after="120" w:afterAutospacing="0" w:line="360" w:lineRule="auto"/>
        <w:rPr>
          <w:highlight w:val="none"/>
        </w:rPr>
      </w:pPr>
      <w:r>
        <w:rPr>
          <w:highlight w:val="none"/>
        </w:rPr>
        <w:t> </w:t>
      </w:r>
    </w:p>
    <w:p w14:paraId="0748D618">
      <w:pPr>
        <w:pStyle w:val="15"/>
        <w:spacing w:before="120" w:beforeAutospacing="0" w:after="120" w:afterAutospacing="0" w:line="360" w:lineRule="auto"/>
        <w:jc w:val="center"/>
        <w:rPr>
          <w:rFonts w:ascii="Arial" w:hAnsi="Arial" w:cs="Arial"/>
          <w:b/>
          <w:color w:val="000000"/>
          <w:sz w:val="84"/>
          <w:szCs w:val="84"/>
          <w:highlight w:val="none"/>
        </w:rPr>
      </w:pPr>
      <w:r>
        <w:rPr>
          <w:rFonts w:ascii="Arial" w:hAnsi="Arial" w:cs="Arial"/>
          <w:b/>
          <w:color w:val="000000"/>
          <w:sz w:val="84"/>
          <w:szCs w:val="84"/>
          <w:highlight w:val="none"/>
        </w:rPr>
        <w:t>招 标 文 件</w:t>
      </w:r>
    </w:p>
    <w:p w14:paraId="20AAB91B">
      <w:pPr>
        <w:pStyle w:val="15"/>
        <w:spacing w:before="120" w:beforeAutospacing="0" w:after="120" w:afterAutospacing="0" w:line="360" w:lineRule="auto"/>
        <w:jc w:val="center"/>
        <w:rPr>
          <w:rFonts w:ascii="Arial" w:hAnsi="Arial" w:cs="Arial"/>
          <w:b/>
          <w:color w:val="000000"/>
          <w:sz w:val="84"/>
          <w:szCs w:val="84"/>
          <w:highlight w:val="none"/>
        </w:rPr>
      </w:pPr>
    </w:p>
    <w:p w14:paraId="3D180EE0">
      <w:pPr>
        <w:pStyle w:val="15"/>
        <w:spacing w:before="120" w:beforeAutospacing="0" w:after="120" w:afterAutospacing="0" w:line="360" w:lineRule="auto"/>
        <w:jc w:val="center"/>
        <w:rPr>
          <w:rFonts w:ascii="Arial" w:hAnsi="Arial" w:cs="Arial"/>
          <w:b/>
          <w:color w:val="000000"/>
          <w:sz w:val="84"/>
          <w:szCs w:val="84"/>
          <w:highlight w:val="none"/>
        </w:rPr>
      </w:pPr>
    </w:p>
    <w:p w14:paraId="53CCD73E">
      <w:pPr>
        <w:pStyle w:val="15"/>
        <w:spacing w:before="120" w:beforeAutospacing="0" w:after="120" w:afterAutospacing="0" w:line="360" w:lineRule="auto"/>
        <w:ind w:firstLine="2249"/>
        <w:rPr>
          <w:rFonts w:hint="eastAsia" w:asciiTheme="majorEastAsia" w:hAnsiTheme="majorEastAsia" w:eastAsiaTheme="majorEastAsia" w:cstheme="majorEastAsia"/>
          <w:sz w:val="32"/>
          <w:szCs w:val="32"/>
          <w:highlight w:val="none"/>
        </w:rPr>
      </w:pPr>
      <w:r>
        <w:rPr>
          <w:rFonts w:ascii="Arial" w:hAnsi="Arial" w:cs="Arial"/>
          <w:b/>
          <w:color w:val="000000"/>
          <w:sz w:val="32"/>
          <w:szCs w:val="32"/>
          <w:highlight w:val="none"/>
        </w:rPr>
        <w:t>项目名称：</w:t>
      </w:r>
      <w:r>
        <w:rPr>
          <w:rFonts w:hint="eastAsia" w:asciiTheme="majorEastAsia" w:hAnsiTheme="majorEastAsia" w:eastAsiaTheme="majorEastAsia" w:cstheme="majorEastAsia"/>
          <w:sz w:val="32"/>
          <w:szCs w:val="32"/>
          <w:lang w:val="en-US" w:eastAsia="zh-CN"/>
        </w:rPr>
        <w:t>亭湖区数智养老服务系统升级维护和养老机构安全支持项目</w:t>
      </w:r>
    </w:p>
    <w:p w14:paraId="693AAD55">
      <w:pPr>
        <w:pStyle w:val="15"/>
        <w:spacing w:beforeAutospacing="0" w:afterAutospacing="0"/>
        <w:ind w:firstLine="1928" w:firstLineChars="600"/>
        <w:jc w:val="both"/>
        <w:rPr>
          <w:highlight w:val="yellow"/>
        </w:rPr>
      </w:pPr>
      <w:r>
        <w:rPr>
          <w:rFonts w:ascii="Times New Roman" w:hAnsi="Times New Roman"/>
          <w:b/>
          <w:color w:val="000000"/>
          <w:sz w:val="32"/>
          <w:szCs w:val="32"/>
          <w:highlight w:val="none"/>
        </w:rPr>
        <w:t>项目编号：</w:t>
      </w:r>
      <w:r>
        <w:rPr>
          <w:rFonts w:hint="eastAsia" w:ascii="Times New Roman" w:hAnsi="Times New Roman"/>
          <w:b/>
          <w:color w:val="000000"/>
          <w:sz w:val="32"/>
          <w:szCs w:val="32"/>
          <w:highlight w:val="none"/>
        </w:rPr>
        <w:t>JSZC-320902-XTDG-G2026-0002</w:t>
      </w:r>
    </w:p>
    <w:p w14:paraId="6F53CC27">
      <w:pPr>
        <w:pStyle w:val="15"/>
        <w:spacing w:beforeAutospacing="0" w:afterAutospacing="0" w:line="360" w:lineRule="auto"/>
        <w:rPr>
          <w:highlight w:val="none"/>
        </w:rPr>
      </w:pPr>
      <w:r>
        <w:rPr>
          <w:highlight w:val="none"/>
        </w:rPr>
        <w:t> </w:t>
      </w:r>
    </w:p>
    <w:p w14:paraId="062C3A68">
      <w:pPr>
        <w:pStyle w:val="15"/>
        <w:spacing w:beforeAutospacing="0" w:afterAutospacing="0" w:line="360" w:lineRule="auto"/>
        <w:rPr>
          <w:highlight w:val="none"/>
        </w:rPr>
      </w:pPr>
      <w:r>
        <w:rPr>
          <w:highlight w:val="none"/>
        </w:rPr>
        <w:t> </w:t>
      </w:r>
    </w:p>
    <w:p w14:paraId="24182504">
      <w:pPr>
        <w:pStyle w:val="15"/>
        <w:spacing w:beforeAutospacing="0" w:afterAutospacing="0" w:line="360" w:lineRule="auto"/>
        <w:rPr>
          <w:highlight w:val="none"/>
        </w:rPr>
      </w:pPr>
      <w:r>
        <w:rPr>
          <w:highlight w:val="none"/>
        </w:rPr>
        <w:t> </w:t>
      </w:r>
    </w:p>
    <w:p w14:paraId="3C13D1EC">
      <w:pPr>
        <w:pStyle w:val="15"/>
        <w:spacing w:beforeAutospacing="0" w:afterAutospacing="0" w:line="360" w:lineRule="auto"/>
        <w:rPr>
          <w:highlight w:val="none"/>
        </w:rPr>
      </w:pPr>
      <w:r>
        <w:rPr>
          <w:highlight w:val="none"/>
        </w:rPr>
        <w:t> </w:t>
      </w:r>
    </w:p>
    <w:p w14:paraId="68483B32">
      <w:pPr>
        <w:pStyle w:val="15"/>
        <w:spacing w:beforeAutospacing="0" w:afterAutospacing="0" w:line="360" w:lineRule="auto"/>
        <w:rPr>
          <w:highlight w:val="none"/>
        </w:rPr>
      </w:pPr>
      <w:r>
        <w:rPr>
          <w:highlight w:val="none"/>
        </w:rPr>
        <w:t> </w:t>
      </w:r>
    </w:p>
    <w:p w14:paraId="5C4F9B91">
      <w:pPr>
        <w:pStyle w:val="15"/>
        <w:spacing w:beforeAutospacing="0" w:afterAutospacing="0" w:line="360" w:lineRule="auto"/>
        <w:rPr>
          <w:highlight w:val="none"/>
        </w:rPr>
      </w:pPr>
      <w:r>
        <w:rPr>
          <w:highlight w:val="none"/>
        </w:rPr>
        <w:t> </w:t>
      </w:r>
    </w:p>
    <w:p w14:paraId="38DC4F88">
      <w:pPr>
        <w:pStyle w:val="15"/>
        <w:spacing w:beforeAutospacing="0" w:afterAutospacing="0" w:line="360" w:lineRule="auto"/>
        <w:rPr>
          <w:highlight w:val="none"/>
        </w:rPr>
      </w:pPr>
      <w:r>
        <w:rPr>
          <w:highlight w:val="none"/>
        </w:rPr>
        <w:t> </w:t>
      </w:r>
    </w:p>
    <w:p w14:paraId="6C6F6F85">
      <w:pPr>
        <w:pStyle w:val="15"/>
        <w:spacing w:before="120" w:beforeAutospacing="0" w:after="120" w:afterAutospacing="0" w:line="360" w:lineRule="auto"/>
        <w:jc w:val="center"/>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rPr>
        <w:t>采购单位</w:t>
      </w:r>
      <w:r>
        <w:rPr>
          <w:rFonts w:hint="eastAsia" w:ascii="Arial" w:hAnsi="Arial" w:cs="Arial"/>
          <w:b/>
          <w:color w:val="000000"/>
          <w:sz w:val="32"/>
          <w:szCs w:val="32"/>
          <w:highlight w:val="none"/>
          <w:lang w:eastAsia="zh-CN"/>
        </w:rPr>
        <w:t>：</w:t>
      </w:r>
      <w:r>
        <w:rPr>
          <w:rFonts w:hint="eastAsia" w:ascii="Arial" w:hAnsi="Arial" w:cs="Arial"/>
          <w:b/>
          <w:color w:val="000000"/>
          <w:sz w:val="32"/>
          <w:szCs w:val="32"/>
          <w:highlight w:val="none"/>
          <w:lang w:val="en-US" w:eastAsia="zh-CN"/>
        </w:rPr>
        <w:t>盐城市亭湖区民政局</w:t>
      </w:r>
    </w:p>
    <w:p w14:paraId="4FD243CB">
      <w:pPr>
        <w:pStyle w:val="15"/>
        <w:spacing w:before="120" w:beforeAutospacing="0" w:after="120" w:afterAutospacing="0" w:line="360" w:lineRule="auto"/>
        <w:jc w:val="center"/>
        <w:rPr>
          <w:highlight w:val="none"/>
        </w:rPr>
      </w:pPr>
      <w:r>
        <w:rPr>
          <w:rFonts w:hint="eastAsia" w:ascii="Arial" w:hAnsi="Arial" w:cs="Arial"/>
          <w:b/>
          <w:color w:val="000000"/>
          <w:sz w:val="32"/>
          <w:szCs w:val="32"/>
          <w:highlight w:val="none"/>
          <w:lang w:val="en-US" w:eastAsia="zh-CN"/>
        </w:rPr>
        <w:t>2026</w:t>
      </w:r>
      <w:r>
        <w:rPr>
          <w:rFonts w:ascii="Arial" w:hAnsi="Arial" w:cs="Arial"/>
          <w:b/>
          <w:color w:val="000000"/>
          <w:sz w:val="32"/>
          <w:szCs w:val="32"/>
          <w:highlight w:val="none"/>
        </w:rPr>
        <w:t>年</w:t>
      </w:r>
      <w:r>
        <w:rPr>
          <w:rFonts w:hint="eastAsia" w:ascii="Arial" w:hAnsi="Arial" w:cs="Arial"/>
          <w:b/>
          <w:color w:val="000000"/>
          <w:sz w:val="32"/>
          <w:szCs w:val="32"/>
          <w:highlight w:val="none"/>
          <w:lang w:val="en-US" w:eastAsia="zh-CN"/>
        </w:rPr>
        <w:t>08</w:t>
      </w:r>
      <w:r>
        <w:rPr>
          <w:rFonts w:ascii="Arial" w:hAnsi="Arial" w:cs="Arial"/>
          <w:b/>
          <w:color w:val="000000"/>
          <w:sz w:val="32"/>
          <w:szCs w:val="32"/>
          <w:highlight w:val="none"/>
        </w:rPr>
        <w:t>月</w:t>
      </w:r>
    </w:p>
    <w:p w14:paraId="07289AF9">
      <w:pPr>
        <w:pStyle w:val="15"/>
        <w:spacing w:before="120" w:beforeAutospacing="0" w:after="120" w:afterAutospacing="0" w:line="360" w:lineRule="auto"/>
        <w:rPr>
          <w:highlight w:val="none"/>
        </w:rPr>
      </w:pPr>
      <w:r>
        <w:rPr>
          <w:rFonts w:ascii="Arial" w:hAnsi="Arial" w:cs="Arial"/>
          <w:color w:val="000000"/>
          <w:highlight w:val="none"/>
        </w:rPr>
        <w:t xml:space="preserve">                        </w:t>
      </w:r>
    </w:p>
    <w:p w14:paraId="77109889">
      <w:pPr>
        <w:pStyle w:val="15"/>
        <w:spacing w:before="120" w:beforeAutospacing="0" w:after="120" w:afterAutospacing="0" w:line="360" w:lineRule="auto"/>
        <w:jc w:val="center"/>
        <w:rPr>
          <w:highlight w:val="none"/>
        </w:rPr>
      </w:pPr>
      <w:r>
        <w:rPr>
          <w:highlight w:val="none"/>
        </w:rPr>
        <w:t> </w:t>
      </w:r>
    </w:p>
    <w:p w14:paraId="1C306D57">
      <w:pPr>
        <w:pStyle w:val="15"/>
        <w:spacing w:beforeAutospacing="0" w:afterAutospacing="0" w:line="480" w:lineRule="auto"/>
        <w:jc w:val="center"/>
        <w:rPr>
          <w:highlight w:val="none"/>
        </w:rPr>
      </w:pPr>
      <w:r>
        <w:rPr>
          <w:rFonts w:ascii="Times New Roman" w:hAnsi="Times New Roman"/>
          <w:color w:val="000000"/>
          <w:sz w:val="21"/>
          <w:szCs w:val="21"/>
          <w:highlight w:val="none"/>
        </w:rPr>
        <w:br w:type="page"/>
      </w:r>
      <w:r>
        <w:rPr>
          <w:rFonts w:ascii="Times New Roman" w:hAnsi="Times New Roman"/>
          <w:color w:val="000000"/>
          <w:sz w:val="21"/>
          <w:szCs w:val="21"/>
          <w:highlight w:val="none"/>
        </w:rPr>
        <w:t> </w:t>
      </w:r>
      <w:bookmarkStart w:id="0" w:name="_Toc479757206"/>
      <w:bookmarkStart w:id="1" w:name="_Toc120614210"/>
      <w:bookmarkStart w:id="2" w:name="_Toc16938516"/>
      <w:bookmarkStart w:id="3" w:name="_Toc523127445"/>
      <w:bookmarkStart w:id="4" w:name="_Toc513029200"/>
      <w:bookmarkStart w:id="5" w:name="_Toc20823272"/>
      <w:r>
        <w:rPr>
          <w:rFonts w:ascii="Times New Roman" w:hAnsi="Times New Roman"/>
          <w:color w:val="000000"/>
          <w:sz w:val="21"/>
          <w:szCs w:val="21"/>
          <w:highlight w:val="none"/>
        </w:rPr>
        <w:t> </w:t>
      </w:r>
      <w:r>
        <w:rPr>
          <w:rFonts w:ascii="黑体" w:hAnsi="宋体" w:eastAsia="黑体" w:cs="黑体"/>
          <w:b/>
          <w:color w:val="000000"/>
          <w:sz w:val="44"/>
          <w:szCs w:val="44"/>
          <w:highlight w:val="none"/>
        </w:rPr>
        <w:t>总  目  录</w:t>
      </w:r>
      <w:bookmarkEnd w:id="0"/>
      <w:bookmarkEnd w:id="1"/>
      <w:bookmarkEnd w:id="2"/>
      <w:bookmarkEnd w:id="3"/>
      <w:bookmarkEnd w:id="4"/>
      <w:bookmarkEnd w:id="5"/>
    </w:p>
    <w:p w14:paraId="6EB96C7E">
      <w:pPr>
        <w:pStyle w:val="15"/>
        <w:spacing w:beforeAutospacing="0" w:afterAutospacing="0" w:line="480" w:lineRule="auto"/>
        <w:jc w:val="both"/>
        <w:rPr>
          <w:highlight w:val="none"/>
        </w:rPr>
      </w:pPr>
      <w:r>
        <w:rPr>
          <w:highlight w:val="none"/>
        </w:rPr>
        <w:t> </w:t>
      </w:r>
    </w:p>
    <w:p w14:paraId="63E5A6A0">
      <w:pPr>
        <w:pStyle w:val="15"/>
        <w:tabs>
          <w:tab w:val="left" w:pos="1441"/>
        </w:tabs>
        <w:spacing w:beforeAutospacing="0" w:afterAutospacing="0" w:line="480" w:lineRule="auto"/>
        <w:ind w:left="2160" w:hanging="1440"/>
        <w:jc w:val="both"/>
        <w:rPr>
          <w:rFonts w:hint="eastAsia" w:eastAsia="黑体"/>
          <w:sz w:val="32"/>
          <w:szCs w:val="32"/>
          <w:highlight w:val="none"/>
          <w:lang w:val="en-US" w:eastAsia="zh-CN"/>
        </w:rPr>
      </w:pPr>
      <w:r>
        <w:rPr>
          <w:rFonts w:hint="eastAsia" w:ascii="黑体" w:hAnsi="宋体" w:eastAsia="黑体" w:cs="黑体"/>
          <w:color w:val="000000"/>
          <w:sz w:val="32"/>
          <w:szCs w:val="32"/>
          <w:highlight w:val="none"/>
          <w:lang w:val="en-US" w:eastAsia="zh-CN"/>
        </w:rPr>
        <w:t>第一章  招标公告</w:t>
      </w:r>
      <w:r>
        <w:rPr>
          <w:rFonts w:hint="eastAsia" w:ascii="黑体" w:hAnsi="宋体" w:eastAsia="黑体" w:cs="黑体"/>
          <w:color w:val="000000"/>
          <w:sz w:val="32"/>
          <w:szCs w:val="32"/>
          <w:highlight w:val="none"/>
        </w:rPr>
        <w:t xml:space="preserve">…………………………………… </w:t>
      </w:r>
      <w:r>
        <w:rPr>
          <w:rFonts w:hint="eastAsia" w:ascii="黑体" w:hAnsi="宋体" w:eastAsia="黑体" w:cs="黑体"/>
          <w:color w:val="000000"/>
          <w:sz w:val="32"/>
          <w:szCs w:val="32"/>
          <w:highlight w:val="none"/>
          <w:lang w:val="en-US" w:eastAsia="zh-CN"/>
        </w:rPr>
        <w:t>3</w:t>
      </w:r>
    </w:p>
    <w:p w14:paraId="3F048C29">
      <w:pPr>
        <w:pStyle w:val="15"/>
        <w:tabs>
          <w:tab w:val="left" w:pos="1441"/>
        </w:tabs>
        <w:spacing w:beforeAutospacing="0" w:afterAutospacing="0" w:line="480" w:lineRule="auto"/>
        <w:ind w:left="2160" w:hanging="1440"/>
        <w:jc w:val="both"/>
        <w:rPr>
          <w:sz w:val="32"/>
          <w:szCs w:val="32"/>
          <w:highlight w:val="none"/>
        </w:rPr>
      </w:pPr>
      <w:r>
        <w:rPr>
          <w:rFonts w:hint="eastAsia" w:ascii="黑体" w:hAnsi="宋体" w:eastAsia="黑体" w:cs="黑体"/>
          <w:color w:val="000000"/>
          <w:sz w:val="32"/>
          <w:szCs w:val="32"/>
          <w:highlight w:val="none"/>
          <w:lang w:val="en-US" w:eastAsia="zh-CN"/>
        </w:rPr>
        <w:t xml:space="preserve">第二章  </w:t>
      </w:r>
      <w:r>
        <w:rPr>
          <w:rFonts w:hint="eastAsia" w:ascii="黑体" w:hAnsi="宋体" w:eastAsia="黑体" w:cs="黑体"/>
          <w:color w:val="000000"/>
          <w:sz w:val="32"/>
          <w:szCs w:val="32"/>
          <w:highlight w:val="none"/>
        </w:rPr>
        <w:t>投标人须知…………………………………</w:t>
      </w:r>
      <w:r>
        <w:rPr>
          <w:rFonts w:hint="eastAsia" w:ascii="黑体" w:hAnsi="宋体" w:eastAsia="黑体" w:cs="黑体"/>
          <w:color w:val="000000"/>
          <w:sz w:val="32"/>
          <w:szCs w:val="32"/>
          <w:highlight w:val="none"/>
          <w:lang w:val="en-US" w:eastAsia="zh-CN"/>
        </w:rPr>
        <w:t>7</w:t>
      </w:r>
      <w:r>
        <w:rPr>
          <w:rFonts w:hint="eastAsia" w:ascii="黑体" w:hAnsi="宋体" w:eastAsia="黑体" w:cs="黑体"/>
          <w:color w:val="000000"/>
          <w:sz w:val="32"/>
          <w:szCs w:val="32"/>
          <w:highlight w:val="none"/>
        </w:rPr>
        <w:t xml:space="preserve">  </w:t>
      </w:r>
    </w:p>
    <w:p w14:paraId="36557F5B">
      <w:pPr>
        <w:pStyle w:val="15"/>
        <w:tabs>
          <w:tab w:val="left" w:pos="1441"/>
        </w:tabs>
        <w:spacing w:beforeAutospacing="0" w:afterAutospacing="0" w:line="480" w:lineRule="auto"/>
        <w:ind w:left="2160" w:hanging="1440"/>
        <w:jc w:val="both"/>
        <w:rPr>
          <w:rFonts w:hint="default" w:eastAsia="黑体"/>
          <w:sz w:val="32"/>
          <w:szCs w:val="32"/>
          <w:highlight w:val="none"/>
          <w:lang w:val="en-US" w:eastAsia="zh-CN"/>
        </w:rPr>
      </w:pPr>
      <w:r>
        <w:rPr>
          <w:rFonts w:hint="eastAsia" w:ascii="黑体" w:hAnsi="宋体" w:eastAsia="黑体" w:cs="黑体"/>
          <w:color w:val="000000"/>
          <w:sz w:val="32"/>
          <w:szCs w:val="32"/>
          <w:highlight w:val="none"/>
          <w:lang w:val="en-US" w:eastAsia="zh-CN"/>
        </w:rPr>
        <w:t xml:space="preserve">第三章  </w:t>
      </w:r>
      <w:r>
        <w:rPr>
          <w:rFonts w:hint="eastAsia" w:ascii="黑体" w:hAnsi="宋体" w:eastAsia="黑体" w:cs="黑体"/>
          <w:color w:val="000000"/>
          <w:sz w:val="32"/>
          <w:szCs w:val="32"/>
          <w:highlight w:val="none"/>
        </w:rPr>
        <w:t>合同文本……………………………………</w:t>
      </w:r>
      <w:r>
        <w:rPr>
          <w:rFonts w:hint="eastAsia" w:ascii="黑体" w:hAnsi="宋体" w:eastAsia="黑体" w:cs="黑体"/>
          <w:color w:val="000000"/>
          <w:sz w:val="32"/>
          <w:szCs w:val="32"/>
          <w:highlight w:val="none"/>
          <w:lang w:val="en-US" w:eastAsia="zh-CN"/>
        </w:rPr>
        <w:t>24</w:t>
      </w:r>
    </w:p>
    <w:p w14:paraId="76DCD7D4">
      <w:pPr>
        <w:pStyle w:val="15"/>
        <w:tabs>
          <w:tab w:val="left" w:pos="1441"/>
        </w:tabs>
        <w:spacing w:beforeAutospacing="0" w:afterAutospacing="0" w:line="480" w:lineRule="auto"/>
        <w:ind w:left="2160" w:hanging="1440"/>
        <w:jc w:val="both"/>
        <w:rPr>
          <w:rFonts w:hint="default" w:eastAsia="黑体"/>
          <w:sz w:val="32"/>
          <w:szCs w:val="32"/>
          <w:highlight w:val="none"/>
          <w:lang w:val="en-US" w:eastAsia="zh-CN"/>
        </w:rPr>
      </w:pPr>
      <w:r>
        <w:rPr>
          <w:rFonts w:hint="eastAsia" w:ascii="黑体" w:hAnsi="宋体" w:eastAsia="黑体" w:cs="黑体"/>
          <w:color w:val="000000"/>
          <w:sz w:val="32"/>
          <w:szCs w:val="32"/>
          <w:highlight w:val="none"/>
          <w:lang w:val="en-US" w:eastAsia="zh-CN"/>
        </w:rPr>
        <w:t xml:space="preserve">第四章  </w:t>
      </w:r>
      <w:r>
        <w:rPr>
          <w:rFonts w:hint="eastAsia" w:ascii="黑体" w:hAnsi="宋体" w:eastAsia="黑体" w:cs="黑体"/>
          <w:color w:val="000000"/>
          <w:sz w:val="32"/>
          <w:szCs w:val="32"/>
          <w:highlight w:val="none"/>
        </w:rPr>
        <w:t>采购需求……………………………………</w:t>
      </w:r>
      <w:r>
        <w:rPr>
          <w:rFonts w:hint="eastAsia" w:ascii="黑体" w:hAnsi="宋体" w:eastAsia="黑体" w:cs="黑体"/>
          <w:color w:val="000000"/>
          <w:sz w:val="32"/>
          <w:szCs w:val="32"/>
          <w:highlight w:val="none"/>
          <w:lang w:val="en-US" w:eastAsia="zh-CN"/>
        </w:rPr>
        <w:t>30</w:t>
      </w:r>
    </w:p>
    <w:p w14:paraId="620E178A">
      <w:pPr>
        <w:pStyle w:val="15"/>
        <w:tabs>
          <w:tab w:val="left" w:pos="1441"/>
        </w:tabs>
        <w:spacing w:beforeAutospacing="0" w:afterAutospacing="0" w:line="480" w:lineRule="auto"/>
        <w:ind w:left="2160" w:hanging="1440"/>
        <w:jc w:val="both"/>
        <w:rPr>
          <w:rFonts w:hint="default" w:eastAsia="黑体"/>
          <w:sz w:val="32"/>
          <w:szCs w:val="32"/>
          <w:highlight w:val="none"/>
          <w:lang w:val="en-US" w:eastAsia="zh-CN"/>
        </w:rPr>
      </w:pPr>
      <w:r>
        <w:rPr>
          <w:rFonts w:hint="eastAsia" w:ascii="黑体" w:hAnsi="宋体" w:eastAsia="黑体" w:cs="黑体"/>
          <w:color w:val="000000"/>
          <w:sz w:val="32"/>
          <w:szCs w:val="32"/>
          <w:highlight w:val="none"/>
          <w:lang w:val="en-US" w:eastAsia="zh-CN"/>
        </w:rPr>
        <w:t xml:space="preserve">第五章  </w:t>
      </w:r>
      <w:r>
        <w:rPr>
          <w:rFonts w:hint="eastAsia" w:ascii="黑体" w:hAnsi="宋体" w:eastAsia="黑体" w:cs="黑体"/>
          <w:color w:val="000000"/>
          <w:sz w:val="32"/>
          <w:szCs w:val="32"/>
          <w:highlight w:val="none"/>
        </w:rPr>
        <w:t>评标方法与评标标准………………………</w:t>
      </w:r>
      <w:r>
        <w:rPr>
          <w:rFonts w:hint="eastAsia" w:ascii="黑体" w:hAnsi="宋体" w:eastAsia="黑体" w:cs="黑体"/>
          <w:color w:val="000000"/>
          <w:sz w:val="32"/>
          <w:szCs w:val="32"/>
          <w:highlight w:val="none"/>
          <w:lang w:val="en-US" w:eastAsia="zh-CN"/>
        </w:rPr>
        <w:t>34</w:t>
      </w:r>
    </w:p>
    <w:p w14:paraId="6D203C59">
      <w:pPr>
        <w:pStyle w:val="15"/>
        <w:tabs>
          <w:tab w:val="left" w:pos="1441"/>
        </w:tabs>
        <w:spacing w:beforeAutospacing="0" w:afterAutospacing="0" w:line="480" w:lineRule="auto"/>
        <w:ind w:left="2160" w:hanging="1440"/>
        <w:jc w:val="both"/>
        <w:rPr>
          <w:rFonts w:hint="default" w:eastAsia="黑体"/>
          <w:sz w:val="32"/>
          <w:szCs w:val="32"/>
          <w:highlight w:val="none"/>
          <w:lang w:val="en-US" w:eastAsia="zh-CN"/>
        </w:rPr>
      </w:pPr>
      <w:r>
        <w:rPr>
          <w:rFonts w:hint="eastAsia" w:ascii="黑体" w:hAnsi="宋体" w:eastAsia="黑体" w:cs="黑体"/>
          <w:color w:val="000000"/>
          <w:sz w:val="32"/>
          <w:szCs w:val="32"/>
          <w:highlight w:val="none"/>
          <w:lang w:val="en-US" w:eastAsia="zh-CN"/>
        </w:rPr>
        <w:t xml:space="preserve">第六章  </w:t>
      </w:r>
      <w:r>
        <w:rPr>
          <w:rFonts w:hint="eastAsia" w:ascii="黑体" w:hAnsi="宋体" w:eastAsia="黑体" w:cs="黑体"/>
          <w:color w:val="000000"/>
          <w:sz w:val="32"/>
          <w:szCs w:val="32"/>
          <w:highlight w:val="none"/>
        </w:rPr>
        <w:t>投标文件格式………………………………</w:t>
      </w:r>
      <w:r>
        <w:rPr>
          <w:rFonts w:hint="eastAsia" w:ascii="黑体" w:hAnsi="宋体" w:eastAsia="黑体" w:cs="黑体"/>
          <w:color w:val="000000"/>
          <w:sz w:val="32"/>
          <w:szCs w:val="32"/>
          <w:highlight w:val="none"/>
          <w:lang w:val="en-US" w:eastAsia="zh-CN"/>
        </w:rPr>
        <w:t>42</w:t>
      </w:r>
    </w:p>
    <w:p w14:paraId="64341C45">
      <w:pPr>
        <w:pStyle w:val="15"/>
        <w:spacing w:beforeAutospacing="0" w:afterAutospacing="0"/>
        <w:jc w:val="both"/>
        <w:rPr>
          <w:highlight w:val="none"/>
        </w:rPr>
      </w:pPr>
      <w:r>
        <w:rPr>
          <w:highlight w:val="none"/>
        </w:rPr>
        <w:t> </w:t>
      </w:r>
    </w:p>
    <w:p w14:paraId="16364196">
      <w:pPr>
        <w:pStyle w:val="15"/>
        <w:spacing w:beforeAutospacing="0" w:afterAutospacing="0"/>
        <w:jc w:val="both"/>
        <w:rPr>
          <w:highlight w:val="none"/>
        </w:rPr>
      </w:pPr>
      <w:r>
        <w:rPr>
          <w:highlight w:val="none"/>
        </w:rPr>
        <w:t> </w:t>
      </w:r>
    </w:p>
    <w:p w14:paraId="11556BE8">
      <w:pPr>
        <w:pStyle w:val="15"/>
        <w:spacing w:beforeAutospacing="0" w:afterAutospacing="0"/>
        <w:jc w:val="both"/>
        <w:rPr>
          <w:highlight w:val="none"/>
        </w:rPr>
      </w:pPr>
      <w:r>
        <w:rPr>
          <w:highlight w:val="none"/>
        </w:rPr>
        <w:t> </w:t>
      </w:r>
    </w:p>
    <w:p w14:paraId="7B29980D">
      <w:pPr>
        <w:pStyle w:val="15"/>
        <w:spacing w:beforeAutospacing="0" w:afterAutospacing="0"/>
        <w:jc w:val="both"/>
        <w:rPr>
          <w:highlight w:val="none"/>
        </w:rPr>
      </w:pPr>
      <w:r>
        <w:rPr>
          <w:highlight w:val="none"/>
        </w:rPr>
        <w:t> </w:t>
      </w:r>
    </w:p>
    <w:p w14:paraId="1611712B">
      <w:pPr>
        <w:pStyle w:val="15"/>
        <w:spacing w:beforeAutospacing="0" w:afterAutospacing="0"/>
        <w:jc w:val="both"/>
        <w:rPr>
          <w:highlight w:val="none"/>
        </w:rPr>
      </w:pPr>
      <w:r>
        <w:rPr>
          <w:highlight w:val="none"/>
        </w:rPr>
        <w:t> </w:t>
      </w:r>
    </w:p>
    <w:p w14:paraId="69FAA169">
      <w:pPr>
        <w:pStyle w:val="15"/>
        <w:spacing w:beforeAutospacing="0" w:afterAutospacing="0"/>
        <w:jc w:val="both"/>
        <w:rPr>
          <w:highlight w:val="none"/>
        </w:rPr>
      </w:pPr>
      <w:r>
        <w:rPr>
          <w:highlight w:val="none"/>
        </w:rPr>
        <w:t> </w:t>
      </w:r>
    </w:p>
    <w:p w14:paraId="4182AF71">
      <w:pPr>
        <w:pStyle w:val="15"/>
        <w:spacing w:beforeAutospacing="0" w:afterAutospacing="0"/>
        <w:jc w:val="both"/>
        <w:rPr>
          <w:highlight w:val="none"/>
        </w:rPr>
      </w:pPr>
      <w:r>
        <w:rPr>
          <w:highlight w:val="none"/>
        </w:rPr>
        <w:t> </w:t>
      </w:r>
    </w:p>
    <w:p w14:paraId="71654CC7">
      <w:pPr>
        <w:pStyle w:val="15"/>
        <w:spacing w:beforeAutospacing="0" w:afterAutospacing="0"/>
        <w:jc w:val="both"/>
        <w:rPr>
          <w:highlight w:val="none"/>
        </w:rPr>
      </w:pPr>
      <w:r>
        <w:rPr>
          <w:highlight w:val="none"/>
        </w:rPr>
        <w:t> </w:t>
      </w:r>
    </w:p>
    <w:p w14:paraId="04037430">
      <w:pPr>
        <w:pStyle w:val="15"/>
        <w:spacing w:beforeAutospacing="0" w:afterAutospacing="0"/>
        <w:jc w:val="both"/>
        <w:rPr>
          <w:highlight w:val="none"/>
        </w:rPr>
      </w:pPr>
      <w:r>
        <w:rPr>
          <w:highlight w:val="none"/>
        </w:rPr>
        <w:t> </w:t>
      </w:r>
    </w:p>
    <w:p w14:paraId="44F68894">
      <w:pPr>
        <w:pStyle w:val="15"/>
        <w:spacing w:beforeAutospacing="0" w:afterAutospacing="0"/>
        <w:jc w:val="both"/>
        <w:rPr>
          <w:highlight w:val="none"/>
        </w:rPr>
      </w:pPr>
    </w:p>
    <w:p w14:paraId="346180F1">
      <w:pPr>
        <w:pStyle w:val="15"/>
        <w:spacing w:beforeAutospacing="0" w:afterAutospacing="0"/>
        <w:jc w:val="both"/>
        <w:rPr>
          <w:highlight w:val="none"/>
        </w:rPr>
      </w:pPr>
    </w:p>
    <w:p w14:paraId="372F47EF">
      <w:pPr>
        <w:pStyle w:val="15"/>
        <w:spacing w:beforeAutospacing="0" w:afterAutospacing="0"/>
        <w:jc w:val="both"/>
        <w:rPr>
          <w:highlight w:val="none"/>
        </w:rPr>
      </w:pPr>
    </w:p>
    <w:p w14:paraId="19FCA919">
      <w:pPr>
        <w:pStyle w:val="15"/>
        <w:spacing w:beforeAutospacing="0" w:afterAutospacing="0"/>
        <w:jc w:val="both"/>
        <w:rPr>
          <w:highlight w:val="none"/>
        </w:rPr>
      </w:pPr>
    </w:p>
    <w:p w14:paraId="781B204C">
      <w:pPr>
        <w:pStyle w:val="15"/>
        <w:spacing w:beforeAutospacing="0" w:afterAutospacing="0"/>
        <w:jc w:val="both"/>
        <w:rPr>
          <w:highlight w:val="none"/>
        </w:rPr>
      </w:pPr>
      <w:r>
        <w:rPr>
          <w:highlight w:val="none"/>
        </w:rPr>
        <w:t> </w:t>
      </w:r>
    </w:p>
    <w:p w14:paraId="267F7F03">
      <w:pPr>
        <w:pStyle w:val="15"/>
        <w:spacing w:beforeAutospacing="0" w:afterAutospacing="0"/>
        <w:jc w:val="both"/>
        <w:rPr>
          <w:highlight w:val="none"/>
        </w:rPr>
      </w:pPr>
      <w:r>
        <w:rPr>
          <w:highlight w:val="none"/>
        </w:rPr>
        <w:t> </w:t>
      </w:r>
    </w:p>
    <w:p w14:paraId="27498963">
      <w:pPr>
        <w:pStyle w:val="15"/>
        <w:spacing w:beforeAutospacing="0" w:afterAutospacing="0"/>
        <w:jc w:val="both"/>
        <w:rPr>
          <w:highlight w:val="none"/>
        </w:rPr>
      </w:pPr>
      <w:r>
        <w:rPr>
          <w:highlight w:val="none"/>
        </w:rPr>
        <w:t> </w:t>
      </w:r>
    </w:p>
    <w:p w14:paraId="46A18BE9">
      <w:pPr>
        <w:pStyle w:val="15"/>
        <w:spacing w:beforeAutospacing="0" w:afterAutospacing="0"/>
        <w:jc w:val="both"/>
        <w:rPr>
          <w:highlight w:val="none"/>
        </w:rPr>
      </w:pPr>
      <w:r>
        <w:rPr>
          <w:highlight w:val="none"/>
        </w:rPr>
        <w:t> </w:t>
      </w:r>
    </w:p>
    <w:p w14:paraId="4328D0A4">
      <w:pPr>
        <w:pStyle w:val="15"/>
        <w:spacing w:beforeAutospacing="0" w:afterAutospacing="0"/>
        <w:jc w:val="both"/>
        <w:rPr>
          <w:highlight w:val="none"/>
        </w:rPr>
      </w:pPr>
      <w:r>
        <w:rPr>
          <w:highlight w:val="none"/>
        </w:rPr>
        <w:t> </w:t>
      </w:r>
    </w:p>
    <w:p w14:paraId="6222989F">
      <w:pPr>
        <w:pStyle w:val="15"/>
        <w:spacing w:beforeAutospacing="0" w:afterAutospacing="0"/>
        <w:jc w:val="both"/>
        <w:rPr>
          <w:highlight w:val="none"/>
        </w:rPr>
      </w:pPr>
      <w:r>
        <w:rPr>
          <w:highlight w:val="none"/>
        </w:rPr>
        <w:t> </w:t>
      </w:r>
    </w:p>
    <w:p w14:paraId="16612821">
      <w:pPr>
        <w:pStyle w:val="15"/>
        <w:spacing w:beforeAutospacing="0" w:afterAutospacing="0"/>
        <w:jc w:val="both"/>
        <w:rPr>
          <w:highlight w:val="none"/>
        </w:rPr>
      </w:pPr>
      <w:r>
        <w:rPr>
          <w:highlight w:val="none"/>
        </w:rPr>
        <w:t> </w:t>
      </w:r>
    </w:p>
    <w:p w14:paraId="34917203">
      <w:pPr>
        <w:pStyle w:val="15"/>
        <w:spacing w:beforeAutospacing="0" w:afterAutospacing="0"/>
        <w:jc w:val="both"/>
        <w:rPr>
          <w:highlight w:val="none"/>
        </w:rPr>
      </w:pPr>
      <w:r>
        <w:rPr>
          <w:highlight w:val="none"/>
        </w:rPr>
        <w:t> </w:t>
      </w:r>
    </w:p>
    <w:p w14:paraId="2132A022">
      <w:pPr>
        <w:pStyle w:val="15"/>
        <w:spacing w:beforeAutospacing="0" w:afterAutospacing="0"/>
        <w:jc w:val="both"/>
        <w:rPr>
          <w:highlight w:val="none"/>
        </w:rPr>
      </w:pPr>
      <w:r>
        <w:rPr>
          <w:highlight w:val="none"/>
        </w:rPr>
        <w:t> </w:t>
      </w:r>
    </w:p>
    <w:p w14:paraId="403C6B04">
      <w:pPr>
        <w:pStyle w:val="15"/>
        <w:spacing w:beforeAutospacing="0" w:afterAutospacing="0"/>
        <w:jc w:val="both"/>
        <w:rPr>
          <w:highlight w:val="none"/>
        </w:rPr>
      </w:pPr>
      <w:r>
        <w:rPr>
          <w:highlight w:val="none"/>
        </w:rPr>
        <w:t> </w:t>
      </w:r>
    </w:p>
    <w:p w14:paraId="4D3F100B">
      <w:pPr>
        <w:pStyle w:val="15"/>
        <w:spacing w:beforeAutospacing="0" w:afterAutospacing="0"/>
        <w:jc w:val="both"/>
        <w:rPr>
          <w:highlight w:val="none"/>
        </w:rPr>
      </w:pPr>
      <w:r>
        <w:rPr>
          <w:highlight w:val="none"/>
        </w:rPr>
        <w:t> </w:t>
      </w:r>
    </w:p>
    <w:p w14:paraId="7F92285B">
      <w:pPr>
        <w:pStyle w:val="15"/>
        <w:spacing w:beforeAutospacing="0" w:afterAutospacing="0"/>
        <w:jc w:val="both"/>
        <w:rPr>
          <w:highlight w:val="none"/>
        </w:rPr>
      </w:pPr>
      <w:r>
        <w:rPr>
          <w:highlight w:val="none"/>
        </w:rPr>
        <w:t> </w:t>
      </w:r>
    </w:p>
    <w:p w14:paraId="485CAADD">
      <w:pPr>
        <w:pStyle w:val="15"/>
        <w:spacing w:beforeAutospacing="0" w:afterAutospacing="0"/>
        <w:jc w:val="both"/>
        <w:rPr>
          <w:highlight w:val="none"/>
        </w:rPr>
      </w:pPr>
      <w:r>
        <w:rPr>
          <w:highlight w:val="none"/>
        </w:rPr>
        <w:t> </w:t>
      </w:r>
    </w:p>
    <w:p w14:paraId="46154823">
      <w:pPr>
        <w:pStyle w:val="15"/>
        <w:keepNext/>
        <w:spacing w:beforeAutospacing="0" w:afterAutospacing="0"/>
        <w:jc w:val="center"/>
        <w:rPr>
          <w:rFonts w:hint="default" w:eastAsia="黑体"/>
          <w:highlight w:val="none"/>
          <w:lang w:val="en-US" w:eastAsia="zh-CN"/>
        </w:rPr>
      </w:pPr>
      <w:r>
        <w:rPr>
          <w:rFonts w:hint="eastAsia" w:ascii="黑体" w:hAnsi="宋体" w:eastAsia="黑体" w:cs="黑体"/>
          <w:color w:val="000000"/>
          <w:sz w:val="44"/>
          <w:szCs w:val="44"/>
          <w:highlight w:val="none"/>
        </w:rPr>
        <w:t>第一章 </w:t>
      </w:r>
      <w:r>
        <w:rPr>
          <w:rFonts w:hint="eastAsia" w:ascii="黑体" w:hAnsi="宋体" w:eastAsia="黑体" w:cs="黑体"/>
          <w:color w:val="000000"/>
          <w:sz w:val="44"/>
          <w:szCs w:val="44"/>
          <w:highlight w:val="none"/>
          <w:lang w:val="en-US" w:eastAsia="zh-CN"/>
        </w:rPr>
        <w:t>招标公告</w:t>
      </w:r>
    </w:p>
    <w:p w14:paraId="3A37393B">
      <w:pPr>
        <w:pStyle w:val="15"/>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项目概况</w:t>
      </w:r>
    </w:p>
    <w:p w14:paraId="54A8B89E">
      <w:pPr>
        <w:pStyle w:val="15"/>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val="en-US" w:eastAsia="zh-CN"/>
        </w:rPr>
        <w:t>亭湖区数智养老服务系统升级维护和养老机构安全支持项目</w:t>
      </w:r>
      <w:r>
        <w:rPr>
          <w:rFonts w:hint="eastAsia" w:ascii="宋体" w:hAnsi="宋体" w:eastAsia="宋体" w:cs="宋体"/>
          <w:sz w:val="24"/>
          <w:szCs w:val="24"/>
          <w:highlight w:val="none"/>
        </w:rPr>
        <w:t>的潜在投标人</w:t>
      </w:r>
      <w:r>
        <w:rPr>
          <w:rFonts w:hint="eastAsia" w:ascii="宋体" w:hAnsi="宋体" w:eastAsia="宋体" w:cs="宋体"/>
          <w:sz w:val="24"/>
          <w:szCs w:val="24"/>
          <w:highlight w:val="none"/>
          <w:lang w:val="en-US" w:eastAsia="zh-CN"/>
        </w:rPr>
        <w:t>应</w:t>
      </w:r>
      <w:r>
        <w:rPr>
          <w:rFonts w:hint="eastAsia" w:ascii="宋体" w:hAnsi="宋体" w:eastAsia="宋体" w:cs="宋体"/>
          <w:sz w:val="24"/>
          <w:szCs w:val="24"/>
          <w:highlight w:val="none"/>
        </w:rPr>
        <w:t>在“苏采云”系统内免费下载（投标人必须在苏采云系统中获取采购文件，方能参与政府采购项目），并于</w:t>
      </w:r>
      <w:r>
        <w:rPr>
          <w:rFonts w:hint="eastAsia" w:ascii="宋体" w:hAnsi="宋体" w:eastAsia="宋体" w:cs="宋体"/>
          <w:sz w:val="24"/>
          <w:szCs w:val="24"/>
          <w:highlight w:val="none"/>
          <w:u w:val="single"/>
          <w:lang w:val="en-US" w:eastAsia="zh-CN"/>
        </w:rPr>
        <w:t>2026</w:t>
      </w:r>
      <w:r>
        <w:rPr>
          <w:rFonts w:hint="eastAsia" w:ascii="宋体" w:hAnsi="宋体" w:eastAsia="宋体" w:cs="宋体"/>
          <w:sz w:val="24"/>
          <w:szCs w:val="24"/>
          <w:highlight w:val="none"/>
          <w:u w:val="single"/>
        </w:rPr>
        <w:t>年</w:t>
      </w:r>
      <w:r>
        <w:rPr>
          <w:rFonts w:hint="eastAsia" w:ascii="宋体" w:hAnsi="宋体" w:eastAsia="宋体" w:cs="宋体"/>
          <w:sz w:val="24"/>
          <w:szCs w:val="24"/>
          <w:highlight w:val="none"/>
          <w:u w:val="single"/>
          <w:lang w:val="en-US" w:eastAsia="zh-CN"/>
        </w:rPr>
        <w:t>08</w:t>
      </w:r>
      <w:r>
        <w:rPr>
          <w:rFonts w:hint="eastAsia" w:ascii="宋体" w:hAnsi="宋体" w:eastAsia="宋体" w:cs="宋体"/>
          <w:sz w:val="24"/>
          <w:szCs w:val="24"/>
          <w:highlight w:val="none"/>
          <w:u w:val="single"/>
        </w:rPr>
        <w:t>月</w:t>
      </w:r>
      <w:r>
        <w:rPr>
          <w:rFonts w:hint="eastAsia" w:ascii="宋体" w:hAnsi="宋体" w:eastAsia="宋体" w:cs="宋体"/>
          <w:sz w:val="24"/>
          <w:szCs w:val="24"/>
          <w:highlight w:val="none"/>
          <w:u w:val="single"/>
          <w:lang w:val="en-US" w:eastAsia="zh-CN"/>
        </w:rPr>
        <w:t>24</w:t>
      </w:r>
      <w:r>
        <w:rPr>
          <w:rFonts w:hint="eastAsia" w:ascii="宋体" w:hAnsi="宋体" w:eastAsia="宋体" w:cs="宋体"/>
          <w:sz w:val="24"/>
          <w:szCs w:val="24"/>
          <w:highlight w:val="none"/>
          <w:u w:val="single"/>
        </w:rPr>
        <w:t>日</w:t>
      </w:r>
      <w:r>
        <w:rPr>
          <w:rFonts w:hint="eastAsia" w:ascii="宋体" w:hAnsi="宋体" w:eastAsia="宋体" w:cs="宋体"/>
          <w:sz w:val="24"/>
          <w:szCs w:val="24"/>
          <w:highlight w:val="none"/>
          <w:u w:val="single"/>
          <w:lang w:val="en-US" w:eastAsia="zh-CN"/>
        </w:rPr>
        <w:t>09</w:t>
      </w:r>
      <w:r>
        <w:rPr>
          <w:rFonts w:hint="eastAsia" w:ascii="宋体" w:hAnsi="宋体" w:eastAsia="宋体" w:cs="宋体"/>
          <w:sz w:val="24"/>
          <w:szCs w:val="24"/>
          <w:highlight w:val="none"/>
          <w:u w:val="single"/>
        </w:rPr>
        <w:t>点</w:t>
      </w:r>
      <w:r>
        <w:rPr>
          <w:rFonts w:hint="eastAsia" w:ascii="宋体" w:hAnsi="宋体" w:eastAsia="宋体" w:cs="宋体"/>
          <w:sz w:val="24"/>
          <w:szCs w:val="24"/>
          <w:highlight w:val="none"/>
          <w:u w:val="single"/>
          <w:lang w:val="en-US" w:eastAsia="zh-CN"/>
        </w:rPr>
        <w:t>00</w:t>
      </w:r>
      <w:r>
        <w:rPr>
          <w:rFonts w:hint="eastAsia" w:ascii="宋体" w:hAnsi="宋体" w:eastAsia="宋体" w:cs="宋体"/>
          <w:sz w:val="24"/>
          <w:szCs w:val="24"/>
          <w:highlight w:val="none"/>
          <w:u w:val="single"/>
        </w:rPr>
        <w:t>分</w:t>
      </w:r>
      <w:r>
        <w:rPr>
          <w:rFonts w:hint="eastAsia" w:ascii="宋体" w:hAnsi="宋体" w:eastAsia="宋体" w:cs="宋体"/>
          <w:sz w:val="24"/>
          <w:szCs w:val="24"/>
          <w:highlight w:val="none"/>
        </w:rPr>
        <w:t>（北京时间）前递交投标文件。</w:t>
      </w:r>
    </w:p>
    <w:p w14:paraId="5C0F5791">
      <w:pPr>
        <w:widowControl/>
        <w:spacing w:line="440" w:lineRule="exact"/>
        <w:ind w:firstLine="482"/>
        <w:jc w:val="left"/>
        <w:rPr>
          <w:rFonts w:hint="eastAsia" w:ascii="宋体" w:hAnsi="宋体" w:eastAsia="宋体" w:cs="宋体"/>
          <w:b/>
          <w:bCs/>
          <w:color w:val="000000" w:themeColor="text1"/>
          <w:kern w:val="0"/>
          <w:sz w:val="24"/>
          <w14:textFill>
            <w14:solidFill>
              <w14:schemeClr w14:val="tx1"/>
            </w14:solidFill>
          </w14:textFill>
        </w:rPr>
      </w:pPr>
      <w:bookmarkStart w:id="6" w:name="_Toc38985263"/>
      <w:bookmarkStart w:id="7" w:name="_Toc35393621"/>
      <w:bookmarkStart w:id="8" w:name="_Toc35393790"/>
      <w:bookmarkStart w:id="9" w:name="_Toc28359079"/>
      <w:bookmarkStart w:id="10" w:name="_Hlk24379207"/>
      <w:bookmarkStart w:id="11" w:name="_Toc28359002"/>
      <w:r>
        <w:rPr>
          <w:rFonts w:hint="eastAsia" w:ascii="宋体" w:hAnsi="宋体" w:eastAsia="宋体" w:cs="宋体"/>
          <w:b/>
          <w:bCs/>
          <w:color w:val="000000" w:themeColor="text1"/>
          <w:kern w:val="0"/>
          <w:sz w:val="24"/>
          <w14:textFill>
            <w14:solidFill>
              <w14:schemeClr w14:val="tx1"/>
            </w14:solidFill>
          </w14:textFill>
        </w:rPr>
        <w:t>一、项目基本情况</w:t>
      </w:r>
      <w:bookmarkEnd w:id="6"/>
      <w:bookmarkEnd w:id="7"/>
      <w:bookmarkEnd w:id="8"/>
      <w:bookmarkEnd w:id="9"/>
      <w:bookmarkEnd w:id="10"/>
      <w:bookmarkEnd w:id="11"/>
    </w:p>
    <w:p w14:paraId="6E8C93EC">
      <w:pPr>
        <w:pStyle w:val="15"/>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1.项目编号：JSZC-320902-XTDG-G2026-0002</w:t>
      </w:r>
      <w:r>
        <w:rPr>
          <w:rFonts w:hint="eastAsia" w:ascii="宋体" w:hAnsi="宋体" w:eastAsia="宋体" w:cs="宋体"/>
          <w:color w:val="000000"/>
          <w:sz w:val="24"/>
          <w:szCs w:val="24"/>
          <w:highlight w:val="none"/>
          <w:lang w:val="en-US" w:eastAsia="zh-CN"/>
        </w:rPr>
        <w:t xml:space="preserve"> </w:t>
      </w:r>
    </w:p>
    <w:p w14:paraId="724DA292">
      <w:pPr>
        <w:pStyle w:val="15"/>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2.项目名称：</w:t>
      </w:r>
      <w:r>
        <w:rPr>
          <w:rFonts w:hint="eastAsia" w:ascii="宋体" w:hAnsi="宋体" w:eastAsia="宋体" w:cs="宋体"/>
          <w:color w:val="000000"/>
          <w:sz w:val="24"/>
          <w:szCs w:val="24"/>
          <w:highlight w:val="none"/>
          <w:lang w:val="en-US" w:eastAsia="zh-CN"/>
        </w:rPr>
        <w:t>亭湖区数智养老服务系统升级维护和养老机构安全支持项目</w:t>
      </w:r>
    </w:p>
    <w:p w14:paraId="35EBDC8A">
      <w:pPr>
        <w:pStyle w:val="15"/>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采购方式：</w:t>
      </w:r>
      <w:r>
        <w:rPr>
          <w:rFonts w:hint="eastAsia" w:ascii="宋体" w:hAnsi="宋体" w:eastAsia="宋体" w:cs="宋体"/>
          <w:color w:val="000000"/>
          <w:sz w:val="24"/>
          <w:szCs w:val="24"/>
          <w:highlight w:val="none"/>
          <w:lang w:val="en-US" w:eastAsia="zh-CN"/>
        </w:rPr>
        <w:t>公开招标</w:t>
      </w:r>
    </w:p>
    <w:p w14:paraId="45211976">
      <w:pPr>
        <w:pStyle w:val="15"/>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.预算金额：</w:t>
      </w:r>
      <w:r>
        <w:rPr>
          <w:rFonts w:hint="eastAsia" w:ascii="宋体" w:hAnsi="宋体" w:eastAsia="宋体" w:cs="宋体"/>
          <w:color w:val="000000"/>
          <w:sz w:val="24"/>
          <w:szCs w:val="24"/>
          <w:highlight w:val="none"/>
          <w:lang w:val="en-US" w:eastAsia="zh-CN"/>
        </w:rPr>
        <w:t>225.00万元</w:t>
      </w:r>
    </w:p>
    <w:p w14:paraId="5AB5F59E">
      <w:pPr>
        <w:pStyle w:val="15"/>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最高限价：</w:t>
      </w:r>
      <w:r>
        <w:rPr>
          <w:rFonts w:hint="eastAsia" w:ascii="宋体" w:hAnsi="宋体" w:eastAsia="宋体" w:cs="宋体"/>
          <w:color w:val="000000"/>
          <w:sz w:val="24"/>
          <w:szCs w:val="24"/>
          <w:highlight w:val="none"/>
          <w:lang w:val="en-US" w:eastAsia="zh-CN"/>
        </w:rPr>
        <w:t>225.00万元</w:t>
      </w:r>
    </w:p>
    <w:p w14:paraId="2F3263F6">
      <w:pPr>
        <w:pStyle w:val="15"/>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.采购需求：</w:t>
      </w:r>
      <w:r>
        <w:rPr>
          <w:rFonts w:hint="eastAsia" w:ascii="宋体" w:hAnsi="宋体" w:eastAsia="宋体" w:cs="宋体"/>
          <w:color w:val="000000"/>
          <w:sz w:val="24"/>
          <w:szCs w:val="24"/>
          <w:highlight w:val="none"/>
          <w:lang w:val="en-US" w:eastAsia="zh-CN"/>
        </w:rPr>
        <w:t>亭湖区数智养老服务系统升级维护和养老机构安全支持项目，包括：数智养老服务综合管理平台升级维护、数</w:t>
      </w:r>
      <w:bookmarkStart w:id="204" w:name="_GoBack"/>
      <w:bookmarkEnd w:id="204"/>
      <w:r>
        <w:rPr>
          <w:rFonts w:hint="eastAsia" w:ascii="宋体" w:hAnsi="宋体" w:eastAsia="宋体" w:cs="宋体"/>
          <w:color w:val="000000"/>
          <w:sz w:val="24"/>
          <w:szCs w:val="24"/>
          <w:highlight w:val="none"/>
          <w:lang w:val="en-US" w:eastAsia="zh-CN"/>
        </w:rPr>
        <w:t>智安全管理中心值守、亭颐养数字养老服务超市运营、中心服务场所环境维护等方面。</w:t>
      </w:r>
      <w:r>
        <w:rPr>
          <w:rFonts w:hint="eastAsia" w:ascii="宋体" w:hAnsi="宋体" w:cs="宋体"/>
          <w:sz w:val="24"/>
          <w:szCs w:val="24"/>
          <w:highlight w:val="none"/>
          <w:u w:val="none"/>
        </w:rPr>
        <w:t>具体内容及要求详见招标文件第四章项目需求。</w:t>
      </w:r>
    </w:p>
    <w:p w14:paraId="71E59D54">
      <w:pPr>
        <w:pStyle w:val="15"/>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.合同履行期限：</w:t>
      </w:r>
      <w:r>
        <w:rPr>
          <w:rFonts w:hint="eastAsia" w:asciiTheme="majorEastAsia" w:hAnsiTheme="majorEastAsia" w:eastAsiaTheme="majorEastAsia" w:cstheme="majorEastAsia"/>
          <w:b/>
          <w:bCs/>
          <w:color w:val="auto"/>
          <w:sz w:val="24"/>
          <w:szCs w:val="24"/>
          <w:highlight w:val="none"/>
          <w:lang w:val="en-US" w:eastAsia="zh-CN"/>
        </w:rPr>
        <w:t>三年（开始时间以签订合同日期为准）</w:t>
      </w:r>
    </w:p>
    <w:p w14:paraId="52432C18">
      <w:pPr>
        <w:pStyle w:val="15"/>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8.</w:t>
      </w:r>
      <w:r>
        <w:rPr>
          <w:rFonts w:hint="eastAsia" w:ascii="宋体" w:hAnsi="宋体" w:eastAsia="宋体" w:cs="宋体"/>
          <w:color w:val="000000"/>
          <w:sz w:val="24"/>
          <w:szCs w:val="24"/>
          <w:highlight w:val="none"/>
        </w:rPr>
        <w:t>本项目</w:t>
      </w:r>
      <w:r>
        <w:rPr>
          <w:rFonts w:hint="eastAsia" w:ascii="宋体" w:hAnsi="宋体" w:eastAsia="宋体" w:cs="宋体"/>
          <w:color w:val="000000"/>
          <w:sz w:val="24"/>
          <w:szCs w:val="24"/>
          <w:highlight w:val="none"/>
          <w:lang w:val="en-US" w:eastAsia="zh-CN"/>
        </w:rPr>
        <w:t>不</w:t>
      </w:r>
      <w:r>
        <w:rPr>
          <w:rFonts w:hint="eastAsia" w:ascii="宋体" w:hAnsi="宋体" w:eastAsia="宋体" w:cs="宋体"/>
          <w:color w:val="000000"/>
          <w:sz w:val="24"/>
          <w:szCs w:val="24"/>
          <w:highlight w:val="none"/>
        </w:rPr>
        <w:t>接受联合体参与</w:t>
      </w:r>
      <w:r>
        <w:rPr>
          <w:rFonts w:hint="eastAsia" w:ascii="宋体" w:hAnsi="宋体" w:eastAsia="宋体" w:cs="宋体"/>
          <w:color w:val="000000"/>
          <w:sz w:val="24"/>
          <w:szCs w:val="24"/>
          <w:highlight w:val="none"/>
          <w:lang w:val="en-US" w:eastAsia="zh-CN"/>
        </w:rPr>
        <w:t>招标</w:t>
      </w:r>
      <w:r>
        <w:rPr>
          <w:rFonts w:hint="eastAsia" w:ascii="宋体" w:hAnsi="宋体" w:eastAsia="宋体" w:cs="宋体"/>
          <w:color w:val="000000"/>
          <w:sz w:val="24"/>
          <w:szCs w:val="24"/>
          <w:highlight w:val="none"/>
          <w:lang w:eastAsia="zh-CN"/>
        </w:rPr>
        <w:t>。</w:t>
      </w:r>
    </w:p>
    <w:p w14:paraId="0D95F988">
      <w:pPr>
        <w:widowControl/>
        <w:spacing w:line="440" w:lineRule="exact"/>
        <w:ind w:firstLine="482"/>
        <w:jc w:val="left"/>
        <w:rPr>
          <w:rFonts w:hint="eastAsia" w:ascii="宋体" w:hAnsi="宋体" w:eastAsia="宋体" w:cs="宋体"/>
          <w:b/>
          <w:bCs/>
          <w:color w:val="000000" w:themeColor="text1"/>
          <w:kern w:val="0"/>
          <w:sz w:val="24"/>
          <w:highlight w:val="none"/>
          <w14:textFill>
            <w14:solidFill>
              <w14:schemeClr w14:val="tx1"/>
            </w14:solidFill>
          </w14:textFill>
        </w:rPr>
      </w:pPr>
      <w:bookmarkStart w:id="12" w:name="_Toc38985264"/>
      <w:bookmarkStart w:id="13" w:name="_Toc35393791"/>
      <w:bookmarkStart w:id="14" w:name="_Toc28359003"/>
      <w:bookmarkStart w:id="15" w:name="_Toc28359080"/>
      <w:bookmarkStart w:id="16" w:name="_Toc35393622"/>
      <w:r>
        <w:rPr>
          <w:rFonts w:hint="eastAsia" w:ascii="宋体" w:hAnsi="宋体" w:eastAsia="宋体" w:cs="宋体"/>
          <w:b/>
          <w:bCs/>
          <w:color w:val="000000" w:themeColor="text1"/>
          <w:kern w:val="0"/>
          <w:sz w:val="24"/>
          <w:highlight w:val="none"/>
          <w14:textFill>
            <w14:solidFill>
              <w14:schemeClr w14:val="tx1"/>
            </w14:solidFill>
          </w14:textFill>
        </w:rPr>
        <w:t>二、申请人的资格要求：</w:t>
      </w:r>
      <w:bookmarkEnd w:id="12"/>
      <w:bookmarkEnd w:id="13"/>
      <w:bookmarkEnd w:id="14"/>
      <w:bookmarkEnd w:id="15"/>
      <w:bookmarkEnd w:id="16"/>
    </w:p>
    <w:p w14:paraId="1D22B421">
      <w:pPr>
        <w:pStyle w:val="15"/>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1.满足《中华人民共和国政府采购法》第二十二条规定，并提供下列材料：</w:t>
      </w:r>
    </w:p>
    <w:p w14:paraId="3839587F">
      <w:pPr>
        <w:pStyle w:val="15"/>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1.1 法人或者其他组织的营业执照等证明文件或自然人的身份证明；</w:t>
      </w:r>
    </w:p>
    <w:p w14:paraId="747B7FCD">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1.2上一年度的财务状况</w:t>
      </w:r>
      <w:r>
        <w:rPr>
          <w:rFonts w:hint="eastAsia" w:ascii="宋体" w:hAnsi="宋体" w:eastAsia="宋体" w:cs="宋体"/>
          <w:color w:val="auto"/>
          <w:sz w:val="24"/>
          <w:szCs w:val="24"/>
          <w:highlight w:val="none"/>
          <w:lang w:val="en-US" w:eastAsia="zh-CN"/>
        </w:rPr>
        <w:t>报告</w:t>
      </w:r>
      <w:r>
        <w:rPr>
          <w:rFonts w:hint="eastAsia" w:ascii="宋体" w:hAnsi="宋体" w:eastAsia="宋体" w:cs="宋体"/>
          <w:color w:val="auto"/>
          <w:sz w:val="24"/>
          <w:szCs w:val="24"/>
          <w:highlight w:val="none"/>
        </w:rPr>
        <w:t>(成立不满一年不需提供)</w:t>
      </w:r>
      <w:r>
        <w:rPr>
          <w:rFonts w:hint="eastAsia" w:ascii="宋体" w:hAnsi="宋体" w:eastAsia="宋体" w:cs="宋体"/>
          <w:color w:val="000000"/>
          <w:sz w:val="24"/>
          <w:szCs w:val="24"/>
          <w:highlight w:val="none"/>
          <w:lang w:val="en-US" w:eastAsia="zh-CN"/>
        </w:rPr>
        <w:t>；</w:t>
      </w:r>
    </w:p>
    <w:p w14:paraId="1459E6E0">
      <w:pPr>
        <w:pStyle w:val="15"/>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1.3具备履行合同所必需的设备和专业技术能力的书面声明；</w:t>
      </w:r>
    </w:p>
    <w:p w14:paraId="5312617D">
      <w:pPr>
        <w:pStyle w:val="15"/>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1905CC55">
      <w:pPr>
        <w:pStyle w:val="15"/>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1.5参加政府采购活动前3年内在经营活动中没有重大违法记录的书面声明。</w:t>
      </w:r>
    </w:p>
    <w:p w14:paraId="48E03DAE">
      <w:pPr>
        <w:pStyle w:val="15"/>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1.6法律、行政法规规定的其他条件。</w:t>
      </w:r>
    </w:p>
    <w:p w14:paraId="359C15D0">
      <w:pPr>
        <w:pStyle w:val="15"/>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7A41D00">
      <w:pPr>
        <w:pStyle w:val="15"/>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1.8单位负责人为同一人或者存在直接控股、管理关系的不同供应商，不得参加同一合同项下的政府采购活动。</w:t>
      </w:r>
    </w:p>
    <w:p w14:paraId="5F2BB339">
      <w:pPr>
        <w:pStyle w:val="15"/>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2.落实政府采购政策需满足的资格要求：</w:t>
      </w:r>
      <w:r>
        <w:rPr>
          <w:rFonts w:hint="eastAsia" w:ascii="宋体" w:hAnsi="宋体" w:eastAsia="宋体" w:cs="宋体"/>
          <w:b/>
          <w:bCs/>
          <w:color w:val="000000"/>
          <w:sz w:val="24"/>
          <w:szCs w:val="24"/>
          <w:highlight w:val="none"/>
          <w:lang w:val="en-US" w:eastAsia="zh-CN"/>
        </w:rPr>
        <w:t>本项目专门面向中小企业采购，投标人须为符合《关于印发中小企业划型标准规定的通知》（工信部联企业[2011]300号）文件的中小微企业，不接受大型企业参与本项目投标（投标时须提供中小企业声明函），</w:t>
      </w:r>
      <w:r>
        <w:rPr>
          <w:rFonts w:hint="eastAsia" w:ascii="宋体" w:hAnsi="宋体"/>
          <w:b/>
          <w:bCs/>
          <w:sz w:val="24"/>
        </w:rPr>
        <w:t>否则按无效标处理。</w:t>
      </w:r>
    </w:p>
    <w:p w14:paraId="52669FB2">
      <w:pPr>
        <w:pStyle w:val="15"/>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3.本项目的特定资格要求：无</w:t>
      </w:r>
    </w:p>
    <w:p w14:paraId="63754E56">
      <w:pPr>
        <w:widowControl/>
        <w:spacing w:line="440" w:lineRule="exact"/>
        <w:ind w:firstLine="482"/>
        <w:jc w:val="left"/>
        <w:rPr>
          <w:rFonts w:hint="eastAsia" w:ascii="宋体" w:hAnsi="宋体" w:eastAsia="宋体" w:cs="宋体"/>
          <w:b/>
          <w:bCs/>
          <w:color w:val="000000" w:themeColor="text1"/>
          <w:kern w:val="0"/>
          <w:sz w:val="24"/>
          <w:highlight w:val="none"/>
          <w14:textFill>
            <w14:solidFill>
              <w14:schemeClr w14:val="tx1"/>
            </w14:solidFill>
          </w14:textFill>
        </w:rPr>
      </w:pPr>
      <w:r>
        <w:rPr>
          <w:rFonts w:hint="eastAsia" w:ascii="宋体" w:hAnsi="宋体" w:eastAsia="宋体" w:cs="宋体"/>
          <w:b/>
          <w:bCs/>
          <w:color w:val="000000" w:themeColor="text1"/>
          <w:kern w:val="0"/>
          <w:sz w:val="24"/>
          <w:highlight w:val="none"/>
          <w14:textFill>
            <w14:solidFill>
              <w14:schemeClr w14:val="tx1"/>
            </w14:solidFill>
          </w14:textFill>
        </w:rPr>
        <w:t>三、获取招标文件</w:t>
      </w:r>
    </w:p>
    <w:p w14:paraId="15F91AA5">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bookmarkStart w:id="17" w:name="_Toc38985266"/>
      <w:bookmarkStart w:id="18" w:name="_Toc28359082"/>
      <w:bookmarkStart w:id="19" w:name="_Toc28359005"/>
      <w:bookmarkStart w:id="20" w:name="_Toc35393793"/>
      <w:bookmarkStart w:id="21" w:name="_Toc35393624"/>
      <w:r>
        <w:rPr>
          <w:rFonts w:hint="eastAsia" w:ascii="宋体" w:hAnsi="宋体" w:eastAsia="宋体" w:cs="宋体"/>
          <w:color w:val="000000"/>
          <w:sz w:val="24"/>
        </w:rPr>
        <w:t>1.时间</w:t>
      </w:r>
      <w:r>
        <w:rPr>
          <w:rFonts w:hint="eastAsia" w:ascii="宋体" w:hAnsi="宋体" w:eastAsia="宋体" w:cs="宋体"/>
          <w:color w:val="000000"/>
          <w:sz w:val="24"/>
          <w:lang w:val="en-US" w:eastAsia="zh-CN"/>
        </w:rPr>
        <w:t>：</w:t>
      </w:r>
      <w:bookmarkEnd w:id="17"/>
      <w:bookmarkEnd w:id="18"/>
      <w:bookmarkEnd w:id="19"/>
      <w:bookmarkEnd w:id="20"/>
      <w:bookmarkEnd w:id="21"/>
      <w:r>
        <w:rPr>
          <w:rFonts w:hint="eastAsia" w:ascii="宋体" w:hAnsi="宋体" w:eastAsia="宋体" w:cs="宋体"/>
          <w:color w:val="000000"/>
          <w:sz w:val="24"/>
          <w:lang w:val="en-US" w:eastAsia="zh-CN"/>
        </w:rPr>
        <w:t>自招标文件公告发布之日起5个工作日。</w:t>
      </w:r>
    </w:p>
    <w:p w14:paraId="3FE7E4A2">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2.地点：“苏采云”系统内免费下载（投标人必须在苏采云系统中获取采购文件，方能参与政府采购项目）；</w:t>
      </w:r>
    </w:p>
    <w:p w14:paraId="1CD7F0EF">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3.方式：本项目采用网上注册登记方式。 </w:t>
      </w:r>
    </w:p>
    <w:p w14:paraId="31F3C5CF">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4.售价：0元</w:t>
      </w:r>
    </w:p>
    <w:p w14:paraId="48944B76">
      <w:pPr>
        <w:widowControl/>
        <w:spacing w:line="440" w:lineRule="exact"/>
        <w:ind w:firstLine="482"/>
        <w:jc w:val="left"/>
        <w:rPr>
          <w:rFonts w:hint="eastAsia" w:ascii="宋体" w:hAnsi="宋体" w:eastAsia="宋体" w:cs="宋体"/>
          <w:b/>
          <w:bCs/>
          <w:color w:val="000000" w:themeColor="text1"/>
          <w:kern w:val="0"/>
          <w:sz w:val="24"/>
          <w14:textFill>
            <w14:solidFill>
              <w14:schemeClr w14:val="tx1"/>
            </w14:solidFill>
          </w14:textFill>
        </w:rPr>
      </w:pPr>
      <w:r>
        <w:rPr>
          <w:rFonts w:hint="eastAsia" w:ascii="宋体" w:hAnsi="宋体" w:eastAsia="宋体" w:cs="宋体"/>
          <w:b/>
          <w:bCs/>
          <w:color w:val="000000" w:themeColor="text1"/>
          <w:kern w:val="0"/>
          <w:sz w:val="24"/>
          <w14:textFill>
            <w14:solidFill>
              <w14:schemeClr w14:val="tx1"/>
            </w14:solidFill>
          </w14:textFill>
        </w:rPr>
        <w:t>四、提交投标文件截止时间、开标时间和地点</w:t>
      </w:r>
    </w:p>
    <w:p w14:paraId="24800BB3">
      <w:pPr>
        <w:pStyle w:val="36"/>
        <w:pageBreakBefore w:val="0"/>
        <w:spacing w:beforeAutospacing="0" w:afterAutospacing="0" w:line="500" w:lineRule="exact"/>
        <w:ind w:firstLine="480"/>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时间</w:t>
      </w:r>
      <w:r>
        <w:rPr>
          <w:rFonts w:hint="eastAsia" w:ascii="宋体" w:hAnsi="宋体" w:eastAsia="宋体" w:cs="宋体"/>
          <w:color w:val="000000"/>
          <w:sz w:val="24"/>
          <w:highlight w:val="none"/>
          <w:u w:val="none"/>
          <w:lang w:val="en-US" w:eastAsia="zh-CN"/>
        </w:rPr>
        <w:t>：2026年08月24日</w:t>
      </w:r>
      <w:r>
        <w:rPr>
          <w:rFonts w:hint="eastAsia" w:ascii="宋体" w:hAnsi="宋体" w:eastAsia="宋体" w:cs="宋体"/>
          <w:color w:val="000000"/>
          <w:sz w:val="24"/>
          <w:szCs w:val="24"/>
          <w:highlight w:val="none"/>
          <w:u w:val="none"/>
          <w:lang w:val="en-US" w:eastAsia="zh-CN"/>
        </w:rPr>
        <w:t>9</w:t>
      </w:r>
      <w:r>
        <w:rPr>
          <w:rFonts w:hint="eastAsia" w:ascii="宋体" w:hAnsi="宋体" w:eastAsia="宋体" w:cs="宋体"/>
          <w:color w:val="000000"/>
          <w:sz w:val="24"/>
          <w:szCs w:val="24"/>
          <w:highlight w:val="none"/>
          <w:u w:val="none"/>
        </w:rPr>
        <w:t>点</w:t>
      </w:r>
      <w:r>
        <w:rPr>
          <w:rFonts w:hint="eastAsia" w:ascii="宋体" w:hAnsi="宋体" w:eastAsia="宋体" w:cs="宋体"/>
          <w:color w:val="000000"/>
          <w:sz w:val="24"/>
          <w:szCs w:val="24"/>
          <w:highlight w:val="none"/>
          <w:u w:val="none"/>
          <w:lang w:val="en-US" w:eastAsia="zh-CN"/>
        </w:rPr>
        <w:t>00</w:t>
      </w:r>
      <w:r>
        <w:rPr>
          <w:rFonts w:hint="eastAsia" w:ascii="宋体" w:hAnsi="宋体" w:eastAsia="宋体" w:cs="宋体"/>
          <w:color w:val="000000"/>
          <w:sz w:val="24"/>
          <w:szCs w:val="24"/>
          <w:highlight w:val="none"/>
          <w:u w:val="none"/>
        </w:rPr>
        <w:t>分</w:t>
      </w:r>
      <w:r>
        <w:rPr>
          <w:rFonts w:hint="eastAsia" w:ascii="宋体" w:hAnsi="宋体" w:eastAsia="宋体" w:cs="宋体"/>
          <w:color w:val="000000"/>
          <w:sz w:val="24"/>
          <w:highlight w:val="none"/>
          <w:lang w:val="en-US" w:eastAsia="zh-CN"/>
        </w:rPr>
        <w:t>（北京时间）</w:t>
      </w:r>
    </w:p>
    <w:p w14:paraId="2DD14093">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2.地点：苏采云“不见面”开标大厅 。</w:t>
      </w:r>
    </w:p>
    <w:p w14:paraId="24E0C040">
      <w:pPr>
        <w:widowControl/>
        <w:spacing w:line="440" w:lineRule="exact"/>
        <w:ind w:firstLine="482"/>
        <w:jc w:val="left"/>
        <w:rPr>
          <w:rFonts w:hint="eastAsia" w:ascii="宋体" w:hAnsi="宋体" w:eastAsia="宋体" w:cs="宋体"/>
          <w:b/>
          <w:bCs/>
          <w:color w:val="000000" w:themeColor="text1"/>
          <w:kern w:val="0"/>
          <w:sz w:val="24"/>
          <w14:textFill>
            <w14:solidFill>
              <w14:schemeClr w14:val="tx1"/>
            </w14:solidFill>
          </w14:textFill>
        </w:rPr>
      </w:pPr>
      <w:bookmarkStart w:id="22" w:name="_Toc28359084"/>
      <w:bookmarkStart w:id="23" w:name="_Toc28359007"/>
      <w:bookmarkStart w:id="24" w:name="_Toc38985267"/>
      <w:bookmarkStart w:id="25" w:name="_Toc35393794"/>
      <w:bookmarkStart w:id="26" w:name="_Toc35393625"/>
      <w:r>
        <w:rPr>
          <w:rFonts w:hint="eastAsia" w:ascii="宋体" w:hAnsi="宋体" w:eastAsia="宋体" w:cs="宋体"/>
          <w:b/>
          <w:bCs/>
          <w:color w:val="000000" w:themeColor="text1"/>
          <w:kern w:val="0"/>
          <w:sz w:val="24"/>
          <w14:textFill>
            <w14:solidFill>
              <w14:schemeClr w14:val="tx1"/>
            </w14:solidFill>
          </w14:textFill>
        </w:rPr>
        <w:t>五、公告期限</w:t>
      </w:r>
      <w:bookmarkEnd w:id="22"/>
      <w:bookmarkEnd w:id="23"/>
      <w:bookmarkEnd w:id="24"/>
      <w:bookmarkEnd w:id="25"/>
      <w:bookmarkEnd w:id="26"/>
    </w:p>
    <w:p w14:paraId="7C2197F9">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宋体" w:hAnsi="宋体" w:eastAsia="宋体" w:cs="宋体"/>
          <w:i w:val="0"/>
          <w:iCs w:val="0"/>
          <w:caps w:val="0"/>
          <w:color w:val="333333"/>
          <w:spacing w:val="0"/>
          <w:sz w:val="24"/>
          <w:szCs w:val="24"/>
          <w:highlight w:val="none"/>
          <w:shd w:val="clear" w:fill="FFFFFF"/>
          <w:lang w:val="en-US" w:eastAsia="zh-CN"/>
        </w:rPr>
      </w:pPr>
      <w:bookmarkStart w:id="27" w:name="_Toc35393795"/>
      <w:bookmarkStart w:id="28" w:name="_Toc38985268"/>
      <w:bookmarkStart w:id="29" w:name="_Toc35393626"/>
      <w:r>
        <w:rPr>
          <w:rFonts w:hint="eastAsia" w:ascii="宋体" w:hAnsi="宋体" w:eastAsia="宋体" w:cs="宋体"/>
          <w:i w:val="0"/>
          <w:iCs w:val="0"/>
          <w:caps w:val="0"/>
          <w:color w:val="333333"/>
          <w:spacing w:val="0"/>
          <w:sz w:val="24"/>
          <w:szCs w:val="24"/>
          <w:highlight w:val="none"/>
          <w:shd w:val="clear" w:fill="FFFFFF"/>
          <w:lang w:val="en-US" w:eastAsia="zh-CN"/>
        </w:rPr>
        <w:t>自本公告发布之日起5个工作日。</w:t>
      </w:r>
      <w:bookmarkEnd w:id="27"/>
      <w:bookmarkEnd w:id="28"/>
      <w:bookmarkEnd w:id="29"/>
    </w:p>
    <w:p w14:paraId="637476BB">
      <w:pPr>
        <w:widowControl/>
        <w:spacing w:line="440" w:lineRule="exact"/>
        <w:ind w:firstLine="482"/>
        <w:jc w:val="left"/>
        <w:rPr>
          <w:rFonts w:hint="eastAsia" w:ascii="宋体" w:hAnsi="宋体" w:eastAsia="宋体" w:cs="宋体"/>
          <w:b/>
          <w:bCs/>
          <w:color w:val="000000" w:themeColor="text1"/>
          <w:kern w:val="0"/>
          <w:sz w:val="24"/>
          <w:lang w:val="en-US" w:eastAsia="zh-CN"/>
          <w14:textFill>
            <w14:solidFill>
              <w14:schemeClr w14:val="tx1"/>
            </w14:solidFill>
          </w14:textFill>
        </w:rPr>
      </w:pPr>
      <w:r>
        <w:rPr>
          <w:rFonts w:hint="eastAsia" w:ascii="宋体" w:hAnsi="宋体" w:eastAsia="宋体" w:cs="宋体"/>
          <w:b/>
          <w:bCs/>
          <w:color w:val="000000" w:themeColor="text1"/>
          <w:kern w:val="0"/>
          <w:sz w:val="24"/>
          <w:lang w:val="en-US" w:eastAsia="zh-CN"/>
          <w14:textFill>
            <w14:solidFill>
              <w14:schemeClr w14:val="tx1"/>
            </w14:solidFill>
          </w14:textFill>
        </w:rPr>
        <w:t>六、其他补充事宜</w:t>
      </w:r>
    </w:p>
    <w:p w14:paraId="2A0228E5">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bookmarkStart w:id="30" w:name="_Toc28359018"/>
      <w:r>
        <w:rPr>
          <w:rFonts w:hint="eastAsia" w:ascii="宋体" w:hAnsi="宋体" w:eastAsia="宋体" w:cs="宋体"/>
          <w:color w:val="000000"/>
          <w:sz w:val="24"/>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93E042C">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领取CA和办理电子签章（请</w:t>
      </w:r>
      <w:r>
        <w:rPr>
          <w:rFonts w:hint="eastAsia" w:ascii="宋体" w:hAnsi="宋体" w:eastAsia="宋体" w:cs="宋体"/>
          <w:color w:val="auto"/>
          <w:sz w:val="24"/>
          <w:lang w:val="en-US" w:eastAsia="zh-CN"/>
        </w:rPr>
        <w:t>至</w:t>
      </w:r>
      <w:r>
        <w:rPr>
          <w:rFonts w:hint="eastAsia" w:ascii="宋体" w:hAnsi="宋体" w:eastAsia="宋体" w:cs="宋体"/>
          <w:i w:val="0"/>
          <w:iCs w:val="0"/>
          <w:caps w:val="0"/>
          <w:color w:val="auto"/>
          <w:spacing w:val="0"/>
          <w:sz w:val="24"/>
          <w:szCs w:val="24"/>
          <w:highlight w:val="none"/>
          <w:shd w:val="clear" w:color="auto" w:fill="auto"/>
          <w:lang w:val="en-US" w:eastAsia="zh-CN"/>
        </w:rPr>
        <w:t>盐城市盐都区府西路1号盐城市政务服务中心4楼盐城市公共资源交易中心10号，11号窗口</w:t>
      </w:r>
      <w:r>
        <w:rPr>
          <w:rFonts w:hint="eastAsia" w:ascii="宋体" w:hAnsi="宋体" w:eastAsia="宋体" w:cs="宋体"/>
          <w:color w:val="auto"/>
          <w:sz w:val="24"/>
          <w:lang w:val="en-US" w:eastAsia="zh-CN"/>
        </w:rPr>
        <w:t>办理，联系电话：15051556883，办理邮箱：yancheng@ideabank.net.cn，具体联系方式见</w:t>
      </w:r>
      <w:r>
        <w:rPr>
          <w:rFonts w:hint="eastAsia" w:ascii="宋体" w:hAnsi="宋体" w:eastAsia="宋体" w:cs="宋体"/>
          <w:color w:val="000000"/>
          <w:sz w:val="24"/>
          <w:lang w:val="en-US" w:eastAsia="zh-CN"/>
        </w:rPr>
        <w:t>《苏采云系统供应商操作手册》（以下简称《操作手册》））、进行注册并按《操作手册》要求制作、上传电子投标文件,《苏采云系统供应商操作手册》：在盐城市政府采购网点击【办事指南】-【供应商参与政府采购活动相关资料】。</w:t>
      </w:r>
    </w:p>
    <w:p w14:paraId="28F63D87">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 潜在供应商访问电子招标响应交易平台的网络地址和方法： </w:t>
      </w:r>
    </w:p>
    <w:p w14:paraId="32A21B87">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6A03879">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2.2 潜在投标人访问“苏采云”系统方法：江苏省政府采购网首页-“苏采云”链接。 </w:t>
      </w:r>
    </w:p>
    <w:p w14:paraId="5B5DA349">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2.3 采购文件（后缀名为“.kedt”）、供应商操作手册及政府采购客户端 工具可通过“苏采云”系统相应链接进行下载。 </w:t>
      </w:r>
    </w:p>
    <w:p w14:paraId="49157009">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2.4 采购代理机构将数据电文形式的采购文件加载至“苏采云”系统，供潜在供应商下载或者查阅。 </w:t>
      </w:r>
    </w:p>
    <w:p w14:paraId="721EE1E1">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2.5 请潜在投标单位提前安装相应的控件（详见《“苏采云”系统供应商操作手册》）并使用谷歌浏览器登录“苏采云”系统参与不见面开评标。 </w:t>
      </w:r>
    </w:p>
    <w:p w14:paraId="3C71CFFD">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如潜在投标人未按上述要求操作，将自行承担所产生的风险。</w:t>
      </w:r>
    </w:p>
    <w:p w14:paraId="364CCC01">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3.有关本次招标的事项若存在变动或修改，敬请及时关注采购代理公司在“中国政府采购网”“江苏政府采购网”“盐城市政府采购网”发布的更正公告。</w:t>
      </w:r>
    </w:p>
    <w:p w14:paraId="48E07BEB">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4.本次招标不收取投标保证金，不收取质量保证金。</w:t>
      </w:r>
    </w:p>
    <w:p w14:paraId="5BFADC70">
      <w:pPr>
        <w:widowControl/>
        <w:spacing w:line="440" w:lineRule="exact"/>
        <w:ind w:firstLine="482"/>
        <w:jc w:val="left"/>
        <w:rPr>
          <w:rFonts w:hint="eastAsia" w:ascii="宋体" w:hAnsi="宋体" w:eastAsia="宋体" w:cs="宋体"/>
          <w:b/>
          <w:bCs/>
          <w:color w:val="000000" w:themeColor="text1"/>
          <w:kern w:val="0"/>
          <w:sz w:val="24"/>
          <w:lang w:val="en-US" w:eastAsia="zh-CN"/>
          <w14:textFill>
            <w14:solidFill>
              <w14:schemeClr w14:val="tx1"/>
            </w14:solidFill>
          </w14:textFill>
        </w:rPr>
      </w:pPr>
      <w:r>
        <w:rPr>
          <w:rFonts w:hint="eastAsia" w:ascii="宋体" w:hAnsi="宋体" w:eastAsia="宋体" w:cs="宋体"/>
          <w:b/>
          <w:bCs/>
          <w:color w:val="000000" w:themeColor="text1"/>
          <w:kern w:val="0"/>
          <w:sz w:val="24"/>
          <w:lang w:val="en-US" w:eastAsia="zh-CN"/>
          <w14:textFill>
            <w14:solidFill>
              <w14:schemeClr w14:val="tx1"/>
            </w14:solidFill>
          </w14:textFill>
        </w:rPr>
        <w:t>七、对本次招标提出询问，请按以下方式联系。</w:t>
      </w:r>
      <w:bookmarkEnd w:id="30"/>
    </w:p>
    <w:p w14:paraId="0D2BFE3A">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bookmarkStart w:id="31" w:name="_Toc28359009"/>
      <w:r>
        <w:rPr>
          <w:rFonts w:hint="eastAsia" w:ascii="宋体" w:hAnsi="宋体" w:eastAsia="宋体" w:cs="宋体"/>
          <w:color w:val="000000"/>
          <w:sz w:val="24"/>
          <w:lang w:val="en-US" w:eastAsia="zh-CN"/>
        </w:rPr>
        <w:t>1.采购人信息</w:t>
      </w:r>
    </w:p>
    <w:p w14:paraId="4EC9ACA3">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名 称：</w:t>
      </w:r>
      <w:r>
        <w:rPr>
          <w:rFonts w:hint="eastAsia" w:ascii="宋体" w:hAnsi="宋体" w:eastAsia="宋体" w:cs="宋体"/>
          <w:i w:val="0"/>
          <w:iCs w:val="0"/>
          <w:caps w:val="0"/>
          <w:color w:val="333333"/>
          <w:spacing w:val="0"/>
          <w:sz w:val="24"/>
          <w:szCs w:val="24"/>
          <w:shd w:val="clear" w:color="auto" w:fill="FFFFFF"/>
          <w:lang w:val="en-US" w:eastAsia="zh-CN"/>
        </w:rPr>
        <w:t>盐城市亭湖区民政局</w:t>
      </w:r>
    </w:p>
    <w:p w14:paraId="6AEEDB22">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地址：</w:t>
      </w:r>
      <w:r>
        <w:rPr>
          <w:rFonts w:hint="eastAsia" w:ascii="宋体" w:hAnsi="宋体" w:eastAsia="宋体" w:cs="宋体"/>
          <w:i w:val="0"/>
          <w:iCs w:val="0"/>
          <w:caps w:val="0"/>
          <w:color w:val="333333"/>
          <w:spacing w:val="0"/>
          <w:sz w:val="24"/>
          <w:szCs w:val="24"/>
          <w:shd w:val="clear" w:color="auto" w:fill="FFFFFF"/>
          <w:lang w:val="en-US" w:eastAsia="zh-CN"/>
        </w:rPr>
        <w:t>盐城市亭湖区五星街道大星南路58号</w:t>
      </w:r>
      <w:r>
        <w:rPr>
          <w:rFonts w:hint="eastAsia" w:ascii="宋体" w:hAnsi="宋体" w:eastAsia="宋体" w:cs="宋体"/>
          <w:color w:val="000000"/>
          <w:sz w:val="24"/>
          <w:lang w:val="en-US" w:eastAsia="zh-CN"/>
        </w:rPr>
        <w:t xml:space="preserve"> </w:t>
      </w:r>
    </w:p>
    <w:p w14:paraId="3FDCA078">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联系人：</w:t>
      </w:r>
      <w:r>
        <w:rPr>
          <w:rFonts w:hint="eastAsia" w:ascii="宋体" w:hAnsi="宋体" w:eastAsia="宋体" w:cs="宋体"/>
          <w:i w:val="0"/>
          <w:iCs w:val="0"/>
          <w:caps w:val="0"/>
          <w:color w:val="333333"/>
          <w:spacing w:val="0"/>
          <w:sz w:val="24"/>
          <w:szCs w:val="24"/>
          <w:shd w:val="clear" w:color="auto" w:fill="FFFFFF"/>
          <w:lang w:val="en-US" w:eastAsia="zh-CN"/>
        </w:rPr>
        <w:t>孙道春</w:t>
      </w:r>
      <w:r>
        <w:rPr>
          <w:rFonts w:hint="eastAsia" w:ascii="宋体" w:hAnsi="宋体" w:eastAsia="宋体" w:cs="宋体"/>
          <w:color w:val="000000"/>
          <w:sz w:val="24"/>
          <w:lang w:val="en-US" w:eastAsia="zh-CN"/>
        </w:rPr>
        <w:t xml:space="preserve">              </w:t>
      </w:r>
    </w:p>
    <w:p w14:paraId="060E616F">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联系方式：</w:t>
      </w:r>
      <w:r>
        <w:rPr>
          <w:rFonts w:hint="eastAsia" w:ascii="宋体" w:hAnsi="宋体" w:eastAsia="宋体" w:cs="宋体"/>
          <w:i w:val="0"/>
          <w:iCs w:val="0"/>
          <w:caps w:val="0"/>
          <w:color w:val="333333"/>
          <w:spacing w:val="0"/>
          <w:sz w:val="24"/>
          <w:szCs w:val="24"/>
          <w:shd w:val="clear" w:color="auto" w:fill="FFFFFF"/>
          <w:lang w:val="en-US" w:eastAsia="zh-CN"/>
        </w:rPr>
        <w:t>18262490610</w:t>
      </w:r>
      <w:r>
        <w:rPr>
          <w:rFonts w:hint="eastAsia" w:ascii="宋体" w:hAnsi="宋体" w:eastAsia="宋体" w:cs="宋体"/>
          <w:color w:val="000000"/>
          <w:sz w:val="24"/>
          <w:lang w:val="en-US" w:eastAsia="zh-CN"/>
        </w:rPr>
        <w:t xml:space="preserve">            </w:t>
      </w:r>
    </w:p>
    <w:p w14:paraId="0213576D">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2.采购代理机构信息</w:t>
      </w:r>
    </w:p>
    <w:p w14:paraId="4B6CC1F3">
      <w:pPr>
        <w:pStyle w:val="36"/>
        <w:pageBreakBefore w:val="0"/>
        <w:spacing w:beforeAutospacing="0" w:afterAutospacing="0" w:line="500" w:lineRule="exact"/>
        <w:ind w:firstLine="480"/>
        <w:jc w:val="both"/>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名 称：江苏欣亭达工程项目管理有限公司</w:t>
      </w:r>
    </w:p>
    <w:p w14:paraId="7B87FB29">
      <w:pPr>
        <w:pStyle w:val="36"/>
        <w:pageBreakBefore w:val="0"/>
        <w:spacing w:beforeAutospacing="0" w:afterAutospacing="0" w:line="500" w:lineRule="exact"/>
        <w:ind w:firstLine="480"/>
        <w:jc w:val="both"/>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地 址： 盐城市盐南高新区新都街道办事处八营社区人民南路29号中环紫郡11幢203-106室</w:t>
      </w:r>
    </w:p>
    <w:p w14:paraId="41F16E1D">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联系人：郑先生                     </w:t>
      </w:r>
    </w:p>
    <w:p w14:paraId="0A6F4677">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联系方式：</w:t>
      </w:r>
      <w:bookmarkStart w:id="32" w:name="_Toc28359010"/>
      <w:bookmarkStart w:id="33" w:name="_Toc28359087"/>
      <w:r>
        <w:rPr>
          <w:rFonts w:hint="eastAsia" w:ascii="宋体" w:hAnsi="宋体" w:eastAsia="宋体" w:cs="宋体"/>
          <w:color w:val="000000"/>
          <w:sz w:val="24"/>
          <w:lang w:val="en-US" w:eastAsia="zh-CN"/>
        </w:rPr>
        <w:t>18021800625      </w:t>
      </w:r>
      <w:bookmarkEnd w:id="32"/>
      <w:bookmarkEnd w:id="33"/>
      <w:r>
        <w:rPr>
          <w:rFonts w:hint="eastAsia" w:ascii="宋体" w:hAnsi="宋体" w:eastAsia="宋体" w:cs="宋体"/>
          <w:color w:val="000000"/>
          <w:sz w:val="24"/>
          <w:lang w:val="en-US" w:eastAsia="zh-CN"/>
        </w:rPr>
        <w:t xml:space="preserve">            </w:t>
      </w:r>
    </w:p>
    <w:p w14:paraId="33DFE756">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bookmarkStart w:id="34" w:name="_Toc28359021"/>
      <w:r>
        <w:rPr>
          <w:rFonts w:hint="eastAsia" w:ascii="宋体" w:hAnsi="宋体" w:eastAsia="宋体" w:cs="宋体"/>
          <w:color w:val="000000"/>
          <w:sz w:val="24"/>
          <w:lang w:val="en-US" w:eastAsia="zh-CN"/>
        </w:rPr>
        <w:t>3.</w:t>
      </w:r>
      <w:bookmarkEnd w:id="34"/>
      <w:r>
        <w:rPr>
          <w:rFonts w:hint="eastAsia" w:ascii="宋体" w:hAnsi="宋体" w:eastAsia="宋体" w:cs="宋体"/>
          <w:color w:val="000000"/>
          <w:sz w:val="24"/>
          <w:lang w:val="en-US" w:eastAsia="zh-CN"/>
        </w:rPr>
        <w:t>项目联系方式</w:t>
      </w:r>
    </w:p>
    <w:p w14:paraId="577BF0E7">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项目联系人：</w:t>
      </w:r>
      <w:r>
        <w:rPr>
          <w:rFonts w:hint="eastAsia" w:ascii="宋体" w:hAnsi="宋体" w:eastAsia="宋体" w:cs="宋体"/>
          <w:i w:val="0"/>
          <w:iCs w:val="0"/>
          <w:caps w:val="0"/>
          <w:color w:val="333333"/>
          <w:spacing w:val="0"/>
          <w:sz w:val="24"/>
          <w:szCs w:val="24"/>
          <w:shd w:val="clear" w:color="auto" w:fill="FFFFFF"/>
          <w:lang w:val="en-US" w:eastAsia="zh-CN"/>
        </w:rPr>
        <w:t>孙道春</w:t>
      </w:r>
      <w:r>
        <w:rPr>
          <w:rFonts w:hint="eastAsia" w:ascii="宋体" w:hAnsi="宋体" w:eastAsia="宋体" w:cs="宋体"/>
          <w:color w:val="000000"/>
          <w:sz w:val="24"/>
          <w:lang w:val="en-US" w:eastAsia="zh-CN"/>
        </w:rPr>
        <w:t> </w:t>
      </w:r>
    </w:p>
    <w:p w14:paraId="5AA0D518">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电　　 话：</w:t>
      </w:r>
      <w:r>
        <w:rPr>
          <w:rFonts w:hint="eastAsia" w:ascii="宋体" w:hAnsi="宋体" w:eastAsia="宋体" w:cs="宋体"/>
          <w:i w:val="0"/>
          <w:iCs w:val="0"/>
          <w:caps w:val="0"/>
          <w:color w:val="333333"/>
          <w:spacing w:val="0"/>
          <w:sz w:val="24"/>
          <w:szCs w:val="24"/>
          <w:shd w:val="clear" w:color="auto" w:fill="FFFFFF"/>
          <w:lang w:val="en-US" w:eastAsia="zh-CN"/>
        </w:rPr>
        <w:t>18262490610</w:t>
      </w:r>
      <w:r>
        <w:rPr>
          <w:rFonts w:hint="eastAsia" w:ascii="宋体" w:hAnsi="宋体" w:eastAsia="宋体" w:cs="宋体"/>
          <w:color w:val="000000"/>
          <w:sz w:val="24"/>
          <w:lang w:val="en-US" w:eastAsia="zh-CN"/>
        </w:rPr>
        <w:t>　　　　　　　　　　　　</w:t>
      </w:r>
    </w:p>
    <w:p w14:paraId="2CEFCD0D">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w:t>
      </w:r>
    </w:p>
    <w:p w14:paraId="423E8CA6">
      <w:pPr>
        <w:pStyle w:val="15"/>
        <w:spacing w:beforeAutospacing="0" w:afterAutospacing="0"/>
        <w:ind w:right="840"/>
        <w:jc w:val="both"/>
        <w:rPr>
          <w:rFonts w:hint="eastAsia" w:ascii="黑体" w:hAnsi="宋体" w:eastAsia="黑体" w:cs="黑体"/>
          <w:b/>
          <w:color w:val="000000"/>
          <w:sz w:val="44"/>
          <w:szCs w:val="44"/>
          <w:highlight w:val="none"/>
        </w:rPr>
      </w:pPr>
      <w:r>
        <w:rPr>
          <w:rFonts w:hint="eastAsia" w:ascii="宋体" w:hAnsi="宋体" w:eastAsia="宋体" w:cs="宋体"/>
          <w:color w:val="000000"/>
          <w:sz w:val="24"/>
          <w:szCs w:val="24"/>
          <w:highlight w:val="none"/>
        </w:rPr>
        <w:br w:type="page"/>
      </w:r>
      <w:bookmarkStart w:id="35" w:name="_Toc120614211"/>
    </w:p>
    <w:p w14:paraId="01CD31E3">
      <w:pPr>
        <w:pStyle w:val="15"/>
        <w:keepNext/>
        <w:keepLines/>
        <w:spacing w:before="260" w:beforeAutospacing="0" w:after="260" w:afterAutospacing="0" w:line="415" w:lineRule="auto"/>
        <w:ind w:firstLine="2429"/>
        <w:jc w:val="both"/>
        <w:rPr>
          <w:highlight w:val="none"/>
        </w:rPr>
      </w:pPr>
      <w:r>
        <w:rPr>
          <w:rFonts w:hint="eastAsia" w:ascii="黑体" w:hAnsi="宋体" w:eastAsia="黑体" w:cs="黑体"/>
          <w:b/>
          <w:color w:val="000000"/>
          <w:sz w:val="44"/>
          <w:szCs w:val="44"/>
          <w:highlight w:val="none"/>
        </w:rPr>
        <w:t xml:space="preserve">第二章  </w:t>
      </w:r>
      <w:bookmarkEnd w:id="35"/>
      <w:bookmarkStart w:id="36" w:name="_Toc16938518"/>
      <w:bookmarkStart w:id="37" w:name="_Toc513029202"/>
      <w:bookmarkStart w:id="38" w:name="_Toc20823274"/>
      <w:bookmarkStart w:id="39" w:name="_Toc120614213"/>
      <w:r>
        <w:rPr>
          <w:rFonts w:hint="eastAsia" w:ascii="黑体" w:hAnsi="宋体" w:eastAsia="黑体" w:cs="黑体"/>
          <w:b/>
          <w:color w:val="000000"/>
          <w:sz w:val="44"/>
          <w:szCs w:val="44"/>
          <w:highlight w:val="none"/>
        </w:rPr>
        <w:t>投标人须知</w:t>
      </w:r>
      <w:bookmarkEnd w:id="36"/>
      <w:bookmarkEnd w:id="37"/>
      <w:bookmarkEnd w:id="38"/>
      <w:bookmarkEnd w:id="39"/>
    </w:p>
    <w:p w14:paraId="2D4D4940">
      <w:pPr>
        <w:pStyle w:val="15"/>
        <w:keepNext/>
        <w:keepLines/>
        <w:spacing w:before="145" w:beforeAutospacing="0" w:after="145" w:afterAutospacing="0" w:line="360" w:lineRule="auto"/>
        <w:ind w:firstLine="498"/>
        <w:jc w:val="both"/>
        <w:rPr>
          <w:rFonts w:hint="eastAsia" w:ascii="宋体" w:hAnsi="宋体" w:eastAsia="宋体" w:cs="宋体"/>
          <w:sz w:val="24"/>
          <w:szCs w:val="24"/>
          <w:highlight w:val="none"/>
        </w:rPr>
      </w:pPr>
      <w:bookmarkStart w:id="40" w:name="_Toc16938519"/>
      <w:bookmarkStart w:id="41" w:name="_Toc120614214"/>
      <w:bookmarkStart w:id="42" w:name="_Toc20823275"/>
      <w:bookmarkStart w:id="43" w:name="_Toc513029203"/>
      <w:r>
        <w:rPr>
          <w:rFonts w:hint="eastAsia" w:ascii="宋体" w:hAnsi="宋体" w:eastAsia="宋体" w:cs="宋体"/>
          <w:b/>
          <w:color w:val="000000"/>
          <w:sz w:val="24"/>
          <w:szCs w:val="24"/>
          <w:highlight w:val="none"/>
        </w:rPr>
        <w:t>一、总则</w:t>
      </w:r>
      <w:bookmarkEnd w:id="40"/>
      <w:bookmarkEnd w:id="41"/>
      <w:bookmarkEnd w:id="42"/>
      <w:bookmarkEnd w:id="43"/>
    </w:p>
    <w:p w14:paraId="48E05819">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44" w:name="_Toc16938520"/>
      <w:bookmarkStart w:id="45" w:name="_Toc20823276"/>
      <w:bookmarkStart w:id="46" w:name="_Toc458694821"/>
      <w:bookmarkStart w:id="47" w:name="_Toc513029204"/>
      <w:bookmarkStart w:id="48" w:name="_Hlt16619475"/>
      <w:r>
        <w:rPr>
          <w:rFonts w:hint="eastAsia" w:ascii="宋体" w:hAnsi="宋体" w:eastAsia="宋体" w:cs="宋体"/>
          <w:b/>
          <w:bCs/>
          <w:color w:val="000000"/>
          <w:sz w:val="24"/>
          <w:lang w:val="en-US" w:eastAsia="zh-CN"/>
        </w:rPr>
        <w:t>1</w:t>
      </w:r>
      <w:bookmarkEnd w:id="44"/>
      <w:r>
        <w:rPr>
          <w:rFonts w:hint="eastAsia" w:ascii="宋体" w:hAnsi="宋体" w:eastAsia="宋体" w:cs="宋体"/>
          <w:b/>
          <w:bCs/>
          <w:color w:val="000000"/>
          <w:sz w:val="24"/>
          <w:lang w:val="en-US" w:eastAsia="zh-CN"/>
        </w:rPr>
        <w:t>、招标方式</w:t>
      </w:r>
      <w:bookmarkEnd w:id="45"/>
      <w:bookmarkEnd w:id="46"/>
      <w:bookmarkEnd w:id="47"/>
    </w:p>
    <w:p w14:paraId="496D2DA3">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1.1本次招标采取公开招标方式，本招标文件仅适用于招标公告中所述项目。</w:t>
      </w:r>
    </w:p>
    <w:p w14:paraId="7EFF3468">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49" w:name="_Toc513029205"/>
      <w:bookmarkStart w:id="50" w:name="_Toc16938521"/>
      <w:bookmarkStart w:id="51" w:name="_Toc20823277"/>
      <w:r>
        <w:rPr>
          <w:rFonts w:hint="eastAsia" w:ascii="宋体" w:hAnsi="宋体" w:eastAsia="宋体" w:cs="宋体"/>
          <w:b/>
          <w:bCs/>
          <w:color w:val="000000"/>
          <w:sz w:val="24"/>
          <w:lang w:val="en-US" w:eastAsia="zh-CN"/>
        </w:rPr>
        <w:t>2、合格的投标人</w:t>
      </w:r>
      <w:bookmarkEnd w:id="49"/>
      <w:bookmarkEnd w:id="50"/>
      <w:bookmarkEnd w:id="51"/>
    </w:p>
    <w:p w14:paraId="575CB15D">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2.1满足招标公告中供应商的资格要求的规定。</w:t>
      </w:r>
    </w:p>
    <w:p w14:paraId="053B99F5">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2.2满足本文件实质性要求和条件的规定。</w:t>
      </w:r>
    </w:p>
    <w:p w14:paraId="4170807A">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52" w:name="_Toc513029206"/>
      <w:bookmarkStart w:id="53" w:name="_Toc20823278"/>
      <w:bookmarkStart w:id="54" w:name="_Toc16938522"/>
      <w:bookmarkStart w:id="55" w:name="_Toc20823279"/>
      <w:bookmarkStart w:id="56" w:name="_Toc513029207"/>
      <w:bookmarkStart w:id="57" w:name="_Toc16938523"/>
      <w:bookmarkStart w:id="58" w:name="_Toc462564067"/>
      <w:r>
        <w:rPr>
          <w:rFonts w:hint="eastAsia" w:ascii="宋体" w:hAnsi="宋体" w:eastAsia="宋体" w:cs="宋体"/>
          <w:b/>
          <w:bCs/>
          <w:color w:val="000000"/>
          <w:sz w:val="24"/>
          <w:lang w:val="en-US" w:eastAsia="zh-CN"/>
        </w:rPr>
        <w:t>3、适用法律</w:t>
      </w:r>
      <w:bookmarkEnd w:id="52"/>
      <w:bookmarkEnd w:id="53"/>
      <w:bookmarkEnd w:id="54"/>
      <w:r>
        <w:rPr>
          <w:rFonts w:hint="eastAsia" w:ascii="宋体" w:hAnsi="宋体" w:eastAsia="宋体" w:cs="宋体"/>
          <w:b/>
          <w:bCs/>
          <w:color w:val="000000"/>
          <w:sz w:val="24"/>
          <w:lang w:val="en-US" w:eastAsia="zh-CN"/>
        </w:rPr>
        <w:t>和标准</w:t>
      </w:r>
    </w:p>
    <w:p w14:paraId="60757E93">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3.1 本次招标及由此产生的合同受中华人民共和国有关的法律法规制约和保护。</w:t>
      </w:r>
    </w:p>
    <w:p w14:paraId="7F9D1500">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 在本项目政府采购活动过程中，如果所执行的标准有更新的，按照最新标准执行。</w:t>
      </w:r>
    </w:p>
    <w:p w14:paraId="36533D3B">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4、投标费用</w:t>
      </w:r>
      <w:bookmarkEnd w:id="55"/>
      <w:bookmarkEnd w:id="56"/>
      <w:bookmarkEnd w:id="57"/>
      <w:bookmarkEnd w:id="58"/>
    </w:p>
    <w:p w14:paraId="23EE288E">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4.1投标人应自行承担所有与参加投标有关的费用，无论投标过程中的做法和结果如何，</w:t>
      </w:r>
      <w:r>
        <w:rPr>
          <w:rFonts w:hint="eastAsia" w:ascii="宋体" w:hAnsi="宋体" w:eastAsia="宋体" w:cs="宋体"/>
          <w:color w:val="000000"/>
          <w:sz w:val="24"/>
          <w:szCs w:val="24"/>
          <w:highlight w:val="none"/>
        </w:rPr>
        <w:t>采购人和</w:t>
      </w:r>
      <w:r>
        <w:rPr>
          <w:rFonts w:hint="eastAsia" w:ascii="宋体" w:hAnsi="宋体" w:eastAsia="宋体" w:cs="宋体"/>
          <w:color w:val="000000"/>
          <w:sz w:val="24"/>
          <w:lang w:val="en-US" w:eastAsia="zh-CN"/>
        </w:rPr>
        <w:t>采购代理机构在任何情况下均无义务和责任承担这些费用。</w:t>
      </w:r>
    </w:p>
    <w:p w14:paraId="7508EC0F">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4.2本次招标采购代理机构和采购人不收取标书工本费。</w:t>
      </w:r>
    </w:p>
    <w:p w14:paraId="3170A5D0">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5、招标文件的约束力</w:t>
      </w:r>
    </w:p>
    <w:p w14:paraId="34C8BA98">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5.1投标人一旦参加本项目采购活动，即被认为接受了本招标文件的规定和约束。</w:t>
      </w:r>
    </w:p>
    <w:p w14:paraId="43832C20">
      <w:pPr>
        <w:pStyle w:val="15"/>
        <w:keepNext/>
        <w:keepLines/>
        <w:spacing w:before="145" w:beforeAutospacing="0" w:after="145" w:afterAutospacing="0" w:line="360" w:lineRule="auto"/>
        <w:ind w:firstLine="321"/>
        <w:jc w:val="both"/>
        <w:rPr>
          <w:rFonts w:hint="eastAsia" w:ascii="宋体" w:hAnsi="宋体" w:eastAsia="宋体" w:cs="宋体"/>
          <w:sz w:val="24"/>
          <w:szCs w:val="24"/>
          <w:highlight w:val="none"/>
        </w:rPr>
      </w:pPr>
      <w:bookmarkStart w:id="59" w:name="_Toc120614215"/>
      <w:bookmarkStart w:id="60" w:name="_Toc20823281"/>
      <w:bookmarkStart w:id="61" w:name="_Toc513029209"/>
      <w:bookmarkStart w:id="62" w:name="_Toc16938525"/>
      <w:r>
        <w:rPr>
          <w:rFonts w:hint="eastAsia" w:ascii="宋体" w:hAnsi="宋体" w:eastAsia="宋体" w:cs="宋体"/>
          <w:b/>
          <w:color w:val="000000"/>
          <w:sz w:val="24"/>
          <w:szCs w:val="24"/>
          <w:highlight w:val="none"/>
        </w:rPr>
        <w:t>二、招标文件</w:t>
      </w:r>
      <w:bookmarkEnd w:id="59"/>
      <w:bookmarkEnd w:id="60"/>
      <w:bookmarkEnd w:id="61"/>
      <w:bookmarkEnd w:id="62"/>
    </w:p>
    <w:p w14:paraId="68ED197E">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63" w:name="_Toc513029210"/>
      <w:bookmarkStart w:id="64" w:name="_Toc20823282"/>
      <w:bookmarkStart w:id="65" w:name="_Toc16938526"/>
      <w:r>
        <w:rPr>
          <w:rFonts w:hint="eastAsia" w:ascii="宋体" w:hAnsi="宋体" w:eastAsia="宋体" w:cs="宋体"/>
          <w:b/>
          <w:bCs/>
          <w:color w:val="000000"/>
          <w:sz w:val="24"/>
          <w:lang w:val="en-US" w:eastAsia="zh-CN"/>
        </w:rPr>
        <w:t>6、招标文件构成</w:t>
      </w:r>
      <w:bookmarkEnd w:id="63"/>
      <w:bookmarkEnd w:id="64"/>
      <w:bookmarkEnd w:id="65"/>
    </w:p>
    <w:p w14:paraId="3A8430B3">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6.1 招标文件由以下部分组成：</w:t>
      </w:r>
    </w:p>
    <w:p w14:paraId="7CAD8D0E">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（1）招标公告</w:t>
      </w:r>
    </w:p>
    <w:p w14:paraId="65867A57">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（2）投标人须知</w:t>
      </w:r>
    </w:p>
    <w:p w14:paraId="57943076">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（3）合同文本</w:t>
      </w:r>
    </w:p>
    <w:p w14:paraId="2179FCE5">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（4）采购需求</w:t>
      </w:r>
    </w:p>
    <w:p w14:paraId="552F5101">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（5）评标方法与评标标准</w:t>
      </w:r>
    </w:p>
    <w:p w14:paraId="35C39FDB">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（6）投标文件格式</w:t>
      </w:r>
    </w:p>
    <w:p w14:paraId="4BF73955">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请仔细检查招标文件是否齐全，如有缺漏请立即与采购代理机构联系解决。</w:t>
      </w:r>
    </w:p>
    <w:p w14:paraId="6CE22225">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FBCE683">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66" w:name="_Toc462564070"/>
      <w:bookmarkStart w:id="67" w:name="_Toc20823283"/>
      <w:bookmarkStart w:id="68" w:name="_Toc513029211"/>
      <w:bookmarkStart w:id="69" w:name="_Toc16938527"/>
      <w:r>
        <w:rPr>
          <w:rFonts w:hint="eastAsia" w:ascii="宋体" w:hAnsi="宋体" w:eastAsia="宋体" w:cs="宋体"/>
          <w:b/>
          <w:bCs/>
          <w:color w:val="000000"/>
          <w:sz w:val="24"/>
          <w:lang w:val="en-US" w:eastAsia="zh-CN"/>
        </w:rPr>
        <w:t>7、招标文件的澄清</w:t>
      </w:r>
      <w:bookmarkEnd w:id="66"/>
      <w:bookmarkEnd w:id="67"/>
      <w:bookmarkEnd w:id="68"/>
      <w:bookmarkEnd w:id="69"/>
    </w:p>
    <w:p w14:paraId="51C9CA80">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7.1任何要求对招标文件进行澄清的投标人，应在投标截止期十日前按招标公告中的通讯地址，以书面形式通知采购代理机构。</w:t>
      </w:r>
    </w:p>
    <w:p w14:paraId="64D93D1A">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70" w:name="_Toc20823284"/>
      <w:bookmarkStart w:id="71" w:name="_Toc513029212"/>
      <w:bookmarkStart w:id="72" w:name="_Toc462564071"/>
      <w:bookmarkStart w:id="73" w:name="_Toc16938528"/>
      <w:r>
        <w:rPr>
          <w:rFonts w:hint="eastAsia" w:ascii="宋体" w:hAnsi="宋体" w:eastAsia="宋体" w:cs="宋体"/>
          <w:b/>
          <w:bCs/>
          <w:color w:val="000000"/>
          <w:sz w:val="24"/>
          <w:lang w:val="en-US" w:eastAsia="zh-CN"/>
        </w:rPr>
        <w:t>8、招标文件的修改</w:t>
      </w:r>
      <w:bookmarkEnd w:id="70"/>
      <w:bookmarkEnd w:id="71"/>
      <w:bookmarkEnd w:id="72"/>
      <w:bookmarkEnd w:id="73"/>
    </w:p>
    <w:p w14:paraId="79F7581C">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8.1在投标截止时间前，</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可以对招标文件进行修改。</w:t>
      </w:r>
    </w:p>
    <w:p w14:paraId="6C5CE647">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8.2</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有权按照法定的要求推迟投标截止日期和开标日期。</w:t>
      </w:r>
    </w:p>
    <w:p w14:paraId="41734862">
      <w:pPr>
        <w:pStyle w:val="36"/>
        <w:pageBreakBefore w:val="0"/>
        <w:spacing w:beforeAutospacing="0" w:afterAutospacing="0" w:line="500" w:lineRule="exact"/>
        <w:ind w:firstLine="480"/>
        <w:jc w:val="both"/>
        <w:rPr>
          <w:rFonts w:hint="eastAsia" w:ascii="宋体" w:hAnsi="宋体" w:eastAsia="宋体" w:cs="宋体"/>
          <w:b/>
          <w:color w:val="000000"/>
          <w:sz w:val="24"/>
          <w:szCs w:val="24"/>
          <w:highlight w:val="none"/>
        </w:rPr>
      </w:pPr>
      <w:r>
        <w:rPr>
          <w:rFonts w:hint="eastAsia" w:ascii="宋体" w:hAnsi="宋体" w:eastAsia="宋体" w:cs="宋体"/>
          <w:color w:val="000000"/>
          <w:sz w:val="24"/>
          <w:lang w:val="en-US" w:eastAsia="zh-CN"/>
        </w:rPr>
        <w:t>8.3招标文件的修改将在中国政府采购网、江苏政府采购网、盐城市政府采购网公布，补充文件将作为招标文件的组成部分，并对投标人具有约束力。</w:t>
      </w:r>
      <w:bookmarkStart w:id="74" w:name="_Toc20823285"/>
      <w:bookmarkStart w:id="75" w:name="_Toc120614216"/>
      <w:bookmarkStart w:id="76" w:name="_Toc462564072"/>
      <w:bookmarkStart w:id="77" w:name="_Toc513029213"/>
      <w:bookmarkStart w:id="78" w:name="_Toc16938529"/>
    </w:p>
    <w:p w14:paraId="00278C9A">
      <w:pPr>
        <w:pStyle w:val="15"/>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三、投标文件的编制</w:t>
      </w:r>
      <w:bookmarkEnd w:id="74"/>
      <w:bookmarkEnd w:id="75"/>
      <w:bookmarkEnd w:id="76"/>
      <w:bookmarkEnd w:id="77"/>
      <w:bookmarkEnd w:id="78"/>
    </w:p>
    <w:p w14:paraId="3958D525">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79" w:name="_Toc16938530"/>
      <w:bookmarkStart w:id="80" w:name="_Toc513029214"/>
      <w:bookmarkStart w:id="81" w:name="_Toc20823286"/>
      <w:bookmarkStart w:id="82" w:name="_Toc462564073"/>
      <w:r>
        <w:rPr>
          <w:rFonts w:hint="eastAsia" w:ascii="宋体" w:hAnsi="宋体" w:eastAsia="宋体" w:cs="宋体"/>
          <w:b/>
          <w:bCs/>
          <w:color w:val="000000"/>
          <w:sz w:val="24"/>
          <w:lang w:val="en-US" w:eastAsia="zh-CN"/>
        </w:rPr>
        <w:t>9、投标文件的语言及度量衡单位</w:t>
      </w:r>
      <w:bookmarkEnd w:id="79"/>
      <w:bookmarkEnd w:id="80"/>
      <w:bookmarkEnd w:id="81"/>
      <w:bookmarkEnd w:id="82"/>
    </w:p>
    <w:p w14:paraId="4F02069C">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9.1投标人提交的投标文件以及投标人与</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就有关投标的所有来往通知、函件和文件均应使用简体中文。</w:t>
      </w:r>
    </w:p>
    <w:p w14:paraId="4BFB97B0">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9.2除技术性能另有规定外，投标文件所使用的度量衡单位，均须采用国家法定计量单位。</w:t>
      </w:r>
    </w:p>
    <w:p w14:paraId="5A005DB0">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83" w:name="_Toc16938531"/>
      <w:bookmarkStart w:id="84" w:name="_Toc20823287"/>
      <w:bookmarkStart w:id="85" w:name="_Toc462564074"/>
      <w:bookmarkStart w:id="86" w:name="_Toc513029215"/>
      <w:r>
        <w:rPr>
          <w:rFonts w:hint="eastAsia" w:ascii="宋体" w:hAnsi="宋体" w:eastAsia="宋体" w:cs="宋体"/>
          <w:b/>
          <w:bCs/>
          <w:color w:val="000000"/>
          <w:sz w:val="24"/>
          <w:lang w:val="en-US" w:eastAsia="zh-CN"/>
        </w:rPr>
        <w:t>10、投标文件构成</w:t>
      </w:r>
      <w:bookmarkEnd w:id="83"/>
      <w:bookmarkEnd w:id="84"/>
      <w:bookmarkEnd w:id="85"/>
      <w:bookmarkEnd w:id="86"/>
    </w:p>
    <w:p w14:paraId="2CDE719A">
      <w:pPr>
        <w:pStyle w:val="36"/>
        <w:pageBreakBefore w:val="0"/>
        <w:spacing w:beforeAutospacing="0" w:afterAutospacing="0" w:line="500" w:lineRule="exact"/>
        <w:ind w:firstLine="480"/>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lang w:val="en-US" w:eastAsia="zh-CN"/>
        </w:rPr>
        <w:t>10.1投标人编写的投标文件应包括资格证明文件、符合性证明文件、投标分项报价表、技术要求响应及偏离表、商务要求响应及偏离表、其他证明文件、投标函、开标一览</w:t>
      </w:r>
      <w:r>
        <w:rPr>
          <w:rFonts w:hint="eastAsia" w:ascii="宋体" w:hAnsi="宋体" w:eastAsia="宋体" w:cs="宋体"/>
          <w:color w:val="000000"/>
          <w:sz w:val="24"/>
          <w:highlight w:val="none"/>
          <w:lang w:val="en-US" w:eastAsia="zh-CN"/>
        </w:rPr>
        <w:t>表等部分。</w:t>
      </w:r>
    </w:p>
    <w:p w14:paraId="43A68060">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10.2如标书制作工具中格式和内容与“中国政府采购网”“江苏政府采购网”“盐城市政府采购网”发布的招标文件不一致，请以“中国政府采购网”“江苏政府采购网”“盐城市政府采购网”发布的招标文件为准。</w:t>
      </w:r>
    </w:p>
    <w:p w14:paraId="58AAE2F3">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87" w:name="_Toc49090507"/>
      <w:bookmarkStart w:id="88" w:name="_Toc49090509"/>
      <w:bookmarkStart w:id="89" w:name="_Toc14577357"/>
      <w:bookmarkStart w:id="90" w:name="_Toc14577354"/>
      <w:bookmarkStart w:id="91" w:name="_Toc513029219"/>
      <w:bookmarkStart w:id="92" w:name="_Toc513029216"/>
      <w:bookmarkStart w:id="93" w:name="_Hlt26668975"/>
      <w:bookmarkStart w:id="94" w:name="_Hlt26670360"/>
      <w:bookmarkStart w:id="95" w:name="_Hlt26954838"/>
      <w:r>
        <w:rPr>
          <w:rFonts w:hint="eastAsia" w:ascii="宋体" w:hAnsi="宋体" w:eastAsia="宋体" w:cs="宋体"/>
          <w:b/>
          <w:bCs/>
          <w:color w:val="000000"/>
          <w:sz w:val="24"/>
          <w:lang w:val="en-US" w:eastAsia="zh-CN"/>
        </w:rPr>
        <w:t>11、证明投标人及投标标的符合招标文件规定的文件</w:t>
      </w:r>
      <w:bookmarkEnd w:id="87"/>
      <w:bookmarkEnd w:id="88"/>
      <w:bookmarkEnd w:id="89"/>
      <w:bookmarkEnd w:id="90"/>
      <w:bookmarkEnd w:id="91"/>
      <w:bookmarkEnd w:id="92"/>
    </w:p>
    <w:p w14:paraId="7BCF26D9">
      <w:pPr>
        <w:pStyle w:val="36"/>
        <w:pageBreakBefore w:val="0"/>
        <w:spacing w:beforeAutospacing="0" w:afterAutospacing="0" w:line="500" w:lineRule="exact"/>
        <w:ind w:firstLine="480" w:firstLineChars="200"/>
        <w:jc w:val="both"/>
        <w:rPr>
          <w:rFonts w:hint="eastAsia" w:ascii="宋体" w:hAnsi="宋体" w:eastAsia="宋体" w:cs="宋体"/>
          <w:color w:val="000000"/>
          <w:sz w:val="24"/>
          <w:lang w:val="en-US" w:eastAsia="zh-CN"/>
        </w:rPr>
      </w:pPr>
      <w:bookmarkStart w:id="96" w:name="_Toc49090508"/>
      <w:bookmarkStart w:id="97" w:name="_Toc14577355"/>
      <w:r>
        <w:rPr>
          <w:rFonts w:hint="eastAsia" w:ascii="宋体" w:hAnsi="宋体" w:eastAsia="宋体" w:cs="宋体"/>
          <w:color w:val="000000"/>
          <w:sz w:val="24"/>
          <w:lang w:val="en-US" w:eastAsia="zh-CN"/>
        </w:rPr>
        <w:t>11.1投标人应按照法律、法规、规章和规范性文件以及招标文件要求提交证明文件，证明其及投标标的符合招标文件规定。</w:t>
      </w:r>
      <w:bookmarkEnd w:id="96"/>
      <w:bookmarkEnd w:id="97"/>
    </w:p>
    <w:p w14:paraId="68EBD425">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11.2招标文件对证明文件无明确形式要求的，证明文件可以以文字资料、图纸和数据等形式提交。</w:t>
      </w:r>
    </w:p>
    <w:p w14:paraId="7C62A904">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12、投标分项报价</w:t>
      </w:r>
      <w:bookmarkStart w:id="98" w:name="_Hlt26670373"/>
      <w:r>
        <w:rPr>
          <w:rFonts w:hint="eastAsia" w:ascii="宋体" w:hAnsi="宋体" w:eastAsia="宋体" w:cs="宋体"/>
          <w:b/>
          <w:bCs/>
          <w:color w:val="000000"/>
          <w:sz w:val="24"/>
          <w:lang w:val="en-US" w:eastAsia="zh-CN"/>
        </w:rPr>
        <w:t>表</w:t>
      </w:r>
    </w:p>
    <w:p w14:paraId="54CA8B62">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12.1投</w:t>
      </w:r>
      <w:bookmarkStart w:id="99" w:name="_Hlt26954840"/>
      <w:r>
        <w:rPr>
          <w:rFonts w:hint="eastAsia" w:ascii="宋体" w:hAnsi="宋体" w:eastAsia="宋体" w:cs="宋体"/>
          <w:color w:val="000000"/>
          <w:sz w:val="24"/>
          <w:lang w:val="en-US" w:eastAsia="zh-CN"/>
        </w:rPr>
        <w:t>标人应按照招标文件规定格式填报投标分项报价表</w:t>
      </w:r>
      <w:bookmarkStart w:id="100" w:name="_Hlt26670399"/>
      <w:r>
        <w:rPr>
          <w:rFonts w:hint="eastAsia" w:ascii="宋体" w:hAnsi="宋体" w:eastAsia="宋体" w:cs="宋体"/>
          <w:color w:val="000000"/>
          <w:sz w:val="24"/>
          <w:lang w:val="en-US" w:eastAsia="zh-CN"/>
        </w:rPr>
        <w:t>。</w:t>
      </w:r>
    </w:p>
    <w:p w14:paraId="25F1AFE8">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12.2投标货币。投标文件中的单价和总价无特殊规定的采用人民币报价，以元为单位标注。招标文件中另有规定的按规定执行。</w:t>
      </w:r>
    </w:p>
    <w:p w14:paraId="6B1ABB7F">
      <w:pPr>
        <w:pStyle w:val="15"/>
        <w:spacing w:beforeAutospacing="0" w:afterAutospacing="0" w:line="360" w:lineRule="auto"/>
        <w:ind w:firstLine="482"/>
        <w:jc w:val="both"/>
        <w:rPr>
          <w:rFonts w:hint="eastAsia" w:ascii="宋体" w:hAnsi="宋体" w:eastAsia="宋体" w:cs="宋体"/>
          <w:b/>
          <w:bCs/>
          <w:color w:val="000000"/>
        </w:rPr>
      </w:pPr>
      <w:r>
        <w:rPr>
          <w:rFonts w:hint="eastAsia" w:ascii="宋体" w:hAnsi="宋体" w:eastAsia="宋体" w:cs="宋体"/>
          <w:b/>
          <w:bCs/>
          <w:color w:val="000000"/>
        </w:rPr>
        <w:t>1</w:t>
      </w:r>
      <w:r>
        <w:rPr>
          <w:rFonts w:hint="eastAsia" w:ascii="宋体" w:hAnsi="宋体" w:eastAsia="宋体" w:cs="宋体"/>
          <w:b/>
          <w:bCs/>
          <w:color w:val="000000"/>
          <w:lang w:val="en-US" w:eastAsia="zh-CN"/>
        </w:rPr>
        <w:t>2</w:t>
      </w:r>
      <w:r>
        <w:rPr>
          <w:rFonts w:hint="eastAsia" w:ascii="宋体" w:hAnsi="宋体" w:eastAsia="宋体" w:cs="宋体"/>
          <w:b/>
          <w:bCs/>
          <w:color w:val="000000"/>
        </w:rPr>
        <w:t>.</w:t>
      </w:r>
      <w:r>
        <w:rPr>
          <w:rFonts w:hint="eastAsia" w:ascii="宋体" w:hAnsi="宋体" w:eastAsia="宋体" w:cs="宋体"/>
          <w:b/>
          <w:bCs/>
          <w:color w:val="000000"/>
          <w:lang w:val="en-US" w:eastAsia="zh-CN"/>
        </w:rPr>
        <w:t>3</w:t>
      </w:r>
      <w:r>
        <w:rPr>
          <w:rFonts w:hint="eastAsia" w:ascii="宋体" w:hAnsi="宋体" w:eastAsia="宋体" w:cs="宋体"/>
          <w:b/>
          <w:bCs/>
          <w:color w:val="000000"/>
        </w:rPr>
        <w:t xml:space="preserve"> 其它费用处理</w:t>
      </w:r>
    </w:p>
    <w:p w14:paraId="59CD2D84">
      <w:pPr>
        <w:pStyle w:val="15"/>
        <w:spacing w:beforeAutospacing="0" w:afterAutospacing="0" w:line="360" w:lineRule="auto"/>
        <w:ind w:firstLine="482"/>
        <w:jc w:val="both"/>
        <w:rPr>
          <w:rFonts w:hint="eastAsia" w:ascii="宋体" w:hAnsi="宋体" w:eastAsia="宋体" w:cs="宋体"/>
          <w:color w:val="000000"/>
          <w:sz w:val="24"/>
          <w:highlight w:val="none"/>
          <w:lang w:val="en-US" w:eastAsia="zh-CN"/>
        </w:rPr>
      </w:pPr>
      <w:r>
        <w:rPr>
          <w:rFonts w:hint="eastAsia" w:ascii="宋体" w:hAnsi="宋体" w:eastAsia="宋体" w:cs="宋体"/>
          <w:b/>
          <w:bCs/>
          <w:color w:val="000000"/>
          <w:highlight w:val="none"/>
        </w:rPr>
        <w:t>本次招标的招标代理服务费用由招标代理机构向中标人一次性收取。招标代理费计取方法参照苏招协【2022】002号文招标收费标准</w:t>
      </w:r>
      <w:r>
        <w:rPr>
          <w:rFonts w:hint="eastAsia" w:ascii="宋体" w:hAnsi="宋体" w:eastAsia="宋体" w:cs="宋体"/>
          <w:b/>
          <w:bCs/>
          <w:color w:val="000000"/>
          <w:highlight w:val="none"/>
          <w:lang w:eastAsia="zh-CN"/>
        </w:rPr>
        <w:t>的</w:t>
      </w:r>
      <w:r>
        <w:rPr>
          <w:rFonts w:hint="eastAsia" w:ascii="宋体" w:hAnsi="宋体" w:eastAsia="宋体" w:cs="宋体"/>
          <w:b/>
          <w:bCs/>
          <w:color w:val="000000"/>
          <w:highlight w:val="none"/>
          <w:lang w:val="en-US" w:eastAsia="zh-CN"/>
        </w:rPr>
        <w:t>85%</w:t>
      </w:r>
      <w:r>
        <w:rPr>
          <w:rFonts w:hint="eastAsia" w:ascii="宋体" w:hAnsi="宋体" w:eastAsia="宋体" w:cs="宋体"/>
          <w:b/>
          <w:bCs/>
          <w:color w:val="000000"/>
          <w:highlight w:val="none"/>
        </w:rPr>
        <w:t>计取。此项费用含在投标报价中，并不单独立项</w:t>
      </w:r>
      <w:r>
        <w:rPr>
          <w:rFonts w:hint="eastAsia" w:ascii="宋体" w:hAnsi="宋体" w:eastAsia="宋体" w:cs="宋体"/>
          <w:b/>
          <w:bCs/>
          <w:color w:val="auto"/>
          <w:sz w:val="24"/>
          <w:szCs w:val="20"/>
          <w:highlight w:val="none"/>
          <w:lang w:val="en-US" w:eastAsia="zh-CN"/>
        </w:rPr>
        <w:t>，由投标人自行考虑进投标报价。</w:t>
      </w:r>
    </w:p>
    <w:p w14:paraId="3E71C8AC">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101" w:name="_Hlt26670486"/>
      <w:bookmarkStart w:id="102" w:name="_Hlt26954846"/>
      <w:bookmarkStart w:id="103" w:name="_Hlt26954848"/>
      <w:bookmarkStart w:id="104" w:name="_Hlt26954731"/>
      <w:bookmarkStart w:id="105" w:name="_Hlt26954844"/>
      <w:bookmarkStart w:id="106" w:name="_Hlt26954842"/>
      <w:bookmarkStart w:id="107" w:name="_Hlt26670403"/>
      <w:bookmarkStart w:id="108" w:name="_Hlt26670425"/>
      <w:bookmarkStart w:id="109" w:name="_Hlt26668983"/>
      <w:bookmarkStart w:id="110" w:name="_Hlt26670482"/>
      <w:r>
        <w:rPr>
          <w:rFonts w:hint="eastAsia" w:ascii="宋体" w:hAnsi="宋体" w:eastAsia="宋体" w:cs="宋体"/>
          <w:b/>
          <w:bCs/>
          <w:color w:val="000000"/>
          <w:sz w:val="24"/>
          <w:lang w:val="en-US" w:eastAsia="zh-CN"/>
        </w:rPr>
        <w:t>13、技术要求响应及偏离表、商务要求响应及偏离表</w:t>
      </w:r>
    </w:p>
    <w:p w14:paraId="7633F01F">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13.1投标人需对招标文件中的技术要求与商务要求逐项作出响应或偏离，并说明原因。</w:t>
      </w:r>
    </w:p>
    <w:p w14:paraId="3CFAF95F">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color w:val="000000"/>
          <w:sz w:val="24"/>
          <w:lang w:val="en-US" w:eastAsia="zh-CN"/>
        </w:rPr>
        <w:t>13.2投标人可在投标文件中提供认为需要的其他技术文件或说明。</w:t>
      </w:r>
      <w:bookmarkStart w:id="111" w:name="_Toc14577359"/>
      <w:bookmarkStart w:id="112" w:name="_Toc49090510"/>
    </w:p>
    <w:p w14:paraId="3BCCF779">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14、投标函和开标一览表</w:t>
      </w:r>
      <w:bookmarkEnd w:id="111"/>
      <w:bookmarkEnd w:id="112"/>
    </w:p>
    <w:p w14:paraId="1BEB9EC7">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14.1投标人应按照招标文件中提供的格式完整、正确填写投标函、开标一览表。</w:t>
      </w:r>
    </w:p>
    <w:p w14:paraId="63A61873">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14.2对于采用货币报价的项目，开标一览表中的投标总报价应与投标分项报价表中的投标总报价一致，如不一致，不作为无效投标处理，但评标时按开标一览表中价格为准。</w:t>
      </w:r>
    </w:p>
    <w:p w14:paraId="53CB0256">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113" w:name="_Toc49090511"/>
      <w:bookmarkStart w:id="114" w:name="_Toc14577360"/>
      <w:bookmarkStart w:id="115" w:name="_Hlt26670489"/>
      <w:bookmarkStart w:id="116" w:name="_Hlt26954850"/>
      <w:bookmarkStart w:id="117" w:name="_Hlt26954734"/>
      <w:r>
        <w:rPr>
          <w:rFonts w:hint="eastAsia" w:ascii="宋体" w:hAnsi="宋体" w:eastAsia="宋体" w:cs="宋体"/>
          <w:b/>
          <w:bCs/>
          <w:color w:val="000000"/>
          <w:sz w:val="24"/>
          <w:lang w:val="en-US" w:eastAsia="zh-CN"/>
        </w:rPr>
        <w:t>15、投标有效期</w:t>
      </w:r>
      <w:bookmarkEnd w:id="113"/>
      <w:bookmarkEnd w:id="114"/>
    </w:p>
    <w:p w14:paraId="6CB8DD62">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15.1投标有</w:t>
      </w:r>
      <w:r>
        <w:rPr>
          <w:rFonts w:hint="eastAsia" w:ascii="宋体" w:hAnsi="宋体" w:eastAsia="宋体" w:cs="宋体"/>
          <w:color w:val="000000"/>
          <w:sz w:val="24"/>
          <w:highlight w:val="none"/>
          <w:lang w:val="en-US" w:eastAsia="zh-CN"/>
        </w:rPr>
        <w:t>效期为</w:t>
      </w:r>
      <w:r>
        <w:rPr>
          <w:rFonts w:hint="eastAsia" w:ascii="宋体" w:hAnsi="宋体" w:eastAsia="宋体" w:cs="宋体"/>
          <w:b w:val="0"/>
          <w:bCs w:val="0"/>
          <w:color w:val="000000"/>
          <w:highlight w:val="none"/>
          <w:lang w:val="en-US" w:eastAsia="zh-CN"/>
        </w:rPr>
        <w:t>采购人</w:t>
      </w:r>
      <w:r>
        <w:rPr>
          <w:rFonts w:hint="eastAsia" w:ascii="宋体" w:hAnsi="宋体" w:eastAsia="宋体" w:cs="宋体"/>
          <w:color w:val="000000"/>
          <w:sz w:val="24"/>
          <w:highlight w:val="none"/>
          <w:lang w:val="en-US" w:eastAsia="zh-CN"/>
        </w:rPr>
        <w:t>规定的开标之日</w:t>
      </w:r>
      <w:r>
        <w:rPr>
          <w:rFonts w:hint="eastAsia" w:ascii="宋体" w:hAnsi="宋体" w:eastAsia="宋体" w:cs="宋体"/>
          <w:color w:val="000000"/>
          <w:sz w:val="24"/>
          <w:lang w:val="en-US" w:eastAsia="zh-CN"/>
        </w:rPr>
        <w:t>后</w:t>
      </w:r>
      <w:r>
        <w:rPr>
          <w:rFonts w:hint="eastAsia" w:ascii="宋体" w:hAnsi="宋体" w:eastAsia="宋体" w:cs="宋体"/>
          <w:b/>
          <w:bCs/>
          <w:color w:val="000000"/>
          <w:sz w:val="24"/>
          <w:lang w:val="en-US" w:eastAsia="zh-CN"/>
        </w:rPr>
        <w:t>九十（90）天</w:t>
      </w:r>
      <w:r>
        <w:rPr>
          <w:rFonts w:hint="eastAsia" w:ascii="宋体" w:hAnsi="宋体" w:eastAsia="宋体" w:cs="宋体"/>
          <w:color w:val="000000"/>
          <w:sz w:val="24"/>
          <w:lang w:val="en-US" w:eastAsia="zh-CN"/>
        </w:rPr>
        <w:t>。投标有效期比规定短的将被视为未实质性响应招标文件而予以拒绝。</w:t>
      </w:r>
    </w:p>
    <w:p w14:paraId="0A08692B">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16、投标有效期的延长</w:t>
      </w:r>
    </w:p>
    <w:p w14:paraId="580C2F5C">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16.1在特殊情况下，</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于原投标有效期满之前，可向投标人提出延长投标有效期的要求。这种要求与答复均应采用书面形式。投标人可以拒绝</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的这一要求而放弃投标。同意延长投标有效期的投标人既不能要求也不允许修改其投标文件，同时受投标有效期约束的所有权利与义务均延长至新的有效期。</w:t>
      </w:r>
    </w:p>
    <w:p w14:paraId="1E06A6BF">
      <w:pPr>
        <w:pStyle w:val="15"/>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118" w:name="_Toc513029224"/>
      <w:bookmarkStart w:id="119" w:name="_Toc16938540"/>
      <w:bookmarkStart w:id="120" w:name="_Toc120614217"/>
      <w:bookmarkStart w:id="121" w:name="_Toc20823296"/>
      <w:bookmarkStart w:id="122" w:name="_Hlt26954852"/>
      <w:bookmarkStart w:id="123" w:name="_Hlt26954739"/>
      <w:r>
        <w:rPr>
          <w:rFonts w:hint="eastAsia" w:ascii="宋体" w:hAnsi="宋体" w:eastAsia="宋体" w:cs="宋体"/>
          <w:b/>
          <w:color w:val="000000"/>
          <w:sz w:val="24"/>
          <w:szCs w:val="24"/>
          <w:highlight w:val="none"/>
        </w:rPr>
        <w:t>四、投标文件的递交</w:t>
      </w:r>
      <w:bookmarkEnd w:id="118"/>
      <w:bookmarkEnd w:id="119"/>
      <w:bookmarkEnd w:id="120"/>
      <w:bookmarkEnd w:id="121"/>
    </w:p>
    <w:p w14:paraId="4C633EA9">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124" w:name="_Toc16938541"/>
      <w:bookmarkStart w:id="125" w:name="_Toc20823297"/>
      <w:bookmarkStart w:id="126" w:name="_Toc513029225"/>
      <w:bookmarkStart w:id="127" w:name="_Toc462564084"/>
      <w:r>
        <w:rPr>
          <w:rFonts w:hint="eastAsia" w:ascii="宋体" w:hAnsi="宋体" w:eastAsia="宋体" w:cs="宋体"/>
          <w:b/>
          <w:bCs/>
          <w:color w:val="000000"/>
          <w:sz w:val="24"/>
          <w:lang w:val="en-US" w:eastAsia="zh-CN"/>
        </w:rPr>
        <w:t>17、投标文件</w:t>
      </w:r>
      <w:bookmarkEnd w:id="124"/>
      <w:bookmarkEnd w:id="125"/>
      <w:bookmarkEnd w:id="126"/>
      <w:bookmarkEnd w:id="127"/>
      <w:r>
        <w:rPr>
          <w:rFonts w:hint="eastAsia" w:ascii="宋体" w:hAnsi="宋体" w:eastAsia="宋体" w:cs="宋体"/>
          <w:b/>
          <w:bCs/>
          <w:color w:val="000000"/>
          <w:sz w:val="24"/>
          <w:lang w:val="en-US" w:eastAsia="zh-CN"/>
        </w:rPr>
        <w:t>的递交</w:t>
      </w:r>
    </w:p>
    <w:p w14:paraId="26BFC676">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17.1 电子投标文件的递交</w:t>
      </w:r>
    </w:p>
    <w:p w14:paraId="65F6134F">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投标人应当按照《操作手册》规定，在投标截止时间前制作并上传电子投标文件。</w:t>
      </w:r>
      <w:bookmarkStart w:id="128" w:name="_Toc20823298"/>
      <w:bookmarkEnd w:id="128"/>
      <w:bookmarkStart w:id="129" w:name="_Toc16938542"/>
      <w:bookmarkEnd w:id="129"/>
      <w:bookmarkStart w:id="130" w:name="_Toc513029226"/>
    </w:p>
    <w:p w14:paraId="4F21A69A">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18、投标截止时间</w:t>
      </w:r>
    </w:p>
    <w:p w14:paraId="674070DF">
      <w:pPr>
        <w:pStyle w:val="36"/>
        <w:pageBreakBefore w:val="0"/>
        <w:spacing w:beforeAutospacing="0" w:afterAutospacing="0" w:line="500" w:lineRule="exact"/>
        <w:ind w:firstLine="480"/>
        <w:jc w:val="both"/>
        <w:rPr>
          <w:rFonts w:hint="eastAsia" w:ascii="宋体" w:hAnsi="宋体" w:eastAsia="宋体" w:cs="宋体"/>
          <w:i/>
          <w:iCs/>
          <w:color w:val="000000"/>
          <w:sz w:val="24"/>
          <w:u w:val="single"/>
          <w:lang w:val="en-US" w:eastAsia="zh-CN"/>
        </w:rPr>
      </w:pPr>
      <w:r>
        <w:rPr>
          <w:rFonts w:hint="eastAsia" w:ascii="宋体" w:hAnsi="宋体" w:eastAsia="宋体" w:cs="宋体"/>
          <w:i/>
          <w:iCs/>
          <w:color w:val="000000"/>
          <w:sz w:val="24"/>
          <w:u w:val="single"/>
          <w:lang w:val="en-US" w:eastAsia="zh-CN"/>
        </w:rPr>
        <w:t>18.1投标人上传电子投标文件的时间不得迟于招标公告中规定的投标截止时间。</w:t>
      </w:r>
    </w:p>
    <w:p w14:paraId="237BBC07">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投标人应充分考虑到网络环境、网络带宽等风险因素，如因投标人自身原因造成的电子投标文件上传不成功的按照本招标文件第二章第26.1.2条 规定做无效投标处理。</w:t>
      </w:r>
    </w:p>
    <w:p w14:paraId="45B56E57">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color w:val="000000"/>
          <w:sz w:val="24"/>
          <w:lang w:val="en-US" w:eastAsia="zh-CN"/>
        </w:rPr>
        <w:t>18.2</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可以按照规定，通过修改招标文件酌情延长投标截止时间，在此情况下，投标人的所有权利和义务以及投标人受制的截止时间均应以延长后新的截止时间为准。</w:t>
      </w:r>
      <w:bookmarkStart w:id="131" w:name="_Toc20823299"/>
      <w:bookmarkStart w:id="132" w:name="_Toc16938543"/>
      <w:bookmarkStart w:id="133" w:name="_Toc513029227"/>
    </w:p>
    <w:p w14:paraId="3AECB744">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19、投标文件</w:t>
      </w:r>
      <w:bookmarkEnd w:id="131"/>
      <w:bookmarkEnd w:id="132"/>
      <w:bookmarkEnd w:id="133"/>
      <w:r>
        <w:rPr>
          <w:rFonts w:hint="eastAsia" w:ascii="宋体" w:hAnsi="宋体" w:eastAsia="宋体" w:cs="宋体"/>
          <w:b/>
          <w:bCs/>
          <w:color w:val="000000"/>
          <w:sz w:val="24"/>
          <w:lang w:val="en-US" w:eastAsia="zh-CN"/>
        </w:rPr>
        <w:t>的拒收</w:t>
      </w:r>
    </w:p>
    <w:p w14:paraId="2B48FBBD">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19.1采购人拒绝接收在其规定的投标截止时间后上传的任何投标文件。</w:t>
      </w:r>
    </w:p>
    <w:p w14:paraId="6520AEC0">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134" w:name="_Toc16938544"/>
      <w:bookmarkStart w:id="135" w:name="_Toc20823300"/>
      <w:bookmarkStart w:id="136" w:name="_Toc513029228"/>
      <w:r>
        <w:rPr>
          <w:rFonts w:hint="eastAsia" w:ascii="宋体" w:hAnsi="宋体" w:eastAsia="宋体" w:cs="宋体"/>
          <w:b/>
          <w:bCs/>
          <w:color w:val="000000"/>
          <w:sz w:val="24"/>
          <w:lang w:val="en-US" w:eastAsia="zh-CN"/>
        </w:rPr>
        <w:t>20、投标文件的撤回和修改</w:t>
      </w:r>
      <w:bookmarkEnd w:id="134"/>
      <w:bookmarkEnd w:id="135"/>
      <w:bookmarkEnd w:id="136"/>
    </w:p>
    <w:p w14:paraId="2C6476A3">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20.1投标文件的撤回</w:t>
      </w:r>
    </w:p>
    <w:p w14:paraId="72EBA9C8">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20.1.1电子投标文件的撤回</w:t>
      </w:r>
    </w:p>
    <w:p w14:paraId="26CBD294">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投标人可在投标截止时间前，撤回其电子投标文件，具体操作方法见《操作手册》。</w:t>
      </w:r>
    </w:p>
    <w:p w14:paraId="3ED51487">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20.1.2投标人撤回电子投标文件，则认为其不再参与本项目投标活动。</w:t>
      </w:r>
    </w:p>
    <w:p w14:paraId="090FC03B">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20.2 投标文件的修改</w:t>
      </w:r>
    </w:p>
    <w:p w14:paraId="053F4E45">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20.2.1投标人可在投标截止时间前，对其电子投标文件进行修改，具体操作方法见《操作手册》。</w:t>
      </w:r>
    </w:p>
    <w:p w14:paraId="7AABAAF3">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20.2.2在投标截止时间之后，投标人不得对其电子投标文件作任何修改。</w:t>
      </w:r>
    </w:p>
    <w:p w14:paraId="1BEFAE9D">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20.3在投标截止时间至招标文件中规定的投标有效期满之间的这段时间内，投标人不得撤回其投标。</w:t>
      </w:r>
    </w:p>
    <w:p w14:paraId="1BB23621">
      <w:pPr>
        <w:pStyle w:val="15"/>
        <w:keepNext/>
        <w:keepLines/>
        <w:spacing w:before="145" w:beforeAutospacing="0" w:after="145" w:afterAutospacing="0" w:line="360" w:lineRule="auto"/>
        <w:ind w:firstLine="482"/>
        <w:jc w:val="both"/>
        <w:rPr>
          <w:rFonts w:hint="eastAsia" w:ascii="宋体" w:hAnsi="宋体" w:eastAsia="宋体" w:cs="宋体"/>
          <w:sz w:val="24"/>
          <w:szCs w:val="24"/>
          <w:highlight w:val="none"/>
        </w:rPr>
      </w:pPr>
      <w:bookmarkStart w:id="137" w:name="_Toc20823301"/>
      <w:bookmarkStart w:id="138" w:name="_Toc16938545"/>
      <w:bookmarkStart w:id="139" w:name="_Toc513029229"/>
      <w:bookmarkStart w:id="140" w:name="_Toc120614218"/>
      <w:r>
        <w:rPr>
          <w:rFonts w:hint="eastAsia" w:ascii="宋体" w:hAnsi="宋体" w:eastAsia="宋体" w:cs="宋体"/>
          <w:b/>
          <w:color w:val="000000"/>
          <w:sz w:val="24"/>
          <w:szCs w:val="24"/>
          <w:highlight w:val="none"/>
        </w:rPr>
        <w:t>五、开标与评标</w:t>
      </w:r>
      <w:bookmarkEnd w:id="137"/>
      <w:bookmarkEnd w:id="138"/>
      <w:bookmarkEnd w:id="139"/>
      <w:bookmarkEnd w:id="140"/>
    </w:p>
    <w:p w14:paraId="2C4C772A">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141" w:name="_Toc20823302"/>
      <w:bookmarkStart w:id="142" w:name="_Toc16938546"/>
      <w:bookmarkStart w:id="143" w:name="_Toc513029230"/>
      <w:r>
        <w:rPr>
          <w:rFonts w:hint="eastAsia" w:ascii="宋体" w:hAnsi="宋体" w:eastAsia="宋体" w:cs="宋体"/>
          <w:b/>
          <w:bCs/>
          <w:color w:val="000000"/>
          <w:sz w:val="24"/>
          <w:lang w:val="en-US" w:eastAsia="zh-CN"/>
        </w:rPr>
        <w:t>21、开标</w:t>
      </w:r>
      <w:bookmarkEnd w:id="141"/>
      <w:bookmarkEnd w:id="142"/>
      <w:bookmarkEnd w:id="143"/>
    </w:p>
    <w:p w14:paraId="3FFA4913">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21.1采购人将在招标公告中规定的时间和地点组织公开开标。投标人应当按照《操作手册》规定，参加开标活动和在苏采云系统规定的时间内对投标文件进行解密。</w:t>
      </w:r>
    </w:p>
    <w:p w14:paraId="01390B07">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21.2开标仪式由</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b w:val="0"/>
          <w:bCs w:val="0"/>
          <w:color w:val="000000"/>
        </w:rPr>
        <w:t>组织</w:t>
      </w:r>
      <w:r>
        <w:rPr>
          <w:rFonts w:hint="eastAsia" w:ascii="宋体" w:hAnsi="宋体" w:eastAsia="宋体" w:cs="宋体"/>
          <w:color w:val="000000"/>
          <w:sz w:val="24"/>
          <w:lang w:val="en-US" w:eastAsia="zh-CN"/>
        </w:rPr>
        <w:t>。苏采云系统将自动对项目进行开标，并宣布各投标人名称和投标价格。</w:t>
      </w:r>
    </w:p>
    <w:p w14:paraId="24D42C9F">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21.3投标人在开标过程中涉及到的投标文件解密、开标结果确认等工作，应按照《操作手册》规定执行。</w:t>
      </w:r>
    </w:p>
    <w:p w14:paraId="7AA2A826">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color w:val="000000"/>
          <w:sz w:val="24"/>
          <w:lang w:val="en-US" w:eastAsia="zh-CN"/>
        </w:rPr>
        <w:t>21.4投标人如果对开标过程和开标记录有疑义，应当根据《操作手册》规定提出，如苏采云系统中《开标记录表》宣布后5分钟内未提出的，视同认可开标结果。</w:t>
      </w:r>
      <w:bookmarkStart w:id="144" w:name="_Toc513029231"/>
      <w:bookmarkStart w:id="145" w:name="_Toc20823303"/>
      <w:bookmarkStart w:id="146" w:name="_Toc16938547"/>
    </w:p>
    <w:p w14:paraId="388DE53A">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22、评标委员会</w:t>
      </w:r>
      <w:bookmarkEnd w:id="144"/>
      <w:bookmarkEnd w:id="145"/>
      <w:bookmarkEnd w:id="146"/>
    </w:p>
    <w:p w14:paraId="2A744671">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22.1开标后，</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将立即组织评标委员会（以下简称评委会）进行评标。</w:t>
      </w:r>
    </w:p>
    <w:p w14:paraId="20656C36">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22.2评委会由采购人代表和有关技术、经济等方面的专家组成，且人员构成符合政府采购有关规定。</w:t>
      </w:r>
    </w:p>
    <w:p w14:paraId="1DF8D947">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22.3评委会独立工作，负责评审所有投标文件并确定中标候选人。</w:t>
      </w:r>
    </w:p>
    <w:p w14:paraId="28C925DA">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23、评标过程的保密与公正</w:t>
      </w:r>
    </w:p>
    <w:p w14:paraId="57F459E2">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23.1凡是与审查、澄清、评价和比较投标的有关资料以及授标建议等，采购人、评委、</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均不得向投标人或与评标无关的其他人员透露。</w:t>
      </w:r>
    </w:p>
    <w:p w14:paraId="390A3B58">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23.2在评标过程中，投标人不得以任何行为影响评标过程，否则其投标文件将被作为无效投标文件。</w:t>
      </w:r>
    </w:p>
    <w:p w14:paraId="50BCF125">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23.3</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和评标委员会不向未中标的投标人解释未中标原因，也不公布评标过程中的相关细节。</w:t>
      </w:r>
    </w:p>
    <w:p w14:paraId="54173DB6">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23.4采用综合评分法的项目，未中标的投标人可于中标结果公告期限届满之日起通过苏采云系统查看自己的评审得分及排序情况。</w:t>
      </w:r>
      <w:bookmarkStart w:id="147" w:name="_Toc20823304"/>
      <w:bookmarkStart w:id="148" w:name="_Toc16938548"/>
      <w:bookmarkStart w:id="149" w:name="_Toc513029232"/>
    </w:p>
    <w:p w14:paraId="54153DDE">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24、投标文件的澄清</w:t>
      </w:r>
      <w:bookmarkEnd w:id="147"/>
      <w:bookmarkEnd w:id="148"/>
      <w:bookmarkEnd w:id="149"/>
    </w:p>
    <w:p w14:paraId="26A54FE7">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24.1评标期间，评委会对投标文件中含义不明确、同类问题表述不一致或者有明显文字和计算错误的内容，有权要求投标人作出必要的澄清、说明或者补正。</w:t>
      </w:r>
    </w:p>
    <w:p w14:paraId="29F4FB70">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投标人的澄清、说明或者补正不得超出投标文件的范围或者改变投标文件的实质性内容。</w:t>
      </w:r>
    </w:p>
    <w:p w14:paraId="3B1C0700">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评标委员会并非对每个投标人都做澄清要求。</w:t>
      </w:r>
    </w:p>
    <w:p w14:paraId="36C4B1EC">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1C819FF">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color w:val="000000"/>
          <w:sz w:val="24"/>
          <w:lang w:val="en-US" w:eastAsia="zh-CN"/>
        </w:rPr>
        <w:t>24.3接到评委会澄清、说明和补正要求的投标人如未按规定作出澄清、说明和补正，其风险由投标人自行承担。</w:t>
      </w:r>
      <w:bookmarkStart w:id="150" w:name="_Toc20823305"/>
      <w:bookmarkStart w:id="151" w:name="_Toc16938549"/>
      <w:bookmarkStart w:id="152" w:name="_Toc513029233"/>
    </w:p>
    <w:p w14:paraId="6E30B691">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25、对投标文件的初审</w:t>
      </w:r>
      <w:bookmarkEnd w:id="150"/>
      <w:bookmarkEnd w:id="151"/>
      <w:bookmarkEnd w:id="152"/>
    </w:p>
    <w:p w14:paraId="71756E3B">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25.1投标文件初审分为资格审查和符合性审查。</w:t>
      </w:r>
    </w:p>
    <w:p w14:paraId="18F44AD5">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25.1.1资格审查：依据法律法规和招标文件的规定，由采购人对投标文件中的资格证明文件进行审查。资格审查的结论，采购人以书面形式向评委会进行反馈。</w:t>
      </w:r>
    </w:p>
    <w:p w14:paraId="6A4B8600">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采购人在进行资格性审查的同时，将在“信用中国”网站（www.creditchina.gov.cn）查询投标人的信用记录，以确定投标人是否具备投标资格,查询结果留存并归档。</w:t>
      </w:r>
    </w:p>
    <w:p w14:paraId="45C5179D">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接受联合体的项目，两个以上的自然人、法人或者其他组织组成一个联合体，以一个供应商的身份共同参加政府采购活动的,联合体成员存在不良信用记录的，视同联合体存在不良应用记录。</w:t>
      </w:r>
    </w:p>
    <w:p w14:paraId="0E1B06C9">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25.1.2符合性审查：依据招标文件的规定，由评委会从投标文件的有效性、完整性和对招标文件的响应程度进行审查，以确定是否对招标文件的实质性要求作出响应。</w:t>
      </w:r>
    </w:p>
    <w:p w14:paraId="0FC7AF8F">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25.1.3未通过资格审查或符合性审查的投标人，</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将在苏采云系统中告知未通过资格审查或符合性审查的原因，评标结束后，</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将不再告知未通过资格审查和符合性审查的原因。</w:t>
      </w:r>
    </w:p>
    <w:p w14:paraId="21A80F1A">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25.2在详细评标之前，评委会将首先审查每份投标文件是否实质性响应了招标文件的要求。实质性响应的投标应该是与招标文件要求的全部条款、条件和规格相符，没有重大偏离或保留的投标。</w:t>
      </w:r>
    </w:p>
    <w:p w14:paraId="3EF87519">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77D1C32">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25.3如果投标文件实质上没有响应招标文件的要求，评委会将予以拒绝，投标人不得通过修改或撤销不合要求的偏离或保留而使其投标成为实质性响应的投标。</w:t>
      </w:r>
    </w:p>
    <w:p w14:paraId="4FCA6640">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25.4评委会将对确定为实质性响应的投标进行进一步审核，确定其是否有计算上或累加上的算术错误，修正错误的原则如下：</w:t>
      </w:r>
    </w:p>
    <w:p w14:paraId="463946E2">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（1）投标文件中开标一览表内容与投标文件中相应内容不一致的，以开标一览表为准。</w:t>
      </w:r>
    </w:p>
    <w:p w14:paraId="4AA7B771">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（2）大写金额和小写金额不一致的，以大写金额为准。</w:t>
      </w:r>
    </w:p>
    <w:p w14:paraId="44F56D61">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（3）单价金额小数点或者百分比有明显错位的，以开标一览表的总价为准，并修改单价。</w:t>
      </w:r>
    </w:p>
    <w:p w14:paraId="0157CF21">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（4）总价金额与按单价汇总金额不一致的，以单价金额计算结果为准。</w:t>
      </w:r>
    </w:p>
    <w:p w14:paraId="2D36D6CA">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同时出现两种以上错误的，按照前款规定的顺序修正。</w:t>
      </w:r>
    </w:p>
    <w:p w14:paraId="1143D9AB">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25.5评委会将按上述修正错误的方法调整投标文件中的投标报价，并通过苏采云系统告知投标人，调整后的价格应对投标人具有约束力。如果投标人不接受修正后的价格，则其投标将被拒绝。</w:t>
      </w:r>
    </w:p>
    <w:p w14:paraId="7C1694DC">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153" w:name="_Toc20823306"/>
      <w:bookmarkStart w:id="154" w:name="_Toc16938550"/>
      <w:bookmarkStart w:id="155" w:name="_Toc513029234"/>
      <w:r>
        <w:rPr>
          <w:rFonts w:hint="eastAsia" w:ascii="宋体" w:hAnsi="宋体" w:eastAsia="宋体" w:cs="宋体"/>
          <w:color w:val="000000"/>
          <w:sz w:val="24"/>
          <w:lang w:val="en-US" w:eastAsia="zh-CN"/>
        </w:rPr>
        <w:t>25.6投标人在开、评标全过程中应保持通信畅通，及时登录苏采云系统查阅、答复相关信息，并安排专人与</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及评标委员会联系。</w:t>
      </w:r>
      <w:bookmarkEnd w:id="153"/>
      <w:bookmarkEnd w:id="154"/>
      <w:bookmarkEnd w:id="155"/>
    </w:p>
    <w:p w14:paraId="25F3BE20">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26、无效投标条款和废标条款</w:t>
      </w:r>
    </w:p>
    <w:p w14:paraId="7FB12682">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bookmarkStart w:id="156" w:name="_Toc16938551"/>
      <w:bookmarkStart w:id="157" w:name="_Toc20823307"/>
      <w:bookmarkStart w:id="158" w:name="_Toc513029235"/>
      <w:r>
        <w:rPr>
          <w:rFonts w:hint="eastAsia" w:ascii="宋体" w:hAnsi="宋体" w:eastAsia="宋体" w:cs="宋体"/>
          <w:color w:val="000000"/>
          <w:sz w:val="24"/>
          <w:lang w:val="en-US" w:eastAsia="zh-CN"/>
        </w:rPr>
        <w:t>26.1无效投标条款</w:t>
      </w:r>
      <w:bookmarkEnd w:id="156"/>
      <w:bookmarkEnd w:id="157"/>
      <w:bookmarkEnd w:id="158"/>
    </w:p>
    <w:p w14:paraId="53B8CA9C">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26.1.1投标人在苏采云系统规定的时间内未成功解密电子投标文件的。</w:t>
      </w:r>
    </w:p>
    <w:p w14:paraId="66D8985D">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26.1.2投标人未按照招标文件要求上传电子投标文件的。</w:t>
      </w:r>
    </w:p>
    <w:p w14:paraId="435C93E7">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26.1.3同一投标人提交两个（含两个）以上不同的投标报价的。</w:t>
      </w:r>
    </w:p>
    <w:p w14:paraId="2DA1CF55">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26.1.4投标人不具备招标文件中规定资格要求的。</w:t>
      </w:r>
    </w:p>
    <w:p w14:paraId="3BA9591A">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26.1.5投标人的报价超过了采购预算或最高限价的。</w:t>
      </w:r>
    </w:p>
    <w:p w14:paraId="05DAFB39">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26.1.6未通过符合性审查的。</w:t>
      </w:r>
    </w:p>
    <w:p w14:paraId="41A1E490">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26.1.7不符合招标文件中规定的实质性要求和条件的</w:t>
      </w:r>
      <w:r>
        <w:rPr>
          <w:rFonts w:hint="eastAsia" w:ascii="宋体" w:hAnsi="宋体" w:eastAsia="宋体" w:cs="宋体"/>
          <w:i/>
          <w:iCs/>
          <w:color w:val="000000"/>
          <w:sz w:val="24"/>
          <w:u w:val="single"/>
          <w:lang w:val="en-US" w:eastAsia="zh-CN"/>
        </w:rPr>
        <w:t>（本招标文件中斜体且有下划线部分为实质性要求和条件）。</w:t>
      </w:r>
    </w:p>
    <w:p w14:paraId="43387AC7">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B16356A">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26.1.9投标文件含有采购人不能接受的附加条件的。</w:t>
      </w:r>
    </w:p>
    <w:p w14:paraId="30278C46">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26.1.10投标人不能证明其报价合理性的，评标委员会应当将其作为无效投标处理。</w:t>
      </w:r>
    </w:p>
    <w:p w14:paraId="6F27A046">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（一）评审过程中出现下列情形之一的，评标委员会应当启动异常低价投标审查程序：</w:t>
      </w:r>
    </w:p>
    <w:p w14:paraId="029D404A">
      <w:pPr>
        <w:pStyle w:val="15"/>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2"/>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pStyle w:val="15"/>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2"/>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pStyle w:val="15"/>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2"/>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3.投标（响应）报价低于采购项目最高限价45%的，即投标（响应）报价&lt;采购项目最高限价×45%；</w:t>
      </w:r>
    </w:p>
    <w:p w14:paraId="6B93ED46">
      <w:pPr>
        <w:pStyle w:val="15"/>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2"/>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4.评审委员会基于专业判断，认为供应商报价过低，有可能影响产品质量或者不能诚信履约的其他情形。</w:t>
      </w:r>
    </w:p>
    <w:p w14:paraId="4BE739D2">
      <w:pPr>
        <w:pStyle w:val="15"/>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2"/>
        <w:jc w:val="both"/>
        <w:textAlignment w:val="auto"/>
        <w:rPr>
          <w:rFonts w:hint="eastAsia" w:ascii="宋体" w:hAnsi="宋体" w:eastAsia="宋体" w:cs="宋体"/>
          <w:b w:val="0"/>
          <w:bCs w:val="0"/>
          <w:color w:val="auto"/>
          <w:sz w:val="24"/>
          <w:szCs w:val="24"/>
          <w:highlight w:val="none"/>
          <w:u w:val="none"/>
          <w:lang w:val="en-US" w:eastAsia="zh-CN" w:bidi="ar-SA"/>
        </w:rPr>
      </w:pPr>
      <w:r>
        <w:rPr>
          <w:rFonts w:hint="eastAsia" w:ascii="宋体" w:hAnsi="宋体" w:eastAsia="宋体" w:cs="宋体"/>
          <w:b w:val="0"/>
          <w:bCs w:val="0"/>
          <w:color w:val="auto"/>
          <w:sz w:val="24"/>
          <w:szCs w:val="24"/>
          <w:highlight w:val="none"/>
          <w:u w:val="none"/>
          <w:lang w:val="en-US" w:eastAsia="zh-CN" w:bidi="ar-SA"/>
        </w:rPr>
        <w:t>采购人可以结合具体项目实际情况，提高上述第1项至第3项中启动异常低价投标（响应）审查的数值标准，但是最高不得超过65%。</w:t>
      </w:r>
    </w:p>
    <w:p w14:paraId="6E14DBF3">
      <w:pPr>
        <w:pStyle w:val="15"/>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2"/>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相关法律法规对供应商报价有规定的，从其规定。</w:t>
      </w:r>
    </w:p>
    <w:p w14:paraId="209516AE">
      <w:pPr>
        <w:pStyle w:val="15"/>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2"/>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15"/>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2"/>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15"/>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2"/>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pPr>
        <w:pStyle w:val="15"/>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left="0" w:right="0" w:firstLine="482"/>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18627F4F">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26.1.11投标文件未按照招标文件要求加盖CA电子公章的。</w:t>
      </w:r>
    </w:p>
    <w:p w14:paraId="742E7BA7">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26.1.12其他法律、法规及本招标文件规定的属无效投标的情形。</w:t>
      </w:r>
    </w:p>
    <w:p w14:paraId="2ACAC68A">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26.2废标条款</w:t>
      </w:r>
    </w:p>
    <w:p w14:paraId="5626BAE3">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26.2.1符合专业条件的供应商或者对招标文件作实质响应的供应商不足三家的。</w:t>
      </w:r>
    </w:p>
    <w:p w14:paraId="76ABCD28">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26.2.2出现影响采购公正的违法、违规行为的。</w:t>
      </w:r>
    </w:p>
    <w:p w14:paraId="6837BF2C">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26.2.3因重大变故，采购任务取消的。</w:t>
      </w:r>
    </w:p>
    <w:p w14:paraId="571B12E8">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26.2.4评标委员会认定招标文件存在歧义、重大缺陷导致评审工作无法进行。</w:t>
      </w:r>
    </w:p>
    <w:p w14:paraId="233CF4F2">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26.2.5因苏采云系统系统故障原因造成开标不成功的。</w:t>
      </w:r>
    </w:p>
    <w:p w14:paraId="25998E9E">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26.3 投标截止时间结束后参加投标的供应商不足三家的处理：</w:t>
      </w:r>
    </w:p>
    <w:p w14:paraId="121553B2">
      <w:pPr>
        <w:pStyle w:val="36"/>
        <w:pageBreakBefore w:val="0"/>
        <w:spacing w:beforeAutospacing="0" w:afterAutospacing="0" w:line="500" w:lineRule="exact"/>
        <w:ind w:firstLine="480"/>
        <w:jc w:val="both"/>
        <w:rPr>
          <w:rFonts w:hint="eastAsia" w:ascii="宋体" w:hAnsi="宋体" w:eastAsia="宋体" w:cs="宋体"/>
          <w:b/>
          <w:color w:val="000000"/>
          <w:sz w:val="24"/>
          <w:szCs w:val="24"/>
          <w:highlight w:val="none"/>
        </w:rPr>
      </w:pPr>
      <w:r>
        <w:rPr>
          <w:rFonts w:hint="eastAsia" w:ascii="宋体" w:hAnsi="宋体" w:eastAsia="宋体" w:cs="宋体"/>
          <w:color w:val="000000"/>
          <w:sz w:val="24"/>
          <w:lang w:val="en-US" w:eastAsia="zh-CN"/>
        </w:rPr>
        <w:t>26.3.1如出现投标截止时间结束后参加投标的供应商或者在评标期间对招标文件做出实质响应的供应商不足三家情况，按政府采购相关规定执行。</w:t>
      </w:r>
      <w:bookmarkStart w:id="159" w:name="_Toc120614219"/>
    </w:p>
    <w:p w14:paraId="54251A44">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六、定标</w:t>
      </w:r>
      <w:bookmarkEnd w:id="159"/>
    </w:p>
    <w:p w14:paraId="609C833C">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160" w:name="_Toc20823310"/>
      <w:bookmarkStart w:id="161" w:name="_Toc16938554"/>
      <w:bookmarkStart w:id="162" w:name="_Toc513029238"/>
      <w:r>
        <w:rPr>
          <w:rFonts w:hint="eastAsia" w:ascii="宋体" w:hAnsi="宋体" w:eastAsia="宋体" w:cs="宋体"/>
          <w:b/>
          <w:bCs/>
          <w:color w:val="000000"/>
          <w:sz w:val="24"/>
          <w:lang w:val="en-US" w:eastAsia="zh-CN"/>
        </w:rPr>
        <w:t>27、</w:t>
      </w:r>
      <w:bookmarkEnd w:id="160"/>
      <w:r>
        <w:rPr>
          <w:rFonts w:hint="eastAsia" w:ascii="宋体" w:hAnsi="宋体" w:eastAsia="宋体" w:cs="宋体"/>
          <w:b/>
          <w:bCs/>
          <w:color w:val="000000"/>
          <w:sz w:val="24"/>
          <w:lang w:val="en-US" w:eastAsia="zh-CN"/>
        </w:rPr>
        <w:t>确定</w:t>
      </w:r>
      <w:bookmarkEnd w:id="161"/>
      <w:bookmarkEnd w:id="162"/>
      <w:r>
        <w:rPr>
          <w:rFonts w:hint="eastAsia" w:ascii="宋体" w:hAnsi="宋体" w:eastAsia="宋体" w:cs="宋体"/>
          <w:b/>
          <w:bCs/>
          <w:color w:val="000000"/>
          <w:sz w:val="24"/>
          <w:lang w:val="en-US" w:eastAsia="zh-CN"/>
        </w:rPr>
        <w:t>中标单位</w:t>
      </w:r>
    </w:p>
    <w:p w14:paraId="2AB6A907">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27.1中标候选人的选取原则和数量见招标文件第五章规定。 </w:t>
      </w:r>
    </w:p>
    <w:p w14:paraId="17FFA727">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27.2采购人应根据评委会推荐的中标候选人确定中标人。</w:t>
      </w:r>
    </w:p>
    <w:p w14:paraId="1FD1F372">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27.3</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将在“中国政府采购网”“江苏政府采购网”“盐城市政府采购网”发布中标公告，公告期限为1个工作日。</w:t>
      </w:r>
    </w:p>
    <w:p w14:paraId="41C3973E">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27.4若有充分证据证明，中标人出现下列情况之一的，一经查实，将被取消中标资格：</w:t>
      </w:r>
    </w:p>
    <w:p w14:paraId="685A758D">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27.4.1提供虚假材料谋取中标的。</w:t>
      </w:r>
    </w:p>
    <w:p w14:paraId="5973AA07">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27.4.2向采购人、</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行贿或者提供其他不正当利益的。</w:t>
      </w:r>
    </w:p>
    <w:p w14:paraId="42C47A67">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27.4.3属于本文件规定的无效条件，但在评标过程中又未被评委会发现的。</w:t>
      </w:r>
    </w:p>
    <w:p w14:paraId="2557B7C1">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27.4.4与采购人或者其他供应商恶意串通的。</w:t>
      </w:r>
    </w:p>
    <w:p w14:paraId="39DB40B5">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27.4.5采取不正当手段诋毁、排挤其他供应商的。</w:t>
      </w:r>
    </w:p>
    <w:p w14:paraId="359F1DB9">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bookmarkStart w:id="163" w:name="_Toc200451960"/>
      <w:r>
        <w:rPr>
          <w:rFonts w:hint="eastAsia" w:ascii="宋体" w:hAnsi="宋体" w:eastAsia="宋体" w:cs="宋体"/>
          <w:color w:val="000000"/>
          <w:sz w:val="24"/>
          <w:lang w:val="en-US" w:eastAsia="zh-CN"/>
        </w:rPr>
        <w:t>27.5 有下列情形之一的，视为投标人串通投标，投标无效：</w:t>
      </w:r>
      <w:bookmarkEnd w:id="163"/>
    </w:p>
    <w:p w14:paraId="4A4B8D9A">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27.5.1不同投标人的投标文件由同一单位或者个人编制。</w:t>
      </w:r>
    </w:p>
    <w:p w14:paraId="59209E4B">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27.5.2不同投标人委托同一单位或者个人办理投标事宜。</w:t>
      </w:r>
    </w:p>
    <w:p w14:paraId="2A2191CD">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27.5.3不同投标人的投标文件载明的项目管理成员或者联系人员为同一人。</w:t>
      </w:r>
    </w:p>
    <w:p w14:paraId="1D9D00BF">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27.5.4不同投标人的投标文件异常一致或者投标报价呈规律性差异。</w:t>
      </w:r>
    </w:p>
    <w:p w14:paraId="1FA357F7">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28、质疑处理</w:t>
      </w:r>
    </w:p>
    <w:p w14:paraId="4C279A9B">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28.1提出质疑的供应商应当是参与所质疑项目采购活动的供应商。潜在供应商依法获取其可质疑的采购文件的，可以对采购文件提出质疑。</w:t>
      </w:r>
    </w:p>
    <w:p w14:paraId="717781AB">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或采购人提出质疑。上述应知其权益受到损害之日，是指：</w:t>
      </w:r>
    </w:p>
    <w:p w14:paraId="686E0D9F">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28.2.1对可以质疑的采购文件提出质疑的，为收到采购文件之日或者采购文件公告期限届满之日；</w:t>
      </w:r>
    </w:p>
    <w:p w14:paraId="6BCE34BA">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28.2.2对采购过程提出质疑的，为各采购程序环节结束之日；</w:t>
      </w:r>
    </w:p>
    <w:p w14:paraId="5B797334">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28.2.3对中标或者成交结果提出质疑的，为中标或者成交结果公告期限届满之日。</w:t>
      </w:r>
    </w:p>
    <w:p w14:paraId="2D25EC6E">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供应商应当在法定质疑期内一次性提出针对同一采购程序环节的质疑。供应商如在法定期限内对同一采购程序环节提出多次质疑的，</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、采购人将只对供应商第一次质疑作出答复。</w:t>
      </w:r>
    </w:p>
    <w:p w14:paraId="114159E4">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28.3质疑函必须按照本招标文件中《质疑函范本》要求的格式和内容进行填写。供应商如组成联合体参加投标，则《质疑函范本》中要求签字、盖章、加盖公章之处，联合体各方均须按要求签字、盖章、加盖公章。</w:t>
      </w:r>
    </w:p>
    <w:p w14:paraId="0F5D9416">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提出，由</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负责答复。</w:t>
      </w:r>
    </w:p>
    <w:p w14:paraId="3DD6E26E">
      <w:pPr>
        <w:pStyle w:val="36"/>
        <w:pageBreakBefore w:val="0"/>
        <w:spacing w:beforeAutospacing="0" w:afterAutospacing="0" w:line="500" w:lineRule="exact"/>
        <w:ind w:firstLine="480"/>
        <w:jc w:val="both"/>
        <w:rPr>
          <w:rFonts w:hint="eastAsia" w:ascii="宋体" w:hAnsi="宋体" w:eastAsia="宋体" w:cs="宋体"/>
          <w:color w:val="000000"/>
          <w:sz w:val="24"/>
          <w:highlight w:val="yellow"/>
          <w:lang w:val="en-US" w:eastAsia="zh-CN"/>
        </w:rPr>
      </w:pP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及采购人只接收以纸质原件形式送达的质疑,采购人和</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不接受未填写快递运单的快件</w:t>
      </w:r>
      <w:r>
        <w:rPr>
          <w:rFonts w:hint="eastAsia" w:ascii="宋体" w:hAnsi="宋体" w:eastAsia="宋体" w:cs="宋体"/>
          <w:color w:val="000000"/>
          <w:sz w:val="24"/>
          <w:highlight w:val="none"/>
          <w:lang w:val="en-US" w:eastAsia="zh-CN"/>
        </w:rPr>
        <w:t>。联系地址：盐城市亭湖区绿地商务城11-1、二层，联系电话：18021800625。</w:t>
      </w:r>
    </w:p>
    <w:p w14:paraId="37E616A4">
      <w:pPr>
        <w:pStyle w:val="36"/>
        <w:pageBreakBefore w:val="0"/>
        <w:spacing w:beforeAutospacing="0" w:afterAutospacing="0" w:line="500" w:lineRule="exact"/>
        <w:ind w:firstLine="480"/>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28.5 以下情形的质疑不予受理</w:t>
      </w:r>
    </w:p>
    <w:p w14:paraId="75557581">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28.5.1内容不符合《政府采购质疑和投诉办法》第十二条规定的质疑。</w:t>
      </w:r>
    </w:p>
    <w:p w14:paraId="3875B54A">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28.5.2超出政府采购法定期限的质疑。</w:t>
      </w:r>
    </w:p>
    <w:p w14:paraId="78004B98">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28.5.3以传真、电子邮件等方式递交的非原件形式的质疑。</w:t>
      </w:r>
    </w:p>
    <w:p w14:paraId="355CA4D7">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28.5.4未参加投标活动的供应商或在投标活动中自身权益未受到损害的供应商所提出的质疑。</w:t>
      </w:r>
    </w:p>
    <w:p w14:paraId="111544C6">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28.5.5供应商组成联合体参加投标，联合体中任何一方或多方未按要求签字、盖章、加盖公章的质疑。</w:t>
      </w:r>
    </w:p>
    <w:p w14:paraId="457CF031">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3A91BDE">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29、中标通知书</w:t>
      </w:r>
    </w:p>
    <w:p w14:paraId="3BFBC942">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29.l中标结果确定后，</w:t>
      </w:r>
      <w:r>
        <w:rPr>
          <w:rFonts w:hint="eastAsia" w:ascii="宋体" w:hAnsi="宋体" w:eastAsia="宋体" w:cs="宋体"/>
          <w:b w:val="0"/>
          <w:bCs w:val="0"/>
          <w:color w:val="000000"/>
        </w:rPr>
        <w:t>采购</w:t>
      </w:r>
      <w:r>
        <w:rPr>
          <w:rFonts w:hint="eastAsia" w:ascii="宋体" w:hAnsi="宋体" w:eastAsia="宋体" w:cs="宋体"/>
          <w:b w:val="0"/>
          <w:bCs w:val="0"/>
          <w:color w:val="000000"/>
          <w:lang w:eastAsia="zh-CN"/>
        </w:rPr>
        <w:t>代理机构</w:t>
      </w:r>
      <w:r>
        <w:rPr>
          <w:rFonts w:hint="eastAsia" w:ascii="宋体" w:hAnsi="宋体" w:eastAsia="宋体" w:cs="宋体"/>
          <w:color w:val="000000"/>
          <w:sz w:val="24"/>
          <w:lang w:val="en-US" w:eastAsia="zh-CN"/>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5262168">
      <w:pPr>
        <w:pStyle w:val="36"/>
        <w:pageBreakBefore w:val="0"/>
        <w:spacing w:beforeAutospacing="0" w:afterAutospacing="0" w:line="500" w:lineRule="exact"/>
        <w:ind w:firstLine="480"/>
        <w:jc w:val="both"/>
        <w:rPr>
          <w:rFonts w:hint="eastAsia" w:ascii="宋体" w:hAnsi="宋体" w:eastAsia="宋体" w:cs="宋体"/>
          <w:b/>
          <w:color w:val="000000"/>
          <w:sz w:val="24"/>
          <w:szCs w:val="24"/>
          <w:highlight w:val="none"/>
        </w:rPr>
      </w:pPr>
      <w:r>
        <w:rPr>
          <w:rFonts w:hint="eastAsia" w:ascii="宋体" w:hAnsi="宋体" w:eastAsia="宋体" w:cs="宋体"/>
          <w:color w:val="000000"/>
          <w:sz w:val="24"/>
          <w:lang w:val="en-US" w:eastAsia="zh-CN"/>
        </w:rPr>
        <w:t>29.2中标通知书将是合同的一个组成部分。对采购人和中标人均具有法律效力。中标通知书发出后，采购人改变中标结果的，或者中标人放弃中标项目的，应当依法承担法律责任。</w:t>
      </w:r>
      <w:bookmarkStart w:id="164" w:name="_Toc513029236"/>
      <w:bookmarkStart w:id="165" w:name="_Toc20823308"/>
      <w:bookmarkStart w:id="166" w:name="_Toc16938552"/>
      <w:bookmarkStart w:id="167" w:name="_Toc120614220"/>
    </w:p>
    <w:p w14:paraId="64DAAC83">
      <w:pPr>
        <w:pStyle w:val="15"/>
        <w:keepNext/>
        <w:keepLines/>
        <w:spacing w:before="145" w:beforeAutospacing="0" w:after="145" w:afterAutospacing="0" w:line="360" w:lineRule="auto"/>
        <w:jc w:val="both"/>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七、授予合同</w:t>
      </w:r>
      <w:bookmarkEnd w:id="164"/>
      <w:bookmarkEnd w:id="165"/>
      <w:bookmarkEnd w:id="166"/>
      <w:bookmarkEnd w:id="167"/>
    </w:p>
    <w:p w14:paraId="6ACCED81">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bookmarkStart w:id="168" w:name="_Toc16938553"/>
      <w:bookmarkStart w:id="169" w:name="_Toc513029237"/>
      <w:bookmarkStart w:id="170" w:name="_Toc20823309"/>
      <w:r>
        <w:rPr>
          <w:rFonts w:hint="eastAsia" w:ascii="宋体" w:hAnsi="宋体" w:eastAsia="宋体" w:cs="宋体"/>
          <w:b/>
          <w:bCs/>
          <w:color w:val="000000"/>
          <w:sz w:val="24"/>
          <w:lang w:val="en-US" w:eastAsia="zh-CN"/>
        </w:rPr>
        <w:t>30.签订合同</w:t>
      </w:r>
      <w:bookmarkEnd w:id="168"/>
      <w:bookmarkEnd w:id="169"/>
      <w:bookmarkEnd w:id="170"/>
    </w:p>
    <w:p w14:paraId="49272DD0">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30.l中标人应当在中标通知书发出之日起三十日内，按照招标文件确定的事项与采购人签订政府采购合同。</w:t>
      </w:r>
    </w:p>
    <w:p w14:paraId="00518D93">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30.2招标文件、中标人的投标文件及招标过程中有关澄清、承诺文件均应作为合同附件。</w:t>
      </w:r>
    </w:p>
    <w:p w14:paraId="6C2608F8">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30.3签订合同后，中标人不得将合同标的进行转包。未经采购人同意，中标人也不得采用分包的形式履行合同，否则采购人有权终止合同。转包或分包造成采购人损失的，中标人应承担相应赔偿责任。</w:t>
      </w:r>
    </w:p>
    <w:p w14:paraId="77BCD65A">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31、服务（包含与服务相关的货物）的追加</w:t>
      </w:r>
    </w:p>
    <w:p w14:paraId="3B7551AE">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20EEBF9">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32.政府采购政策功能落实</w:t>
      </w:r>
    </w:p>
    <w:p w14:paraId="3EA2C724">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32.1政府采购线上合同信用融资政策</w:t>
      </w:r>
    </w:p>
    <w:p w14:paraId="137EF223">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05A8ADEB">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32.2进口产品</w:t>
      </w:r>
    </w:p>
    <w:p w14:paraId="5E25FDB5">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32.3中小企业、监狱企业及残疾人福利性单位</w:t>
      </w:r>
    </w:p>
    <w:p w14:paraId="63807B9C">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32.3.1中小企业定义：</w:t>
      </w:r>
    </w:p>
    <w:p w14:paraId="4C9CBD8E">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32.3.2供应商提供的货物、工程或者服务符合下列情形的，享受中小企业扶持政策：</w:t>
      </w:r>
    </w:p>
    <w:p w14:paraId="6761BEF4">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32.3.2.1在货物采购项目中，货物由中小企业制造，即货物由中小企业生产且使用该中小企业商号或者注册商标；</w:t>
      </w:r>
    </w:p>
    <w:p w14:paraId="31163D45">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32.3.2.2在工程采购项目中，工程由中小企业承建，即工程施工单位为中小企业；</w:t>
      </w:r>
    </w:p>
    <w:p w14:paraId="24450A5D">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32.3.2.3在服务采购项目中，服务由中小企业承接，即提供服务的人员为中小企业依照《中华人民共和国劳动合同法》订立劳动合同的从业人员。</w:t>
      </w:r>
    </w:p>
    <w:p w14:paraId="3EA95C77">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32.3.3在货物采购项目中，供应商提供的货物既有中小企业制造货物，也有大型企业制造货物的，不享受中小企业扶持政策。</w:t>
      </w:r>
    </w:p>
    <w:p w14:paraId="18C13D1A">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32.3.4以联合体形式参加政府采购活动，联合体各方均为中小企业的，联合体视同中小企业。其中，联合体各方均为小微企业的，联合体视同小微企业。</w:t>
      </w:r>
    </w:p>
    <w:p w14:paraId="34D8F3DF">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32.3.6残疾人福利单位定义：享受政府采购支持政策的残疾人福利性单位应当同时满足以下条件：</w:t>
      </w:r>
    </w:p>
    <w:p w14:paraId="2C10A4F6">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32.3.6.1安置的残疾人占本单位在职职工人数的比例不低于25%（含25%），并且安置的残疾人人数不少于10 人（含10 人）；</w:t>
      </w:r>
    </w:p>
    <w:p w14:paraId="273AB3B5">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32.3.6.2依法与安置的每位残疾人签订了一年以上（含一年）的劳动合同或服务协议；</w:t>
      </w:r>
    </w:p>
    <w:p w14:paraId="25054FF3">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32.3.6.3为安置的每位残疾人按月足额缴纳了基本养老保险、基本医疗保险、失业保险、工伤保险和生育保险等社会保险费；</w:t>
      </w:r>
    </w:p>
    <w:p w14:paraId="2B08B5C5">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32.3.6.4通过银行等金融机构向安置的每位残疾人，按月支付了不低于单位所在区县适用的经省级人民政府批准的月最低工资标准的工资；</w:t>
      </w:r>
    </w:p>
    <w:p w14:paraId="20CB233D">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32.3.6.5提供本单位制造的货物、承担的工程或者服务（以下简称产品），或者提供其他残疾人福利性单位制造的货物（不包括使用非残疾人福利性单位注册商标的货物）；</w:t>
      </w:r>
    </w:p>
    <w:p w14:paraId="3B85C34B">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32.3.7本项目是否专门面向中小企业预留采购份额见第一章《招标公告》。</w:t>
      </w:r>
    </w:p>
    <w:p w14:paraId="66321B5E">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32.3.8采购标的对应的中小企业划分标准所属行业见第四章《采购需求》。</w:t>
      </w:r>
    </w:p>
    <w:p w14:paraId="50F5C6B4">
      <w:pPr>
        <w:pStyle w:val="36"/>
        <w:pageBreakBefore w:val="0"/>
        <w:spacing w:beforeAutospacing="0" w:afterAutospacing="0" w:line="500" w:lineRule="exact"/>
        <w:ind w:firstLine="480"/>
        <w:jc w:val="both"/>
        <w:rPr>
          <w:rFonts w:hint="eastAsia" w:ascii="宋体" w:hAnsi="宋体" w:eastAsia="宋体" w:cs="宋体"/>
          <w:b w:val="0"/>
          <w:bCs w:val="0"/>
          <w:color w:val="000000"/>
          <w:sz w:val="24"/>
          <w:lang w:val="en-US" w:eastAsia="zh-CN"/>
        </w:rPr>
      </w:pPr>
      <w:r>
        <w:rPr>
          <w:rFonts w:hint="eastAsia" w:ascii="宋体" w:hAnsi="宋体" w:eastAsia="宋体" w:cs="宋体"/>
          <w:color w:val="000000"/>
          <w:sz w:val="24"/>
          <w:lang w:val="en-US" w:eastAsia="zh-CN"/>
        </w:rPr>
        <w:t>32.3.9小微企业价格评审优惠的政策：见第五章《评标方法和评标标准》。</w:t>
      </w:r>
    </w:p>
    <w:p w14:paraId="24130294">
      <w:pPr>
        <w:pStyle w:val="36"/>
        <w:pageBreakBefore w:val="0"/>
        <w:spacing w:beforeAutospacing="0" w:afterAutospacing="0" w:line="500" w:lineRule="exact"/>
        <w:ind w:firstLine="480"/>
        <w:jc w:val="both"/>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32.4政府采购节能产品、环境标志产品</w:t>
      </w:r>
    </w:p>
    <w:p w14:paraId="56196F77">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4"/>
          <w:lang w:val="en-US" w:eastAsia="zh-CN"/>
        </w:rPr>
        <w:t>如属政府强制采购产品未提供认证证书的或认证证书提供不全的将视为未实质性响应采购要求。</w:t>
      </w:r>
      <w:r>
        <w:rPr>
          <w:rFonts w:hint="eastAsia" w:ascii="宋体" w:hAnsi="宋体" w:eastAsia="宋体" w:cs="宋体"/>
          <w:color w:val="000000"/>
          <w:sz w:val="24"/>
          <w:lang w:val="en-US" w:eastAsia="zh-CN"/>
        </w:rPr>
        <w:t>其他条件相同情况下，应当优先采购节能产品、环境标志产品。</w:t>
      </w:r>
    </w:p>
    <w:p w14:paraId="3644E8D9">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Style w:val="36"/>
        <w:pageBreakBefore w:val="0"/>
        <w:spacing w:beforeAutospacing="0" w:afterAutospacing="0" w:line="500" w:lineRule="exact"/>
        <w:ind w:firstLine="480"/>
        <w:jc w:val="both"/>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32.5绿色包装</w:t>
      </w:r>
    </w:p>
    <w:p w14:paraId="3C828DB7">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32.6政府采购创新产品</w:t>
      </w:r>
    </w:p>
    <w:p w14:paraId="411722CA">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采购人优先采购各级政府部门公开发布的有效期内的创新产品、创新服务、首台套、首购首用等《目录》的创新产品。</w:t>
      </w:r>
    </w:p>
    <w:p w14:paraId="57947BB5">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32.7绿色数据中心政策 </w:t>
      </w:r>
    </w:p>
    <w:p w14:paraId="722A8D32">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E298AA">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32.8实施本国产品标准及相关政策</w:t>
      </w:r>
    </w:p>
    <w:p w14:paraId="4C0DB09D">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1.本项目对采购本国产品给予政策支持，具体内容见招标文件“第五章 评标方法与评标标准”。</w:t>
      </w:r>
    </w:p>
    <w:p w14:paraId="3ACE2608">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A426632">
      <w:pPr>
        <w:ind w:firstLine="482"/>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6BF6CCA">
      <w:pPr>
        <w:numPr>
          <w:ilvl w:val="0"/>
          <w:numId w:val="0"/>
        </w:numPr>
        <w:ind w:firstLine="482"/>
        <w:rPr>
          <w:rFonts w:hint="eastAsia" w:ascii="宋体" w:hAnsi="宋体" w:eastAsia="宋体" w:cs="宋体"/>
          <w:color w:val="000000"/>
          <w:sz w:val="24"/>
          <w:lang w:val="en-US" w:eastAsia="zh-CN"/>
        </w:rPr>
      </w:pPr>
      <w:r>
        <w:rPr>
          <w:rFonts w:hint="eastAsia" w:ascii="宋体" w:hAnsi="宋体" w:eastAsia="宋体" w:cs="宋体"/>
          <w:b/>
          <w:bCs/>
          <w:color w:val="auto"/>
          <w:sz w:val="24"/>
          <w:szCs w:val="24"/>
          <w:highlight w:val="none"/>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034807A4">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32.9履约保证金政策</w:t>
      </w:r>
    </w:p>
    <w:p w14:paraId="40F02B3A">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确需收取履约保证金的，履约保证金的缴纳形式：</w:t>
      </w:r>
    </w:p>
    <w:p w14:paraId="5EB031AC">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 如以履约保函（保险）形式缴纳履约保证金，供应商可通过政府采购电子履约保函（保险）平台（www.jsdzbh.com）在线申请履约保函（保险）。</w:t>
      </w:r>
    </w:p>
    <w:p w14:paraId="57E6C93D">
      <w:pPr>
        <w:pStyle w:val="36"/>
        <w:pageBreakBefore w:val="0"/>
        <w:spacing w:beforeAutospacing="0" w:afterAutospacing="0" w:line="500" w:lineRule="exact"/>
        <w:ind w:firstLine="480"/>
        <w:jc w:val="both"/>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pStyle w:val="36"/>
        <w:pageBreakBefore w:val="0"/>
        <w:spacing w:beforeAutospacing="0" w:afterAutospacing="0" w:line="500" w:lineRule="exact"/>
        <w:ind w:firstLine="480"/>
        <w:jc w:val="both"/>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33. 预付款制度</w:t>
      </w:r>
    </w:p>
    <w:p w14:paraId="23108FD2">
      <w:pPr>
        <w:pStyle w:val="36"/>
        <w:pageBreakBefore w:val="0"/>
        <w:spacing w:beforeAutospacing="0" w:afterAutospacing="0" w:line="500" w:lineRule="exact"/>
        <w:ind w:firstLine="480"/>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lang w:val="en-US" w:eastAsia="zh-CN"/>
        </w:rPr>
        <w:t>本项目落实预付款制度，预</w:t>
      </w:r>
      <w:r>
        <w:rPr>
          <w:rFonts w:hint="eastAsia" w:ascii="宋体" w:hAnsi="宋体" w:eastAsia="宋体" w:cs="宋体"/>
          <w:color w:val="000000"/>
          <w:sz w:val="24"/>
          <w:highlight w:val="none"/>
          <w:lang w:val="en-US" w:eastAsia="zh-CN"/>
        </w:rPr>
        <w:t>付款比例为</w:t>
      </w:r>
      <w:r>
        <w:rPr>
          <w:rFonts w:hint="eastAsia" w:ascii="宋体" w:hAnsi="宋体" w:eastAsia="宋体" w:cs="宋体"/>
          <w:color w:val="000000"/>
          <w:sz w:val="24"/>
          <w:highlight w:val="none"/>
          <w:u w:val="single"/>
          <w:lang w:val="en-US" w:eastAsia="zh-CN"/>
        </w:rPr>
        <w:t>30</w:t>
      </w:r>
      <w:r>
        <w:rPr>
          <w:rFonts w:hint="eastAsia" w:ascii="宋体" w:hAnsi="宋体" w:eastAsia="宋体" w:cs="宋体"/>
          <w:color w:val="000000"/>
          <w:sz w:val="24"/>
          <w:highlight w:val="none"/>
          <w:lang w:val="en-US" w:eastAsia="zh-CN"/>
        </w:rPr>
        <w:t>%（原则上不低于合同金额的30%）。在签订合同时，中标、成交供应商明确书面表示无需预付款或者主动要求降低预付款比例的，采购人可就预付款比例作相应调整。</w:t>
      </w:r>
    </w:p>
    <w:p w14:paraId="53289C7D">
      <w:pPr>
        <w:pStyle w:val="15"/>
        <w:spacing w:beforeAutospacing="0" w:afterAutospacing="0" w:line="0" w:lineRule="atLeast"/>
        <w:ind w:firstLine="480"/>
        <w:jc w:val="both"/>
        <w:rPr>
          <w:rFonts w:hint="eastAsia" w:ascii="宋体" w:hAnsi="宋体" w:eastAsia="宋体" w:cs="宋体"/>
          <w:color w:val="000000"/>
          <w:sz w:val="24"/>
          <w:szCs w:val="24"/>
          <w:highlight w:val="none"/>
          <w:lang w:val="en-US" w:eastAsia="zh-CN"/>
        </w:rPr>
      </w:pPr>
    </w:p>
    <w:p w14:paraId="03163463">
      <w:pPr>
        <w:pStyle w:val="15"/>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C42887D">
      <w:pPr>
        <w:pStyle w:val="15"/>
        <w:spacing w:beforeAutospacing="0" w:afterAutospacing="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080CAB2D">
      <w:pPr>
        <w:pStyle w:val="15"/>
        <w:spacing w:beforeAutospacing="0" w:afterAutospacing="0"/>
        <w:jc w:val="both"/>
        <w:rPr>
          <w:rFonts w:hint="eastAsia" w:ascii="宋体" w:hAnsi="宋体" w:eastAsia="宋体" w:cs="宋体"/>
          <w:sz w:val="24"/>
          <w:szCs w:val="24"/>
          <w:highlight w:val="none"/>
        </w:rPr>
      </w:pPr>
    </w:p>
    <w:p w14:paraId="63E6673B">
      <w:pPr>
        <w:pStyle w:val="15"/>
        <w:spacing w:beforeAutospacing="0" w:afterAutospacing="0"/>
        <w:jc w:val="both"/>
        <w:rPr>
          <w:rFonts w:hint="eastAsia" w:ascii="宋体" w:hAnsi="宋体" w:eastAsia="宋体" w:cs="宋体"/>
          <w:sz w:val="24"/>
          <w:szCs w:val="24"/>
          <w:highlight w:val="none"/>
        </w:rPr>
      </w:pPr>
    </w:p>
    <w:p w14:paraId="0BC41EB4">
      <w:pPr>
        <w:pStyle w:val="15"/>
        <w:spacing w:beforeAutospacing="0" w:afterAutospacing="0"/>
        <w:jc w:val="both"/>
        <w:rPr>
          <w:rFonts w:hint="eastAsia" w:ascii="宋体" w:hAnsi="宋体" w:eastAsia="宋体" w:cs="宋体"/>
          <w:sz w:val="24"/>
          <w:szCs w:val="24"/>
          <w:highlight w:val="none"/>
        </w:rPr>
      </w:pPr>
    </w:p>
    <w:p w14:paraId="2D7A67A8">
      <w:pPr>
        <w:pStyle w:val="15"/>
        <w:spacing w:beforeAutospacing="0" w:afterAutospacing="0"/>
        <w:jc w:val="both"/>
        <w:rPr>
          <w:rFonts w:hint="eastAsia" w:ascii="宋体" w:hAnsi="宋体" w:eastAsia="宋体" w:cs="宋体"/>
          <w:sz w:val="24"/>
          <w:szCs w:val="24"/>
          <w:highlight w:val="none"/>
        </w:rPr>
      </w:pPr>
    </w:p>
    <w:p w14:paraId="41F3AA34">
      <w:pPr>
        <w:pStyle w:val="15"/>
        <w:spacing w:beforeAutospacing="0" w:afterAutospacing="0"/>
        <w:jc w:val="both"/>
        <w:rPr>
          <w:rFonts w:hint="eastAsia" w:ascii="宋体" w:hAnsi="宋体" w:eastAsia="宋体" w:cs="宋体"/>
          <w:sz w:val="24"/>
          <w:szCs w:val="24"/>
          <w:highlight w:val="none"/>
        </w:rPr>
      </w:pPr>
    </w:p>
    <w:p w14:paraId="47FD4FC3">
      <w:pPr>
        <w:pStyle w:val="15"/>
        <w:spacing w:beforeAutospacing="0" w:afterAutospacing="0"/>
        <w:jc w:val="both"/>
        <w:rPr>
          <w:rFonts w:hint="eastAsia" w:ascii="宋体" w:hAnsi="宋体" w:eastAsia="宋体" w:cs="宋体"/>
          <w:sz w:val="24"/>
          <w:szCs w:val="24"/>
          <w:highlight w:val="none"/>
        </w:rPr>
      </w:pPr>
    </w:p>
    <w:p w14:paraId="6848ED5D">
      <w:pPr>
        <w:pStyle w:val="15"/>
        <w:keepNext/>
        <w:keepLines/>
        <w:spacing w:before="260" w:beforeAutospacing="0" w:after="260" w:afterAutospacing="0" w:line="415" w:lineRule="auto"/>
        <w:ind w:firstLine="2429"/>
        <w:jc w:val="both"/>
        <w:rPr>
          <w:sz w:val="24"/>
          <w:szCs w:val="24"/>
          <w:highlight w:val="none"/>
        </w:rPr>
      </w:pPr>
      <w:r>
        <w:rPr>
          <w:rFonts w:hint="eastAsia" w:ascii="黑体" w:hAnsi="宋体" w:eastAsia="黑体" w:cs="黑体"/>
          <w:b/>
          <w:color w:val="000000"/>
          <w:sz w:val="44"/>
          <w:szCs w:val="44"/>
          <w:highlight w:val="none"/>
        </w:rPr>
        <w:t>第三章  合同文本</w:t>
      </w:r>
      <w:r>
        <w:rPr>
          <w:sz w:val="24"/>
          <w:szCs w:val="24"/>
          <w:highlight w:val="none"/>
        </w:rPr>
        <w:t> </w:t>
      </w:r>
    </w:p>
    <w:p w14:paraId="76497EE7">
      <w:pPr>
        <w:pStyle w:val="15"/>
        <w:keepNext w:val="0"/>
        <w:keepLines w:val="0"/>
        <w:pageBreakBefore w:val="0"/>
        <w:widowControl w:val="0"/>
        <w:spacing w:beforeAutospacing="0" w:afterAutospacing="0" w:line="360" w:lineRule="auto"/>
        <w:ind w:firstLine="480"/>
        <w:jc w:val="both"/>
        <w:rPr>
          <w:sz w:val="24"/>
          <w:szCs w:val="24"/>
          <w:highlight w:val="none"/>
        </w:rPr>
      </w:pPr>
      <w:r>
        <w:rPr>
          <w:rFonts w:hint="eastAsia" w:ascii="宋体" w:hAnsi="宋体" w:eastAsia="宋体" w:cs="宋体"/>
          <w:color w:val="000000"/>
          <w:sz w:val="24"/>
          <w:szCs w:val="24"/>
          <w:highlight w:val="none"/>
        </w:rPr>
        <w:t>以下为中标后</w:t>
      </w:r>
      <w:r>
        <w:rPr>
          <w:rFonts w:hint="eastAsia" w:ascii="宋体" w:hAnsi="宋体" w:eastAsia="宋体" w:cs="宋体"/>
          <w:color w:val="000000"/>
          <w:sz w:val="24"/>
          <w:szCs w:val="24"/>
          <w:highlight w:val="none"/>
          <w:lang w:eastAsia="zh-CN"/>
        </w:rPr>
        <w:t>签订</w:t>
      </w:r>
      <w:r>
        <w:rPr>
          <w:rFonts w:hint="eastAsia" w:ascii="宋体" w:hAnsi="宋体" w:eastAsia="宋体" w:cs="宋体"/>
          <w:color w:val="000000"/>
          <w:sz w:val="24"/>
          <w:szCs w:val="24"/>
          <w:highlight w:val="none"/>
        </w:rPr>
        <w:t>本项目合同的通用条款，中标人不得提出实质性的修改。</w:t>
      </w:r>
    </w:p>
    <w:p w14:paraId="20CDF5EB">
      <w:pPr>
        <w:pStyle w:val="15"/>
        <w:keepNext w:val="0"/>
        <w:keepLines w:val="0"/>
        <w:pageBreakBefore w:val="0"/>
        <w:widowControl w:val="0"/>
        <w:spacing w:before="120" w:beforeAutospacing="0" w:after="120" w:afterAutospacing="0" w:line="360" w:lineRule="auto"/>
        <w:jc w:val="both"/>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项目名称：</w:t>
      </w:r>
      <w:r>
        <w:rPr>
          <w:rFonts w:hint="eastAsia" w:ascii="宋体" w:hAnsi="宋体" w:eastAsia="宋体" w:cs="宋体"/>
          <w:color w:val="000000"/>
          <w:sz w:val="24"/>
          <w:szCs w:val="24"/>
          <w:highlight w:val="none"/>
          <w:u w:val="single"/>
          <w:lang w:val="en-US" w:eastAsia="zh-CN"/>
        </w:rPr>
        <w:t xml:space="preserve">       </w:t>
      </w:r>
    </w:p>
    <w:p w14:paraId="44F4CBFC">
      <w:pPr>
        <w:pStyle w:val="15"/>
        <w:keepNext w:val="0"/>
        <w:keepLines w:val="0"/>
        <w:pageBreakBefore w:val="0"/>
        <w:widowControl w:val="0"/>
        <w:spacing w:before="120" w:beforeAutospacing="0" w:after="120" w:afterAutospacing="0" w:line="360" w:lineRule="auto"/>
        <w:jc w:val="both"/>
        <w:rPr>
          <w:rFonts w:hint="default" w:eastAsia="宋体"/>
          <w:sz w:val="24"/>
          <w:szCs w:val="24"/>
          <w:highlight w:val="none"/>
          <w:u w:val="single"/>
          <w:lang w:val="en-US" w:eastAsia="zh-CN"/>
        </w:rPr>
      </w:pPr>
      <w:r>
        <w:rPr>
          <w:rFonts w:hint="eastAsia" w:ascii="宋体" w:hAnsi="宋体" w:eastAsia="宋体" w:cs="宋体"/>
          <w:color w:val="000000"/>
          <w:sz w:val="24"/>
          <w:szCs w:val="24"/>
          <w:highlight w:val="none"/>
        </w:rPr>
        <w:t>项目编号：</w:t>
      </w:r>
      <w:r>
        <w:rPr>
          <w:rFonts w:hint="eastAsia" w:ascii="宋体" w:hAnsi="宋体" w:eastAsia="宋体" w:cs="宋体"/>
          <w:color w:val="000000"/>
          <w:sz w:val="24"/>
          <w:szCs w:val="24"/>
          <w:highlight w:val="none"/>
          <w:u w:val="single"/>
          <w:lang w:val="en-US" w:eastAsia="zh-CN"/>
        </w:rPr>
        <w:t xml:space="preserve">        </w:t>
      </w:r>
    </w:p>
    <w:p w14:paraId="7DBF7D46">
      <w:pPr>
        <w:pStyle w:val="10"/>
        <w:spacing w:before="120" w:after="120" w:line="440" w:lineRule="exact"/>
        <w:rPr>
          <w:rFonts w:hint="default" w:hAnsi="宋体" w:cs="宋体" w:eastAsiaTheme="minorEastAsia"/>
          <w:sz w:val="24"/>
          <w:szCs w:val="24"/>
          <w:u w:val="single"/>
          <w:lang w:val="en-US" w:eastAsia="zh-CN"/>
        </w:rPr>
      </w:pPr>
      <w:r>
        <w:rPr>
          <w:rFonts w:hint="eastAsia" w:hAnsi="宋体" w:cs="宋体"/>
          <w:sz w:val="24"/>
          <w:szCs w:val="24"/>
        </w:rPr>
        <w:t>甲</w:t>
      </w:r>
      <w:r>
        <w:rPr>
          <w:rFonts w:hint="eastAsia" w:hAnsi="宋体" w:cs="宋体"/>
          <w:sz w:val="24"/>
          <w:szCs w:val="24"/>
          <w:lang w:val="en-US" w:eastAsia="zh-CN"/>
        </w:rPr>
        <w:t xml:space="preserve">    </w:t>
      </w:r>
      <w:r>
        <w:rPr>
          <w:rFonts w:hint="eastAsia" w:hAnsi="宋体" w:cs="宋体"/>
          <w:sz w:val="24"/>
          <w:szCs w:val="24"/>
        </w:rPr>
        <w:t>方：</w:t>
      </w:r>
      <w:r>
        <w:rPr>
          <w:rFonts w:hint="eastAsia" w:hAnsi="宋体" w:cs="宋体"/>
          <w:sz w:val="24"/>
          <w:szCs w:val="24"/>
          <w:u w:val="single"/>
          <w:lang w:val="en-US" w:eastAsia="zh-CN"/>
        </w:rPr>
        <w:t xml:space="preserve">          </w:t>
      </w:r>
    </w:p>
    <w:p w14:paraId="1078AA50">
      <w:pPr>
        <w:pStyle w:val="10"/>
        <w:spacing w:before="120" w:after="120" w:line="440" w:lineRule="exact"/>
        <w:rPr>
          <w:rFonts w:hint="default" w:hAnsi="宋体" w:eastAsia="宋体" w:cs="宋体"/>
          <w:sz w:val="24"/>
          <w:szCs w:val="24"/>
          <w:lang w:val="en-US" w:eastAsia="zh-CN"/>
        </w:rPr>
      </w:pPr>
      <w:r>
        <w:rPr>
          <w:rFonts w:hint="eastAsia" w:hAnsi="宋体" w:cs="宋体"/>
          <w:sz w:val="24"/>
          <w:szCs w:val="24"/>
        </w:rPr>
        <w:t>乙</w:t>
      </w:r>
      <w:r>
        <w:rPr>
          <w:rFonts w:hint="eastAsia" w:hAnsi="宋体" w:cs="宋体"/>
          <w:sz w:val="24"/>
          <w:szCs w:val="24"/>
          <w:lang w:val="en-US" w:eastAsia="zh-CN"/>
        </w:rPr>
        <w:t xml:space="preserve">    </w:t>
      </w:r>
      <w:r>
        <w:rPr>
          <w:rFonts w:hint="eastAsia" w:hAnsi="宋体" w:cs="宋体"/>
          <w:sz w:val="24"/>
          <w:szCs w:val="24"/>
        </w:rPr>
        <w:t>方：</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 </w:t>
      </w:r>
    </w:p>
    <w:p w14:paraId="48CFE887">
      <w:pPr>
        <w:pStyle w:val="10"/>
        <w:spacing w:before="120" w:after="120" w:line="440" w:lineRule="exact"/>
        <w:rPr>
          <w:rFonts w:hAnsi="宋体" w:cs="宋体"/>
          <w:b/>
          <w:sz w:val="24"/>
          <w:szCs w:val="24"/>
        </w:rPr>
      </w:pPr>
      <w:r>
        <w:rPr>
          <w:rFonts w:hint="eastAsia" w:hAnsi="宋体" w:cs="宋体"/>
          <w:b/>
          <w:sz w:val="24"/>
          <w:szCs w:val="24"/>
        </w:rPr>
        <w:t xml:space="preserve">   </w:t>
      </w:r>
      <w:r>
        <w:rPr>
          <w:rFonts w:hint="eastAsia" w:hAnsi="宋体" w:cs="宋体"/>
          <w:sz w:val="24"/>
          <w:szCs w:val="24"/>
        </w:rPr>
        <w:t>甲、乙双方根据</w:t>
      </w:r>
      <w:r>
        <w:rPr>
          <w:rFonts w:hint="eastAsia" w:hAnsi="宋体" w:cs="宋体"/>
          <w:sz w:val="24"/>
          <w:szCs w:val="24"/>
          <w:u w:val="single"/>
          <w:lang w:eastAsia="zh-CN"/>
        </w:rPr>
        <w:t>亭湖区数智养老服务系统升级维护和养老机构安全支持项目</w:t>
      </w:r>
      <w:r>
        <w:rPr>
          <w:rFonts w:hint="eastAsia" w:hAnsi="宋体" w:cs="宋体"/>
          <w:sz w:val="24"/>
          <w:szCs w:val="24"/>
        </w:rPr>
        <w:t>公开招标的结果，签署本合同。</w:t>
      </w:r>
    </w:p>
    <w:p w14:paraId="418FBC8B">
      <w:pPr>
        <w:pStyle w:val="10"/>
        <w:spacing w:before="120" w:after="120" w:line="440" w:lineRule="exact"/>
        <w:ind w:firstLine="482"/>
        <w:rPr>
          <w:rFonts w:hint="eastAsia" w:hAnsi="宋体" w:cs="宋体"/>
          <w:b/>
          <w:bCs/>
          <w:sz w:val="24"/>
          <w:szCs w:val="24"/>
        </w:rPr>
      </w:pPr>
      <w:r>
        <w:rPr>
          <w:rFonts w:hint="eastAsia" w:hAnsi="宋体" w:cs="宋体"/>
          <w:b/>
          <w:bCs/>
          <w:sz w:val="24"/>
          <w:szCs w:val="24"/>
        </w:rPr>
        <w:t>一、项目概况</w:t>
      </w:r>
    </w:p>
    <w:p w14:paraId="3E430530">
      <w:pPr>
        <w:pStyle w:val="15"/>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1.1项目名称：亭湖区数智养老服务系统升级维护和养老机构安全支持项目 </w:t>
      </w:r>
    </w:p>
    <w:p w14:paraId="65980246">
      <w:pPr>
        <w:pStyle w:val="15"/>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1.2项目内容：负责亭湖区数智养老服务系统升级维护和养老机构安全支持项目，包括：数智养老服务综合管理平台升级维护、数智安全管理中心值守、亭颐养数字养老服务超市运营、中心服务场所环境维护等方面。</w:t>
      </w:r>
    </w:p>
    <w:p w14:paraId="3004D4B9">
      <w:pPr>
        <w:pStyle w:val="15"/>
        <w:keepNext w:val="0"/>
        <w:keepLines w:val="0"/>
        <w:pageBreakBefore w:val="0"/>
        <w:widowControl w:val="0"/>
        <w:spacing w:before="120" w:beforeAutospacing="0" w:after="120" w:afterAutospacing="0" w:line="360" w:lineRule="auto"/>
        <w:ind w:firstLine="482"/>
        <w:jc w:val="both"/>
        <w:rPr>
          <w:rFonts w:hint="default" w:eastAsia="宋体"/>
          <w:sz w:val="24"/>
          <w:szCs w:val="24"/>
          <w:highlight w:val="none"/>
          <w:lang w:val="en-US" w:eastAsia="zh-CN"/>
        </w:rPr>
      </w:pPr>
      <w:r>
        <w:rPr>
          <w:rFonts w:hint="eastAsia" w:ascii="宋体" w:hAnsi="宋体" w:eastAsia="宋体" w:cs="宋体"/>
          <w:b/>
          <w:color w:val="000000"/>
          <w:sz w:val="24"/>
          <w:szCs w:val="24"/>
          <w:highlight w:val="none"/>
        </w:rPr>
        <w:t>二、合同金额</w:t>
      </w:r>
    </w:p>
    <w:p w14:paraId="24AA6B1D">
      <w:pPr>
        <w:pStyle w:val="15"/>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2.1本合同金额为（大写）：______________元（小写：_______________元）。</w:t>
      </w:r>
    </w:p>
    <w:p w14:paraId="6C204FC2">
      <w:pPr>
        <w:pStyle w:val="15"/>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2.2服务期限：三年。本合同有效期为自   年  月   日至   年   月   日止。</w:t>
      </w:r>
    </w:p>
    <w:p w14:paraId="1F18A326">
      <w:pPr>
        <w:pStyle w:val="15"/>
        <w:keepNext w:val="0"/>
        <w:keepLines w:val="0"/>
        <w:pageBreakBefore w:val="0"/>
        <w:widowControl w:val="0"/>
        <w:spacing w:before="120" w:beforeAutospacing="0" w:after="120" w:afterAutospacing="0" w:line="360" w:lineRule="auto"/>
        <w:ind w:firstLine="482"/>
        <w:jc w:val="both"/>
        <w:rPr>
          <w:sz w:val="24"/>
          <w:szCs w:val="24"/>
          <w:highlight w:val="none"/>
        </w:rPr>
      </w:pPr>
      <w:r>
        <w:rPr>
          <w:rFonts w:hint="eastAsia" w:ascii="宋体" w:hAnsi="宋体" w:eastAsia="宋体" w:cs="宋体"/>
          <w:b/>
          <w:color w:val="000000"/>
          <w:sz w:val="24"/>
          <w:szCs w:val="24"/>
          <w:highlight w:val="none"/>
        </w:rPr>
        <w:t>三、技术资料</w:t>
      </w:r>
    </w:p>
    <w:p w14:paraId="67B9766B">
      <w:pPr>
        <w:pStyle w:val="15"/>
        <w:keepNext w:val="0"/>
        <w:keepLines w:val="0"/>
        <w:pageBreakBefore w:val="0"/>
        <w:widowControl w:val="0"/>
        <w:spacing w:before="120" w:beforeAutospacing="0" w:after="120" w:afterAutospacing="0" w:line="360" w:lineRule="auto"/>
        <w:ind w:firstLine="480"/>
        <w:jc w:val="both"/>
        <w:rPr>
          <w:sz w:val="24"/>
          <w:szCs w:val="24"/>
          <w:highlight w:val="none"/>
        </w:rPr>
      </w:pPr>
      <w:r>
        <w:rPr>
          <w:rFonts w:hint="eastAsia" w:ascii="宋体" w:hAnsi="宋体" w:eastAsia="宋体" w:cs="宋体"/>
          <w:color w:val="000000"/>
          <w:sz w:val="24"/>
          <w:szCs w:val="24"/>
          <w:highlight w:val="none"/>
        </w:rPr>
        <w:t>3.1乙方应按招标文件规定的时间向甲方提供服务（包含与服务相关的货物）的有关技术资料。</w:t>
      </w:r>
    </w:p>
    <w:p w14:paraId="1F09033D">
      <w:pPr>
        <w:pStyle w:val="15"/>
        <w:keepNext w:val="0"/>
        <w:keepLines w:val="0"/>
        <w:pageBreakBefore w:val="0"/>
        <w:widowControl w:val="0"/>
        <w:spacing w:before="120" w:beforeAutospacing="0" w:after="120" w:afterAutospacing="0" w:line="360" w:lineRule="auto"/>
        <w:ind w:firstLine="480"/>
        <w:jc w:val="both"/>
        <w:rPr>
          <w:sz w:val="24"/>
          <w:szCs w:val="24"/>
          <w:highlight w:val="none"/>
        </w:rPr>
      </w:pPr>
      <w:r>
        <w:rPr>
          <w:rFonts w:hint="eastAsia" w:ascii="宋体" w:hAnsi="宋体" w:eastAsia="宋体" w:cs="宋体"/>
          <w:color w:val="000000"/>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FF27EB7">
      <w:pPr>
        <w:pStyle w:val="15"/>
        <w:keepNext w:val="0"/>
        <w:keepLines w:val="0"/>
        <w:pageBreakBefore w:val="0"/>
        <w:widowControl w:val="0"/>
        <w:spacing w:before="120" w:beforeAutospacing="0" w:after="120" w:afterAutospacing="0" w:line="360" w:lineRule="auto"/>
        <w:ind w:left="426" w:firstLine="10"/>
        <w:jc w:val="both"/>
        <w:rPr>
          <w:sz w:val="24"/>
          <w:szCs w:val="24"/>
          <w:highlight w:val="none"/>
        </w:rPr>
      </w:pPr>
      <w:r>
        <w:rPr>
          <w:rFonts w:hint="eastAsia" w:ascii="宋体" w:hAnsi="宋体" w:eastAsia="宋体" w:cs="宋体"/>
          <w:b/>
          <w:color w:val="000000"/>
          <w:sz w:val="24"/>
          <w:szCs w:val="24"/>
          <w:highlight w:val="none"/>
        </w:rPr>
        <w:t>四、知识产权</w:t>
      </w:r>
    </w:p>
    <w:p w14:paraId="73D435C5">
      <w:pPr>
        <w:keepNext w:val="0"/>
        <w:keepLines w:val="0"/>
        <w:pageBreakBefore w:val="0"/>
        <w:widowControl w:val="0"/>
        <w:spacing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themeColor="text1"/>
          <w:sz w:val="24"/>
          <w:szCs w:val="24"/>
          <w:highlight w:val="none"/>
          <w:lang w:val="en-US" w:eastAsia="zh-CN"/>
          <w14:textFill>
            <w14:solidFill>
              <w14:schemeClr w14:val="tx1"/>
            </w14:solidFill>
          </w14:textFill>
        </w:rPr>
        <w:t>识产权的起诉。一旦出现侵权，由乙方负全部责任。</w:t>
      </w:r>
    </w:p>
    <w:p w14:paraId="232B7148">
      <w:pPr>
        <w:pStyle w:val="15"/>
        <w:keepNext w:val="0"/>
        <w:keepLines w:val="0"/>
        <w:pageBreakBefore w:val="0"/>
        <w:widowControl w:val="0"/>
        <w:spacing w:before="120" w:beforeAutospacing="0" w:after="120" w:afterAutospacing="0" w:line="360" w:lineRule="auto"/>
        <w:ind w:firstLine="482"/>
        <w:jc w:val="both"/>
        <w:rPr>
          <w:sz w:val="24"/>
          <w:szCs w:val="24"/>
          <w:highlight w:val="none"/>
        </w:rPr>
      </w:pPr>
      <w:r>
        <w:rPr>
          <w:rFonts w:hint="eastAsia" w:ascii="宋体" w:hAnsi="宋体" w:eastAsia="宋体" w:cs="宋体"/>
          <w:b/>
          <w:color w:val="000000"/>
          <w:sz w:val="24"/>
          <w:szCs w:val="24"/>
          <w:highlight w:val="none"/>
        </w:rPr>
        <w:t>五、产权担保</w:t>
      </w:r>
    </w:p>
    <w:p w14:paraId="16F9B5EB">
      <w:pPr>
        <w:pStyle w:val="15"/>
        <w:keepNext w:val="0"/>
        <w:keepLines w:val="0"/>
        <w:pageBreakBefore w:val="0"/>
        <w:widowControl w:val="0"/>
        <w:spacing w:before="120" w:beforeAutospacing="0" w:after="120" w:afterAutospacing="0" w:line="360" w:lineRule="auto"/>
        <w:ind w:firstLine="480"/>
        <w:jc w:val="both"/>
        <w:rPr>
          <w:sz w:val="24"/>
          <w:szCs w:val="24"/>
          <w:highlight w:val="none"/>
        </w:rPr>
      </w:pPr>
      <w:r>
        <w:rPr>
          <w:rFonts w:hint="eastAsia" w:ascii="宋体" w:hAnsi="宋体" w:eastAsia="宋体" w:cs="宋体"/>
          <w:color w:val="000000"/>
          <w:sz w:val="24"/>
          <w:szCs w:val="24"/>
          <w:highlight w:val="none"/>
        </w:rPr>
        <w:t>5.1乙方保证所交付的服务（包含与服务相关的货物）的所有权完全属于乙方且无任何抵押、查封等产权瑕疵。</w:t>
      </w:r>
    </w:p>
    <w:p w14:paraId="547EE087">
      <w:pPr>
        <w:pStyle w:val="15"/>
        <w:keepNext w:val="0"/>
        <w:keepLines w:val="0"/>
        <w:pageBreakBefore w:val="0"/>
        <w:widowControl w:val="0"/>
        <w:numPr>
          <w:ilvl w:val="0"/>
          <w:numId w:val="1"/>
        </w:numPr>
        <w:spacing w:before="120" w:beforeAutospacing="0" w:after="120" w:afterAutospacing="0" w:line="360" w:lineRule="auto"/>
        <w:ind w:left="426" w:firstLine="12"/>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履约保证金</w:t>
      </w:r>
    </w:p>
    <w:p w14:paraId="1C0CCE89">
      <w:pPr>
        <w:pStyle w:val="15"/>
        <w:keepNext w:val="0"/>
        <w:keepLines w:val="0"/>
        <w:pageBreakBefore w:val="0"/>
        <w:widowControl w:val="0"/>
        <w:numPr>
          <w:ilvl w:val="0"/>
          <w:numId w:val="0"/>
        </w:numPr>
        <w:spacing w:before="120" w:beforeAutospacing="0" w:after="120" w:afterAutospacing="0" w:line="360" w:lineRule="auto"/>
        <w:ind w:firstLine="480" w:firstLineChars="200"/>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6.1</w:t>
      </w:r>
      <w:r>
        <w:rPr>
          <w:rFonts w:ascii="宋体" w:hAnsi="宋体" w:eastAsia="宋体" w:cs="宋体"/>
          <w:color w:val="000000"/>
          <w:sz w:val="24"/>
          <w:highlight w:val="none"/>
        </w:rPr>
        <w:t>签订合同前，乙方交纳人民币</w:t>
      </w:r>
      <w:r>
        <w:rPr>
          <w:rFonts w:hint="eastAsia" w:ascii="宋体" w:hAnsi="宋体" w:eastAsia="宋体" w:cs="宋体"/>
          <w:color w:val="000000"/>
          <w:sz w:val="24"/>
          <w:highlight w:val="none"/>
          <w:u w:val="single"/>
          <w:lang w:val="en-US" w:eastAsia="zh-CN"/>
        </w:rPr>
        <w:t xml:space="preserve">      </w:t>
      </w:r>
      <w:r>
        <w:rPr>
          <w:rFonts w:ascii="宋体" w:hAnsi="宋体" w:eastAsia="宋体" w:cs="宋体"/>
          <w:color w:val="000000"/>
          <w:sz w:val="24"/>
          <w:highlight w:val="none"/>
        </w:rPr>
        <w:t>元（中标价的10%）作为本合同的履约保证金。</w:t>
      </w:r>
    </w:p>
    <w:p w14:paraId="12CC783B">
      <w:pPr>
        <w:pStyle w:val="15"/>
        <w:keepNext w:val="0"/>
        <w:keepLines w:val="0"/>
        <w:pageBreakBefore w:val="0"/>
        <w:widowControl w:val="0"/>
        <w:spacing w:beforeAutospacing="0" w:afterAutospacing="0" w:line="360" w:lineRule="auto"/>
        <w:ind w:firstLine="480"/>
        <w:jc w:val="both"/>
        <w:rPr>
          <w:highlight w:val="none"/>
        </w:rPr>
      </w:pPr>
      <w:r>
        <w:rPr>
          <w:rFonts w:hint="eastAsia" w:ascii="宋体" w:hAnsi="宋体" w:eastAsia="宋体" w:cs="宋体"/>
          <w:color w:val="000000"/>
          <w:sz w:val="24"/>
          <w:szCs w:val="24"/>
          <w:highlight w:val="none"/>
          <w:lang w:val="en-US" w:eastAsia="zh-CN"/>
        </w:rPr>
        <w:t>备注：不得超过合同金额的10%，采购人应当对AA评级及以上政府采购供应商（需提供信用管理部门备案的第三方信用报告）免收履约保证金或降低履约保证金缴纳比例。</w:t>
      </w:r>
      <w:r>
        <w:rPr>
          <w:rFonts w:hint="eastAsia" w:ascii="宋体" w:hAnsi="宋体" w:eastAsia="宋体" w:cs="Times New Roman"/>
          <w:b/>
          <w:bCs/>
          <w:sz w:val="24"/>
          <w:szCs w:val="24"/>
          <w:highlight w:val="none"/>
          <w:lang w:val="en-US" w:eastAsia="zh-CN"/>
        </w:rPr>
        <w:t>（本项目约定降低履约保证金比例，即为合同金额的5%）</w:t>
      </w:r>
      <w:r>
        <w:rPr>
          <w:rFonts w:hint="eastAsia" w:ascii="宋体" w:hAnsi="宋体" w:eastAsia="宋体" w:cs="宋体"/>
          <w:color w:val="000000"/>
          <w:sz w:val="24"/>
          <w:highlight w:val="none"/>
        </w:rPr>
        <w:t>。</w:t>
      </w:r>
    </w:p>
    <w:p w14:paraId="1F56D5D9">
      <w:pPr>
        <w:pStyle w:val="15"/>
        <w:keepNext w:val="0"/>
        <w:keepLines w:val="0"/>
        <w:pageBreakBefore w:val="0"/>
        <w:widowControl w:val="0"/>
        <w:spacing w:before="120" w:beforeAutospacing="0" w:after="120" w:afterAutospacing="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2确需收取履约保证金的，</w:t>
      </w:r>
      <w:r>
        <w:rPr>
          <w:rFonts w:hint="eastAsia" w:ascii="宋体" w:hAnsi="宋体" w:eastAsia="宋体" w:cs="宋体"/>
          <w:color w:val="auto"/>
          <w:sz w:val="24"/>
          <w:szCs w:val="24"/>
          <w:highlight w:val="none"/>
          <w:lang w:eastAsia="zh-CN"/>
        </w:rPr>
        <w:t>履约保证金的缴纳形式：</w:t>
      </w:r>
    </w:p>
    <w:p w14:paraId="3CE4CD07">
      <w:pPr>
        <w:pStyle w:val="15"/>
        <w:keepNext w:val="0"/>
        <w:keepLines w:val="0"/>
        <w:pageBreakBefore w:val="0"/>
        <w:widowControl w:val="0"/>
        <w:spacing w:before="120" w:beforeAutospacing="0" w:after="120" w:afterAutospacing="0" w:line="360" w:lineRule="auto"/>
        <w:ind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6.2.1</w:t>
      </w:r>
      <w:r>
        <w:rPr>
          <w:rFonts w:hint="eastAsia" w:ascii="宋体" w:hAnsi="宋体" w:eastAsia="宋体" w:cs="宋体"/>
          <w:color w:val="auto"/>
          <w:sz w:val="24"/>
          <w:szCs w:val="24"/>
          <w:highlight w:val="none"/>
        </w:rPr>
        <w:t>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履约保证金</w:t>
      </w:r>
      <w:r>
        <w:rPr>
          <w:rFonts w:hint="eastAsia" w:ascii="宋体" w:hAnsi="宋体" w:eastAsia="宋体" w:cs="宋体"/>
          <w:color w:val="auto"/>
          <w:sz w:val="24"/>
          <w:szCs w:val="24"/>
          <w:highlight w:val="none"/>
        </w:rPr>
        <w:t>。依据《关于在全省政府采购领域推行电子履约保函（保险）的通知》，鼓励供应商自愿使用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电子</w:t>
      </w:r>
      <w:r>
        <w:rPr>
          <w:rFonts w:hint="eastAsia" w:ascii="宋体" w:hAnsi="宋体" w:eastAsia="宋体" w:cs="宋体"/>
          <w:color w:val="auto"/>
          <w:sz w:val="24"/>
          <w:szCs w:val="24"/>
          <w:highlight w:val="none"/>
        </w:rPr>
        <w:t>履约保函（保险）代替缴纳履约保证金</w:t>
      </w:r>
      <w:r>
        <w:rPr>
          <w:rFonts w:hint="eastAsia" w:ascii="宋体" w:hAnsi="宋体" w:eastAsia="宋体" w:cs="宋体"/>
          <w:color w:val="auto"/>
          <w:sz w:val="24"/>
          <w:szCs w:val="24"/>
          <w:highlight w:val="none"/>
          <w:lang w:eastAsia="zh-CN"/>
        </w:rPr>
        <w:t>。</w:t>
      </w:r>
    </w:p>
    <w:p w14:paraId="25A2E8A7">
      <w:pPr>
        <w:pStyle w:val="15"/>
        <w:keepNext w:val="0"/>
        <w:keepLines w:val="0"/>
        <w:pageBreakBefore w:val="0"/>
        <w:widowControl w:val="0"/>
        <w:spacing w:before="120" w:beforeAutospacing="0" w:after="120" w:afterAutospacing="0"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6.2.2 如以履约保函（保险）形式缴纳履约保证金，供应商可通过政府采购电子履约保函（保险）平台（www.jsdzbh.com）在线申请履约保函（保险）。</w:t>
      </w:r>
    </w:p>
    <w:p w14:paraId="53D89978">
      <w:pPr>
        <w:pStyle w:val="15"/>
        <w:keepNext w:val="0"/>
        <w:keepLines w:val="0"/>
        <w:pageBreakBefore w:val="0"/>
        <w:widowControl w:val="0"/>
        <w:spacing w:before="120" w:beforeAutospacing="0" w:after="120" w:afterAutospacing="0" w:line="360" w:lineRule="auto"/>
        <w:ind w:left="428" w:firstLine="14"/>
        <w:jc w:val="both"/>
        <w:rPr>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合同履行结束后，甲方应及时退还交纳的履约保证金。</w:t>
      </w:r>
    </w:p>
    <w:p w14:paraId="3A8350ED">
      <w:pPr>
        <w:keepNext w:val="0"/>
        <w:keepLines w:val="0"/>
        <w:pageBreakBefore w:val="0"/>
        <w:widowControl w:val="0"/>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履约保证金的退还：</w:t>
      </w:r>
    </w:p>
    <w:p w14:paraId="74CB29B4">
      <w:pPr>
        <w:keepNext w:val="0"/>
        <w:keepLines w:val="0"/>
        <w:pageBreakBefore w:val="0"/>
        <w:widowControl w:val="0"/>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.1方式：退还至投标人缴纳履约保证金的账户。如为保函，在到期时自行失效。</w:t>
      </w:r>
    </w:p>
    <w:p w14:paraId="5CF79670">
      <w:pPr>
        <w:keepNext w:val="0"/>
        <w:keepLines w:val="0"/>
        <w:pageBreakBefore w:val="0"/>
        <w:widowControl w:val="0"/>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.2时间：验收合格且采购人收到发票后30日内。</w:t>
      </w:r>
    </w:p>
    <w:p w14:paraId="0721D3E9">
      <w:pPr>
        <w:keepNext w:val="0"/>
        <w:keepLines w:val="0"/>
        <w:pageBreakBefore w:val="0"/>
        <w:widowControl w:val="0"/>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.3条件：按合同要求全部履约完成并经采购人验收合格，且采购人收到中标人出具的发票。</w:t>
      </w:r>
    </w:p>
    <w:p w14:paraId="011437FA">
      <w:pPr>
        <w:keepNext w:val="0"/>
        <w:keepLines w:val="0"/>
        <w:pageBreakBefore w:val="0"/>
        <w:widowControl w:val="0"/>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.4不予退还情形：</w:t>
      </w:r>
    </w:p>
    <w:p w14:paraId="1600A843">
      <w:pPr>
        <w:keepNext w:val="0"/>
        <w:keepLines w:val="0"/>
        <w:pageBreakBefore w:val="0"/>
        <w:widowControl w:val="0"/>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除不可抗力情况外，投标人出现下列情形之一的，其履约保证金，招标人将视情节决定不予退还或部分不予退还。</w:t>
      </w:r>
    </w:p>
    <w:p w14:paraId="0170C026">
      <w:pPr>
        <w:keepNext w:val="0"/>
        <w:keepLines w:val="0"/>
        <w:pageBreakBefore w:val="0"/>
        <w:widowControl w:val="0"/>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（1）中标人无正当理由拒绝签订合同的，或者在签订合同时向采购人提出附加条件或者更改合同实质性内容要求的；</w:t>
      </w:r>
    </w:p>
    <w:p w14:paraId="7AACA2EF">
      <w:pPr>
        <w:keepNext w:val="0"/>
        <w:keepLines w:val="0"/>
        <w:pageBreakBefore w:val="0"/>
        <w:widowControl w:val="0"/>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（2）中标人不履行与采购人订立的合同的；</w:t>
      </w:r>
    </w:p>
    <w:p w14:paraId="3AAE775F">
      <w:pPr>
        <w:keepNext w:val="0"/>
        <w:keepLines w:val="0"/>
        <w:pageBreakBefore w:val="0"/>
        <w:widowControl w:val="0"/>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（3）中标人所供货物或服务不符合招标文件规定要求的；</w:t>
      </w:r>
    </w:p>
    <w:p w14:paraId="1EF19C18">
      <w:pPr>
        <w:keepNext w:val="0"/>
        <w:keepLines w:val="0"/>
        <w:pageBreakBefore w:val="0"/>
        <w:widowControl w:val="0"/>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（4）中标人采取欺骗、弄虚作假方式投标的或与其它投标人串通投标的；</w:t>
      </w:r>
    </w:p>
    <w:p w14:paraId="7C5CC62B">
      <w:pPr>
        <w:keepNext w:val="0"/>
        <w:keepLines w:val="0"/>
        <w:pageBreakBefore w:val="0"/>
        <w:widowControl w:val="0"/>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（5）中标人将合同内容转包、违法分包的；</w:t>
      </w:r>
    </w:p>
    <w:p w14:paraId="29028BED">
      <w:pPr>
        <w:keepNext w:val="0"/>
        <w:keepLines w:val="0"/>
        <w:pageBreakBefore w:val="0"/>
        <w:widowControl w:val="0"/>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（6）中标人故意捏造事实或伪造证明材料，进行虚假恶意投诉或反映的。</w:t>
      </w:r>
    </w:p>
    <w:p w14:paraId="798057DA">
      <w:pPr>
        <w:keepNext w:val="0"/>
        <w:keepLines w:val="0"/>
        <w:pageBreakBefore w:val="0"/>
        <w:widowControl w:val="0"/>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.5逾期退还的违约责任：采购人逾期无故未退还履约保证金的，按中国人民银行同期贷款基准利率上浮20%后的利率支付超期资金占用费，但因供应商自身原因导致无法及时退还的除外。</w:t>
      </w:r>
    </w:p>
    <w:p w14:paraId="6F17BCB9">
      <w:pPr>
        <w:pStyle w:val="15"/>
        <w:keepNext w:val="0"/>
        <w:keepLines w:val="0"/>
        <w:pageBreakBefore w:val="0"/>
        <w:widowControl w:val="0"/>
        <w:spacing w:before="145" w:beforeAutospacing="0" w:after="145" w:afterAutospacing="0" w:line="360" w:lineRule="auto"/>
        <w:ind w:firstLine="482"/>
        <w:jc w:val="both"/>
        <w:rPr>
          <w:sz w:val="24"/>
          <w:szCs w:val="24"/>
          <w:highlight w:val="none"/>
        </w:rPr>
      </w:pPr>
      <w:r>
        <w:rPr>
          <w:rFonts w:hint="eastAsia" w:ascii="宋体" w:hAnsi="宋体" w:eastAsia="宋体" w:cs="宋体"/>
          <w:b/>
          <w:color w:val="000000"/>
          <w:sz w:val="24"/>
          <w:szCs w:val="24"/>
          <w:highlight w:val="none"/>
        </w:rPr>
        <w:t>七、合同转包或分包</w:t>
      </w:r>
    </w:p>
    <w:p w14:paraId="0DC41FE7">
      <w:pPr>
        <w:keepNext w:val="0"/>
        <w:keepLines w:val="0"/>
        <w:pageBreakBefore w:val="0"/>
        <w:widowControl w:val="0"/>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7.1乙方不得将合同标的转包给他人履行。</w:t>
      </w:r>
    </w:p>
    <w:p w14:paraId="488002C7">
      <w:pPr>
        <w:keepNext w:val="0"/>
        <w:keepLines w:val="0"/>
        <w:pageBreakBefore w:val="0"/>
        <w:widowControl w:val="0"/>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7.2乙方不得将合同标的分包给他人履行。</w:t>
      </w:r>
    </w:p>
    <w:p w14:paraId="021E6B6C">
      <w:pPr>
        <w:keepNext w:val="0"/>
        <w:keepLines w:val="0"/>
        <w:pageBreakBefore w:val="0"/>
        <w:widowControl w:val="0"/>
        <w:spacing w:line="360" w:lineRule="auto"/>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7.3乙方如有转包或未经甲方同意的分包行为，甲方有权解除合同。</w:t>
      </w:r>
    </w:p>
    <w:p w14:paraId="5870BE51">
      <w:pPr>
        <w:pStyle w:val="15"/>
        <w:keepNext w:val="0"/>
        <w:keepLines w:val="0"/>
        <w:pageBreakBefore w:val="0"/>
        <w:widowControl w:val="0"/>
        <w:spacing w:before="120" w:beforeAutospacing="0" w:after="120" w:afterAutospacing="0" w:line="360" w:lineRule="auto"/>
        <w:ind w:firstLine="482"/>
        <w:jc w:val="both"/>
        <w:rPr>
          <w:sz w:val="24"/>
          <w:szCs w:val="24"/>
          <w:highlight w:val="none"/>
        </w:rPr>
      </w:pPr>
      <w:r>
        <w:rPr>
          <w:rFonts w:hint="eastAsia" w:ascii="宋体" w:hAnsi="宋体" w:eastAsia="宋体" w:cs="宋体"/>
          <w:b/>
          <w:color w:val="000000"/>
          <w:sz w:val="24"/>
          <w:szCs w:val="24"/>
          <w:highlight w:val="none"/>
        </w:rPr>
        <w:t>八、合同款项支付</w:t>
      </w:r>
    </w:p>
    <w:p w14:paraId="5661DBE3">
      <w:pPr>
        <w:pStyle w:val="15"/>
        <w:keepNext w:val="0"/>
        <w:keepLines w:val="0"/>
        <w:pageBreakBefore w:val="0"/>
        <w:widowControl w:val="0"/>
        <w:spacing w:before="120" w:beforeAutospacing="0" w:after="120" w:afterAutospacing="0" w:line="360" w:lineRule="auto"/>
        <w:ind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8.1</w:t>
      </w:r>
      <w:r>
        <w:rPr>
          <w:rFonts w:hint="eastAsia" w:ascii="宋体" w:hAnsi="宋体" w:eastAsia="宋体" w:cs="宋体"/>
          <w:color w:val="000000"/>
          <w:sz w:val="24"/>
          <w:szCs w:val="24"/>
          <w:highlight w:val="none"/>
          <w:lang w:val="en-US" w:eastAsia="zh-CN"/>
        </w:rPr>
        <w:t>合同一年一签，合同签订完成后，甲方支付当年合同金额 30%作为预付款</w:t>
      </w:r>
      <w:r>
        <w:rPr>
          <w:rFonts w:hint="eastAsia" w:ascii="宋体" w:hAnsi="宋体" w:eastAsia="宋体" w:cs="宋体"/>
          <w:color w:val="000000"/>
          <w:sz w:val="24"/>
          <w:szCs w:val="24"/>
          <w:highlight w:val="none"/>
          <w:lang w:val="en-US" w:eastAsia="zh-CN" w:bidi="ar-SA"/>
        </w:rPr>
        <w:t>，剩余款项分两次半年支付，每半年绩效考评达标后，分别支付当年合同款35%。</w:t>
      </w:r>
    </w:p>
    <w:p w14:paraId="5E5B1851">
      <w:pPr>
        <w:pStyle w:val="15"/>
        <w:keepNext w:val="0"/>
        <w:keepLines w:val="0"/>
        <w:pageBreakBefore w:val="0"/>
        <w:widowControl w:val="0"/>
        <w:spacing w:before="145" w:beforeAutospacing="0" w:after="145" w:afterAutospacing="0" w:line="360" w:lineRule="auto"/>
        <w:ind w:firstLine="482"/>
        <w:jc w:val="both"/>
        <w:rPr>
          <w:sz w:val="24"/>
          <w:szCs w:val="24"/>
          <w:highlight w:val="none"/>
        </w:rPr>
      </w:pPr>
      <w:r>
        <w:rPr>
          <w:rFonts w:hint="eastAsia" w:ascii="宋体" w:hAnsi="宋体" w:eastAsia="宋体" w:cs="宋体"/>
          <w:b/>
          <w:color w:val="000000"/>
          <w:sz w:val="24"/>
          <w:szCs w:val="24"/>
          <w:highlight w:val="none"/>
        </w:rPr>
        <w:t>九、税费</w:t>
      </w:r>
    </w:p>
    <w:p w14:paraId="252978B3">
      <w:pPr>
        <w:pStyle w:val="15"/>
        <w:keepNext w:val="0"/>
        <w:keepLines w:val="0"/>
        <w:pageBreakBefore w:val="0"/>
        <w:widowControl w:val="0"/>
        <w:spacing w:before="145" w:beforeAutospacing="0" w:after="145" w:afterAutospacing="0" w:line="360" w:lineRule="auto"/>
        <w:ind w:firstLine="480"/>
        <w:jc w:val="both"/>
        <w:rPr>
          <w:sz w:val="24"/>
          <w:szCs w:val="24"/>
          <w:highlight w:val="none"/>
        </w:rPr>
      </w:pPr>
      <w:r>
        <w:rPr>
          <w:rFonts w:hint="eastAsia" w:ascii="宋体" w:hAnsi="宋体" w:eastAsia="宋体" w:cs="宋体"/>
          <w:color w:val="000000"/>
          <w:sz w:val="24"/>
          <w:szCs w:val="24"/>
          <w:highlight w:val="none"/>
        </w:rPr>
        <w:t>9.1本合同执行中相关的一切税费均由乙方负担。</w:t>
      </w:r>
    </w:p>
    <w:p w14:paraId="09144E0C">
      <w:pPr>
        <w:pStyle w:val="15"/>
        <w:keepNext w:val="0"/>
        <w:keepLines w:val="0"/>
        <w:pageBreakBefore w:val="0"/>
        <w:widowControl w:val="0"/>
        <w:spacing w:before="120" w:beforeAutospacing="0" w:after="120" w:afterAutospacing="0" w:line="360" w:lineRule="auto"/>
        <w:ind w:firstLine="482"/>
        <w:jc w:val="both"/>
        <w:rPr>
          <w:sz w:val="24"/>
          <w:szCs w:val="24"/>
          <w:highlight w:val="none"/>
        </w:rPr>
      </w:pPr>
      <w:r>
        <w:rPr>
          <w:rFonts w:hint="eastAsia" w:ascii="宋体" w:hAnsi="宋体" w:eastAsia="宋体" w:cs="宋体"/>
          <w:b/>
          <w:color w:val="000000"/>
          <w:sz w:val="24"/>
          <w:szCs w:val="24"/>
          <w:highlight w:val="none"/>
        </w:rPr>
        <w:t>十、项目验收</w:t>
      </w:r>
    </w:p>
    <w:p w14:paraId="7B62DC1A">
      <w:pPr>
        <w:keepNext w:val="0"/>
        <w:keepLines w:val="0"/>
        <w:pageBreakBefore w:val="0"/>
        <w:widowControl w:val="0"/>
        <w:spacing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10.1甲方依法组织履约验收工作。</w:t>
      </w:r>
    </w:p>
    <w:p w14:paraId="6ABF1323">
      <w:pPr>
        <w:keepNext w:val="0"/>
        <w:keepLines w:val="0"/>
        <w:pageBreakBefore w:val="0"/>
        <w:widowControl w:val="0"/>
        <w:spacing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F732D02">
      <w:pPr>
        <w:keepNext w:val="0"/>
        <w:keepLines w:val="0"/>
        <w:pageBreakBefore w:val="0"/>
        <w:widowControl w:val="0"/>
        <w:spacing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10.3对于实际使用人和甲方分离的项目，甲方邀请实际使用人参与验收。</w:t>
      </w:r>
    </w:p>
    <w:p w14:paraId="07E229C7">
      <w:pPr>
        <w:keepNext w:val="0"/>
        <w:keepLines w:val="0"/>
        <w:pageBreakBefore w:val="0"/>
        <w:widowControl w:val="0"/>
        <w:spacing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10.4如有必要，甲方邀请参加本项目的其他供应商或第三方专业机构及专家参与验收，相关意见将作为验收书的参考资料。</w:t>
      </w:r>
    </w:p>
    <w:p w14:paraId="129D3CC5">
      <w:pPr>
        <w:keepNext w:val="0"/>
        <w:keepLines w:val="0"/>
        <w:pageBreakBefore w:val="0"/>
        <w:widowControl w:val="0"/>
        <w:spacing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0C683793">
      <w:pPr>
        <w:keepNext w:val="0"/>
        <w:keepLines w:val="0"/>
        <w:pageBreakBefore w:val="0"/>
        <w:widowControl w:val="0"/>
        <w:spacing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093155FF">
      <w:pPr>
        <w:pStyle w:val="10"/>
        <w:spacing w:before="120" w:after="120" w:line="440" w:lineRule="exact"/>
        <w:ind w:left="426" w:firstLine="12"/>
        <w:rPr>
          <w:rFonts w:hint="eastAsia" w:ascii="宋体" w:hAnsi="宋体" w:eastAsia="宋体" w:cs="宋体"/>
          <w:b/>
          <w:sz w:val="24"/>
          <w:szCs w:val="24"/>
          <w:highlight w:val="none"/>
        </w:rPr>
      </w:pPr>
      <w:r>
        <w:rPr>
          <w:rFonts w:hint="eastAsia" w:ascii="宋体" w:hAnsi="宋体" w:eastAsia="宋体" w:cs="宋体"/>
          <w:b/>
          <w:color w:val="000000"/>
          <w:sz w:val="24"/>
          <w:szCs w:val="24"/>
          <w:highlight w:val="none"/>
          <w:lang w:val="en-US" w:eastAsia="zh-CN"/>
        </w:rPr>
        <w:t>十一、</w:t>
      </w:r>
      <w:r>
        <w:rPr>
          <w:rFonts w:hint="eastAsia" w:ascii="宋体" w:hAnsi="宋体" w:eastAsia="宋体" w:cs="宋体"/>
          <w:b/>
          <w:sz w:val="24"/>
          <w:szCs w:val="24"/>
        </w:rPr>
        <w:t>双方的权利和义务</w:t>
      </w:r>
    </w:p>
    <w:p w14:paraId="16BFFB8D">
      <w:pPr>
        <w:pStyle w:val="10"/>
        <w:spacing w:before="120" w:after="120" w:line="440" w:lineRule="exact"/>
        <w:ind w:firstLine="482"/>
        <w:rPr>
          <w:rFonts w:hint="eastAsia" w:hAnsi="宋体" w:cs="宋体"/>
          <w:b/>
          <w:bCs w:val="0"/>
          <w:sz w:val="24"/>
          <w:szCs w:val="24"/>
          <w:lang w:val="en-US" w:eastAsia="zh-CN"/>
        </w:rPr>
      </w:pPr>
      <w:r>
        <w:rPr>
          <w:rFonts w:hint="eastAsia" w:hAnsi="宋体" w:cs="宋体"/>
          <w:b/>
          <w:bCs w:val="0"/>
          <w:sz w:val="24"/>
          <w:szCs w:val="24"/>
          <w:lang w:val="en-US" w:eastAsia="zh-CN"/>
        </w:rPr>
        <w:t>11.1甲方的权利和义务</w:t>
      </w:r>
    </w:p>
    <w:p w14:paraId="209D8D9A">
      <w:pPr>
        <w:keepNext w:val="0"/>
        <w:keepLines w:val="0"/>
        <w:pageBreakBefore w:val="0"/>
        <w:widowControl w:val="0"/>
        <w:spacing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（1）指导和监督乙方规范开展智慧养老服务平台升级维护工作，有效履行本协议的各项条款。</w:t>
      </w:r>
    </w:p>
    <w:p w14:paraId="7F095D1F">
      <w:pPr>
        <w:keepNext w:val="0"/>
        <w:keepLines w:val="0"/>
        <w:pageBreakBefore w:val="0"/>
        <w:widowControl w:val="0"/>
        <w:spacing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（2）组织相关人员或第三方机构对乙方工作进行督查考评。</w:t>
      </w:r>
    </w:p>
    <w:p w14:paraId="5FEDE9A5">
      <w:pPr>
        <w:keepNext w:val="0"/>
        <w:keepLines w:val="0"/>
        <w:pageBreakBefore w:val="0"/>
        <w:widowControl w:val="0"/>
        <w:spacing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（3）按招标文件规定结算乙方服务费用。</w:t>
      </w:r>
    </w:p>
    <w:p w14:paraId="3C597987">
      <w:pPr>
        <w:pStyle w:val="10"/>
        <w:spacing w:before="120" w:after="120" w:line="440" w:lineRule="exact"/>
        <w:ind w:firstLine="482"/>
        <w:rPr>
          <w:rFonts w:hint="eastAsia" w:ascii="宋体" w:hAnsi="宋体" w:cs="宋体"/>
          <w:b/>
          <w:bCs w:val="0"/>
          <w:sz w:val="24"/>
          <w:szCs w:val="24"/>
        </w:rPr>
      </w:pPr>
      <w:r>
        <w:rPr>
          <w:rFonts w:hint="eastAsia" w:hAnsi="宋体" w:cs="宋体"/>
          <w:b/>
          <w:bCs w:val="0"/>
          <w:sz w:val="24"/>
          <w:szCs w:val="24"/>
          <w:lang w:val="en-US" w:eastAsia="zh-CN"/>
        </w:rPr>
        <w:t>11</w:t>
      </w:r>
      <w:r>
        <w:rPr>
          <w:rFonts w:hint="eastAsia" w:ascii="宋体" w:hAnsi="宋体" w:cs="宋体"/>
          <w:b/>
          <w:bCs w:val="0"/>
          <w:sz w:val="24"/>
          <w:szCs w:val="24"/>
        </w:rPr>
        <w:t>.2乙方的权利和义务</w:t>
      </w:r>
    </w:p>
    <w:p w14:paraId="3D85C457">
      <w:pPr>
        <w:keepNext w:val="0"/>
        <w:keepLines w:val="0"/>
        <w:pageBreakBefore w:val="0"/>
        <w:widowControl w:val="0"/>
        <w:spacing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（1）乙方运营中须妥善保管甲方的设备，如有丢失或人为损坏，照价赔偿或修复。</w:t>
      </w:r>
    </w:p>
    <w:p w14:paraId="37F65C53">
      <w:pPr>
        <w:keepNext w:val="0"/>
        <w:keepLines w:val="0"/>
        <w:pageBreakBefore w:val="0"/>
        <w:widowControl w:val="0"/>
        <w:spacing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乙方承担运营服务项目开展中的各种风险、赔偿和安全责任。乙方在本项目实施及服务过程中，发生的一切安全责任（包含但不限于工作人员工作和上下班期间、设备安装、服务对象安全等），均由乙方自行承担并负责处理，甲方不承担任何责任。</w:t>
      </w:r>
    </w:p>
    <w:p w14:paraId="46A6917B">
      <w:pPr>
        <w:keepNext w:val="0"/>
        <w:keepLines w:val="0"/>
        <w:pageBreakBefore w:val="0"/>
        <w:widowControl w:val="0"/>
        <w:spacing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（3）乙方提供全年365天，每天24小时服务响应。乙方落实专业技术人员负责与甲方、线下服务商对接工作。</w:t>
      </w:r>
    </w:p>
    <w:p w14:paraId="37A4019D">
      <w:pPr>
        <w:keepNext w:val="0"/>
        <w:keepLines w:val="0"/>
        <w:pageBreakBefore w:val="0"/>
        <w:widowControl w:val="0"/>
        <w:spacing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安排至少1名工作人员负责平台硬件、网络、机房维护工作，负责相关网络、机房的安全管理工作。制定机房安全巡查制度、机房故障应急机制，以保障机房稳定、安全，在出现故障时及时、有效的进行处理解决。</w:t>
      </w:r>
    </w:p>
    <w:p w14:paraId="7739E64F">
      <w:pPr>
        <w:keepNext w:val="0"/>
        <w:keepLines w:val="0"/>
        <w:pageBreakBefore w:val="0"/>
        <w:widowControl w:val="0"/>
        <w:spacing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(5)中标人未能按招投标文件和合同约定提供服务，给招标人造成损失的，中标人予以赔偿。</w:t>
      </w:r>
    </w:p>
    <w:p w14:paraId="0EB1B379">
      <w:pPr>
        <w:keepNext w:val="0"/>
        <w:keepLines w:val="0"/>
        <w:pageBreakBefore w:val="0"/>
        <w:widowControl w:val="0"/>
        <w:spacing w:line="360" w:lineRule="auto"/>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(6)严格执行消控中心24小时双人值守制度，值守人员须持中级消防设施操作员证、具备远程设备操作能力，远程值守模式需实时回传值守画面至指导中心大屏。</w:t>
      </w:r>
    </w:p>
    <w:p w14:paraId="5DD914FF">
      <w:pPr>
        <w:keepNext w:val="0"/>
        <w:keepLines w:val="0"/>
        <w:pageBreakBefore w:val="0"/>
        <w:widowControl w:val="0"/>
        <w:spacing w:line="360" w:lineRule="auto"/>
        <w:ind w:firstLine="480"/>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(7)设立专职安全员，常态化开展亭湖区域内养老服务机构安全隐患排查，每月出具安全检查报告并落实隐患闭环整改，未按要求履职的，每次扣减500-1000元。</w:t>
      </w:r>
    </w:p>
    <w:p w14:paraId="09963188">
      <w:pPr>
        <w:pStyle w:val="15"/>
        <w:keepNext w:val="0"/>
        <w:keepLines w:val="0"/>
        <w:pageBreakBefore w:val="0"/>
        <w:widowControl w:val="0"/>
        <w:spacing w:before="120" w:beforeAutospacing="0" w:after="120" w:afterAutospacing="0" w:line="360" w:lineRule="auto"/>
        <w:ind w:firstLine="482"/>
        <w:jc w:val="both"/>
        <w:rPr>
          <w:sz w:val="24"/>
          <w:szCs w:val="24"/>
          <w:highlight w:val="none"/>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二</w:t>
      </w:r>
      <w:r>
        <w:rPr>
          <w:rFonts w:hint="eastAsia" w:ascii="宋体" w:hAnsi="宋体" w:eastAsia="宋体" w:cs="宋体"/>
          <w:b/>
          <w:color w:val="000000"/>
          <w:sz w:val="24"/>
          <w:szCs w:val="24"/>
          <w:highlight w:val="none"/>
        </w:rPr>
        <w:t>、违约责任</w:t>
      </w:r>
    </w:p>
    <w:p w14:paraId="4969D6A8">
      <w:pPr>
        <w:pStyle w:val="15"/>
        <w:keepNext w:val="0"/>
        <w:keepLines w:val="0"/>
        <w:pageBreakBefore w:val="0"/>
        <w:widowControl w:val="0"/>
        <w:spacing w:before="120" w:beforeAutospacing="0" w:after="120" w:afterAutospacing="0" w:line="360" w:lineRule="auto"/>
        <w:ind w:firstLine="480"/>
        <w:jc w:val="both"/>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.1甲方无正当理由拒绝接受乙方提供服务的，甲方向乙方偿付拒绝接受服务合同价款总值</w:t>
      </w:r>
      <w:r>
        <w:rPr>
          <w:rFonts w:hint="eastAsia" w:ascii="宋体" w:hAnsi="宋体" w:eastAsia="宋体" w:cs="宋体"/>
          <w:color w:val="000000"/>
          <w:sz w:val="24"/>
          <w:szCs w:val="24"/>
          <w:highlight w:val="none"/>
          <w:u w:val="single"/>
          <w:lang w:val="en-US" w:eastAsia="zh-CN"/>
        </w:rPr>
        <w:t>2%</w:t>
      </w:r>
      <w:r>
        <w:rPr>
          <w:rFonts w:hint="eastAsia" w:ascii="宋体" w:hAnsi="宋体" w:eastAsia="宋体" w:cs="宋体"/>
          <w:color w:val="000000"/>
          <w:sz w:val="24"/>
          <w:szCs w:val="24"/>
          <w:highlight w:val="none"/>
        </w:rPr>
        <w:t>的违约金。</w:t>
      </w:r>
    </w:p>
    <w:p w14:paraId="66717695">
      <w:pPr>
        <w:pStyle w:val="15"/>
        <w:keepNext w:val="0"/>
        <w:keepLines w:val="0"/>
        <w:pageBreakBefore w:val="0"/>
        <w:widowControl w:val="0"/>
        <w:spacing w:before="120" w:beforeAutospacing="0" w:after="120" w:afterAutospacing="0" w:line="360" w:lineRule="auto"/>
        <w:ind w:firstLine="480"/>
        <w:jc w:val="both"/>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.2甲方无故逾期验收和办理合同款项支付手续的,甲方应按逾期付款总额</w:t>
      </w:r>
      <w:r>
        <w:rPr>
          <w:rFonts w:hint="eastAsia" w:ascii="宋体" w:hAnsi="宋体" w:eastAsia="宋体" w:cs="宋体"/>
          <w:color w:val="000000"/>
          <w:sz w:val="24"/>
          <w:szCs w:val="24"/>
          <w:highlight w:val="none"/>
          <w:u w:val="single"/>
          <w:lang w:val="en-US" w:eastAsia="zh-CN"/>
        </w:rPr>
        <w:t>0.5%</w:t>
      </w:r>
      <w:r>
        <w:rPr>
          <w:rFonts w:hint="eastAsia" w:ascii="宋体" w:hAnsi="宋体" w:eastAsia="宋体" w:cs="宋体"/>
          <w:color w:val="000000"/>
          <w:sz w:val="24"/>
          <w:szCs w:val="24"/>
          <w:highlight w:val="none"/>
        </w:rPr>
        <w:t>每日向乙方支付违约金。</w:t>
      </w:r>
    </w:p>
    <w:p w14:paraId="25222A6D">
      <w:pPr>
        <w:pStyle w:val="15"/>
        <w:keepNext w:val="0"/>
        <w:keepLines w:val="0"/>
        <w:pageBreakBefore w:val="0"/>
        <w:widowControl w:val="0"/>
        <w:spacing w:before="120" w:beforeAutospacing="0" w:after="120" w:afterAutospacing="0" w:line="360" w:lineRule="auto"/>
        <w:ind w:firstLine="480"/>
        <w:jc w:val="both"/>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single"/>
          <w:lang w:val="en-US" w:eastAsia="zh-CN"/>
        </w:rPr>
        <w:t>2%</w:t>
      </w:r>
      <w:r>
        <w:rPr>
          <w:rFonts w:hint="eastAsia" w:ascii="宋体" w:hAnsi="宋体" w:eastAsia="宋体" w:cs="宋体"/>
          <w:color w:val="000000"/>
          <w:sz w:val="24"/>
          <w:szCs w:val="24"/>
          <w:highlight w:val="none"/>
        </w:rPr>
        <w:t xml:space="preserve">的违约金，如造成甲方损失超过违约金的，超出部分由乙方继续承担赔偿责任。 </w:t>
      </w:r>
    </w:p>
    <w:p w14:paraId="5A64108B">
      <w:pPr>
        <w:pStyle w:val="15"/>
        <w:keepNext w:val="0"/>
        <w:keepLines w:val="0"/>
        <w:pageBreakBefore w:val="0"/>
        <w:widowControl w:val="0"/>
        <w:spacing w:before="120" w:beforeAutospacing="0" w:after="120" w:afterAutospacing="0" w:line="360" w:lineRule="auto"/>
        <w:ind w:firstLine="480"/>
        <w:jc w:val="both"/>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.4乙方所提供服务的标准不符合合同规定及招标文件规定标准的，甲方有权拒绝接受服务，并可单方面解除合同。</w:t>
      </w:r>
    </w:p>
    <w:p w14:paraId="45536FBA">
      <w:pPr>
        <w:pStyle w:val="15"/>
        <w:keepNext w:val="0"/>
        <w:keepLines w:val="0"/>
        <w:pageBreakBefore w:val="0"/>
        <w:widowControl w:val="0"/>
        <w:spacing w:before="120" w:beforeAutospacing="0" w:after="120" w:afterAutospacing="0" w:line="360" w:lineRule="auto"/>
        <w:ind w:firstLine="482"/>
        <w:jc w:val="both"/>
        <w:rPr>
          <w:sz w:val="24"/>
          <w:szCs w:val="24"/>
          <w:highlight w:val="none"/>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三</w:t>
      </w:r>
      <w:r>
        <w:rPr>
          <w:rFonts w:hint="eastAsia" w:ascii="宋体" w:hAnsi="宋体" w:eastAsia="宋体" w:cs="宋体"/>
          <w:b/>
          <w:color w:val="000000"/>
          <w:sz w:val="24"/>
          <w:szCs w:val="24"/>
          <w:highlight w:val="none"/>
        </w:rPr>
        <w:t>、不可抗力事件处理</w:t>
      </w:r>
    </w:p>
    <w:p w14:paraId="6B55A0DF">
      <w:pPr>
        <w:pStyle w:val="15"/>
        <w:keepNext w:val="0"/>
        <w:keepLines w:val="0"/>
        <w:pageBreakBefore w:val="0"/>
        <w:widowControl w:val="0"/>
        <w:spacing w:before="120" w:beforeAutospacing="0" w:after="120" w:afterAutospacing="0" w:line="360" w:lineRule="auto"/>
        <w:ind w:firstLine="480"/>
        <w:jc w:val="both"/>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.1在合同有效期内，任何一方因不可抗力事件导致不能履行合同，则合同履行期可延长，其延长期与不可抗力影响期相同。</w:t>
      </w:r>
    </w:p>
    <w:p w14:paraId="2E20DFDE">
      <w:pPr>
        <w:pStyle w:val="15"/>
        <w:keepNext w:val="0"/>
        <w:keepLines w:val="0"/>
        <w:pageBreakBefore w:val="0"/>
        <w:widowControl w:val="0"/>
        <w:spacing w:before="120" w:beforeAutospacing="0" w:after="120" w:afterAutospacing="0" w:line="360" w:lineRule="auto"/>
        <w:ind w:firstLine="480"/>
        <w:jc w:val="both"/>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.2不可抗力事件发生后，应立即通知对方，并寄送有关权威机构出具的证明。</w:t>
      </w:r>
    </w:p>
    <w:p w14:paraId="09A7FC25">
      <w:pPr>
        <w:pStyle w:val="15"/>
        <w:keepNext w:val="0"/>
        <w:keepLines w:val="0"/>
        <w:pageBreakBefore w:val="0"/>
        <w:widowControl w:val="0"/>
        <w:spacing w:before="120" w:beforeAutospacing="0" w:after="120" w:afterAutospacing="0" w:line="360" w:lineRule="auto"/>
        <w:ind w:firstLine="480"/>
        <w:jc w:val="both"/>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.3不可抗力事件延续120天以上，双方应通过友好协商，确定是否继续履行合同。</w:t>
      </w:r>
    </w:p>
    <w:p w14:paraId="3D5795D7">
      <w:pPr>
        <w:pStyle w:val="15"/>
        <w:keepNext w:val="0"/>
        <w:keepLines w:val="0"/>
        <w:pageBreakBefore w:val="0"/>
        <w:widowControl w:val="0"/>
        <w:spacing w:before="120" w:beforeAutospacing="0" w:after="120" w:afterAutospacing="0" w:line="360" w:lineRule="auto"/>
        <w:ind w:firstLine="482"/>
        <w:jc w:val="both"/>
        <w:rPr>
          <w:sz w:val="24"/>
          <w:szCs w:val="24"/>
          <w:highlight w:val="none"/>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四</w:t>
      </w:r>
      <w:r>
        <w:rPr>
          <w:rFonts w:hint="eastAsia" w:ascii="宋体" w:hAnsi="宋体" w:eastAsia="宋体" w:cs="宋体"/>
          <w:b/>
          <w:color w:val="000000"/>
          <w:sz w:val="24"/>
          <w:szCs w:val="24"/>
          <w:highlight w:val="none"/>
        </w:rPr>
        <w:t>、解决争议的方法</w:t>
      </w:r>
    </w:p>
    <w:p w14:paraId="6A4FB764">
      <w:pPr>
        <w:pStyle w:val="15"/>
        <w:keepNext w:val="0"/>
        <w:keepLines w:val="0"/>
        <w:pageBreakBefore w:val="0"/>
        <w:widowControl w:val="0"/>
        <w:spacing w:before="120" w:beforeAutospacing="0" w:after="120" w:afterAutospacing="0" w:line="360" w:lineRule="auto"/>
        <w:ind w:firstLine="480"/>
        <w:jc w:val="both"/>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.1双方在签订、履行合同中所发生的一切争议，应通过友好协商解决。如协商不成，由甲方住所地人民法院管辖。</w:t>
      </w:r>
    </w:p>
    <w:p w14:paraId="4A0C8C89">
      <w:pPr>
        <w:pStyle w:val="15"/>
        <w:keepNext w:val="0"/>
        <w:keepLines w:val="0"/>
        <w:pageBreakBefore w:val="0"/>
        <w:widowControl w:val="0"/>
        <w:spacing w:before="120" w:beforeAutospacing="0" w:after="120" w:afterAutospacing="0" w:line="360" w:lineRule="auto"/>
        <w:ind w:firstLine="482"/>
        <w:jc w:val="both"/>
        <w:rPr>
          <w:sz w:val="24"/>
          <w:szCs w:val="24"/>
          <w:highlight w:val="none"/>
        </w:rPr>
      </w:pPr>
      <w:r>
        <w:rPr>
          <w:rFonts w:hint="eastAsia" w:ascii="宋体" w:hAnsi="宋体" w:eastAsia="宋体" w:cs="宋体"/>
          <w:b/>
          <w:color w:val="000000"/>
          <w:sz w:val="24"/>
          <w:szCs w:val="24"/>
          <w:highlight w:val="none"/>
        </w:rPr>
        <w:t>十</w:t>
      </w:r>
      <w:r>
        <w:rPr>
          <w:rFonts w:hint="eastAsia" w:ascii="宋体" w:hAnsi="宋体" w:eastAsia="宋体" w:cs="宋体"/>
          <w:b/>
          <w:color w:val="000000"/>
          <w:sz w:val="24"/>
          <w:szCs w:val="24"/>
          <w:highlight w:val="none"/>
          <w:lang w:val="en-US" w:eastAsia="zh-CN"/>
        </w:rPr>
        <w:t>五</w:t>
      </w:r>
      <w:r>
        <w:rPr>
          <w:rFonts w:hint="eastAsia" w:ascii="宋体" w:hAnsi="宋体" w:eastAsia="宋体" w:cs="宋体"/>
          <w:b/>
          <w:color w:val="000000"/>
          <w:sz w:val="24"/>
          <w:szCs w:val="24"/>
          <w:highlight w:val="none"/>
        </w:rPr>
        <w:t>、合同生效及其</w:t>
      </w:r>
      <w:r>
        <w:rPr>
          <w:rFonts w:hint="eastAsia" w:ascii="宋体" w:hAnsi="宋体" w:eastAsia="宋体" w:cs="宋体"/>
          <w:b/>
          <w:color w:val="000000"/>
          <w:sz w:val="24"/>
          <w:szCs w:val="24"/>
          <w:highlight w:val="none"/>
          <w:lang w:eastAsia="zh-CN"/>
        </w:rPr>
        <w:t>他</w:t>
      </w:r>
    </w:p>
    <w:p w14:paraId="29917C35">
      <w:pPr>
        <w:pStyle w:val="15"/>
        <w:keepNext w:val="0"/>
        <w:keepLines w:val="0"/>
        <w:pageBreakBefore w:val="0"/>
        <w:widowControl w:val="0"/>
        <w:spacing w:before="120" w:beforeAutospacing="0" w:after="120" w:afterAutospacing="0" w:line="360" w:lineRule="auto"/>
        <w:ind w:firstLine="480"/>
        <w:jc w:val="both"/>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.1合同经双方法定代表人或授权委托代表人签字并加盖单位公章后生效。</w:t>
      </w:r>
    </w:p>
    <w:p w14:paraId="2C362FFF">
      <w:pPr>
        <w:pStyle w:val="15"/>
        <w:keepNext w:val="0"/>
        <w:keepLines w:val="0"/>
        <w:pageBreakBefore w:val="0"/>
        <w:widowControl w:val="0"/>
        <w:spacing w:before="120" w:beforeAutospacing="0" w:after="120" w:afterAutospacing="0" w:line="360" w:lineRule="auto"/>
        <w:ind w:firstLine="480"/>
        <w:jc w:val="both"/>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.2本合同未尽事宜，遵</w:t>
      </w:r>
      <w:r>
        <w:rPr>
          <w:rFonts w:hint="eastAsia" w:ascii="宋体" w:hAnsi="宋体" w:eastAsia="宋体" w:cs="宋体"/>
          <w:color w:val="auto"/>
          <w:sz w:val="24"/>
          <w:szCs w:val="24"/>
          <w:highlight w:val="none"/>
        </w:rPr>
        <w:t>照</w:t>
      </w:r>
      <w:r>
        <w:rPr>
          <w:rFonts w:hint="eastAsia" w:ascii="宋体" w:hAnsi="宋体" w:eastAsia="宋体" w:cs="宋体"/>
          <w:color w:val="auto"/>
          <w:highlight w:val="none"/>
          <w:shd w:val="clear" w:color="auto" w:fill="auto"/>
        </w:rPr>
        <w:t>《</w:t>
      </w:r>
      <w:r>
        <w:rPr>
          <w:rFonts w:hint="eastAsia" w:ascii="宋体" w:hAnsi="宋体" w:eastAsia="宋体" w:cs="宋体"/>
          <w:color w:val="auto"/>
          <w:highlight w:val="none"/>
          <w:shd w:val="clear" w:color="auto" w:fill="auto"/>
          <w:lang w:val="en-US" w:eastAsia="zh-CN"/>
        </w:rPr>
        <w:t>中华人民共和国</w:t>
      </w:r>
      <w:r>
        <w:rPr>
          <w:rFonts w:hint="eastAsia" w:ascii="宋体" w:hAnsi="宋体" w:eastAsia="宋体" w:cs="宋体"/>
          <w:color w:val="auto"/>
          <w:sz w:val="24"/>
          <w:szCs w:val="24"/>
          <w:highlight w:val="none"/>
        </w:rPr>
        <w:t>民法典》、</w:t>
      </w:r>
      <w:r>
        <w:rPr>
          <w:rFonts w:hint="eastAsia" w:ascii="宋体" w:hAnsi="宋体" w:eastAsia="宋体" w:cs="宋体"/>
          <w:color w:val="auto"/>
          <w:highlight w:val="none"/>
          <w:shd w:val="clear" w:color="auto" w:fill="auto"/>
        </w:rPr>
        <w:t>《</w:t>
      </w:r>
      <w:r>
        <w:rPr>
          <w:rFonts w:hint="eastAsia" w:ascii="宋体" w:hAnsi="宋体" w:eastAsia="宋体" w:cs="宋体"/>
          <w:color w:val="auto"/>
          <w:highlight w:val="none"/>
          <w:shd w:val="clear" w:color="auto" w:fill="auto"/>
          <w:lang w:val="en-US" w:eastAsia="zh-CN"/>
        </w:rPr>
        <w:t>中华人民共和国</w:t>
      </w:r>
      <w:r>
        <w:rPr>
          <w:rFonts w:hint="eastAsia" w:ascii="宋体" w:hAnsi="宋体" w:eastAsia="宋体" w:cs="宋体"/>
          <w:color w:val="auto"/>
          <w:sz w:val="24"/>
          <w:szCs w:val="24"/>
          <w:highlight w:val="none"/>
        </w:rPr>
        <w:t>政</w:t>
      </w:r>
      <w:r>
        <w:rPr>
          <w:rFonts w:hint="eastAsia" w:ascii="宋体" w:hAnsi="宋体" w:eastAsia="宋体" w:cs="宋体"/>
          <w:color w:val="000000"/>
          <w:sz w:val="24"/>
          <w:szCs w:val="24"/>
          <w:highlight w:val="none"/>
        </w:rPr>
        <w:t>府采购法》有关条文执行。</w:t>
      </w:r>
    </w:p>
    <w:p w14:paraId="10DF0D79">
      <w:pPr>
        <w:pStyle w:val="15"/>
        <w:keepNext w:val="0"/>
        <w:keepLines w:val="0"/>
        <w:pageBreakBefore w:val="0"/>
        <w:widowControl w:val="0"/>
        <w:spacing w:before="120" w:beforeAutospacing="0" w:after="120" w:afterAutospacing="0" w:line="360" w:lineRule="auto"/>
        <w:ind w:left="482" w:hanging="64"/>
        <w:jc w:val="both"/>
        <w:rPr>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.3 本合同正本一式</w:t>
      </w:r>
      <w:r>
        <w:rPr>
          <w:rFonts w:hint="eastAsia" w:ascii="宋体" w:hAnsi="宋体" w:eastAsia="宋体" w:cs="宋体"/>
          <w:color w:val="000000"/>
          <w:sz w:val="24"/>
          <w:szCs w:val="24"/>
          <w:highlight w:val="none"/>
          <w:lang w:val="en-US" w:eastAsia="zh-CN"/>
        </w:rPr>
        <w:t>肆</w:t>
      </w:r>
      <w:r>
        <w:rPr>
          <w:rFonts w:hint="eastAsia" w:ascii="宋体" w:hAnsi="宋体" w:eastAsia="宋体" w:cs="宋体"/>
          <w:color w:val="000000"/>
          <w:sz w:val="24"/>
          <w:szCs w:val="24"/>
          <w:highlight w:val="none"/>
        </w:rPr>
        <w:t>份，具有同等法律效力，甲方、乙方各执</w:t>
      </w:r>
      <w:r>
        <w:rPr>
          <w:rFonts w:hint="eastAsia" w:ascii="宋体" w:hAnsi="宋体" w:eastAsia="宋体" w:cs="宋体"/>
          <w:color w:val="000000"/>
          <w:sz w:val="24"/>
          <w:szCs w:val="24"/>
          <w:highlight w:val="none"/>
          <w:lang w:val="en-US" w:eastAsia="zh-CN"/>
        </w:rPr>
        <w:t>贰</w:t>
      </w:r>
      <w:r>
        <w:rPr>
          <w:rFonts w:hint="eastAsia" w:ascii="宋体" w:hAnsi="宋体" w:eastAsia="宋体" w:cs="宋体"/>
          <w:color w:val="000000"/>
          <w:sz w:val="24"/>
          <w:szCs w:val="24"/>
          <w:highlight w:val="none"/>
        </w:rPr>
        <w:t>份。</w:t>
      </w:r>
    </w:p>
    <w:p w14:paraId="0F695840">
      <w:pPr>
        <w:pStyle w:val="15"/>
        <w:keepNext w:val="0"/>
        <w:keepLines w:val="0"/>
        <w:pageBreakBefore w:val="0"/>
        <w:widowControl w:val="0"/>
        <w:spacing w:before="120" w:beforeAutospacing="0" w:after="120" w:afterAutospacing="0" w:line="360" w:lineRule="auto"/>
        <w:ind w:left="480" w:hanging="480"/>
        <w:jc w:val="both"/>
        <w:rPr>
          <w:sz w:val="24"/>
          <w:szCs w:val="24"/>
          <w:highlight w:val="none"/>
        </w:rPr>
      </w:pPr>
      <w:r>
        <w:rPr>
          <w:rFonts w:hint="eastAsia" w:ascii="宋体" w:hAnsi="宋体" w:eastAsia="宋体" w:cs="宋体"/>
          <w:color w:val="000000"/>
          <w:sz w:val="24"/>
          <w:szCs w:val="24"/>
          <w:highlight w:val="none"/>
        </w:rPr>
        <w:t xml:space="preserve">  甲方：                乙方： </w:t>
      </w:r>
    </w:p>
    <w:p w14:paraId="39D39CBC">
      <w:pPr>
        <w:pStyle w:val="15"/>
        <w:keepNext w:val="0"/>
        <w:keepLines w:val="0"/>
        <w:pageBreakBefore w:val="0"/>
        <w:widowControl w:val="0"/>
        <w:spacing w:before="120" w:beforeAutospacing="0" w:after="120" w:afterAutospacing="0" w:line="360" w:lineRule="auto"/>
        <w:jc w:val="both"/>
        <w:rPr>
          <w:sz w:val="24"/>
          <w:szCs w:val="24"/>
          <w:highlight w:val="none"/>
        </w:rPr>
      </w:pPr>
      <w:r>
        <w:rPr>
          <w:rFonts w:hint="eastAsia" w:ascii="宋体" w:hAnsi="宋体" w:eastAsia="宋体" w:cs="宋体"/>
          <w:color w:val="000000"/>
          <w:sz w:val="24"/>
          <w:szCs w:val="24"/>
          <w:highlight w:val="none"/>
        </w:rPr>
        <w:t xml:space="preserve">  地址：                地址： </w:t>
      </w:r>
    </w:p>
    <w:p w14:paraId="3031EAA7">
      <w:pPr>
        <w:pStyle w:val="15"/>
        <w:keepNext w:val="0"/>
        <w:keepLines w:val="0"/>
        <w:pageBreakBefore w:val="0"/>
        <w:widowControl w:val="0"/>
        <w:spacing w:before="120" w:beforeAutospacing="0" w:after="120" w:afterAutospacing="0" w:line="360" w:lineRule="auto"/>
        <w:jc w:val="both"/>
        <w:rPr>
          <w:sz w:val="24"/>
          <w:szCs w:val="24"/>
          <w:highlight w:val="none"/>
        </w:rPr>
      </w:pPr>
      <w:r>
        <w:rPr>
          <w:rFonts w:hint="eastAsia" w:ascii="宋体" w:hAnsi="宋体" w:eastAsia="宋体" w:cs="宋体"/>
          <w:color w:val="000000"/>
          <w:sz w:val="24"/>
          <w:szCs w:val="24"/>
          <w:highlight w:val="none"/>
        </w:rPr>
        <w:t>  法定代表人或授权代表：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法定代表人或授权代表：</w:t>
      </w:r>
    </w:p>
    <w:p w14:paraId="117344CC">
      <w:pPr>
        <w:pStyle w:val="15"/>
        <w:keepNext w:val="0"/>
        <w:keepLines w:val="0"/>
        <w:pageBreakBefore w:val="0"/>
        <w:widowControl w:val="0"/>
        <w:spacing w:before="120" w:beforeAutospacing="0" w:after="120" w:afterAutospacing="0" w:line="360" w:lineRule="auto"/>
        <w:ind w:firstLine="513"/>
        <w:jc w:val="both"/>
        <w:rPr>
          <w:sz w:val="24"/>
          <w:szCs w:val="24"/>
          <w:highlight w:val="none"/>
        </w:rPr>
      </w:pPr>
      <w:r>
        <w:rPr>
          <w:rFonts w:hint="eastAsia" w:ascii="宋体" w:hAnsi="宋体" w:eastAsia="宋体" w:cs="宋体"/>
          <w:color w:val="000000"/>
          <w:sz w:val="24"/>
          <w:szCs w:val="24"/>
          <w:highlight w:val="none"/>
        </w:rPr>
        <w:t>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联系电话：          </w:t>
      </w:r>
    </w:p>
    <w:p w14:paraId="1B096F68">
      <w:pPr>
        <w:pStyle w:val="15"/>
        <w:keepNext w:val="0"/>
        <w:keepLines w:val="0"/>
        <w:pageBreakBefore w:val="0"/>
        <w:widowControl w:val="0"/>
        <w:kinsoku/>
        <w:wordWrap/>
        <w:overflowPunct/>
        <w:topLinePunct w:val="0"/>
        <w:autoSpaceDE/>
        <w:autoSpaceDN/>
        <w:bidi w:val="0"/>
        <w:adjustRightInd/>
        <w:snapToGrid/>
        <w:spacing w:before="145" w:beforeAutospacing="0" w:after="145" w:afterAutospacing="0" w:line="500" w:lineRule="exact"/>
        <w:jc w:val="center"/>
        <w:textAlignment w:val="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签订日期：   年    月   日</w:t>
      </w:r>
      <w:r>
        <w:rPr>
          <w:rFonts w:hint="eastAsia" w:ascii="黑体" w:hAnsi="宋体" w:eastAsia="黑体" w:cs="黑体"/>
          <w:color w:val="000000"/>
          <w:sz w:val="24"/>
          <w:szCs w:val="24"/>
          <w:highlight w:val="none"/>
        </w:rPr>
        <w:br w:type="page" w:clear="all"/>
      </w:r>
    </w:p>
    <w:p w14:paraId="3E04FCAA">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highlight w:val="none"/>
        </w:rPr>
      </w:pPr>
      <w:bookmarkStart w:id="171" w:name="_Toc479757211"/>
      <w:bookmarkStart w:id="172" w:name="_Toc462564139"/>
      <w:bookmarkStart w:id="173" w:name="_Toc120614244"/>
      <w:bookmarkStart w:id="174" w:name="_Toc20823346"/>
      <w:bookmarkStart w:id="175" w:name="_Toc16938590"/>
      <w:bookmarkStart w:id="176" w:name="_Hlt16619350"/>
      <w:bookmarkStart w:id="177" w:name="_Hlt16619369"/>
      <w:r>
        <w:rPr>
          <w:rFonts w:hint="eastAsia" w:ascii="黑体" w:hAnsi="宋体" w:eastAsia="黑体" w:cs="黑体"/>
          <w:color w:val="000000"/>
          <w:sz w:val="44"/>
          <w:szCs w:val="44"/>
          <w:highlight w:val="none"/>
        </w:rPr>
        <w:t> 第</w:t>
      </w:r>
      <w:bookmarkEnd w:id="171"/>
      <w:r>
        <w:rPr>
          <w:rFonts w:hint="eastAsia" w:ascii="黑体" w:hAnsi="宋体" w:eastAsia="黑体" w:cs="黑体"/>
          <w:color w:val="000000"/>
          <w:sz w:val="44"/>
          <w:szCs w:val="44"/>
          <w:highlight w:val="none"/>
        </w:rPr>
        <w:t>四章 采购需求</w:t>
      </w:r>
      <w:bookmarkEnd w:id="172"/>
      <w:bookmarkEnd w:id="173"/>
      <w:bookmarkEnd w:id="174"/>
      <w:bookmarkEnd w:id="175"/>
      <w:bookmarkEnd w:id="176"/>
    </w:p>
    <w:p w14:paraId="2844E888">
      <w:pPr>
        <w:pStyle w:val="15"/>
        <w:pageBreakBefore w:val="0"/>
        <w:widowControl w:val="0"/>
        <w:spacing w:beforeAutospacing="0" w:afterAutospacing="0" w:line="360" w:lineRule="auto"/>
        <w:ind w:firstLine="480"/>
        <w:jc w:val="both"/>
        <w:rPr>
          <w:rFonts w:hint="eastAsia" w:ascii="宋体" w:hAnsi="宋体" w:eastAsia="宋体" w:cs="宋体"/>
          <w:color w:val="000000"/>
          <w:sz w:val="24"/>
          <w:szCs w:val="24"/>
          <w:highlight w:val="none"/>
          <w:lang w:val="en-US" w:eastAsia="zh-CN"/>
        </w:rPr>
      </w:pPr>
      <w:bookmarkStart w:id="178" w:name="_Toc49090575"/>
      <w:bookmarkStart w:id="179" w:name="_Toc26554093"/>
      <w:bookmarkStart w:id="180" w:name="_Toc120614281"/>
      <w:r>
        <w:rPr>
          <w:rFonts w:hint="eastAsia" w:ascii="宋体" w:hAnsi="宋体" w:eastAsia="宋体" w:cs="宋体"/>
          <w:color w:val="000000"/>
          <w:sz w:val="24"/>
          <w:szCs w:val="24"/>
          <w:highlight w:val="none"/>
        </w:rPr>
        <w:t>项目属性:服务类项目。</w:t>
      </w:r>
      <w:bookmarkEnd w:id="178"/>
      <w:bookmarkEnd w:id="179"/>
    </w:p>
    <w:p w14:paraId="641139EC">
      <w:pPr>
        <w:pStyle w:val="3"/>
        <w:keepNext w:val="0"/>
        <w:spacing w:line="420" w:lineRule="auto"/>
        <w:ind w:firstLine="480"/>
        <w:jc w:val="both"/>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一、运营管理</w:t>
      </w:r>
    </w:p>
    <w:p w14:paraId="24AA2C53">
      <w:pPr>
        <w:pStyle w:val="3"/>
        <w:keepNext w:val="0"/>
        <w:spacing w:line="420" w:lineRule="auto"/>
        <w:ind w:firstLine="480"/>
        <w:jc w:val="both"/>
        <w:rPr>
          <w:rFonts w:hint="eastAsia" w:ascii="宋体" w:hAnsi="宋体" w:eastAsia="宋体" w:cs="宋体"/>
          <w:bCs/>
          <w:sz w:val="24"/>
          <w:szCs w:val="24"/>
          <w:highlight w:val="none"/>
          <w:lang w:val="en-US" w:eastAsia="zh-CN"/>
        </w:rPr>
      </w:pPr>
      <w:r>
        <w:rPr>
          <w:rFonts w:hint="eastAsia" w:ascii="宋体" w:hAnsi="宋体" w:eastAsia="宋体" w:cs="宋体"/>
          <w:color w:val="000000"/>
          <w:sz w:val="24"/>
          <w:szCs w:val="24"/>
          <w:highlight w:val="none"/>
          <w:lang w:val="en-US" w:eastAsia="zh-CN"/>
        </w:rPr>
        <w:t>亭湖区数智养老服务系统升级维护和养老机构安全支持项目，</w:t>
      </w:r>
      <w:r>
        <w:rPr>
          <w:rFonts w:ascii="Segoe UI Emoji" w:hAnsi="Segoe UI Emoji" w:eastAsia="Segoe UI Emoji" w:cs="Segoe UI Emoji"/>
          <w:i w:val="0"/>
          <w:iCs w:val="0"/>
          <w:caps w:val="0"/>
          <w:spacing w:val="0"/>
          <w:sz w:val="24"/>
          <w:szCs w:val="24"/>
        </w:rPr>
        <w:t>区养老服务指导中心应承担以下核心职能：</w:t>
      </w:r>
    </w:p>
    <w:p w14:paraId="25E140EC">
      <w:pPr>
        <w:pStyle w:val="3"/>
        <w:keepNext w:val="0"/>
        <w:numPr>
          <w:ilvl w:val="0"/>
          <w:numId w:val="2"/>
        </w:numPr>
        <w:spacing w:line="420" w:lineRule="auto"/>
        <w:ind w:firstLine="480"/>
        <w:jc w:val="both"/>
        <w:rPr>
          <w:rFonts w:hint="eastAsia" w:ascii="宋体" w:hAnsi="宋体" w:eastAsia="宋体" w:cs="宋体"/>
          <w:bCs/>
          <w:sz w:val="24"/>
          <w:szCs w:val="24"/>
          <w:highlight w:val="none"/>
          <w:lang w:val="en-US" w:eastAsia="zh-CN"/>
        </w:rPr>
      </w:pPr>
      <w:r>
        <w:rPr>
          <w:rFonts w:hint="eastAsia" w:ascii="宋体" w:hAnsi="宋体" w:eastAsia="宋体" w:cs="宋体"/>
          <w:b/>
          <w:bCs w:val="0"/>
          <w:sz w:val="24"/>
          <w:szCs w:val="24"/>
          <w:highlight w:val="none"/>
          <w:lang w:val="en-US" w:eastAsia="zh-CN"/>
        </w:rPr>
        <w:t>智慧监管平台运营与管理</w:t>
      </w:r>
    </w:p>
    <w:p w14:paraId="1C762149">
      <w:pPr>
        <w:pStyle w:val="3"/>
        <w:keepNext w:val="0"/>
        <w:numPr>
          <w:ilvl w:val="0"/>
          <w:numId w:val="0"/>
        </w:numPr>
        <w:spacing w:line="420" w:lineRule="auto"/>
        <w:ind w:firstLine="480" w:firstLineChars="200"/>
        <w:jc w:val="both"/>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负责监管平台的日常运维、数据采集、预警处置，统筹现有各类平台的数据整合对接；以及智慧平台的升级、维护，与现有“一键呼叫”等各类物联网设备对接；负责现有居家养老服务监管平台搬迁（包括控制大屏、话务等所有设备）；负责指导中心“一键呼叫”值守设置（包括值守相关设备）。</w:t>
      </w:r>
    </w:p>
    <w:p w14:paraId="431DFA66">
      <w:pPr>
        <w:pStyle w:val="3"/>
        <w:keepNext w:val="0"/>
        <w:spacing w:line="420" w:lineRule="auto"/>
        <w:ind w:firstLine="480"/>
        <w:jc w:val="both"/>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2、养老服务行业标准制定与执行</w:t>
      </w:r>
    </w:p>
    <w:p w14:paraId="4AB6BEF1">
      <w:pPr>
        <w:pStyle w:val="3"/>
        <w:keepNext w:val="0"/>
        <w:spacing w:line="420" w:lineRule="auto"/>
        <w:ind w:firstLine="480"/>
        <w:jc w:val="both"/>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负责牵头制定和推行养老服务地方标准，协助开展服务质量评估和等级评定。</w:t>
      </w:r>
    </w:p>
    <w:p w14:paraId="2101D944">
      <w:pPr>
        <w:pStyle w:val="3"/>
        <w:keepNext w:val="0"/>
        <w:spacing w:line="420" w:lineRule="auto"/>
        <w:ind w:firstLine="480"/>
        <w:jc w:val="both"/>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3养老机构与社区站点运营质量评估</w:t>
      </w:r>
    </w:p>
    <w:p w14:paraId="6ADE48E2">
      <w:pPr>
        <w:pStyle w:val="3"/>
        <w:keepNext w:val="0"/>
        <w:spacing w:line="420" w:lineRule="auto"/>
        <w:ind w:firstLine="480"/>
        <w:jc w:val="both"/>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协助对养老机构、社区养老服务站点的运营质效进行定期评估，形成季度评估报告和年度评估报告。</w:t>
      </w:r>
    </w:p>
    <w:p w14:paraId="23276079">
      <w:pPr>
        <w:pStyle w:val="3"/>
        <w:keepNext w:val="0"/>
        <w:spacing w:line="420" w:lineRule="auto"/>
        <w:ind w:firstLine="480"/>
        <w:jc w:val="both"/>
        <w:rPr>
          <w:rFonts w:hint="eastAsia" w:ascii="宋体" w:hAnsi="宋体" w:eastAsia="宋体" w:cs="宋体"/>
          <w:b/>
          <w:bCs w:val="0"/>
          <w:sz w:val="24"/>
          <w:szCs w:val="24"/>
          <w:highlight w:val="none"/>
          <w:lang w:val="en-US" w:eastAsia="zh-CN"/>
        </w:rPr>
      </w:pPr>
      <w:r>
        <w:rPr>
          <w:rFonts w:hint="eastAsia" w:ascii="宋体" w:hAnsi="宋体" w:eastAsia="宋体" w:cs="宋体"/>
          <w:bCs/>
          <w:sz w:val="24"/>
          <w:szCs w:val="24"/>
          <w:highlight w:val="none"/>
          <w:lang w:val="en-US" w:eastAsia="zh-CN"/>
        </w:rPr>
        <w:t>4、</w:t>
      </w:r>
      <w:r>
        <w:rPr>
          <w:rFonts w:hint="eastAsia" w:ascii="宋体" w:hAnsi="宋体" w:eastAsia="宋体" w:cs="宋体"/>
          <w:b/>
          <w:bCs w:val="0"/>
          <w:sz w:val="24"/>
          <w:szCs w:val="24"/>
          <w:highlight w:val="none"/>
          <w:lang w:val="en-US" w:eastAsia="zh-CN"/>
        </w:rPr>
        <w:t>养老服务数据统计分析</w:t>
      </w:r>
    </w:p>
    <w:p w14:paraId="19D77939">
      <w:pPr>
        <w:pStyle w:val="3"/>
        <w:keepNext w:val="0"/>
        <w:numPr>
          <w:ilvl w:val="0"/>
          <w:numId w:val="0"/>
        </w:numPr>
        <w:spacing w:line="420" w:lineRule="auto"/>
        <w:ind w:firstLine="480" w:firstLineChars="200"/>
        <w:jc w:val="both"/>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负责养老服务相关数据的采集、统计、分析，为政策制定提供数据支撑。</w:t>
      </w:r>
    </w:p>
    <w:p w14:paraId="7847D48F">
      <w:pPr>
        <w:pStyle w:val="3"/>
        <w:keepNext w:val="0"/>
        <w:numPr>
          <w:ilvl w:val="0"/>
          <w:numId w:val="0"/>
        </w:numPr>
        <w:spacing w:line="420" w:lineRule="auto"/>
        <w:ind w:left="630" w:leftChars="0"/>
        <w:jc w:val="both"/>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5、“亭颐养”数字养老服务超市运营</w:t>
      </w:r>
    </w:p>
    <w:p w14:paraId="158EA80A">
      <w:pPr>
        <w:pStyle w:val="3"/>
        <w:keepNext w:val="0"/>
        <w:numPr>
          <w:ilvl w:val="0"/>
          <w:numId w:val="0"/>
        </w:numPr>
        <w:spacing w:line="420" w:lineRule="auto"/>
        <w:ind w:firstLine="480" w:firstLineChars="200"/>
        <w:jc w:val="both"/>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负责“亭颐养”数字养老服务超市运营管理和市场推广、宣传等工作。</w:t>
      </w:r>
    </w:p>
    <w:p w14:paraId="5E578084">
      <w:pPr>
        <w:pStyle w:val="3"/>
        <w:keepNext w:val="0"/>
        <w:numPr>
          <w:ilvl w:val="0"/>
          <w:numId w:val="0"/>
        </w:numPr>
        <w:spacing w:line="420" w:lineRule="auto"/>
        <w:ind w:left="630" w:leftChars="0"/>
        <w:jc w:val="both"/>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6、智慧安全管理中心</w:t>
      </w:r>
    </w:p>
    <w:p w14:paraId="0E0D5888">
      <w:pPr>
        <w:pStyle w:val="3"/>
        <w:keepNext w:val="0"/>
        <w:numPr>
          <w:ilvl w:val="0"/>
          <w:numId w:val="0"/>
        </w:numPr>
        <w:spacing w:line="420" w:lineRule="auto"/>
        <w:ind w:firstLine="480" w:firstLineChars="200"/>
        <w:jc w:val="both"/>
        <w:rPr>
          <w:rFonts w:hint="eastAsia" w:ascii="宋体" w:hAnsi="宋体" w:eastAsia="宋体" w:cs="宋体"/>
          <w:b/>
          <w:bCs w:val="0"/>
          <w:sz w:val="24"/>
          <w:szCs w:val="24"/>
          <w:highlight w:val="none"/>
          <w:lang w:val="en-US" w:eastAsia="zh-CN"/>
        </w:rPr>
      </w:pPr>
      <w:r>
        <w:rPr>
          <w:rFonts w:hint="eastAsia" w:ascii="宋体" w:hAnsi="宋体" w:eastAsia="宋体" w:cs="宋体"/>
          <w:bCs/>
          <w:sz w:val="24"/>
          <w:szCs w:val="24"/>
          <w:highlight w:val="none"/>
          <w:lang w:val="en-US" w:eastAsia="zh-CN"/>
        </w:rPr>
        <w:t>负责全区养老服务机构安全智慧监管平台的日常运行，通过智能摄像头、毫米波雷达、智能烟感等物联设备，对消防安全、用电安全、食品安全等实施实时监测，实现预警处置、应急调度、24小时值班值守等功能；同时对接《盐城市消防条例》相关要求，为符合条件的养老机构消防控制室实行单人值班提供技术支撑，切实减轻机构负担，提升本质安全水平</w:t>
      </w:r>
      <w:r>
        <w:rPr>
          <w:rFonts w:hint="eastAsia" w:ascii="宋体" w:hAnsi="宋体" w:eastAsia="宋体" w:cs="宋体"/>
          <w:b/>
          <w:bCs w:val="0"/>
          <w:sz w:val="24"/>
          <w:szCs w:val="24"/>
          <w:highlight w:val="none"/>
          <w:lang w:val="en-US" w:eastAsia="zh-CN"/>
        </w:rPr>
        <w:t>（养老机构消防控制技术支撑费用另行计算，不在本次预算范围内）。</w:t>
      </w:r>
    </w:p>
    <w:p w14:paraId="6508CDE6">
      <w:pPr>
        <w:pStyle w:val="3"/>
        <w:keepNext w:val="0"/>
        <w:numPr>
          <w:ilvl w:val="0"/>
          <w:numId w:val="0"/>
        </w:numPr>
        <w:spacing w:line="420" w:lineRule="auto"/>
        <w:ind w:left="630" w:leftChars="0"/>
        <w:jc w:val="both"/>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7、跨部门协调与资源整合</w:t>
      </w:r>
    </w:p>
    <w:p w14:paraId="176624FA">
      <w:pPr>
        <w:pStyle w:val="3"/>
        <w:keepNext w:val="0"/>
        <w:numPr>
          <w:ilvl w:val="0"/>
          <w:numId w:val="0"/>
        </w:numPr>
        <w:spacing w:line="420" w:lineRule="auto"/>
        <w:ind w:firstLine="480" w:firstLineChars="200"/>
        <w:jc w:val="both"/>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负责与卫健、人社、医保等部门建立常态化协作机制，实现跨部门数据共享和业务协同。</w:t>
      </w:r>
    </w:p>
    <w:p w14:paraId="7B330983">
      <w:pPr>
        <w:pStyle w:val="3"/>
        <w:keepNext w:val="0"/>
        <w:spacing w:line="420" w:lineRule="auto"/>
        <w:ind w:firstLine="482"/>
        <w:jc w:val="both"/>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二、平台升级</w:t>
      </w:r>
    </w:p>
    <w:p w14:paraId="08B5D155">
      <w:pPr>
        <w:pStyle w:val="3"/>
        <w:keepNext w:val="0"/>
        <w:spacing w:line="420" w:lineRule="auto"/>
        <w:ind w:firstLine="480"/>
        <w:jc w:val="both"/>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整合现有的政府购买居家养老服务监管平台、“亭颐养”数字养老服务超市等各类系统，建设统一指挥与监管平台。平台应具备三大核心功能：</w:t>
      </w:r>
    </w:p>
    <w:p w14:paraId="68378077">
      <w:pPr>
        <w:pStyle w:val="3"/>
        <w:keepNext w:val="0"/>
        <w:numPr>
          <w:ilvl w:val="0"/>
          <w:numId w:val="3"/>
        </w:numPr>
        <w:spacing w:line="420" w:lineRule="auto"/>
        <w:ind w:firstLine="480"/>
        <w:jc w:val="both"/>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运营补贴智能监管</w:t>
      </w:r>
    </w:p>
    <w:p w14:paraId="38D230AB">
      <w:pPr>
        <w:pStyle w:val="3"/>
        <w:keepNext w:val="0"/>
        <w:numPr>
          <w:ilvl w:val="0"/>
          <w:numId w:val="0"/>
        </w:numPr>
        <w:spacing w:line="420" w:lineRule="auto"/>
        <w:ind w:firstLine="480" w:firstLineChars="200"/>
        <w:jc w:val="both"/>
        <w:rPr>
          <w:rFonts w:hint="eastAsia" w:ascii="宋体" w:hAnsi="宋体" w:eastAsia="宋体" w:cs="宋体"/>
          <w:b/>
          <w:bCs w:val="0"/>
          <w:sz w:val="24"/>
          <w:szCs w:val="24"/>
          <w:highlight w:val="none"/>
          <w:lang w:val="en-US" w:eastAsia="zh-CN"/>
        </w:rPr>
      </w:pPr>
      <w:r>
        <w:rPr>
          <w:rFonts w:hint="eastAsia" w:ascii="宋体" w:hAnsi="宋体" w:eastAsia="宋体" w:cs="宋体"/>
          <w:bCs/>
          <w:sz w:val="24"/>
          <w:szCs w:val="24"/>
          <w:highlight w:val="none"/>
          <w:lang w:val="en-US" w:eastAsia="zh-CN"/>
        </w:rPr>
        <w:t>为养老床位配备“数字身份证”，在社区站点安装AI智能抓取设备，接入综合服务平台，通过“人床绑定”“AI抓拍”实时采集在床、服务等数据，实现补贴发放精准化，杜绝“空床补贴”“纸面服务”等问题。</w:t>
      </w:r>
      <w:r>
        <w:rPr>
          <w:rFonts w:hint="eastAsia" w:ascii="宋体" w:hAnsi="宋体" w:eastAsia="宋体" w:cs="宋体"/>
          <w:b/>
          <w:bCs w:val="0"/>
          <w:sz w:val="24"/>
          <w:szCs w:val="24"/>
          <w:highlight w:val="none"/>
          <w:lang w:val="en-US" w:eastAsia="zh-CN"/>
        </w:rPr>
        <w:t>（终端信息采集设备不在本次招标范围内，但要提供解决方案）</w:t>
      </w:r>
    </w:p>
    <w:p w14:paraId="4FCA79B1">
      <w:pPr>
        <w:pStyle w:val="3"/>
        <w:keepNext w:val="0"/>
        <w:numPr>
          <w:ilvl w:val="0"/>
          <w:numId w:val="3"/>
        </w:numPr>
        <w:spacing w:line="420" w:lineRule="auto"/>
        <w:ind w:left="0" w:leftChars="0" w:firstLine="480" w:firstLineChars="0"/>
        <w:jc w:val="both"/>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服务工单全流程监管</w:t>
      </w:r>
    </w:p>
    <w:p w14:paraId="45FC8A4E">
      <w:pPr>
        <w:pStyle w:val="3"/>
        <w:keepNext w:val="0"/>
        <w:numPr>
          <w:ilvl w:val="0"/>
          <w:numId w:val="0"/>
        </w:numPr>
        <w:spacing w:line="420" w:lineRule="auto"/>
        <w:ind w:firstLine="480" w:firstLineChars="200"/>
        <w:jc w:val="both"/>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实现居家养老上门服务和社区站点服务的工单实时监控，运用人脸识别、精准定位、延时录音等技术手段，从派单、接单、服务到结算全流程线上闭环管理，有效杜绝虚假工单、服务缩水等问题。</w:t>
      </w:r>
    </w:p>
    <w:p w14:paraId="0ED1FB39">
      <w:pPr>
        <w:pStyle w:val="3"/>
        <w:keepNext w:val="0"/>
        <w:numPr>
          <w:ilvl w:val="0"/>
          <w:numId w:val="3"/>
        </w:numPr>
        <w:spacing w:line="420" w:lineRule="auto"/>
        <w:ind w:left="0" w:leftChars="0" w:firstLine="480" w:firstLineChars="0"/>
        <w:jc w:val="both"/>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安全智能监管</w:t>
      </w:r>
    </w:p>
    <w:p w14:paraId="7AC1DBFD">
      <w:pPr>
        <w:pStyle w:val="3"/>
        <w:keepNext w:val="0"/>
        <w:numPr>
          <w:ilvl w:val="0"/>
          <w:numId w:val="0"/>
        </w:numPr>
        <w:spacing w:line="420" w:lineRule="auto"/>
        <w:ind w:firstLine="480" w:firstLineChars="200"/>
        <w:jc w:val="both"/>
        <w:rPr>
          <w:rFonts w:hint="eastAsia" w:ascii="宋体" w:hAnsi="宋体" w:eastAsia="宋体" w:cs="宋体"/>
          <w:b/>
          <w:bCs w:val="0"/>
          <w:sz w:val="24"/>
          <w:szCs w:val="24"/>
          <w:highlight w:val="none"/>
          <w:lang w:val="en-US" w:eastAsia="zh-CN"/>
        </w:rPr>
      </w:pPr>
      <w:r>
        <w:rPr>
          <w:rFonts w:hint="eastAsia" w:ascii="宋体" w:hAnsi="宋体" w:eastAsia="宋体" w:cs="宋体"/>
          <w:bCs/>
          <w:sz w:val="24"/>
          <w:szCs w:val="24"/>
          <w:highlight w:val="none"/>
          <w:lang w:val="en-US" w:eastAsia="zh-CN"/>
        </w:rPr>
        <w:t>建立区级养老服务机构安全智能监管中心，将养老机构消防预警信息、电器智能监管信息接入平台。在消防控制室安装智能机械臂等自动处置设备，构建“中心+机构”双层安全监管网络。推进“明厨亮灶”工程，对社区助餐点食品安全进行实时监控。</w:t>
      </w:r>
      <w:r>
        <w:rPr>
          <w:rFonts w:hint="eastAsia" w:ascii="宋体" w:hAnsi="宋体" w:eastAsia="宋体" w:cs="宋体"/>
          <w:b/>
          <w:bCs w:val="0"/>
          <w:sz w:val="24"/>
          <w:szCs w:val="24"/>
          <w:highlight w:val="none"/>
          <w:lang w:val="en-US" w:eastAsia="zh-CN"/>
        </w:rPr>
        <w:t>（终端信息采集设备不在本次招标范围内，但要提供解决方案）</w:t>
      </w:r>
    </w:p>
    <w:p w14:paraId="7916337C">
      <w:pPr>
        <w:pStyle w:val="3"/>
        <w:keepNext w:val="0"/>
        <w:spacing w:line="420" w:lineRule="auto"/>
        <w:ind w:firstLine="480"/>
        <w:jc w:val="both"/>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4、老人居家安全监管</w:t>
      </w:r>
    </w:p>
    <w:p w14:paraId="493590A0">
      <w:pPr>
        <w:keepNext w:val="0"/>
        <w:keepLines w:val="0"/>
        <w:pageBreakBefore w:val="0"/>
        <w:widowControl w:val="0"/>
        <w:kinsoku/>
        <w:wordWrap/>
        <w:overflowPunct/>
        <w:topLinePunct w:val="0"/>
        <w:autoSpaceDE/>
        <w:autoSpaceDN/>
        <w:bidi w:val="0"/>
        <w:adjustRightInd/>
        <w:snapToGrid/>
        <w:spacing w:line="420" w:lineRule="auto"/>
        <w:textAlignment w:val="auto"/>
        <w:rPr>
          <w:rFonts w:hint="default" w:ascii="宋体" w:hAnsi="宋体" w:eastAsia="宋体" w:cs="宋体"/>
          <w:bCs/>
          <w:kern w:val="2"/>
          <w:sz w:val="24"/>
          <w:szCs w:val="24"/>
          <w:highlight w:val="none"/>
          <w:lang w:val="en-US" w:eastAsia="zh-CN" w:bidi="ar-SA"/>
        </w:rPr>
      </w:pPr>
      <w:r>
        <w:rPr>
          <w:rFonts w:hint="eastAsia" w:ascii="宋体" w:hAnsi="宋体" w:eastAsia="宋体" w:cs="宋体"/>
          <w:bCs/>
          <w:kern w:val="2"/>
          <w:sz w:val="24"/>
          <w:szCs w:val="24"/>
          <w:highlight w:val="none"/>
          <w:lang w:val="en-US" w:eastAsia="zh-CN" w:bidi="ar-SA"/>
        </w:rPr>
        <w:t xml:space="preserve">    实现“一键呼叫”、智能烟感等老年人居家安全设备集中响应功能，为现有的老人居家“一键呼叫”和智能烟感等设备提供汇集功能，预留后期其他智能居家监测设备接口。</w:t>
      </w:r>
    </w:p>
    <w:p w14:paraId="69F46D82">
      <w:pPr>
        <w:pStyle w:val="3"/>
        <w:keepNext w:val="0"/>
        <w:spacing w:line="420" w:lineRule="auto"/>
        <w:ind w:firstLine="480"/>
        <w:jc w:val="both"/>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5、承担系统维护日常维护任务：</w:t>
      </w:r>
      <w:r>
        <w:rPr>
          <w:rFonts w:hint="eastAsia" w:ascii="宋体" w:hAnsi="宋体" w:eastAsia="宋体" w:cs="宋体"/>
          <w:bCs/>
          <w:sz w:val="24"/>
          <w:szCs w:val="24"/>
          <w:highlight w:val="none"/>
          <w:lang w:val="en-US" w:eastAsia="zh-CN"/>
        </w:rPr>
        <w:t>主要包括平台服务器、数据库管理、话务系统维护和系统升级，以及与“亭颐养”数字养老服务超市、民政现有信息系统等其他系统数据对接。</w:t>
      </w:r>
    </w:p>
    <w:p w14:paraId="043F10F1">
      <w:pPr>
        <w:pStyle w:val="3"/>
        <w:keepNext w:val="0"/>
        <w:spacing w:line="420" w:lineRule="auto"/>
        <w:ind w:firstLine="482"/>
        <w:jc w:val="both"/>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三</w:t>
      </w:r>
      <w:r>
        <w:rPr>
          <w:rFonts w:hint="eastAsia" w:ascii="宋体" w:hAnsi="宋体" w:eastAsia="宋体" w:cs="宋体"/>
          <w:b/>
          <w:bCs w:val="0"/>
          <w:sz w:val="24"/>
          <w:szCs w:val="24"/>
          <w:highlight w:val="none"/>
        </w:rPr>
        <w:t>、运营要求：</w:t>
      </w:r>
    </w:p>
    <w:p w14:paraId="1773BCEC">
      <w:pPr>
        <w:pStyle w:val="3"/>
        <w:keepNext w:val="0"/>
        <w:spacing w:line="420" w:lineRule="auto"/>
        <w:ind w:firstLine="480"/>
        <w:jc w:val="both"/>
        <w:rPr>
          <w:rFonts w:hint="eastAsia" w:ascii="宋体" w:hAnsi="宋体" w:eastAsia="宋体" w:cs="宋体"/>
          <w:bCs/>
          <w:sz w:val="24"/>
          <w:szCs w:val="24"/>
          <w:highlight w:val="green"/>
          <w:lang w:val="en-US" w:eastAsia="zh-CN"/>
        </w:rPr>
      </w:pP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提供智慧养老服务统一热线电话，统一对外呼号</w:t>
      </w:r>
      <w:r>
        <w:rPr>
          <w:rFonts w:hint="eastAsia" w:ascii="宋体" w:hAnsi="宋体" w:eastAsia="宋体" w:cs="宋体"/>
          <w:bCs/>
          <w:sz w:val="24"/>
          <w:szCs w:val="24"/>
          <w:highlight w:val="none"/>
          <w:lang w:eastAsia="zh-CN"/>
        </w:rPr>
        <w:t>。</w:t>
      </w:r>
    </w:p>
    <w:p w14:paraId="0FB67D26">
      <w:pPr>
        <w:pStyle w:val="3"/>
        <w:keepNext w:val="0"/>
        <w:spacing w:line="420" w:lineRule="auto"/>
        <w:ind w:firstLine="480"/>
        <w:jc w:val="both"/>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2、安全管理中心运营：</w:t>
      </w:r>
    </w:p>
    <w:p w14:paraId="5C90BC2B">
      <w:pPr>
        <w:pStyle w:val="3"/>
        <w:keepNext w:val="0"/>
        <w:spacing w:line="420" w:lineRule="auto"/>
        <w:ind w:firstLine="480"/>
        <w:jc w:val="both"/>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提供线上值守服务。采取在指导中心现场值守模式的，应设立专职安全值守岗，专职人员至少配备5名持有中级消防设施操作员证书的人员，应具备远程操控消控室设备的能力，实行24小时双人值班制度。采取线上远程控制中心值守模式的（应有已建成的企业自有养老机构安全管理中心），远程控制中心应实行24小时双人值守，值守人员应持有中级消防设施操作员，应将远程值守画面回传至指导中心大屏呈现。</w:t>
      </w:r>
    </w:p>
    <w:p w14:paraId="2814BA05">
      <w:pPr>
        <w:pStyle w:val="3"/>
        <w:keepNext w:val="0"/>
        <w:spacing w:line="420" w:lineRule="auto"/>
        <w:ind w:firstLine="480"/>
        <w:jc w:val="both"/>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（2）安全专业支持。应设立专职安全员岗位，安全员应具备相应的专业技能，主要负责协助做好养老服务机构安全检查，每月形成安全检查报告，指导养老服务机构按期完成安全隐患整改。</w:t>
      </w:r>
    </w:p>
    <w:p w14:paraId="0E0C3AC6">
      <w:pPr>
        <w:pStyle w:val="3"/>
        <w:keepNext w:val="0"/>
        <w:spacing w:line="420" w:lineRule="auto"/>
        <w:ind w:firstLine="480"/>
        <w:jc w:val="both"/>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（3）安全设备维保。负责接入安全管理中心的终端采集设备的维护和管理。</w:t>
      </w:r>
    </w:p>
    <w:p w14:paraId="78DB7CF7">
      <w:pPr>
        <w:pStyle w:val="3"/>
        <w:keepNext w:val="0"/>
        <w:spacing w:line="420" w:lineRule="auto"/>
        <w:ind w:firstLine="480"/>
        <w:jc w:val="both"/>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基础数据维护：协助民政局，联系街道（镇）、社区（村）采集并上报相关信息，并对信息进行核查，确保基础数据真实有效、更新及时。主要信息包含：老年人基础信息、居家养老服务机构及人员信息等。</w:t>
      </w:r>
    </w:p>
    <w:p w14:paraId="044BB9A0">
      <w:pPr>
        <w:pStyle w:val="3"/>
        <w:keepNext w:val="0"/>
        <w:spacing w:line="420" w:lineRule="auto"/>
        <w:ind w:firstLine="480"/>
        <w:jc w:val="both"/>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rPr>
        <w:t>根据民政局要求对居家线下服务商和服务人员进行培训；</w:t>
      </w:r>
    </w:p>
    <w:p w14:paraId="297C9C2A">
      <w:pPr>
        <w:pStyle w:val="3"/>
        <w:keepNext w:val="0"/>
        <w:spacing w:line="420" w:lineRule="auto"/>
        <w:ind w:firstLine="480"/>
        <w:jc w:val="both"/>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1）对紧急呼叫请求、响应、服务、回访全过程数据进行掌握、分析；</w:t>
      </w:r>
    </w:p>
    <w:p w14:paraId="46C6C220">
      <w:pPr>
        <w:pStyle w:val="3"/>
        <w:keepNext w:val="0"/>
        <w:spacing w:line="420" w:lineRule="auto"/>
        <w:ind w:firstLine="480"/>
        <w:jc w:val="both"/>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2）对生活服务的请求情况、服务过程、服务质量数据掌握、分析；</w:t>
      </w:r>
    </w:p>
    <w:p w14:paraId="6470BE7C">
      <w:pPr>
        <w:pStyle w:val="3"/>
        <w:keepNext w:val="0"/>
        <w:spacing w:line="420" w:lineRule="auto"/>
        <w:ind w:firstLine="480"/>
        <w:jc w:val="both"/>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）每月接收民政局反馈的新增服务人员名单和退出人员名单，并协助进行死亡信息比对，将确定后的数据</w:t>
      </w:r>
      <w:r>
        <w:rPr>
          <w:rFonts w:hint="eastAsia" w:ascii="宋体" w:hAnsi="宋体" w:eastAsia="宋体" w:cs="宋体"/>
          <w:bCs/>
          <w:sz w:val="24"/>
          <w:szCs w:val="24"/>
          <w:highlight w:val="none"/>
          <w:lang w:eastAsia="zh-CN"/>
        </w:rPr>
        <w:t>上传至平台</w:t>
      </w:r>
      <w:r>
        <w:rPr>
          <w:rFonts w:hint="eastAsia" w:ascii="宋体" w:hAnsi="宋体" w:eastAsia="宋体" w:cs="宋体"/>
          <w:bCs/>
          <w:sz w:val="24"/>
          <w:szCs w:val="24"/>
          <w:highlight w:val="none"/>
        </w:rPr>
        <w:t>；</w:t>
      </w:r>
    </w:p>
    <w:p w14:paraId="6385D846">
      <w:pPr>
        <w:pStyle w:val="3"/>
        <w:keepNext w:val="0"/>
        <w:spacing w:line="420" w:lineRule="auto"/>
        <w:ind w:firstLine="480"/>
        <w:jc w:val="both"/>
        <w:rPr>
          <w:rFonts w:hint="eastAsia"/>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rPr>
        <w:t>）每月向采购人提交</w:t>
      </w:r>
      <w:r>
        <w:rPr>
          <w:rFonts w:hint="eastAsia" w:ascii="宋体" w:hAnsi="宋体" w:eastAsia="宋体" w:cs="宋体"/>
          <w:bCs/>
          <w:sz w:val="24"/>
          <w:szCs w:val="24"/>
          <w:highlight w:val="none"/>
          <w:lang w:eastAsia="zh-CN"/>
        </w:rPr>
        <w:t>服务情况报告，</w:t>
      </w:r>
      <w:r>
        <w:rPr>
          <w:rFonts w:hint="eastAsia" w:ascii="宋体" w:hAnsi="宋体" w:eastAsia="宋体" w:cs="宋体"/>
          <w:bCs/>
          <w:sz w:val="24"/>
          <w:szCs w:val="24"/>
          <w:highlight w:val="none"/>
        </w:rPr>
        <w:t>可以通过文字、图形等形式，统计分析当月各服务商服务次数、</w:t>
      </w:r>
      <w:r>
        <w:rPr>
          <w:rFonts w:hint="eastAsia" w:ascii="宋体" w:hAnsi="宋体" w:eastAsia="宋体" w:cs="宋体"/>
          <w:bCs/>
          <w:sz w:val="24"/>
          <w:szCs w:val="24"/>
          <w:highlight w:val="none"/>
          <w:lang w:eastAsia="zh-CN"/>
        </w:rPr>
        <w:t>服务项目、服务金额、</w:t>
      </w:r>
      <w:r>
        <w:rPr>
          <w:rFonts w:hint="eastAsia" w:ascii="宋体" w:hAnsi="宋体" w:eastAsia="宋体" w:cs="宋体"/>
          <w:bCs/>
          <w:sz w:val="24"/>
          <w:szCs w:val="24"/>
          <w:highlight w:val="none"/>
        </w:rPr>
        <w:t>满意度等各项数据</w:t>
      </w:r>
      <w:r>
        <w:rPr>
          <w:rFonts w:hint="eastAsia" w:ascii="宋体" w:hAnsi="宋体" w:eastAsia="宋体" w:cs="宋体"/>
          <w:bCs/>
          <w:sz w:val="24"/>
          <w:szCs w:val="24"/>
          <w:highlight w:val="none"/>
          <w:lang w:val="en-US" w:eastAsia="zh-CN"/>
        </w:rPr>
        <w:t>。</w:t>
      </w:r>
    </w:p>
    <w:p w14:paraId="7D9D0CC6">
      <w:pPr>
        <w:pStyle w:val="3"/>
        <w:keepNext w:val="0"/>
        <w:spacing w:line="420" w:lineRule="auto"/>
        <w:ind w:firstLine="482"/>
        <w:jc w:val="both"/>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lang w:val="en-US" w:eastAsia="zh-CN"/>
        </w:rPr>
        <w:t>四</w:t>
      </w:r>
      <w:r>
        <w:rPr>
          <w:rFonts w:hint="eastAsia" w:ascii="宋体" w:hAnsi="宋体" w:eastAsia="宋体" w:cs="宋体"/>
          <w:b/>
          <w:bCs w:val="0"/>
          <w:sz w:val="24"/>
          <w:szCs w:val="24"/>
          <w:highlight w:val="none"/>
        </w:rPr>
        <w:t>、人员配备和具体工作事项</w:t>
      </w:r>
      <w:r>
        <w:rPr>
          <w:rFonts w:hint="eastAsia" w:ascii="宋体" w:hAnsi="宋体" w:eastAsia="宋体" w:cs="宋体"/>
          <w:b/>
          <w:bCs w:val="0"/>
          <w:sz w:val="24"/>
          <w:szCs w:val="24"/>
          <w:highlight w:val="none"/>
          <w:lang w:eastAsia="zh-CN"/>
        </w:rPr>
        <w:t>：</w:t>
      </w:r>
    </w:p>
    <w:p w14:paraId="1DAE1F57">
      <w:pPr>
        <w:pStyle w:val="3"/>
        <w:keepNext w:val="0"/>
        <w:spacing w:line="420" w:lineRule="auto"/>
        <w:ind w:firstLine="480"/>
        <w:jc w:val="both"/>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为维持平台、话务中心全年365天，每天24小时服务运转，乙方预计配备</w:t>
      </w: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rPr>
        <w:t>名或以上工作人员，包括：管理人员，主要负责</w:t>
      </w:r>
      <w:r>
        <w:rPr>
          <w:rFonts w:hint="eastAsia" w:ascii="宋体" w:hAnsi="宋体" w:eastAsia="宋体" w:cs="宋体"/>
          <w:bCs/>
          <w:sz w:val="24"/>
          <w:szCs w:val="24"/>
          <w:highlight w:val="none"/>
          <w:lang w:eastAsia="zh-CN"/>
        </w:rPr>
        <w:t>项目管理、</w:t>
      </w:r>
      <w:r>
        <w:rPr>
          <w:rFonts w:hint="eastAsia" w:ascii="宋体" w:hAnsi="宋体" w:eastAsia="宋体" w:cs="宋体"/>
          <w:bCs/>
          <w:sz w:val="24"/>
          <w:szCs w:val="24"/>
          <w:highlight w:val="none"/>
        </w:rPr>
        <w:t>调度协调、综合管理等</w:t>
      </w:r>
      <w:r>
        <w:rPr>
          <w:rFonts w:hint="eastAsia" w:ascii="宋体" w:hAnsi="宋体" w:eastAsia="宋体" w:cs="宋体"/>
          <w:bCs/>
          <w:sz w:val="24"/>
          <w:szCs w:val="24"/>
          <w:highlight w:val="none"/>
          <w:lang w:eastAsia="zh-CN"/>
        </w:rPr>
        <w:t>，以及“亭颐养”数字养老服务超市运营</w:t>
      </w:r>
      <w:r>
        <w:rPr>
          <w:rFonts w:hint="eastAsia" w:ascii="宋体" w:hAnsi="宋体" w:eastAsia="宋体" w:cs="宋体"/>
          <w:bCs/>
          <w:sz w:val="24"/>
          <w:szCs w:val="24"/>
          <w:highlight w:val="none"/>
        </w:rPr>
        <w:t>；运营维护人员，主要负责开发运营维护、网站运营维护、设备运营维护、网络运营维护、技术支持等；平台信息维护人员，主要负责</w:t>
      </w:r>
      <w:r>
        <w:rPr>
          <w:rFonts w:hint="eastAsia" w:ascii="宋体" w:hAnsi="宋体" w:eastAsia="宋体" w:cs="宋体"/>
          <w:bCs/>
          <w:sz w:val="24"/>
          <w:szCs w:val="24"/>
          <w:highlight w:val="none"/>
          <w:lang w:eastAsia="zh-CN"/>
        </w:rPr>
        <w:t>各类信息录入、核对和异常数据处理等，</w:t>
      </w:r>
      <w:r>
        <w:rPr>
          <w:rFonts w:hint="eastAsia" w:ascii="宋体" w:hAnsi="宋体" w:eastAsia="宋体" w:cs="宋体"/>
          <w:bCs/>
          <w:sz w:val="24"/>
          <w:szCs w:val="24"/>
          <w:highlight w:val="none"/>
        </w:rPr>
        <w:t>做好平台数据维护，及时向省市有关部门上传服务数据</w:t>
      </w:r>
      <w:r>
        <w:rPr>
          <w:rFonts w:hint="eastAsia" w:ascii="宋体" w:hAnsi="宋体" w:eastAsia="宋体" w:cs="宋体"/>
          <w:bCs/>
          <w:sz w:val="24"/>
          <w:szCs w:val="24"/>
          <w:highlight w:val="none"/>
          <w:lang w:eastAsia="zh-CN"/>
        </w:rPr>
        <w:t>；保障人员，主要负责工作环境维护</w:t>
      </w:r>
      <w:r>
        <w:rPr>
          <w:rFonts w:hint="eastAsia" w:ascii="宋体" w:hAnsi="宋体" w:eastAsia="宋体" w:cs="宋体"/>
          <w:bCs/>
          <w:sz w:val="24"/>
          <w:szCs w:val="24"/>
          <w:highlight w:val="none"/>
        </w:rPr>
        <w:t>。</w:t>
      </w:r>
    </w:p>
    <w:p w14:paraId="2D7EB751">
      <w:pPr>
        <w:pStyle w:val="3"/>
        <w:keepNext w:val="0"/>
        <w:spacing w:line="420" w:lineRule="auto"/>
        <w:ind w:firstLine="480"/>
        <w:jc w:val="both"/>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安全管理中心：采取远程线上值守的，亭湖项目现场应至少配备1名专职人员，主要负责将远程值守画面回传至指导中心大屏呈现，做好养老服务机构安全检查，每月形成安全检查报告，指导养老服务机构按期完成安全隐患整改。</w:t>
      </w:r>
    </w:p>
    <w:p w14:paraId="543D893E">
      <w:pPr>
        <w:pStyle w:val="15"/>
        <w:pageBreakBefore w:val="0"/>
        <w:widowControl w:val="0"/>
        <w:spacing w:beforeAutospacing="0" w:afterAutospacing="0" w:line="360" w:lineRule="auto"/>
        <w:ind w:firstLine="480"/>
        <w:jc w:val="both"/>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五、采购标的对应的中小企业划分标准所属行业一览表</w:t>
      </w:r>
    </w:p>
    <w:tbl>
      <w:tblPr>
        <w:tblStyle w:val="18"/>
        <w:tblW w:w="8495" w:type="dxa"/>
        <w:jc w:val="center"/>
        <w:tblCellSpacing w:w="0" w:type="dxa"/>
        <w:tblLayout w:type="fixed"/>
        <w:tblCellMar>
          <w:top w:w="0" w:type="dxa"/>
          <w:left w:w="108" w:type="dxa"/>
          <w:bottom w:w="0" w:type="dxa"/>
          <w:right w:w="108" w:type="dxa"/>
        </w:tblCellMar>
      </w:tblPr>
      <w:tblGrid>
        <w:gridCol w:w="815"/>
        <w:gridCol w:w="3900"/>
        <w:gridCol w:w="3780"/>
      </w:tblGrid>
      <w:tr w14:paraId="649A8248">
        <w:tblPrEx>
          <w:tblCellMar>
            <w:top w:w="0" w:type="dxa"/>
            <w:left w:w="108" w:type="dxa"/>
            <w:bottom w:w="0" w:type="dxa"/>
            <w:right w:w="108" w:type="dxa"/>
          </w:tblCellMar>
        </w:tblPrEx>
        <w:trPr>
          <w:trHeight w:val="667" w:hRule="atLeast"/>
          <w:tblCellSpacing w:w="0" w:type="dxa"/>
          <w:jc w:val="center"/>
        </w:trPr>
        <w:tc>
          <w:tcPr>
            <w:tcW w:w="8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C5FC39">
            <w:pPr>
              <w:pStyle w:val="15"/>
              <w:pageBreakBefore w:val="0"/>
              <w:widowControl w:val="0"/>
              <w:spacing w:beforeAutospacing="0" w:afterAutospacing="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序号</w:t>
            </w:r>
          </w:p>
        </w:tc>
        <w:tc>
          <w:tcPr>
            <w:tcW w:w="39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002A5C">
            <w:pPr>
              <w:pStyle w:val="15"/>
              <w:pageBreakBefore w:val="0"/>
              <w:widowControl w:val="0"/>
              <w:spacing w:beforeAutospacing="0" w:afterAutospacing="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采购标的</w:t>
            </w:r>
          </w:p>
        </w:tc>
        <w:tc>
          <w:tcPr>
            <w:tcW w:w="37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3FEF58">
            <w:pPr>
              <w:pStyle w:val="15"/>
              <w:pageBreakBefore w:val="0"/>
              <w:widowControl w:val="0"/>
              <w:spacing w:beforeAutospacing="0" w:afterAutospacing="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对应中小企业划分标准所属行业</w:t>
            </w:r>
          </w:p>
        </w:tc>
      </w:tr>
      <w:tr w14:paraId="079DCB6D">
        <w:tblPrEx>
          <w:tblCellMar>
            <w:top w:w="0" w:type="dxa"/>
            <w:left w:w="108" w:type="dxa"/>
            <w:bottom w:w="0" w:type="dxa"/>
            <w:right w:w="108" w:type="dxa"/>
          </w:tblCellMar>
        </w:tblPrEx>
        <w:trPr>
          <w:trHeight w:val="291" w:hRule="atLeast"/>
          <w:tblCellSpacing w:w="0" w:type="dxa"/>
          <w:jc w:val="center"/>
        </w:trPr>
        <w:tc>
          <w:tcPr>
            <w:tcW w:w="8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C6938A">
            <w:pPr>
              <w:pStyle w:val="15"/>
              <w:pageBreakBefore w:val="0"/>
              <w:widowControl w:val="0"/>
              <w:spacing w:beforeAutospacing="0" w:afterAutospacing="0" w:line="360" w:lineRule="auto"/>
              <w:ind w:firstLine="24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w:t>
            </w:r>
          </w:p>
        </w:tc>
        <w:tc>
          <w:tcPr>
            <w:tcW w:w="39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57156A">
            <w:pPr>
              <w:pStyle w:val="15"/>
              <w:pageBreakBefore w:val="0"/>
              <w:widowControl w:val="0"/>
              <w:spacing w:beforeAutospacing="0" w:afterAutospacing="0"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亭湖区数智养老服务系统升级维护和养老机构安全支持项目</w:t>
            </w:r>
          </w:p>
        </w:tc>
        <w:tc>
          <w:tcPr>
            <w:tcW w:w="378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DAFFB0">
            <w:pPr>
              <w:pStyle w:val="15"/>
              <w:pageBreakBefore w:val="0"/>
              <w:widowControl w:val="0"/>
              <w:spacing w:beforeAutospacing="0" w:afterAutospacing="0"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软件和信息技术服务</w:t>
            </w:r>
          </w:p>
        </w:tc>
      </w:tr>
    </w:tbl>
    <w:p w14:paraId="58754E69">
      <w:pPr>
        <w:pStyle w:val="15"/>
        <w:keepNext/>
        <w:spacing w:beforeAutospacing="0" w:afterAutospacing="0"/>
        <w:jc w:val="center"/>
        <w:rPr>
          <w:rFonts w:hint="eastAsia" w:ascii="黑体" w:hAnsi="宋体" w:eastAsia="黑体" w:cs="黑体"/>
          <w:color w:val="000000"/>
          <w:sz w:val="44"/>
          <w:szCs w:val="44"/>
          <w:highlight w:val="none"/>
        </w:rPr>
        <w:sectPr>
          <w:headerReference r:id="rId3" w:type="default"/>
          <w:footerReference r:id="rId4" w:type="default"/>
          <w:pgSz w:w="11906" w:h="16838"/>
          <w:pgMar w:top="1440" w:right="1800" w:bottom="1440" w:left="1800" w:header="851" w:footer="992" w:gutter="0"/>
          <w:cols w:space="425" w:num="1"/>
          <w:docGrid w:type="lines" w:linePitch="312" w:charSpace="0"/>
        </w:sectPr>
      </w:pPr>
    </w:p>
    <w:p w14:paraId="3880A673">
      <w:pPr>
        <w:pStyle w:val="15"/>
        <w:keepNext/>
        <w:spacing w:beforeAutospacing="0" w:afterAutospacing="0"/>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评标方法与评标标准</w:t>
      </w:r>
    </w:p>
    <w:p w14:paraId="423C8189">
      <w:pPr>
        <w:pStyle w:val="15"/>
        <w:spacing w:beforeAutospacing="0" w:afterAutospacing="0"/>
        <w:jc w:val="both"/>
        <w:rPr>
          <w:highlight w:val="none"/>
        </w:rPr>
      </w:pPr>
      <w:r>
        <w:rPr>
          <w:highlight w:val="none"/>
        </w:rPr>
        <w:t> </w:t>
      </w:r>
    </w:p>
    <w:p w14:paraId="668FEA9F">
      <w:pPr>
        <w:snapToGrid w:val="0"/>
        <w:spacing w:line="360" w:lineRule="auto"/>
        <w:ind w:firstLine="482" w:firstLineChars="20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一、定标原则</w:t>
      </w:r>
    </w:p>
    <w:p w14:paraId="2C328EAE">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bCs/>
          <w:color w:val="000000"/>
          <w:sz w:val="24"/>
          <w:szCs w:val="24"/>
          <w:highlight w:val="none"/>
        </w:rPr>
        <w:t>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法</w:t>
      </w:r>
      <w:r>
        <w:rPr>
          <w:rFonts w:hint="eastAsia" w:ascii="宋体" w:hAnsi="宋体" w:eastAsia="宋体" w:cs="宋体"/>
          <w:bCs/>
          <w:color w:val="000000"/>
          <w:sz w:val="24"/>
          <w:szCs w:val="24"/>
          <w:highlight w:val="none"/>
          <w:lang w:eastAsia="zh-CN"/>
        </w:rPr>
        <w:t>，</w:t>
      </w:r>
      <w:r>
        <w:rPr>
          <w:rFonts w:hint="eastAsia" w:ascii="宋体" w:hAnsi="宋体" w:eastAsia="宋体" w:cs="宋体"/>
          <w:color w:val="000000"/>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000000"/>
          <w:kern w:val="0"/>
          <w:sz w:val="24"/>
          <w:szCs w:val="24"/>
          <w:highlight w:val="none"/>
          <w:lang w:val="en-US" w:eastAsia="zh-CN"/>
        </w:rPr>
        <w:t>并列</w:t>
      </w:r>
      <w:r>
        <w:rPr>
          <w:rFonts w:hint="eastAsia" w:ascii="宋体" w:hAnsi="宋体" w:eastAsia="宋体" w:cs="宋体"/>
          <w:color w:val="auto"/>
          <w:sz w:val="24"/>
          <w:szCs w:val="24"/>
          <w:highlight w:val="none"/>
        </w:rPr>
        <w:t>，由评标委员会组织通过抽签的方式确定中标候选人的排序</w:t>
      </w:r>
      <w:r>
        <w:rPr>
          <w:rFonts w:hint="eastAsia" w:ascii="宋体" w:hAnsi="宋体" w:eastAsia="宋体" w:cs="宋体"/>
          <w:color w:val="000000"/>
          <w:kern w:val="0"/>
          <w:sz w:val="24"/>
          <w:szCs w:val="24"/>
          <w:highlight w:val="none"/>
        </w:rPr>
        <w:t>。投标文件满足招标文件全部实质性要求，且按照评审因素的量化指标评审得分最高的投标人为排名第一的中标候选人，本项目选取1名中标候选人。</w:t>
      </w:r>
    </w:p>
    <w:p w14:paraId="7A676DAE">
      <w:pPr>
        <w:pStyle w:val="15"/>
        <w:spacing w:before="120" w:beforeAutospacing="0" w:after="120" w:afterAutospacing="0" w:line="360" w:lineRule="auto"/>
        <w:ind w:firstLine="441"/>
        <w:rPr>
          <w:rFonts w:hint="eastAsia" w:ascii="宋体" w:hAnsi="宋体" w:eastAsia="宋体" w:cs="宋体"/>
          <w:highlight w:val="none"/>
        </w:rPr>
      </w:pPr>
      <w:r>
        <w:rPr>
          <w:rFonts w:hint="eastAsia" w:ascii="宋体" w:hAnsi="宋体" w:eastAsia="宋体" w:cs="宋体"/>
          <w:b/>
          <w:color w:val="000000"/>
          <w:highlight w:val="none"/>
        </w:rPr>
        <w:t>政府采购政策功能落实</w:t>
      </w:r>
    </w:p>
    <w:p w14:paraId="20E729E2">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1、小微型企业价格扣除</w:t>
      </w:r>
    </w:p>
    <w:p w14:paraId="05CFF347">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w:t>
      </w:r>
      <w:r>
        <w:rPr>
          <w:rFonts w:hint="eastAsia" w:ascii="宋体" w:hAnsi="宋体" w:cs="Times New Roman"/>
          <w:sz w:val="24"/>
        </w:rPr>
        <w:t>本项目专门面向中小微企业采购，不再对小型和微型企业产品给予价格扣除</w:t>
      </w:r>
      <w:r>
        <w:rPr>
          <w:rFonts w:hint="eastAsia" w:ascii="宋体" w:hAnsi="宋体" w:eastAsia="宋体" w:cs="宋体"/>
          <w:bCs/>
          <w:color w:val="000000"/>
          <w:sz w:val="24"/>
          <w:szCs w:val="24"/>
          <w:highlight w:val="none"/>
        </w:rPr>
        <w:t>。</w:t>
      </w:r>
    </w:p>
    <w:p w14:paraId="73B3C08A">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（2）供应商需按照采购文件的要求提供相应的《</w:t>
      </w:r>
      <w:r>
        <w:rPr>
          <w:rFonts w:hint="eastAsia" w:ascii="宋体" w:hAnsi="宋体" w:eastAsia="宋体" w:cs="宋体"/>
          <w:bCs/>
          <w:color w:val="000000"/>
          <w:sz w:val="24"/>
          <w:szCs w:val="24"/>
          <w:highlight w:val="none"/>
          <w:lang w:val="en-US" w:eastAsia="zh-CN"/>
        </w:rPr>
        <w:t>中小</w:t>
      </w:r>
      <w:r>
        <w:rPr>
          <w:rFonts w:hint="eastAsia" w:ascii="宋体" w:hAnsi="宋体" w:eastAsia="宋体" w:cs="宋体"/>
          <w:bCs/>
          <w:color w:val="000000"/>
          <w:sz w:val="24"/>
          <w:szCs w:val="24"/>
          <w:highlight w:val="none"/>
        </w:rPr>
        <w:t>企业声明函》。</w:t>
      </w:r>
    </w:p>
    <w:p w14:paraId="73ACDBA4">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（3）企业标准请参照《关于印发中小企业划型标准规定的通知》（工信部联企业</w:t>
      </w:r>
      <w:r>
        <w:rPr>
          <w:rFonts w:hint="eastAsia" w:ascii="宋体" w:hAnsi="宋体" w:eastAsia="宋体" w:cs="宋体"/>
          <w:bCs/>
          <w:color w:val="000000"/>
          <w:sz w:val="24"/>
          <w:szCs w:val="24"/>
          <w:highlight w:val="none"/>
          <w:lang w:eastAsia="zh-CN"/>
        </w:rPr>
        <w:t>〔2011〕300号</w:t>
      </w:r>
      <w:r>
        <w:rPr>
          <w:rFonts w:hint="eastAsia" w:ascii="宋体" w:hAnsi="宋体" w:eastAsia="宋体" w:cs="宋体"/>
          <w:bCs/>
          <w:color w:val="000000"/>
          <w:sz w:val="24"/>
          <w:szCs w:val="24"/>
          <w:highlight w:val="none"/>
        </w:rPr>
        <w:t>）文件规定自行填写。</w:t>
      </w:r>
    </w:p>
    <w:p w14:paraId="123A9836">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2、残疾人福利单位价格扣除</w:t>
      </w:r>
    </w:p>
    <w:p w14:paraId="48BAD8C1">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（1）本项目对残疾人福利性单位视同小型、微型企业</w:t>
      </w:r>
      <w:r>
        <w:rPr>
          <w:rFonts w:hint="eastAsia" w:ascii="宋体" w:hAnsi="宋体" w:eastAsia="宋体" w:cs="宋体"/>
          <w:bCs/>
          <w:color w:val="000000"/>
          <w:sz w:val="24"/>
          <w:szCs w:val="24"/>
          <w:highlight w:val="none"/>
          <w:lang w:eastAsia="zh-CN"/>
        </w:rPr>
        <w:t>。</w:t>
      </w:r>
    </w:p>
    <w:p w14:paraId="6DDC4FB5">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（2）残疾人福利单位需按照采购文件的要求提供《残疾人福利性单位声明函》。</w:t>
      </w:r>
    </w:p>
    <w:p w14:paraId="05D26FC5">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（3）残疾人福利单位标准请参照《关于促进残疾人就业政府采购政策的通知》（财库〔2017〕141号）。</w:t>
      </w:r>
    </w:p>
    <w:p w14:paraId="04DB8360">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3、监狱和戒毒企业价格扣除</w:t>
      </w:r>
    </w:p>
    <w:p w14:paraId="7D3DF823">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（1）本项目对监狱和戒毒企业（简称监狱企业）视同小型、微型企业，给予20%</w:t>
      </w:r>
      <w:r>
        <w:rPr>
          <w:rFonts w:hint="eastAsia" w:ascii="宋体" w:hAnsi="宋体" w:eastAsia="宋体" w:cs="宋体"/>
          <w:bCs/>
          <w:color w:val="000000"/>
          <w:sz w:val="24"/>
          <w:szCs w:val="24"/>
          <w:highlight w:val="none"/>
          <w:lang w:eastAsia="zh-CN"/>
        </w:rPr>
        <w:t>的价格扣除。</w:t>
      </w:r>
    </w:p>
    <w:p w14:paraId="734F155E">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48706D45">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（3）监狱企业标准请参照《关于政府采购支持监狱企业发展有关问题的通知》（财库</w:t>
      </w:r>
      <w:r>
        <w:rPr>
          <w:rFonts w:hint="eastAsia" w:ascii="宋体" w:hAnsi="宋体" w:eastAsia="宋体" w:cs="宋体"/>
          <w:bCs/>
          <w:color w:val="000000"/>
          <w:sz w:val="24"/>
          <w:szCs w:val="24"/>
          <w:highlight w:val="none"/>
          <w:lang w:eastAsia="zh-CN"/>
        </w:rPr>
        <w:t>〔2014〕68号</w:t>
      </w:r>
      <w:r>
        <w:rPr>
          <w:rFonts w:hint="eastAsia" w:ascii="宋体" w:hAnsi="宋体" w:eastAsia="宋体" w:cs="宋体"/>
          <w:bCs/>
          <w:color w:val="000000"/>
          <w:sz w:val="24"/>
          <w:szCs w:val="24"/>
          <w:highlight w:val="none"/>
        </w:rPr>
        <w:t>）。</w:t>
      </w:r>
    </w:p>
    <w:p w14:paraId="70D78B33">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4、残疾人福利单位、监狱企业属于小型、微型企业的，不重复享受政策。</w:t>
      </w:r>
    </w:p>
    <w:p w14:paraId="795098B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15D541B7">
      <w:pPr>
        <w:pStyle w:val="15"/>
        <w:spacing w:before="120" w:beforeAutospacing="0" w:after="120" w:afterAutospacing="0" w:line="360" w:lineRule="auto"/>
        <w:ind w:firstLine="441"/>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二、</w:t>
      </w:r>
      <w:r>
        <w:rPr>
          <w:rFonts w:hint="eastAsia" w:ascii="宋体" w:hAnsi="宋体" w:eastAsia="宋体" w:cs="宋体"/>
          <w:b/>
          <w:color w:val="000000"/>
          <w:highlight w:val="none"/>
        </w:rPr>
        <w:t>评标方法与评标标准</w:t>
      </w:r>
    </w:p>
    <w:p w14:paraId="59E56B5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 评标时，评标委员会各成员独立对每个投标人的投标文件进行评价，并汇总每个投标人的得分。</w:t>
      </w:r>
    </w:p>
    <w:p w14:paraId="715710F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本项目评分总分值为100分。</w:t>
      </w:r>
    </w:p>
    <w:p w14:paraId="0914648A">
      <w:pPr>
        <w:pStyle w:val="16"/>
        <w:rPr>
          <w:rFonts w:hint="eastAsia" w:ascii="宋体" w:hAnsi="宋体" w:eastAsia="宋体" w:cs="宋体"/>
          <w:color w:val="auto"/>
          <w:kern w:val="0"/>
          <w:sz w:val="24"/>
          <w:highlight w:val="none"/>
          <w:lang w:val="en-US" w:eastAsia="zh-CN"/>
        </w:rPr>
      </w:pPr>
    </w:p>
    <w:tbl>
      <w:tblPr>
        <w:tblStyle w:val="18"/>
        <w:tblW w:w="89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835"/>
        <w:gridCol w:w="7293"/>
      </w:tblGrid>
      <w:tr w14:paraId="4A8F0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noWrap w:val="0"/>
            <w:vAlign w:val="center"/>
          </w:tcPr>
          <w:p w14:paraId="20EBC143">
            <w:pPr>
              <w:jc w:val="center"/>
              <w:rPr>
                <w:rFonts w:ascii="宋体" w:hAnsi="宋体"/>
                <w:sz w:val="24"/>
                <w:szCs w:val="24"/>
              </w:rPr>
            </w:pPr>
            <w:r>
              <w:rPr>
                <w:rFonts w:hint="eastAsia" w:ascii="宋体" w:hAnsi="宋体"/>
                <w:sz w:val="24"/>
                <w:szCs w:val="24"/>
              </w:rPr>
              <w:t>评分项目</w:t>
            </w:r>
          </w:p>
        </w:tc>
        <w:tc>
          <w:tcPr>
            <w:tcW w:w="835" w:type="dxa"/>
            <w:noWrap w:val="0"/>
            <w:vAlign w:val="center"/>
          </w:tcPr>
          <w:p w14:paraId="4C7AD6B4">
            <w:pPr>
              <w:jc w:val="both"/>
              <w:rPr>
                <w:rFonts w:ascii="宋体" w:hAnsi="宋体"/>
                <w:sz w:val="24"/>
                <w:szCs w:val="24"/>
              </w:rPr>
            </w:pPr>
            <w:r>
              <w:rPr>
                <w:rFonts w:hint="eastAsia" w:ascii="宋体" w:hAnsi="宋体"/>
                <w:sz w:val="24"/>
                <w:szCs w:val="24"/>
              </w:rPr>
              <w:t>分值</w:t>
            </w:r>
          </w:p>
        </w:tc>
        <w:tc>
          <w:tcPr>
            <w:tcW w:w="7293" w:type="dxa"/>
            <w:noWrap w:val="0"/>
            <w:vAlign w:val="center"/>
          </w:tcPr>
          <w:p w14:paraId="2DD1FAB6">
            <w:pPr>
              <w:jc w:val="center"/>
              <w:rPr>
                <w:rFonts w:ascii="宋体" w:hAnsi="宋体"/>
                <w:sz w:val="24"/>
                <w:szCs w:val="24"/>
              </w:rPr>
            </w:pPr>
            <w:r>
              <w:rPr>
                <w:rFonts w:hint="eastAsia" w:ascii="宋体" w:hAnsi="宋体"/>
                <w:sz w:val="24"/>
                <w:szCs w:val="24"/>
              </w:rPr>
              <w:t>评分标准</w:t>
            </w:r>
          </w:p>
        </w:tc>
      </w:tr>
      <w:tr w14:paraId="30B1F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noWrap w:val="0"/>
            <w:vAlign w:val="center"/>
          </w:tcPr>
          <w:p w14:paraId="19BF1FFB">
            <w:pPr>
              <w:jc w:val="center"/>
              <w:rPr>
                <w:sz w:val="24"/>
                <w:szCs w:val="24"/>
                <w:highlight w:val="none"/>
              </w:rPr>
            </w:pPr>
            <w:r>
              <w:rPr>
                <w:sz w:val="24"/>
                <w:szCs w:val="24"/>
                <w:highlight w:val="none"/>
              </w:rPr>
              <w:t>投标价格</w:t>
            </w:r>
          </w:p>
          <w:p w14:paraId="47BCDF2E">
            <w:pPr>
              <w:jc w:val="center"/>
              <w:rPr>
                <w:rFonts w:hint="eastAsia" w:ascii="宋体" w:hAnsi="宋体"/>
                <w:sz w:val="24"/>
                <w:szCs w:val="24"/>
                <w:highlight w:val="none"/>
              </w:rPr>
            </w:pPr>
          </w:p>
        </w:tc>
        <w:tc>
          <w:tcPr>
            <w:tcW w:w="835" w:type="dxa"/>
            <w:noWrap w:val="0"/>
            <w:vAlign w:val="center"/>
          </w:tcPr>
          <w:p w14:paraId="52063070">
            <w:pPr>
              <w:jc w:val="center"/>
              <w:rPr>
                <w:rFonts w:hint="eastAsia" w:ascii="宋体" w:hAnsi="宋体"/>
                <w:sz w:val="24"/>
                <w:szCs w:val="24"/>
                <w:highlight w:val="none"/>
              </w:rPr>
            </w:pPr>
            <w:r>
              <w:rPr>
                <w:rFonts w:hint="eastAsia" w:ascii="宋体" w:hAnsi="宋体" w:eastAsia="宋体" w:cs="Times New Roman"/>
                <w:sz w:val="24"/>
                <w:szCs w:val="24"/>
                <w:highlight w:val="none"/>
                <w:lang w:val="en-US" w:eastAsia="zh-CN"/>
              </w:rPr>
              <w:t>10</w:t>
            </w:r>
            <w:r>
              <w:rPr>
                <w:sz w:val="24"/>
                <w:szCs w:val="24"/>
                <w:highlight w:val="none"/>
              </w:rPr>
              <w:t>分</w:t>
            </w:r>
          </w:p>
        </w:tc>
        <w:tc>
          <w:tcPr>
            <w:tcW w:w="7293" w:type="dxa"/>
            <w:noWrap w:val="0"/>
            <w:vAlign w:val="center"/>
          </w:tcPr>
          <w:p w14:paraId="598EFD6B">
            <w:pPr>
              <w:spacing w:line="400" w:lineRule="exact"/>
              <w:ind w:firstLine="480" w:firstLineChars="200"/>
              <w:rPr>
                <w:rFonts w:hint="eastAsia"/>
                <w:sz w:val="24"/>
                <w:szCs w:val="24"/>
                <w:highlight w:val="none"/>
              </w:rPr>
            </w:pPr>
            <w:r>
              <w:rPr>
                <w:rFonts w:hint="eastAsia"/>
                <w:sz w:val="24"/>
                <w:szCs w:val="24"/>
                <w:highlight w:val="none"/>
              </w:rPr>
              <w:t>满足招标文件要求且投标价格最低的投标报价为评标基准价，其价格分为</w:t>
            </w:r>
            <w:r>
              <w:rPr>
                <w:rFonts w:hint="eastAsia"/>
                <w:sz w:val="24"/>
                <w:szCs w:val="24"/>
                <w:highlight w:val="none"/>
                <w:lang w:val="en-US" w:eastAsia="zh-CN"/>
              </w:rPr>
              <w:t>10</w:t>
            </w:r>
            <w:r>
              <w:rPr>
                <w:rFonts w:hint="eastAsia"/>
                <w:sz w:val="24"/>
                <w:szCs w:val="24"/>
                <w:highlight w:val="none"/>
              </w:rPr>
              <w:t>分。</w:t>
            </w:r>
          </w:p>
          <w:p w14:paraId="23D41B43">
            <w:pPr>
              <w:spacing w:line="400" w:lineRule="exact"/>
              <w:ind w:firstLine="480" w:firstLineChars="200"/>
              <w:rPr>
                <w:sz w:val="24"/>
                <w:szCs w:val="24"/>
                <w:highlight w:val="none"/>
              </w:rPr>
            </w:pPr>
            <w:r>
              <w:rPr>
                <w:rFonts w:hint="eastAsia"/>
                <w:sz w:val="24"/>
                <w:szCs w:val="24"/>
                <w:highlight w:val="none"/>
              </w:rPr>
              <w:t>其他投标人的价格分统一按照下列公式计算：投标报价得分=(评标基准价／投标报价)×</w:t>
            </w:r>
            <w:r>
              <w:rPr>
                <w:rFonts w:hint="eastAsia"/>
                <w:sz w:val="24"/>
                <w:szCs w:val="24"/>
                <w:highlight w:val="none"/>
                <w:lang w:val="en-US" w:eastAsia="zh-CN"/>
              </w:rPr>
              <w:t>10。</w:t>
            </w:r>
            <w:r>
              <w:rPr>
                <w:sz w:val="24"/>
                <w:szCs w:val="24"/>
                <w:highlight w:val="none"/>
              </w:rPr>
              <w:t>（</w:t>
            </w:r>
            <w:r>
              <w:rPr>
                <w:rFonts w:hint="eastAsia"/>
                <w:sz w:val="24"/>
                <w:szCs w:val="24"/>
                <w:highlight w:val="none"/>
              </w:rPr>
              <w:t>计算结果保留两位小数，第三位四舍五入</w:t>
            </w:r>
            <w:r>
              <w:rPr>
                <w:sz w:val="24"/>
                <w:szCs w:val="24"/>
                <w:highlight w:val="none"/>
              </w:rPr>
              <w:t>）。</w:t>
            </w:r>
          </w:p>
          <w:p w14:paraId="5E3AE521">
            <w:pPr>
              <w:spacing w:line="400" w:lineRule="exact"/>
              <w:ind w:firstLine="480" w:firstLineChars="200"/>
              <w:rPr>
                <w:rFonts w:hint="eastAsia"/>
                <w:sz w:val="24"/>
                <w:szCs w:val="24"/>
                <w:highlight w:val="none"/>
              </w:rPr>
            </w:pPr>
            <w:r>
              <w:rPr>
                <w:rFonts w:hint="eastAsia" w:ascii="宋体" w:hAnsi="宋体" w:eastAsia="宋体" w:cs="宋体"/>
                <w:color w:val="FF0000"/>
                <w:sz w:val="24"/>
              </w:rPr>
              <w:t>注意：评标委员会认为投标人的报价明显低于其他通过符合性审查投标人的报</w:t>
            </w:r>
            <w:r>
              <w:rPr>
                <w:rFonts w:hint="eastAsia" w:ascii="宋体" w:hAnsi="宋体" w:eastAsia="宋体" w:cs="宋体"/>
                <w:color w:val="FF0000"/>
                <w:sz w:val="24"/>
                <w:highlight w:val="none"/>
              </w:rPr>
              <w:t>价，有可能影响服务质量或者不能诚信履约的，应当要求其在评标现场合理的时间内提供书面说明，必要时提交相关证明材料；投标人不能证明其报价合理性的，评标委员会应当将其作为无效投标处理。</w:t>
            </w:r>
          </w:p>
        </w:tc>
      </w:tr>
      <w:tr w14:paraId="34952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noWrap w:val="0"/>
            <w:vAlign w:val="center"/>
          </w:tcPr>
          <w:p w14:paraId="77BC85EC">
            <w:pPr>
              <w:jc w:val="center"/>
              <w:rPr>
                <w:rFonts w:hint="default" w:ascii="宋体" w:hAnsi="宋体" w:eastAsiaTheme="minorEastAsia"/>
                <w:sz w:val="24"/>
                <w:szCs w:val="24"/>
                <w:highlight w:val="none"/>
                <w:lang w:val="en-US" w:eastAsia="zh-CN"/>
              </w:rPr>
            </w:pPr>
            <w:r>
              <w:rPr>
                <w:rFonts w:hint="eastAsia" w:ascii="宋体" w:hAnsi="宋体"/>
                <w:sz w:val="24"/>
                <w:szCs w:val="24"/>
                <w:highlight w:val="none"/>
                <w:lang w:val="en-US" w:eastAsia="zh-CN"/>
              </w:rPr>
              <w:t>知识产权</w:t>
            </w:r>
          </w:p>
        </w:tc>
        <w:tc>
          <w:tcPr>
            <w:tcW w:w="835" w:type="dxa"/>
            <w:noWrap w:val="0"/>
            <w:vAlign w:val="center"/>
          </w:tcPr>
          <w:p w14:paraId="4460069A">
            <w:pPr>
              <w:jc w:val="center"/>
              <w:rPr>
                <w:rFonts w:ascii="宋体" w:hAnsi="宋体"/>
                <w:sz w:val="24"/>
                <w:szCs w:val="24"/>
                <w:highlight w:val="none"/>
              </w:rPr>
            </w:pPr>
            <w:r>
              <w:rPr>
                <w:rFonts w:hint="eastAsia" w:ascii="宋体" w:hAnsi="宋体"/>
                <w:sz w:val="24"/>
                <w:szCs w:val="24"/>
                <w:highlight w:val="none"/>
                <w:lang w:val="en-US" w:eastAsia="zh-CN"/>
              </w:rPr>
              <w:t>2</w:t>
            </w:r>
            <w:r>
              <w:rPr>
                <w:rFonts w:hint="eastAsia" w:ascii="宋体" w:hAnsi="宋体"/>
                <w:sz w:val="24"/>
                <w:szCs w:val="24"/>
                <w:highlight w:val="none"/>
              </w:rPr>
              <w:t>分</w:t>
            </w:r>
          </w:p>
        </w:tc>
        <w:tc>
          <w:tcPr>
            <w:tcW w:w="7293" w:type="dxa"/>
            <w:noWrap w:val="0"/>
            <w:vAlign w:val="top"/>
          </w:tcPr>
          <w:p w14:paraId="05DCBBAC">
            <w:pPr>
              <w:spacing w:line="400" w:lineRule="exact"/>
              <w:ind w:firstLine="480" w:firstLineChars="200"/>
              <w:rPr>
                <w:rFonts w:hint="eastAsia" w:ascii="宋体" w:hAnsi="宋体" w:eastAsiaTheme="minorEastAsia"/>
                <w:b/>
                <w:bCs/>
                <w:color w:val="auto"/>
                <w:sz w:val="24"/>
                <w:szCs w:val="24"/>
                <w:highlight w:val="none"/>
                <w:lang w:eastAsia="zh-CN"/>
              </w:rPr>
            </w:pPr>
            <w:r>
              <w:rPr>
                <w:rFonts w:hint="eastAsia" w:ascii="宋体" w:hAnsi="宋体"/>
                <w:color w:val="auto"/>
                <w:sz w:val="24"/>
                <w:szCs w:val="24"/>
                <w:highlight w:val="none"/>
              </w:rPr>
              <w:t>投标人具有国家知识产权</w:t>
            </w:r>
            <w:r>
              <w:rPr>
                <w:rFonts w:hint="eastAsia" w:ascii="宋体" w:hAnsi="宋体"/>
                <w:color w:val="auto"/>
                <w:sz w:val="24"/>
                <w:szCs w:val="24"/>
                <w:highlight w:val="none"/>
                <w:lang w:val="en-US" w:eastAsia="zh-CN"/>
              </w:rPr>
              <w:t>行政主管</w:t>
            </w:r>
            <w:r>
              <w:rPr>
                <w:rFonts w:hint="eastAsia" w:ascii="宋体" w:hAnsi="宋体"/>
                <w:color w:val="auto"/>
                <w:sz w:val="24"/>
                <w:szCs w:val="24"/>
                <w:highlight w:val="none"/>
              </w:rPr>
              <w:t>部门颁发的智慧养老相关的软件自主知识产权(软件著作权或专利)得</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分</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投标人仅取得软件使用权的得1分</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本项</w:t>
            </w:r>
            <w:r>
              <w:rPr>
                <w:rFonts w:hint="eastAsia" w:ascii="宋体" w:hAnsi="宋体"/>
                <w:b/>
                <w:bCs/>
                <w:color w:val="auto"/>
                <w:sz w:val="24"/>
                <w:szCs w:val="24"/>
                <w:highlight w:val="none"/>
              </w:rPr>
              <w:t>最高得</w:t>
            </w:r>
            <w:r>
              <w:rPr>
                <w:rFonts w:hint="eastAsia" w:ascii="宋体" w:hAnsi="宋体"/>
                <w:b/>
                <w:bCs/>
                <w:color w:val="auto"/>
                <w:sz w:val="24"/>
                <w:szCs w:val="24"/>
                <w:highlight w:val="none"/>
                <w:lang w:val="en-US" w:eastAsia="zh-CN"/>
              </w:rPr>
              <w:t>2</w:t>
            </w:r>
            <w:r>
              <w:rPr>
                <w:rFonts w:hint="eastAsia" w:ascii="宋体" w:hAnsi="宋体"/>
                <w:b/>
                <w:bCs/>
                <w:color w:val="auto"/>
                <w:sz w:val="24"/>
                <w:szCs w:val="24"/>
                <w:highlight w:val="none"/>
              </w:rPr>
              <w:t>分。</w:t>
            </w:r>
          </w:p>
          <w:p w14:paraId="6BBD178B">
            <w:pPr>
              <w:spacing w:line="400" w:lineRule="exact"/>
              <w:ind w:firstLine="482" w:firstLineChars="20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注：1、</w:t>
            </w:r>
            <w:r>
              <w:rPr>
                <w:rFonts w:hint="eastAsia" w:ascii="宋体" w:hAnsi="宋体"/>
                <w:b/>
                <w:bCs/>
                <w:color w:val="auto"/>
                <w:sz w:val="24"/>
                <w:szCs w:val="24"/>
                <w:highlight w:val="none"/>
              </w:rPr>
              <w:t>投标人投标时须提供软件著作权登记或获专利证书</w:t>
            </w:r>
            <w:r>
              <w:rPr>
                <w:rFonts w:hint="eastAsia" w:ascii="宋体" w:hAnsi="宋体"/>
                <w:b/>
                <w:bCs/>
                <w:color w:val="auto"/>
                <w:sz w:val="24"/>
                <w:szCs w:val="24"/>
                <w:highlight w:val="none"/>
                <w:lang w:val="en-US" w:eastAsia="zh-CN"/>
              </w:rPr>
              <w:t>原件扫描件并加盖单位公章，未提供或提供不全的不得分。</w:t>
            </w:r>
          </w:p>
          <w:p w14:paraId="09942959">
            <w:pPr>
              <w:spacing w:line="400" w:lineRule="exact"/>
              <w:ind w:firstLine="482" w:firstLineChars="200"/>
              <w:rPr>
                <w:rFonts w:hint="eastAsia" w:ascii="宋体" w:hAnsi="宋体" w:eastAsia="宋体"/>
                <w:color w:val="auto"/>
                <w:sz w:val="24"/>
                <w:szCs w:val="24"/>
                <w:highlight w:val="none"/>
                <w:lang w:eastAsia="zh-CN"/>
              </w:rPr>
            </w:pPr>
            <w:r>
              <w:rPr>
                <w:rFonts w:hint="eastAsia" w:ascii="宋体" w:hAnsi="宋体"/>
                <w:b/>
                <w:bCs/>
                <w:color w:val="auto"/>
                <w:sz w:val="24"/>
                <w:szCs w:val="24"/>
                <w:highlight w:val="none"/>
                <w:lang w:val="en-US" w:eastAsia="zh-CN"/>
              </w:rPr>
              <w:t>2、仅有使用权的须同时提供：产权方的软件著作权或专利证书原件扫描件并加盖单位公章和产权方针对本项目出具的专项使用授权原件扫描件并加盖单位公章</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未提供或提供不全的不得分。</w:t>
            </w:r>
          </w:p>
        </w:tc>
      </w:tr>
      <w:tr w14:paraId="3A2D4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807" w:type="dxa"/>
            <w:noWrap w:val="0"/>
            <w:vAlign w:val="center"/>
          </w:tcPr>
          <w:p w14:paraId="0C27A255">
            <w:pPr>
              <w:jc w:val="center"/>
              <w:rPr>
                <w:rFonts w:ascii="宋体" w:hAnsi="宋体"/>
                <w:sz w:val="24"/>
                <w:szCs w:val="24"/>
              </w:rPr>
            </w:pPr>
            <w:r>
              <w:rPr>
                <w:rFonts w:hint="eastAsia" w:ascii="宋体" w:hAnsi="宋体"/>
                <w:sz w:val="24"/>
                <w:szCs w:val="24"/>
              </w:rPr>
              <w:t>技术保障</w:t>
            </w:r>
          </w:p>
        </w:tc>
        <w:tc>
          <w:tcPr>
            <w:tcW w:w="835" w:type="dxa"/>
            <w:noWrap w:val="0"/>
            <w:vAlign w:val="center"/>
          </w:tcPr>
          <w:p w14:paraId="5083666F">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分</w:t>
            </w:r>
          </w:p>
        </w:tc>
        <w:tc>
          <w:tcPr>
            <w:tcW w:w="7293" w:type="dxa"/>
            <w:noWrap w:val="0"/>
            <w:vAlign w:val="top"/>
          </w:tcPr>
          <w:p w14:paraId="661B952F">
            <w:pPr>
              <w:spacing w:line="400" w:lineRule="exact"/>
              <w:ind w:firstLine="480" w:firstLineChars="200"/>
              <w:rPr>
                <w:rFonts w:hint="eastAsia" w:ascii="宋体" w:hAnsi="宋体"/>
                <w:b/>
                <w:bCs/>
                <w:color w:val="auto"/>
                <w:sz w:val="24"/>
                <w:szCs w:val="24"/>
                <w:highlight w:val="none"/>
                <w:lang w:eastAsia="zh-CN"/>
              </w:rPr>
            </w:pP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投标人具有有资质的第三方认证机构出具的有效期内</w:t>
            </w:r>
            <w:r>
              <w:rPr>
                <w:rFonts w:hint="eastAsia" w:ascii="宋体" w:hAnsi="宋体"/>
                <w:color w:val="auto"/>
                <w:sz w:val="24"/>
                <w:szCs w:val="24"/>
                <w:highlight w:val="none"/>
                <w:lang w:val="en-US" w:eastAsia="zh-CN"/>
              </w:rPr>
              <w:t>的</w:t>
            </w:r>
            <w:r>
              <w:rPr>
                <w:rFonts w:hint="eastAsia" w:ascii="宋体" w:hAnsi="宋体"/>
                <w:color w:val="auto"/>
                <w:sz w:val="24"/>
                <w:szCs w:val="24"/>
                <w:highlight w:val="none"/>
              </w:rPr>
              <w:t>质量管理体系认证证书、职业健康安全管理体系认证</w:t>
            </w:r>
            <w:r>
              <w:rPr>
                <w:rFonts w:hint="eastAsia" w:ascii="宋体" w:hAnsi="宋体"/>
                <w:color w:val="auto"/>
                <w:sz w:val="24"/>
                <w:szCs w:val="24"/>
                <w:highlight w:val="none"/>
                <w:lang w:eastAsia="zh-CN"/>
              </w:rPr>
              <w:t>，</w:t>
            </w:r>
            <w:r>
              <w:rPr>
                <w:rFonts w:hint="eastAsia" w:ascii="宋体" w:hAnsi="宋体"/>
                <w:color w:val="auto"/>
                <w:sz w:val="24"/>
                <w:szCs w:val="24"/>
                <w:highlight w:val="none"/>
              </w:rPr>
              <w:t>每提供一种认证证书的</w:t>
            </w:r>
            <w:r>
              <w:rPr>
                <w:rFonts w:hint="eastAsia" w:ascii="宋体" w:hAnsi="宋体"/>
                <w:color w:val="auto"/>
                <w:sz w:val="24"/>
                <w:szCs w:val="24"/>
                <w:highlight w:val="none"/>
                <w:lang w:eastAsia="zh-CN"/>
              </w:rPr>
              <w:t>，</w:t>
            </w:r>
            <w:r>
              <w:rPr>
                <w:rFonts w:hint="eastAsia" w:ascii="宋体" w:hAnsi="宋体"/>
                <w:color w:val="auto"/>
                <w:sz w:val="24"/>
                <w:szCs w:val="24"/>
                <w:highlight w:val="none"/>
              </w:rPr>
              <w:t>得</w:t>
            </w:r>
            <w:r>
              <w:rPr>
                <w:rFonts w:hint="eastAsia" w:ascii="宋体" w:hAnsi="宋体"/>
                <w:color w:val="auto"/>
                <w:sz w:val="24"/>
                <w:szCs w:val="24"/>
                <w:highlight w:val="none"/>
                <w:lang w:val="en-US" w:eastAsia="zh-CN"/>
              </w:rPr>
              <w:t>1分</w:t>
            </w:r>
            <w:r>
              <w:rPr>
                <w:rFonts w:hint="eastAsia" w:ascii="宋体" w:hAnsi="宋体"/>
                <w:color w:val="auto"/>
                <w:sz w:val="24"/>
                <w:szCs w:val="24"/>
                <w:highlight w:val="none"/>
              </w:rPr>
              <w:t>，</w:t>
            </w:r>
            <w:r>
              <w:rPr>
                <w:rFonts w:hint="eastAsia" w:ascii="宋体" w:hAnsi="宋体"/>
                <w:b/>
                <w:bCs/>
                <w:color w:val="auto"/>
                <w:sz w:val="24"/>
                <w:szCs w:val="24"/>
                <w:highlight w:val="none"/>
                <w:lang w:val="en-US" w:eastAsia="zh-CN"/>
              </w:rPr>
              <w:t>本项</w:t>
            </w:r>
            <w:r>
              <w:rPr>
                <w:rFonts w:hint="eastAsia" w:ascii="宋体" w:hAnsi="宋体"/>
                <w:b/>
                <w:bCs/>
                <w:color w:val="auto"/>
                <w:sz w:val="24"/>
                <w:szCs w:val="24"/>
                <w:highlight w:val="none"/>
              </w:rPr>
              <w:t>最高得</w:t>
            </w:r>
            <w:r>
              <w:rPr>
                <w:rFonts w:hint="eastAsia" w:ascii="宋体" w:hAnsi="宋体"/>
                <w:b/>
                <w:bCs/>
                <w:color w:val="auto"/>
                <w:sz w:val="24"/>
                <w:szCs w:val="24"/>
                <w:highlight w:val="none"/>
                <w:lang w:val="en-US" w:eastAsia="zh-CN"/>
              </w:rPr>
              <w:t>2</w:t>
            </w:r>
            <w:r>
              <w:rPr>
                <w:rFonts w:hint="eastAsia" w:ascii="宋体" w:hAnsi="宋体"/>
                <w:b/>
                <w:bCs/>
                <w:color w:val="auto"/>
                <w:sz w:val="24"/>
                <w:szCs w:val="24"/>
                <w:highlight w:val="none"/>
              </w:rPr>
              <w:t>分</w:t>
            </w:r>
            <w:r>
              <w:rPr>
                <w:rFonts w:hint="eastAsia" w:ascii="宋体" w:hAnsi="宋体"/>
                <w:b/>
                <w:bCs/>
                <w:color w:val="auto"/>
                <w:sz w:val="24"/>
                <w:szCs w:val="24"/>
                <w:highlight w:val="none"/>
                <w:lang w:eastAsia="zh-CN"/>
              </w:rPr>
              <w:t>。</w:t>
            </w:r>
          </w:p>
          <w:p w14:paraId="2115D28A">
            <w:pPr>
              <w:spacing w:line="400" w:lineRule="exact"/>
              <w:ind w:firstLine="482" w:firstLineChars="200"/>
              <w:rPr>
                <w:rFonts w:hint="eastAsia" w:ascii="宋体" w:hAnsi="宋体"/>
                <w:b/>
                <w:bCs/>
                <w:color w:val="auto"/>
                <w:sz w:val="24"/>
                <w:szCs w:val="24"/>
                <w:highlight w:val="none"/>
                <w:lang w:eastAsia="zh-CN"/>
              </w:rPr>
            </w:pPr>
            <w:r>
              <w:rPr>
                <w:rFonts w:hint="eastAsia" w:ascii="宋体" w:hAnsi="宋体"/>
                <w:b/>
                <w:bCs/>
                <w:color w:val="auto"/>
                <w:sz w:val="24"/>
                <w:szCs w:val="24"/>
                <w:highlight w:val="none"/>
                <w:lang w:val="en-US" w:eastAsia="zh-CN"/>
              </w:rPr>
              <w:t>注：</w:t>
            </w:r>
            <w:r>
              <w:rPr>
                <w:rFonts w:hint="eastAsia" w:ascii="宋体" w:hAnsi="宋体"/>
                <w:b/>
                <w:bCs/>
                <w:color w:val="auto"/>
                <w:sz w:val="24"/>
                <w:szCs w:val="24"/>
                <w:highlight w:val="none"/>
              </w:rPr>
              <w:t>投标人投标时</w:t>
            </w:r>
            <w:r>
              <w:rPr>
                <w:rFonts w:hint="eastAsia" w:ascii="宋体" w:hAnsi="宋体"/>
                <w:b/>
                <w:bCs/>
                <w:color w:val="auto"/>
                <w:sz w:val="24"/>
                <w:szCs w:val="24"/>
                <w:highlight w:val="none"/>
                <w:lang w:val="en-US" w:eastAsia="zh-CN"/>
              </w:rPr>
              <w:t>须</w:t>
            </w:r>
            <w:r>
              <w:rPr>
                <w:rFonts w:hint="eastAsia" w:ascii="宋体" w:hAnsi="宋体"/>
                <w:b/>
                <w:bCs/>
                <w:color w:val="auto"/>
                <w:sz w:val="24"/>
                <w:szCs w:val="24"/>
                <w:highlight w:val="none"/>
              </w:rPr>
              <w:t>提供认证证书</w:t>
            </w:r>
            <w:r>
              <w:rPr>
                <w:rFonts w:hint="eastAsia" w:ascii="宋体" w:hAnsi="宋体"/>
                <w:b/>
                <w:bCs/>
                <w:color w:val="auto"/>
                <w:sz w:val="24"/>
                <w:szCs w:val="24"/>
                <w:highlight w:val="none"/>
                <w:lang w:val="en-US" w:eastAsia="zh-CN"/>
              </w:rPr>
              <w:t>扫描件并加盖单位公章</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未提供或提供不全的不得分。</w:t>
            </w:r>
          </w:p>
          <w:p w14:paraId="202A8C0F">
            <w:pPr>
              <w:numPr>
                <w:ilvl w:val="0"/>
                <w:numId w:val="4"/>
              </w:numPr>
              <w:spacing w:line="400" w:lineRule="exact"/>
              <w:ind w:firstLine="480" w:firstLineChars="200"/>
              <w:rPr>
                <w:rFonts w:hint="eastAsia" w:ascii="宋体" w:hAnsi="宋体"/>
                <w:b/>
                <w:bCs/>
                <w:color w:val="auto"/>
                <w:sz w:val="24"/>
                <w:szCs w:val="24"/>
                <w:highlight w:val="none"/>
                <w:lang w:val="en-US" w:eastAsia="zh-CN"/>
              </w:rPr>
            </w:pPr>
            <w:r>
              <w:rPr>
                <w:rFonts w:hint="eastAsia" w:ascii="宋体" w:hAnsi="宋体"/>
                <w:b w:val="0"/>
                <w:bCs w:val="0"/>
                <w:color w:val="auto"/>
                <w:sz w:val="24"/>
                <w:szCs w:val="24"/>
                <w:highlight w:val="none"/>
                <w:lang w:val="en-US" w:eastAsia="zh-CN"/>
              </w:rPr>
              <w:t>投标人具有有资质的第三方认证机构出具</w:t>
            </w:r>
            <w:r>
              <w:rPr>
                <w:rFonts w:hint="eastAsia" w:ascii="宋体" w:hAnsi="宋体"/>
                <w:color w:val="auto"/>
                <w:sz w:val="24"/>
                <w:szCs w:val="24"/>
                <w:highlight w:val="none"/>
              </w:rPr>
              <w:t>的有效期内</w:t>
            </w:r>
            <w:r>
              <w:rPr>
                <w:rFonts w:hint="eastAsia" w:ascii="宋体" w:hAnsi="宋体"/>
                <w:color w:val="auto"/>
                <w:sz w:val="24"/>
                <w:szCs w:val="24"/>
                <w:highlight w:val="none"/>
                <w:lang w:val="en-US" w:eastAsia="zh-CN"/>
              </w:rPr>
              <w:t>的</w:t>
            </w:r>
            <w:r>
              <w:rPr>
                <w:rFonts w:hint="eastAsia" w:ascii="宋体" w:hAnsi="宋体"/>
                <w:b w:val="0"/>
                <w:bCs w:val="0"/>
                <w:color w:val="auto"/>
                <w:sz w:val="24"/>
                <w:szCs w:val="24"/>
                <w:highlight w:val="none"/>
                <w:lang w:val="en-US" w:eastAsia="zh-CN"/>
              </w:rPr>
              <w:t>信息安全管理体系认证、信息技术服务管理体系认证，</w:t>
            </w:r>
            <w:r>
              <w:rPr>
                <w:rFonts w:hint="eastAsia" w:ascii="宋体" w:hAnsi="宋体"/>
                <w:color w:val="auto"/>
                <w:sz w:val="24"/>
                <w:szCs w:val="24"/>
                <w:highlight w:val="none"/>
              </w:rPr>
              <w:t>每提供一种认证证书的</w:t>
            </w:r>
            <w:r>
              <w:rPr>
                <w:rFonts w:hint="eastAsia" w:ascii="宋体" w:hAnsi="宋体"/>
                <w:color w:val="auto"/>
                <w:sz w:val="24"/>
                <w:szCs w:val="24"/>
                <w:highlight w:val="none"/>
                <w:lang w:eastAsia="zh-CN"/>
              </w:rPr>
              <w:t>，</w:t>
            </w:r>
            <w:r>
              <w:rPr>
                <w:rFonts w:hint="eastAsia" w:ascii="宋体" w:hAnsi="宋体"/>
                <w:b w:val="0"/>
                <w:bCs w:val="0"/>
                <w:color w:val="auto"/>
                <w:sz w:val="24"/>
                <w:szCs w:val="24"/>
                <w:highlight w:val="none"/>
                <w:lang w:val="en-US" w:eastAsia="zh-CN"/>
              </w:rPr>
              <w:t>得1分，</w:t>
            </w:r>
            <w:r>
              <w:rPr>
                <w:rFonts w:hint="eastAsia" w:ascii="宋体" w:hAnsi="宋体"/>
                <w:b/>
                <w:bCs/>
                <w:color w:val="auto"/>
                <w:sz w:val="24"/>
                <w:szCs w:val="24"/>
                <w:highlight w:val="none"/>
                <w:lang w:val="en-US" w:eastAsia="zh-CN"/>
              </w:rPr>
              <w:t>本项最高得2分。</w:t>
            </w:r>
          </w:p>
          <w:p w14:paraId="4E409A83">
            <w:pPr>
              <w:numPr>
                <w:ilvl w:val="0"/>
                <w:numId w:val="0"/>
              </w:numPr>
              <w:spacing w:line="400" w:lineRule="exact"/>
              <w:ind w:firstLine="482" w:firstLineChars="20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注：投标人投标时须提供认证证书扫描件并加盖单位公章，未提供或提供不全的不得分。</w:t>
            </w:r>
          </w:p>
          <w:p w14:paraId="61641672">
            <w:pPr>
              <w:numPr>
                <w:ilvl w:val="0"/>
                <w:numId w:val="4"/>
              </w:numPr>
              <w:spacing w:line="400" w:lineRule="exact"/>
              <w:ind w:left="0" w:leftChars="0" w:firstLine="480" w:firstLineChars="200"/>
              <w:rPr>
                <w:rFonts w:hint="eastAsia" w:ascii="宋体" w:hAnsi="宋体"/>
                <w:b/>
                <w:bCs/>
                <w:color w:val="auto"/>
                <w:sz w:val="24"/>
                <w:szCs w:val="24"/>
                <w:highlight w:val="none"/>
                <w:lang w:eastAsia="zh-CN"/>
              </w:rPr>
            </w:pPr>
            <w:r>
              <w:rPr>
                <w:rFonts w:hint="eastAsia" w:ascii="宋体" w:hAnsi="宋体"/>
                <w:b w:val="0"/>
                <w:bCs w:val="0"/>
                <w:color w:val="auto"/>
                <w:sz w:val="24"/>
                <w:szCs w:val="24"/>
                <w:highlight w:val="none"/>
                <w:lang w:val="en-US" w:eastAsia="zh-CN"/>
              </w:rPr>
              <w:t>投标人提供的平台满足三级等保要求的，得2分，</w:t>
            </w:r>
            <w:r>
              <w:rPr>
                <w:rFonts w:hint="eastAsia" w:ascii="宋体" w:hAnsi="宋体"/>
                <w:b/>
                <w:bCs/>
                <w:color w:val="auto"/>
                <w:sz w:val="24"/>
                <w:szCs w:val="24"/>
                <w:highlight w:val="none"/>
                <w:lang w:val="en-US" w:eastAsia="zh-CN"/>
              </w:rPr>
              <w:t>本项</w:t>
            </w:r>
            <w:r>
              <w:rPr>
                <w:rFonts w:hint="eastAsia" w:ascii="宋体" w:hAnsi="宋体"/>
                <w:b/>
                <w:bCs/>
                <w:color w:val="auto"/>
                <w:sz w:val="24"/>
                <w:szCs w:val="24"/>
                <w:highlight w:val="none"/>
              </w:rPr>
              <w:t>最高得</w:t>
            </w:r>
            <w:r>
              <w:rPr>
                <w:rFonts w:hint="eastAsia" w:ascii="宋体" w:hAnsi="宋体"/>
                <w:b/>
                <w:bCs/>
                <w:color w:val="auto"/>
                <w:sz w:val="24"/>
                <w:szCs w:val="24"/>
                <w:highlight w:val="none"/>
                <w:lang w:val="en-US" w:eastAsia="zh-CN"/>
              </w:rPr>
              <w:t>2</w:t>
            </w:r>
            <w:r>
              <w:rPr>
                <w:rFonts w:hint="eastAsia" w:ascii="宋体" w:hAnsi="宋体"/>
                <w:b/>
                <w:bCs/>
                <w:color w:val="auto"/>
                <w:sz w:val="24"/>
                <w:szCs w:val="24"/>
                <w:highlight w:val="none"/>
              </w:rPr>
              <w:t>分</w:t>
            </w:r>
            <w:r>
              <w:rPr>
                <w:rFonts w:hint="eastAsia" w:ascii="宋体" w:hAnsi="宋体"/>
                <w:b/>
                <w:bCs/>
                <w:color w:val="auto"/>
                <w:sz w:val="24"/>
                <w:szCs w:val="24"/>
                <w:highlight w:val="none"/>
                <w:lang w:eastAsia="zh-CN"/>
              </w:rPr>
              <w:t>。</w:t>
            </w:r>
          </w:p>
          <w:p w14:paraId="2355A4C1">
            <w:pPr>
              <w:numPr>
                <w:ilvl w:val="0"/>
                <w:numId w:val="0"/>
              </w:numPr>
              <w:spacing w:line="400" w:lineRule="exact"/>
              <w:ind w:firstLine="482" w:firstLineChars="200"/>
              <w:rPr>
                <w:rFonts w:hint="default"/>
                <w:color w:val="auto"/>
                <w:highlight w:val="none"/>
                <w:lang w:val="en-US" w:eastAsia="zh-CN"/>
              </w:rPr>
            </w:pPr>
            <w:r>
              <w:rPr>
                <w:rFonts w:hint="eastAsia" w:ascii="宋体" w:hAnsi="宋体"/>
                <w:b/>
                <w:bCs/>
                <w:color w:val="auto"/>
                <w:sz w:val="24"/>
                <w:szCs w:val="24"/>
                <w:highlight w:val="none"/>
                <w:lang w:val="en-US" w:eastAsia="zh-CN"/>
              </w:rPr>
              <w:t>注：需提供等保要求证明原件扫描件并加盖单位公章，不提供或提供不全的不得分。</w:t>
            </w:r>
          </w:p>
        </w:tc>
      </w:tr>
      <w:tr w14:paraId="39621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noWrap w:val="0"/>
            <w:vAlign w:val="center"/>
          </w:tcPr>
          <w:p w14:paraId="5E38BEAE">
            <w:pPr>
              <w:jc w:val="center"/>
              <w:rPr>
                <w:rFonts w:ascii="宋体" w:hAnsi="宋体"/>
                <w:sz w:val="24"/>
                <w:szCs w:val="24"/>
              </w:rPr>
            </w:pPr>
            <w:r>
              <w:rPr>
                <w:rFonts w:hint="eastAsia" w:ascii="宋体" w:hAnsi="宋体"/>
                <w:sz w:val="24"/>
                <w:szCs w:val="24"/>
              </w:rPr>
              <w:t>项目团队能力</w:t>
            </w:r>
          </w:p>
        </w:tc>
        <w:tc>
          <w:tcPr>
            <w:tcW w:w="835" w:type="dxa"/>
            <w:noWrap w:val="0"/>
            <w:vAlign w:val="center"/>
          </w:tcPr>
          <w:p w14:paraId="750AE555">
            <w:pPr>
              <w:jc w:val="center"/>
              <w:rPr>
                <w:rFonts w:ascii="宋体" w:hAnsi="宋体"/>
                <w:color w:val="auto"/>
                <w:sz w:val="24"/>
                <w:szCs w:val="24"/>
                <w:highlight w:val="none"/>
              </w:rPr>
            </w:pPr>
          </w:p>
          <w:p w14:paraId="2CCD020D">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分</w:t>
            </w:r>
          </w:p>
        </w:tc>
        <w:tc>
          <w:tcPr>
            <w:tcW w:w="7293" w:type="dxa"/>
            <w:noWrap w:val="0"/>
            <w:vAlign w:val="top"/>
          </w:tcPr>
          <w:p w14:paraId="0B140B2C">
            <w:pPr>
              <w:numPr>
                <w:ilvl w:val="0"/>
                <w:numId w:val="0"/>
              </w:numPr>
              <w:spacing w:line="40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针对本项目配备的项目负责人具有：具有网络与信息安全管理相关证书</w:t>
            </w:r>
            <w:r>
              <w:rPr>
                <w:rFonts w:hint="eastAsia" w:ascii="宋体" w:hAnsi="宋体"/>
                <w:color w:val="auto"/>
                <w:sz w:val="24"/>
                <w:szCs w:val="24"/>
                <w:highlight w:val="none"/>
                <w:lang w:val="en-US" w:eastAsia="zh-CN"/>
              </w:rPr>
              <w:t>的</w:t>
            </w:r>
            <w:r>
              <w:rPr>
                <w:rFonts w:hint="eastAsia" w:ascii="宋体" w:hAnsi="宋体"/>
                <w:color w:val="auto"/>
                <w:sz w:val="24"/>
                <w:szCs w:val="24"/>
                <w:highlight w:val="none"/>
              </w:rPr>
              <w:t>得</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分，</w:t>
            </w:r>
            <w:r>
              <w:rPr>
                <w:rFonts w:hint="eastAsia" w:ascii="宋体" w:hAnsi="宋体"/>
                <w:b/>
                <w:bCs/>
                <w:color w:val="auto"/>
                <w:sz w:val="24"/>
                <w:szCs w:val="24"/>
                <w:highlight w:val="none"/>
              </w:rPr>
              <w:t>本项</w:t>
            </w:r>
            <w:r>
              <w:rPr>
                <w:rFonts w:hint="eastAsia" w:ascii="宋体" w:hAnsi="宋体"/>
                <w:b/>
                <w:bCs/>
                <w:color w:val="auto"/>
                <w:sz w:val="24"/>
                <w:szCs w:val="24"/>
                <w:highlight w:val="none"/>
                <w:lang w:val="en-US" w:eastAsia="zh-CN"/>
              </w:rPr>
              <w:t>最高得1</w:t>
            </w:r>
            <w:r>
              <w:rPr>
                <w:rFonts w:hint="eastAsia" w:ascii="宋体" w:hAnsi="宋体"/>
                <w:b/>
                <w:bCs/>
                <w:color w:val="auto"/>
                <w:sz w:val="24"/>
                <w:szCs w:val="24"/>
                <w:highlight w:val="none"/>
              </w:rPr>
              <w:t>分。</w:t>
            </w:r>
          </w:p>
          <w:p w14:paraId="43B1EAF5">
            <w:pPr>
              <w:numPr>
                <w:ilvl w:val="0"/>
                <w:numId w:val="0"/>
              </w:numPr>
              <w:spacing w:line="400" w:lineRule="exact"/>
              <w:ind w:firstLine="480" w:firstLineChars="200"/>
              <w:rPr>
                <w:rFonts w:hint="eastAsia" w:ascii="宋体" w:hAnsi="宋体"/>
                <w:b/>
                <w:bCs/>
                <w:color w:val="auto"/>
                <w:sz w:val="24"/>
                <w:szCs w:val="24"/>
                <w:highlight w:val="none"/>
              </w:rPr>
            </w:pPr>
            <w:r>
              <w:rPr>
                <w:rFonts w:hint="eastAsia" w:ascii="宋体" w:hAnsi="宋体"/>
                <w:b w:val="0"/>
                <w:bCs w:val="0"/>
                <w:color w:val="auto"/>
                <w:sz w:val="24"/>
                <w:szCs w:val="24"/>
                <w:highlight w:val="none"/>
                <w:lang w:val="en-US" w:eastAsia="zh-CN"/>
              </w:rPr>
              <w:t>2.</w:t>
            </w:r>
            <w:r>
              <w:rPr>
                <w:rFonts w:hint="eastAsia" w:ascii="宋体" w:hAnsi="宋体"/>
                <w:b w:val="0"/>
                <w:bCs w:val="0"/>
                <w:color w:val="auto"/>
                <w:sz w:val="24"/>
                <w:szCs w:val="24"/>
                <w:highlight w:val="none"/>
              </w:rPr>
              <w:t>为智</w:t>
            </w:r>
            <w:r>
              <w:rPr>
                <w:rFonts w:hint="eastAsia" w:ascii="宋体" w:hAnsi="宋体"/>
                <w:color w:val="auto"/>
                <w:sz w:val="24"/>
                <w:szCs w:val="24"/>
                <w:highlight w:val="none"/>
              </w:rPr>
              <w:t>慧养老服务平台配备具备专业人员支撑运营。每配备1名高新技术网络管理员</w:t>
            </w:r>
            <w:r>
              <w:rPr>
                <w:rFonts w:hint="eastAsia" w:ascii="宋体" w:hAnsi="宋体"/>
                <w:color w:val="auto"/>
                <w:sz w:val="24"/>
                <w:szCs w:val="24"/>
                <w:highlight w:val="none"/>
                <w:lang w:val="en-US" w:eastAsia="zh-CN"/>
              </w:rPr>
              <w:t>或</w:t>
            </w:r>
            <w:r>
              <w:rPr>
                <w:rFonts w:hint="eastAsia" w:ascii="宋体" w:hAnsi="宋体"/>
                <w:color w:val="auto"/>
                <w:sz w:val="24"/>
                <w:szCs w:val="24"/>
                <w:highlight w:val="none"/>
              </w:rPr>
              <w:t>系统分析师的得</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分，</w:t>
            </w:r>
            <w:r>
              <w:rPr>
                <w:rFonts w:hint="eastAsia" w:ascii="宋体" w:hAnsi="宋体"/>
                <w:b/>
                <w:bCs/>
                <w:color w:val="auto"/>
                <w:sz w:val="24"/>
                <w:szCs w:val="24"/>
                <w:highlight w:val="none"/>
              </w:rPr>
              <w:t>本项最高得</w:t>
            </w:r>
            <w:r>
              <w:rPr>
                <w:rFonts w:hint="eastAsia" w:ascii="宋体" w:hAnsi="宋体"/>
                <w:b/>
                <w:bCs/>
                <w:color w:val="auto"/>
                <w:sz w:val="24"/>
                <w:szCs w:val="24"/>
                <w:highlight w:val="none"/>
                <w:lang w:val="en-US" w:eastAsia="zh-CN"/>
              </w:rPr>
              <w:t>1</w:t>
            </w:r>
            <w:r>
              <w:rPr>
                <w:rFonts w:hint="eastAsia" w:ascii="宋体" w:hAnsi="宋体"/>
                <w:b/>
                <w:bCs/>
                <w:color w:val="auto"/>
                <w:sz w:val="24"/>
                <w:szCs w:val="24"/>
                <w:highlight w:val="none"/>
              </w:rPr>
              <w:t>分。</w:t>
            </w:r>
          </w:p>
          <w:p w14:paraId="79B61C1B">
            <w:pPr>
              <w:numPr>
                <w:ilvl w:val="0"/>
                <w:numId w:val="0"/>
              </w:numPr>
              <w:spacing w:line="400" w:lineRule="exact"/>
              <w:ind w:firstLine="480" w:firstLineChars="200"/>
              <w:rPr>
                <w:rFonts w:hint="eastAsia" w:ascii="宋体" w:hAnsi="宋体"/>
                <w:b/>
                <w:bCs/>
                <w:color w:val="auto"/>
                <w:sz w:val="24"/>
                <w:szCs w:val="24"/>
                <w:highlight w:val="none"/>
                <w:lang w:val="en-US" w:eastAsia="zh-CN"/>
              </w:rPr>
            </w:pPr>
            <w:r>
              <w:rPr>
                <w:rFonts w:hint="eastAsia" w:ascii="宋体" w:hAnsi="宋体"/>
                <w:color w:val="auto"/>
                <w:sz w:val="24"/>
                <w:szCs w:val="24"/>
                <w:highlight w:val="none"/>
                <w:lang w:val="en-US" w:eastAsia="zh-CN"/>
              </w:rPr>
              <w:t>3.安全管理中心人员配置：配备须满足5名持有中级消防设施操作员证书的专职人员（消防远程控制中心持证专职人员可一并计入总数），每多配备1名得1分，</w:t>
            </w:r>
            <w:r>
              <w:rPr>
                <w:rFonts w:hint="eastAsia" w:ascii="宋体" w:hAnsi="宋体"/>
                <w:b/>
                <w:bCs/>
                <w:color w:val="auto"/>
                <w:sz w:val="24"/>
                <w:szCs w:val="24"/>
                <w:highlight w:val="none"/>
                <w:lang w:val="en-US" w:eastAsia="zh-CN"/>
              </w:rPr>
              <w:t>本项最高得3分。</w:t>
            </w:r>
          </w:p>
          <w:p w14:paraId="4439C7B3">
            <w:pPr>
              <w:pStyle w:val="2"/>
              <w:ind w:firstLine="480" w:firstLineChars="200"/>
              <w:rPr>
                <w:rFonts w:hint="default"/>
                <w:color w:val="auto"/>
                <w:highlight w:val="none"/>
                <w:lang w:val="en-US" w:eastAsia="zh-CN"/>
              </w:rPr>
            </w:pPr>
            <w:r>
              <w:rPr>
                <w:rFonts w:hint="eastAsia" w:hAnsi="宋体" w:cstheme="minorBidi"/>
                <w:color w:val="auto"/>
                <w:kern w:val="2"/>
                <w:sz w:val="24"/>
                <w:szCs w:val="24"/>
                <w:highlight w:val="none"/>
                <w:lang w:val="en-US" w:eastAsia="zh-CN" w:bidi="ar-SA"/>
              </w:rPr>
              <w:t>4</w:t>
            </w:r>
            <w:r>
              <w:rPr>
                <w:rFonts w:hint="eastAsia" w:ascii="宋体" w:hAnsi="宋体" w:eastAsiaTheme="minorEastAsia" w:cstheme="minorBidi"/>
                <w:color w:val="auto"/>
                <w:kern w:val="2"/>
                <w:sz w:val="24"/>
                <w:szCs w:val="24"/>
                <w:highlight w:val="none"/>
                <w:lang w:val="en-US" w:eastAsia="zh-CN" w:bidi="ar-SA"/>
              </w:rPr>
              <w:t>、项目组成员中（除项目负责人）</w:t>
            </w:r>
            <w:r>
              <w:rPr>
                <w:rFonts w:hint="eastAsia" w:hAnsi="宋体" w:cstheme="minorBidi"/>
                <w:color w:val="auto"/>
                <w:kern w:val="2"/>
                <w:sz w:val="24"/>
                <w:szCs w:val="24"/>
                <w:highlight w:val="none"/>
                <w:lang w:val="en-US" w:eastAsia="zh-CN" w:bidi="ar-SA"/>
              </w:rPr>
              <w:t>具有</w:t>
            </w:r>
            <w:r>
              <w:rPr>
                <w:rFonts w:hint="eastAsia" w:ascii="宋体" w:hAnsi="宋体" w:eastAsiaTheme="minorEastAsia" w:cstheme="minorBidi"/>
                <w:color w:val="auto"/>
                <w:kern w:val="2"/>
                <w:sz w:val="24"/>
                <w:szCs w:val="24"/>
                <w:highlight w:val="none"/>
                <w:lang w:val="en-US" w:eastAsia="zh-CN" w:bidi="ar-SA"/>
              </w:rPr>
              <w:t>中级及以上养老护理员证书、老年人能力评估师证书</w:t>
            </w:r>
            <w:r>
              <w:rPr>
                <w:rFonts w:hint="eastAsia" w:hAnsi="宋体" w:cstheme="minorBidi"/>
                <w:color w:val="auto"/>
                <w:kern w:val="2"/>
                <w:sz w:val="24"/>
                <w:szCs w:val="24"/>
                <w:highlight w:val="none"/>
                <w:lang w:val="en-US" w:eastAsia="zh-CN" w:bidi="ar-SA"/>
              </w:rPr>
              <w:t>、</w:t>
            </w:r>
            <w:r>
              <w:rPr>
                <w:rFonts w:hint="eastAsia" w:ascii="宋体" w:hAnsi="宋体" w:eastAsiaTheme="minorEastAsia" w:cstheme="minorBidi"/>
                <w:color w:val="auto"/>
                <w:kern w:val="2"/>
                <w:sz w:val="24"/>
                <w:szCs w:val="24"/>
                <w:highlight w:val="none"/>
                <w:lang w:val="en-US" w:eastAsia="zh-CN" w:bidi="ar-SA"/>
              </w:rPr>
              <w:t>社工师证书、</w:t>
            </w:r>
            <w:r>
              <w:rPr>
                <w:rFonts w:hint="eastAsia" w:hAnsi="宋体" w:cstheme="minorBidi"/>
                <w:color w:val="auto"/>
                <w:kern w:val="2"/>
                <w:sz w:val="24"/>
                <w:szCs w:val="24"/>
                <w:highlight w:val="none"/>
                <w:lang w:val="en-US" w:eastAsia="zh-CN" w:bidi="ar-SA"/>
              </w:rPr>
              <w:t>会计师证书</w:t>
            </w:r>
            <w:r>
              <w:rPr>
                <w:rFonts w:hint="eastAsia" w:ascii="宋体" w:hAnsi="宋体" w:eastAsiaTheme="minorEastAsia" w:cstheme="minorBidi"/>
                <w:color w:val="auto"/>
                <w:kern w:val="2"/>
                <w:sz w:val="24"/>
                <w:szCs w:val="24"/>
                <w:highlight w:val="none"/>
                <w:lang w:val="en-US" w:eastAsia="zh-CN" w:bidi="ar-SA"/>
              </w:rPr>
              <w:t>的，每提供一个类别的证书得1分，</w:t>
            </w:r>
            <w:r>
              <w:rPr>
                <w:rFonts w:hint="eastAsia" w:ascii="宋体" w:hAnsi="宋体" w:eastAsiaTheme="minorEastAsia" w:cstheme="minorBidi"/>
                <w:b/>
                <w:bCs/>
                <w:color w:val="auto"/>
                <w:kern w:val="2"/>
                <w:sz w:val="24"/>
                <w:szCs w:val="24"/>
                <w:highlight w:val="none"/>
                <w:lang w:val="en-US" w:eastAsia="zh-CN" w:bidi="ar-SA"/>
              </w:rPr>
              <w:t>本项最高得</w:t>
            </w:r>
            <w:r>
              <w:rPr>
                <w:rFonts w:hint="eastAsia" w:hAnsi="宋体" w:cstheme="minorBidi"/>
                <w:b/>
                <w:bCs/>
                <w:color w:val="auto"/>
                <w:kern w:val="2"/>
                <w:sz w:val="24"/>
                <w:szCs w:val="24"/>
                <w:highlight w:val="none"/>
                <w:lang w:val="en-US" w:eastAsia="zh-CN" w:bidi="ar-SA"/>
              </w:rPr>
              <w:t>3</w:t>
            </w:r>
            <w:r>
              <w:rPr>
                <w:rFonts w:hint="eastAsia" w:ascii="宋体" w:hAnsi="宋体" w:eastAsiaTheme="minorEastAsia" w:cstheme="minorBidi"/>
                <w:b/>
                <w:bCs/>
                <w:color w:val="auto"/>
                <w:kern w:val="2"/>
                <w:sz w:val="24"/>
                <w:szCs w:val="24"/>
                <w:highlight w:val="none"/>
                <w:lang w:val="en-US" w:eastAsia="zh-CN" w:bidi="ar-SA"/>
              </w:rPr>
              <w:t>分。</w:t>
            </w:r>
          </w:p>
          <w:p w14:paraId="7DD823EB">
            <w:pPr>
              <w:numPr>
                <w:ilvl w:val="0"/>
                <w:numId w:val="0"/>
              </w:numPr>
              <w:spacing w:line="400" w:lineRule="exact"/>
              <w:ind w:firstLine="482" w:firstLineChars="200"/>
              <w:rPr>
                <w:rFonts w:hint="eastAsia" w:ascii="宋体" w:hAnsi="宋体" w:eastAsia="宋体"/>
                <w:color w:val="auto"/>
                <w:sz w:val="24"/>
                <w:szCs w:val="24"/>
                <w:highlight w:val="none"/>
                <w:lang w:eastAsia="zh-CN"/>
              </w:rPr>
            </w:pPr>
            <w:r>
              <w:rPr>
                <w:rFonts w:hint="eastAsia" w:ascii="宋体" w:hAnsi="宋体"/>
                <w:b/>
                <w:bCs/>
                <w:color w:val="auto"/>
                <w:sz w:val="24"/>
                <w:szCs w:val="24"/>
                <w:highlight w:val="none"/>
                <w:lang w:val="en-US" w:eastAsia="zh-CN"/>
              </w:rPr>
              <w:t>注：上述人员须提供证书原件扫描件以及人员合同原件扫描件并加盖单位公章或提供本项目开标前3个月内任意1个月在本单位缴纳社会养老保险的证明加盖投标单位公章，不提供或提供不全不得分。</w:t>
            </w:r>
          </w:p>
        </w:tc>
      </w:tr>
      <w:tr w14:paraId="40E07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noWrap w:val="0"/>
            <w:vAlign w:val="center"/>
          </w:tcPr>
          <w:p w14:paraId="089E5F0D">
            <w:pPr>
              <w:jc w:val="center"/>
              <w:rPr>
                <w:rFonts w:ascii="宋体" w:hAnsi="宋体"/>
                <w:sz w:val="24"/>
                <w:szCs w:val="24"/>
              </w:rPr>
            </w:pPr>
            <w:r>
              <w:rPr>
                <w:rFonts w:hint="eastAsia" w:ascii="宋体" w:hAnsi="宋体"/>
                <w:sz w:val="24"/>
                <w:szCs w:val="24"/>
              </w:rPr>
              <w:t>业绩</w:t>
            </w:r>
          </w:p>
        </w:tc>
        <w:tc>
          <w:tcPr>
            <w:tcW w:w="835" w:type="dxa"/>
            <w:noWrap w:val="0"/>
            <w:vAlign w:val="center"/>
          </w:tcPr>
          <w:p w14:paraId="11459151">
            <w:pPr>
              <w:jc w:val="center"/>
              <w:rPr>
                <w:rFonts w:ascii="宋体" w:hAnsi="宋体"/>
                <w:sz w:val="24"/>
                <w:szCs w:val="24"/>
              </w:rPr>
            </w:pPr>
            <w:r>
              <w:rPr>
                <w:rFonts w:hint="eastAsia" w:ascii="宋体" w:hAnsi="宋体"/>
                <w:sz w:val="24"/>
                <w:szCs w:val="24"/>
                <w:lang w:val="en-US" w:eastAsia="zh-CN"/>
              </w:rPr>
              <w:t>4</w:t>
            </w:r>
            <w:r>
              <w:rPr>
                <w:rFonts w:hint="eastAsia" w:ascii="宋体" w:hAnsi="宋体"/>
                <w:sz w:val="24"/>
                <w:szCs w:val="24"/>
              </w:rPr>
              <w:t>分</w:t>
            </w:r>
          </w:p>
        </w:tc>
        <w:tc>
          <w:tcPr>
            <w:tcW w:w="7293" w:type="dxa"/>
            <w:noWrap w:val="0"/>
            <w:vAlign w:val="top"/>
          </w:tcPr>
          <w:p w14:paraId="2E9C1A6C">
            <w:pPr>
              <w:spacing w:line="400" w:lineRule="exact"/>
              <w:ind w:firstLine="480" w:firstLineChars="200"/>
              <w:rPr>
                <w:rFonts w:hint="eastAsia" w:ascii="宋体" w:hAnsi="宋体"/>
                <w:sz w:val="24"/>
                <w:szCs w:val="24"/>
                <w:highlight w:val="none"/>
              </w:rPr>
            </w:pPr>
            <w:r>
              <w:rPr>
                <w:rFonts w:hint="eastAsia" w:ascii="宋体" w:hAnsi="宋体"/>
                <w:sz w:val="24"/>
                <w:szCs w:val="24"/>
                <w:highlight w:val="none"/>
                <w:lang w:val="en-US" w:eastAsia="zh-CN"/>
              </w:rPr>
              <w:t>1.自2023年1月1日投标人</w:t>
            </w:r>
            <w:r>
              <w:rPr>
                <w:rFonts w:hint="eastAsia" w:ascii="宋体" w:hAnsi="宋体"/>
                <w:sz w:val="24"/>
                <w:szCs w:val="24"/>
                <w:highlight w:val="none"/>
                <w:lang w:eastAsia="zh-CN"/>
              </w:rPr>
              <w:t>承接过类似</w:t>
            </w:r>
            <w:r>
              <w:rPr>
                <w:rFonts w:hint="eastAsia" w:ascii="宋体" w:hAnsi="宋体"/>
                <w:sz w:val="24"/>
                <w:szCs w:val="24"/>
                <w:highlight w:val="none"/>
                <w:lang w:val="en-US" w:eastAsia="zh-CN"/>
              </w:rPr>
              <w:t>项目</w:t>
            </w:r>
            <w:r>
              <w:rPr>
                <w:rFonts w:hint="eastAsia" w:ascii="宋体" w:hAnsi="宋体"/>
                <w:sz w:val="24"/>
                <w:szCs w:val="24"/>
                <w:highlight w:val="none"/>
                <w:lang w:eastAsia="zh-CN"/>
              </w:rPr>
              <w:t>业绩的</w:t>
            </w:r>
            <w:r>
              <w:rPr>
                <w:rFonts w:hint="eastAsia" w:ascii="宋体" w:hAnsi="宋体"/>
                <w:sz w:val="24"/>
                <w:szCs w:val="24"/>
                <w:highlight w:val="none"/>
                <w:lang w:val="en-US" w:eastAsia="zh-CN"/>
              </w:rPr>
              <w:t>，</w:t>
            </w:r>
            <w:r>
              <w:rPr>
                <w:rFonts w:hint="eastAsia" w:ascii="宋体" w:hAnsi="宋体"/>
                <w:sz w:val="24"/>
                <w:szCs w:val="24"/>
                <w:highlight w:val="none"/>
              </w:rPr>
              <w:t>得</w:t>
            </w:r>
            <w:r>
              <w:rPr>
                <w:rFonts w:hint="eastAsia" w:ascii="宋体" w:hAnsi="宋体"/>
                <w:sz w:val="24"/>
                <w:szCs w:val="24"/>
                <w:highlight w:val="none"/>
                <w:lang w:val="en-US" w:eastAsia="zh-CN"/>
              </w:rPr>
              <w:t>2</w:t>
            </w:r>
            <w:r>
              <w:rPr>
                <w:rFonts w:hint="eastAsia" w:ascii="宋体" w:hAnsi="宋体"/>
                <w:sz w:val="24"/>
                <w:szCs w:val="24"/>
                <w:highlight w:val="none"/>
              </w:rPr>
              <w:t>分，</w:t>
            </w:r>
            <w:r>
              <w:rPr>
                <w:rFonts w:hint="eastAsia" w:ascii="宋体" w:hAnsi="宋体"/>
                <w:b/>
                <w:bCs/>
                <w:sz w:val="24"/>
                <w:szCs w:val="24"/>
                <w:highlight w:val="none"/>
              </w:rPr>
              <w:t>本项最高得</w:t>
            </w:r>
            <w:r>
              <w:rPr>
                <w:rFonts w:hint="eastAsia" w:ascii="宋体" w:hAnsi="宋体"/>
                <w:b/>
                <w:bCs/>
                <w:sz w:val="24"/>
                <w:szCs w:val="24"/>
                <w:highlight w:val="none"/>
                <w:lang w:val="en-US" w:eastAsia="zh-CN"/>
              </w:rPr>
              <w:t>4</w:t>
            </w:r>
            <w:r>
              <w:rPr>
                <w:rFonts w:hint="eastAsia" w:ascii="宋体" w:hAnsi="宋体"/>
                <w:b/>
                <w:bCs/>
                <w:sz w:val="24"/>
                <w:szCs w:val="24"/>
                <w:highlight w:val="none"/>
              </w:rPr>
              <w:t>分</w:t>
            </w:r>
            <w:r>
              <w:rPr>
                <w:rFonts w:hint="eastAsia" w:ascii="宋体" w:hAnsi="宋体"/>
                <w:sz w:val="24"/>
                <w:szCs w:val="24"/>
                <w:highlight w:val="none"/>
              </w:rPr>
              <w:t>。</w:t>
            </w:r>
          </w:p>
          <w:p w14:paraId="0C0E6EA4">
            <w:pPr>
              <w:spacing w:line="400" w:lineRule="exact"/>
              <w:ind w:firstLine="482" w:firstLineChars="200"/>
              <w:rPr>
                <w:rFonts w:hint="default" w:ascii="宋体" w:hAnsi="宋体"/>
                <w:sz w:val="24"/>
                <w:szCs w:val="24"/>
                <w:highlight w:val="none"/>
                <w:lang w:val="en-US" w:eastAsia="zh-CN"/>
              </w:rPr>
            </w:pPr>
            <w:r>
              <w:rPr>
                <w:rFonts w:hint="eastAsia" w:ascii="宋体" w:hAnsi="宋体"/>
                <w:b/>
                <w:bCs/>
                <w:sz w:val="24"/>
                <w:szCs w:val="24"/>
                <w:highlight w:val="none"/>
                <w:lang w:val="en-US" w:eastAsia="zh-CN"/>
              </w:rPr>
              <w:t>注：上述相关的项目业绩，需提供中标通知书、合同原件扫描件并加盖单位公章，合同中必须体现甲乙双方单位名称及项目内容，不提供或提供不全不得分。</w:t>
            </w:r>
          </w:p>
        </w:tc>
      </w:tr>
      <w:tr w14:paraId="3DBD0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noWrap w:val="0"/>
            <w:vAlign w:val="center"/>
          </w:tcPr>
          <w:p w14:paraId="1B64804C">
            <w:pPr>
              <w:jc w:val="center"/>
              <w:rPr>
                <w:rFonts w:hint="eastAsia" w:ascii="宋体" w:hAnsi="宋体"/>
                <w:sz w:val="24"/>
                <w:szCs w:val="24"/>
                <w:highlight w:val="none"/>
              </w:rPr>
            </w:pPr>
            <w:r>
              <w:rPr>
                <w:rFonts w:hint="eastAsia" w:ascii="宋体" w:hAnsi="宋体" w:eastAsia="宋体" w:cs="宋体"/>
                <w:color w:val="auto"/>
                <w:kern w:val="0"/>
                <w:sz w:val="21"/>
                <w:szCs w:val="20"/>
                <w:highlight w:val="none"/>
                <w:lang w:bidi="ar"/>
              </w:rPr>
              <w:t>功能</w:t>
            </w:r>
            <w:r>
              <w:rPr>
                <w:rFonts w:hint="eastAsia" w:ascii="宋体" w:hAnsi="宋体" w:eastAsia="宋体" w:cs="宋体"/>
                <w:color w:val="auto"/>
                <w:kern w:val="0"/>
                <w:sz w:val="21"/>
                <w:szCs w:val="20"/>
                <w:highlight w:val="none"/>
                <w:lang w:val="en-US" w:eastAsia="zh-CN" w:bidi="ar"/>
              </w:rPr>
              <w:t>演示</w:t>
            </w:r>
          </w:p>
        </w:tc>
        <w:tc>
          <w:tcPr>
            <w:tcW w:w="835" w:type="dxa"/>
            <w:noWrap w:val="0"/>
            <w:vAlign w:val="center"/>
          </w:tcPr>
          <w:p w14:paraId="53BF615F">
            <w:pPr>
              <w:jc w:val="center"/>
              <w:rPr>
                <w:rFonts w:hint="default" w:ascii="宋体" w:hAnsi="宋体" w:eastAsiaTheme="minorEastAsia"/>
                <w:sz w:val="24"/>
                <w:szCs w:val="24"/>
                <w:highlight w:val="none"/>
                <w:lang w:val="en-US" w:eastAsia="zh-CN"/>
              </w:rPr>
            </w:pPr>
            <w:r>
              <w:rPr>
                <w:rFonts w:hint="eastAsia" w:ascii="宋体" w:hAnsi="宋体" w:eastAsia="宋体" w:cs="宋体"/>
                <w:color w:val="auto"/>
                <w:kern w:val="0"/>
                <w:sz w:val="21"/>
                <w:szCs w:val="20"/>
                <w:highlight w:val="none"/>
                <w:lang w:val="en-US" w:eastAsia="zh-CN" w:bidi="ar"/>
              </w:rPr>
              <w:t>5分</w:t>
            </w:r>
          </w:p>
        </w:tc>
        <w:tc>
          <w:tcPr>
            <w:tcW w:w="7293" w:type="dxa"/>
            <w:noWrap w:val="0"/>
            <w:vAlign w:val="top"/>
          </w:tcPr>
          <w:p w14:paraId="1AFE1422">
            <w:pPr>
              <w:pStyle w:val="36"/>
              <w:spacing w:beforeAutospacing="0" w:afterAutospacing="0" w:line="360" w:lineRule="auto"/>
              <w:ind w:firstLine="480"/>
              <w:jc w:val="both"/>
              <w:rPr>
                <w:rFonts w:hint="eastAsia" w:ascii="宋体" w:hAnsi="宋体"/>
                <w:b/>
                <w:bCs/>
                <w:color w:val="auto"/>
                <w:sz w:val="24"/>
                <w:szCs w:val="24"/>
                <w:highlight w:val="none"/>
                <w:lang w:val="en-US" w:eastAsia="zh-CN"/>
              </w:rPr>
            </w:pPr>
            <w:r>
              <w:rPr>
                <w:rFonts w:hint="eastAsia" w:ascii="宋体" w:hAnsi="宋体" w:cs="宋体"/>
                <w:b/>
                <w:bCs/>
                <w:color w:val="auto"/>
                <w:sz w:val="24"/>
                <w:szCs w:val="24"/>
                <w:highlight w:val="none"/>
                <w:lang w:val="en-US" w:eastAsia="zh-CN" w:bidi="ar-SA"/>
              </w:rPr>
              <w:t>投标人现场</w:t>
            </w:r>
            <w:r>
              <w:rPr>
                <w:rFonts w:hint="eastAsia" w:ascii="宋体" w:hAnsi="宋体" w:cs="宋体" w:eastAsiaTheme="minorEastAsia"/>
                <w:b/>
                <w:bCs/>
                <w:color w:val="auto"/>
                <w:sz w:val="24"/>
                <w:szCs w:val="24"/>
                <w:highlight w:val="none"/>
                <w:lang w:val="en-US" w:eastAsia="zh-CN" w:bidi="ar-SA"/>
              </w:rPr>
              <w:t>演示人员</w:t>
            </w:r>
            <w:r>
              <w:rPr>
                <w:rFonts w:hint="eastAsia" w:ascii="宋体" w:hAnsi="宋体" w:cs="宋体"/>
                <w:b/>
                <w:bCs/>
                <w:color w:val="auto"/>
                <w:sz w:val="24"/>
                <w:szCs w:val="24"/>
                <w:highlight w:val="none"/>
                <w:lang w:val="en-US" w:eastAsia="zh-CN" w:bidi="ar-SA"/>
              </w:rPr>
              <w:t>、材料</w:t>
            </w:r>
            <w:r>
              <w:rPr>
                <w:rFonts w:hint="eastAsia" w:ascii="宋体" w:hAnsi="宋体" w:cs="宋体" w:eastAsiaTheme="minorEastAsia"/>
                <w:b/>
                <w:bCs/>
                <w:color w:val="auto"/>
                <w:sz w:val="24"/>
                <w:szCs w:val="24"/>
                <w:highlight w:val="none"/>
                <w:lang w:val="en-US" w:eastAsia="zh-CN" w:bidi="ar-SA"/>
              </w:rPr>
              <w:t>和设备</w:t>
            </w:r>
            <w:r>
              <w:rPr>
                <w:rFonts w:hint="eastAsia" w:ascii="宋体" w:hAnsi="宋体" w:cs="宋体" w:eastAsiaTheme="minorEastAsia"/>
                <w:b/>
                <w:bCs/>
                <w:color w:val="auto"/>
                <w:kern w:val="2"/>
                <w:sz w:val="24"/>
                <w:szCs w:val="24"/>
                <w:highlight w:val="none"/>
                <w:lang w:val="en-US" w:eastAsia="zh-CN" w:bidi="ar-SA"/>
              </w:rPr>
              <w:t>（交易中心可</w:t>
            </w:r>
            <w:r>
              <w:rPr>
                <w:rFonts w:hint="eastAsia" w:ascii="宋体" w:hAnsi="宋体" w:cs="宋体" w:eastAsiaTheme="minorEastAsia"/>
                <w:b/>
                <w:bCs/>
                <w:color w:val="auto"/>
                <w:kern w:val="2"/>
                <w:sz w:val="24"/>
                <w:szCs w:val="24"/>
                <w:highlight w:val="none"/>
                <w:lang w:val="zh-CN" w:eastAsia="zh-CN" w:bidi="ar-SA"/>
              </w:rPr>
              <w:t>提供</w:t>
            </w:r>
            <w:r>
              <w:rPr>
                <w:rFonts w:hint="eastAsia" w:ascii="宋体" w:hAnsi="宋体" w:cs="宋体" w:eastAsiaTheme="minorEastAsia"/>
                <w:b/>
                <w:bCs/>
                <w:color w:val="auto"/>
                <w:kern w:val="2"/>
                <w:sz w:val="24"/>
                <w:szCs w:val="24"/>
                <w:highlight w:val="none"/>
                <w:lang w:val="en-US" w:eastAsia="zh-CN" w:bidi="ar-SA"/>
              </w:rPr>
              <w:t>大屏设备</w:t>
            </w:r>
            <w:r>
              <w:rPr>
                <w:rFonts w:hint="eastAsia" w:ascii="宋体" w:hAnsi="宋体" w:cs="宋体" w:eastAsiaTheme="minorEastAsia"/>
                <w:b/>
                <w:bCs/>
                <w:color w:val="auto"/>
                <w:kern w:val="2"/>
                <w:sz w:val="24"/>
                <w:szCs w:val="24"/>
                <w:highlight w:val="none"/>
                <w:lang w:val="zh-CN" w:eastAsia="zh-CN" w:bidi="ar-SA"/>
              </w:rPr>
              <w:t>，其他</w:t>
            </w:r>
            <w:r>
              <w:rPr>
                <w:rFonts w:hint="eastAsia" w:ascii="宋体" w:hAnsi="宋体" w:cs="宋体" w:eastAsiaTheme="minorEastAsia"/>
                <w:b/>
                <w:bCs/>
                <w:color w:val="auto"/>
                <w:kern w:val="2"/>
                <w:sz w:val="24"/>
                <w:szCs w:val="24"/>
                <w:highlight w:val="none"/>
                <w:lang w:val="en-US" w:eastAsia="zh-CN" w:bidi="ar-SA"/>
              </w:rPr>
              <w:t>所有</w:t>
            </w:r>
            <w:r>
              <w:rPr>
                <w:rFonts w:hint="eastAsia" w:ascii="宋体" w:hAnsi="宋体" w:cs="宋体" w:eastAsiaTheme="minorEastAsia"/>
                <w:b/>
                <w:bCs/>
                <w:color w:val="auto"/>
                <w:kern w:val="2"/>
                <w:sz w:val="24"/>
                <w:szCs w:val="24"/>
                <w:highlight w:val="none"/>
                <w:lang w:val="zh-CN" w:eastAsia="zh-CN" w:bidi="ar-SA"/>
              </w:rPr>
              <w:t>演示所需材料、设备由供应商自备</w:t>
            </w:r>
            <w:r>
              <w:rPr>
                <w:rFonts w:hint="eastAsia" w:ascii="宋体" w:hAnsi="宋体" w:cs="宋体" w:eastAsiaTheme="minorEastAsia"/>
                <w:b/>
                <w:bCs/>
                <w:color w:val="auto"/>
                <w:kern w:val="2"/>
                <w:sz w:val="24"/>
                <w:szCs w:val="24"/>
                <w:highlight w:val="none"/>
                <w:lang w:val="en-US" w:eastAsia="zh-CN" w:bidi="ar-SA"/>
              </w:rPr>
              <w:t>）</w:t>
            </w:r>
            <w:r>
              <w:rPr>
                <w:rFonts w:hint="eastAsia" w:ascii="宋体" w:hAnsi="宋体" w:cs="宋体" w:eastAsiaTheme="minorEastAsia"/>
                <w:b/>
                <w:bCs/>
                <w:color w:val="auto"/>
                <w:sz w:val="24"/>
                <w:szCs w:val="24"/>
                <w:highlight w:val="none"/>
                <w:lang w:val="en-US" w:eastAsia="zh-CN" w:bidi="ar-SA"/>
              </w:rPr>
              <w:t>需在评标前到达</w:t>
            </w:r>
            <w:r>
              <w:rPr>
                <w:rFonts w:hint="eastAsia" w:ascii="宋体" w:hAnsi="宋体" w:cs="宋体"/>
                <w:b/>
                <w:bCs/>
                <w:color w:val="000000"/>
                <w:sz w:val="24"/>
                <w:szCs w:val="24"/>
                <w:highlight w:val="none"/>
              </w:rPr>
              <w:t>盐城市亭湖区希望大道中路</w:t>
            </w:r>
            <w:r>
              <w:rPr>
                <w:rFonts w:ascii="宋体" w:hAnsi="宋体" w:cs="宋体"/>
                <w:b/>
                <w:bCs/>
                <w:color w:val="000000"/>
                <w:sz w:val="24"/>
                <w:szCs w:val="24"/>
                <w:highlight w:val="none"/>
              </w:rPr>
              <w:t>18</w:t>
            </w:r>
            <w:r>
              <w:rPr>
                <w:rFonts w:hint="eastAsia" w:ascii="宋体" w:hAnsi="宋体" w:cs="宋体"/>
                <w:b/>
                <w:bCs/>
                <w:color w:val="000000"/>
                <w:sz w:val="24"/>
                <w:szCs w:val="24"/>
                <w:highlight w:val="none"/>
              </w:rPr>
              <w:t>号</w:t>
            </w:r>
            <w:r>
              <w:rPr>
                <w:rFonts w:ascii="宋体" w:hAnsi="宋体" w:cs="宋体"/>
                <w:b/>
                <w:bCs/>
                <w:color w:val="000000"/>
                <w:sz w:val="24"/>
                <w:szCs w:val="24"/>
                <w:highlight w:val="none"/>
              </w:rPr>
              <w:t>4</w:t>
            </w:r>
            <w:r>
              <w:rPr>
                <w:rFonts w:hint="eastAsia" w:ascii="宋体" w:hAnsi="宋体" w:cs="宋体"/>
                <w:b/>
                <w:bCs/>
                <w:color w:val="000000"/>
                <w:sz w:val="24"/>
                <w:szCs w:val="24"/>
                <w:highlight w:val="none"/>
              </w:rPr>
              <w:t>楼亭湖区公共资源交易中心</w:t>
            </w:r>
            <w:r>
              <w:rPr>
                <w:rFonts w:hint="eastAsia" w:ascii="宋体" w:hAnsi="宋体" w:eastAsia="宋体" w:cs="宋体"/>
                <w:b/>
                <w:bCs/>
                <w:color w:val="000000"/>
                <w:sz w:val="24"/>
                <w:szCs w:val="24"/>
                <w:highlight w:val="none"/>
                <w:lang w:val="en-US" w:eastAsia="zh-CN"/>
              </w:rPr>
              <w:t>评标区门口</w:t>
            </w:r>
            <w:r>
              <w:rPr>
                <w:rFonts w:hint="eastAsia" w:ascii="宋体" w:hAnsi="宋体" w:cs="宋体"/>
                <w:b/>
                <w:bCs/>
                <w:color w:val="auto"/>
                <w:sz w:val="24"/>
                <w:szCs w:val="24"/>
                <w:highlight w:val="none"/>
                <w:lang w:val="en-US" w:eastAsia="zh-CN" w:bidi="ar-SA"/>
              </w:rPr>
              <w:t>，并且</w:t>
            </w:r>
            <w:r>
              <w:rPr>
                <w:rFonts w:hint="eastAsia" w:ascii="宋体" w:hAnsi="宋体" w:cs="宋体" w:eastAsiaTheme="minorEastAsia"/>
                <w:b/>
                <w:bCs/>
                <w:color w:val="auto"/>
                <w:kern w:val="2"/>
                <w:sz w:val="24"/>
                <w:szCs w:val="24"/>
                <w:highlight w:val="none"/>
                <w:lang w:val="en-US" w:eastAsia="zh-CN" w:bidi="ar-SA"/>
              </w:rPr>
              <w:t>演示人员需提供供应商开具的授权委托书原件和本人身份证原件交予交易中心工作人员（以便核实演示人员身份），否则不得进入评审现场进行演示，其责任由供应商自行承担</w:t>
            </w:r>
            <w:r>
              <w:rPr>
                <w:rFonts w:hint="eastAsia" w:ascii="宋体" w:hAnsi="宋体" w:cs="宋体" w:eastAsiaTheme="minorEastAsia"/>
                <w:b/>
                <w:bCs/>
                <w:color w:val="auto"/>
                <w:kern w:val="2"/>
                <w:sz w:val="24"/>
                <w:szCs w:val="24"/>
                <w:highlight w:val="none"/>
                <w:lang w:val="zh-CN" w:eastAsia="zh-CN" w:bidi="ar-SA"/>
              </w:rPr>
              <w:t>。</w:t>
            </w:r>
            <w:r>
              <w:rPr>
                <w:rFonts w:hint="eastAsia" w:ascii="宋体" w:hAnsi="宋体" w:cs="宋体" w:eastAsiaTheme="minorEastAsia"/>
                <w:b/>
                <w:bCs/>
                <w:color w:val="auto"/>
                <w:sz w:val="24"/>
                <w:szCs w:val="24"/>
                <w:highlight w:val="none"/>
                <w:lang w:val="en-US" w:eastAsia="zh-CN" w:bidi="ar-SA"/>
              </w:rPr>
              <w:t>按照苏采云系统安排的顺序进行现场演示，</w:t>
            </w:r>
            <w:r>
              <w:rPr>
                <w:rFonts w:hint="eastAsia" w:ascii="宋体" w:hAnsi="宋体" w:cs="宋体"/>
                <w:b/>
                <w:bCs/>
                <w:color w:val="auto"/>
                <w:sz w:val="24"/>
                <w:szCs w:val="24"/>
                <w:highlight w:val="none"/>
                <w:lang w:val="en-US" w:eastAsia="zh-CN" w:bidi="ar-SA"/>
              </w:rPr>
              <w:t>且</w:t>
            </w:r>
            <w:r>
              <w:rPr>
                <w:rFonts w:hint="eastAsia" w:ascii="宋体" w:hAnsi="宋体" w:cs="宋体" w:eastAsiaTheme="minorEastAsia"/>
                <w:b/>
                <w:bCs/>
                <w:color w:val="auto"/>
                <w:sz w:val="24"/>
                <w:szCs w:val="24"/>
                <w:highlight w:val="none"/>
                <w:lang w:val="en-US" w:eastAsia="zh-CN" w:bidi="ar-SA"/>
              </w:rPr>
              <w:t>演示需按照招标文件的规定和评标委员会的要求进行，</w:t>
            </w:r>
            <w:r>
              <w:rPr>
                <w:rFonts w:hint="eastAsia" w:ascii="宋体" w:hAnsi="宋体"/>
                <w:b/>
                <w:bCs/>
                <w:color w:val="auto"/>
                <w:sz w:val="24"/>
                <w:szCs w:val="24"/>
                <w:highlight w:val="none"/>
                <w:lang w:val="en-US" w:eastAsia="zh-CN"/>
              </w:rPr>
              <w:t>演示内容必须针对本项目的实际情况进行针对性演示并讲解，演示时长</w:t>
            </w:r>
            <w:r>
              <w:rPr>
                <w:rFonts w:hint="eastAsia" w:ascii="宋体" w:hAnsi="宋体" w:cs="宋体"/>
                <w:b/>
                <w:bCs/>
                <w:color w:val="auto"/>
                <w:sz w:val="24"/>
                <w:szCs w:val="24"/>
                <w:highlight w:val="none"/>
                <w:lang w:val="en-US" w:eastAsia="zh-CN" w:bidi="ar-SA"/>
              </w:rPr>
              <w:t>控制在10</w:t>
            </w:r>
            <w:r>
              <w:rPr>
                <w:rFonts w:hint="eastAsia" w:ascii="宋体" w:hAnsi="宋体" w:cs="宋体" w:eastAsiaTheme="minorEastAsia"/>
                <w:b/>
                <w:bCs/>
                <w:color w:val="auto"/>
                <w:sz w:val="24"/>
                <w:szCs w:val="24"/>
                <w:highlight w:val="none"/>
                <w:lang w:val="en-US" w:eastAsia="zh-CN" w:bidi="ar-SA"/>
              </w:rPr>
              <w:t>分钟</w:t>
            </w:r>
            <w:r>
              <w:rPr>
                <w:rFonts w:hint="eastAsia" w:ascii="宋体" w:hAnsi="宋体" w:cs="宋体"/>
                <w:b/>
                <w:bCs/>
                <w:color w:val="auto"/>
                <w:sz w:val="24"/>
                <w:szCs w:val="24"/>
                <w:highlight w:val="none"/>
                <w:lang w:val="en-US" w:eastAsia="zh-CN" w:bidi="ar-SA"/>
              </w:rPr>
              <w:t>以内，计时满10分钟将强制终止演示，未演示完毕部分视为未演示，相应功能模块不予计分</w:t>
            </w:r>
            <w:r>
              <w:rPr>
                <w:rFonts w:hint="eastAsia" w:ascii="宋体" w:hAnsi="宋体" w:cs="宋体" w:eastAsiaTheme="minorEastAsia"/>
                <w:b/>
                <w:bCs/>
                <w:color w:val="auto"/>
                <w:sz w:val="24"/>
                <w:szCs w:val="24"/>
                <w:highlight w:val="none"/>
                <w:lang w:val="en-US" w:eastAsia="zh-CN" w:bidi="ar-SA"/>
              </w:rPr>
              <w:t>。</w:t>
            </w:r>
          </w:p>
          <w:p w14:paraId="37D81076">
            <w:pPr>
              <w:numPr>
                <w:ilvl w:val="0"/>
                <w:numId w:val="0"/>
              </w:numPr>
              <w:spacing w:line="400" w:lineRule="exact"/>
              <w:ind w:firstLine="482" w:firstLineChars="20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主要演示以下功能点：</w:t>
            </w:r>
          </w:p>
          <w:p w14:paraId="5ADC4D20">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①统一整合运维系统，包含系统集成、设备接入（1分）；</w:t>
            </w:r>
          </w:p>
          <w:p w14:paraId="63DCA90C">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②补贴智能监管系统，包含床位监管、补贴管控（1分）；</w:t>
            </w:r>
          </w:p>
          <w:p w14:paraId="0D294BEB">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③服务工单监管系统，包含流程闭环、服务核验（1分）；</w:t>
            </w:r>
          </w:p>
          <w:p w14:paraId="66F2A58A">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④智慧安全监管系统，包含实时监测、预警处置（1分）；</w:t>
            </w:r>
          </w:p>
          <w:p w14:paraId="6C4B0F0A">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⑤养老运营管理系统，包含数据维护、服务统计（1分）。</w:t>
            </w:r>
          </w:p>
          <w:p w14:paraId="4BB40323">
            <w:pPr>
              <w:spacing w:line="400" w:lineRule="exact"/>
              <w:ind w:firstLine="482" w:firstLineChars="200"/>
              <w:rPr>
                <w:rFonts w:hint="default" w:ascii="宋体" w:hAnsi="宋体" w:eastAsiaTheme="minorEastAsia" w:cstheme="minorBidi"/>
                <w:color w:val="auto"/>
                <w:kern w:val="2"/>
                <w:sz w:val="24"/>
                <w:szCs w:val="24"/>
                <w:highlight w:val="none"/>
                <w:lang w:val="en-US" w:eastAsia="zh-CN" w:bidi="ar-SA"/>
              </w:rPr>
            </w:pPr>
            <w:r>
              <w:rPr>
                <w:rFonts w:hint="eastAsia" w:ascii="宋体" w:hAnsi="宋体"/>
                <w:b/>
                <w:bCs/>
                <w:sz w:val="24"/>
                <w:szCs w:val="24"/>
                <w:highlight w:val="none"/>
                <w:lang w:val="en-US" w:eastAsia="zh-CN"/>
              </w:rPr>
              <w:t>注：演示满足每项系统功能的，得1分，功能模块演示不完整或功能模块演示不符合招标文件要求的，每有一个功能模块扣0.5分；未提供功能</w:t>
            </w:r>
            <w:r>
              <w:rPr>
                <w:rFonts w:hint="eastAsia" w:ascii="宋体" w:hAnsi="宋体"/>
                <w:b/>
                <w:bCs/>
                <w:color w:val="auto"/>
                <w:sz w:val="24"/>
                <w:szCs w:val="24"/>
                <w:highlight w:val="none"/>
                <w:lang w:val="en-US" w:eastAsia="zh-CN"/>
              </w:rPr>
              <w:t>演示</w:t>
            </w:r>
            <w:r>
              <w:rPr>
                <w:rFonts w:hint="eastAsia" w:ascii="宋体" w:hAnsi="宋体"/>
                <w:b/>
                <w:bCs/>
                <w:sz w:val="24"/>
                <w:szCs w:val="24"/>
                <w:highlight w:val="none"/>
                <w:lang w:val="en-US" w:eastAsia="zh-CN"/>
              </w:rPr>
              <w:t>，不得分。</w:t>
            </w:r>
          </w:p>
        </w:tc>
      </w:tr>
      <w:tr w14:paraId="0F739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noWrap w:val="0"/>
            <w:vAlign w:val="center"/>
          </w:tcPr>
          <w:p w14:paraId="2C22C289">
            <w:pPr>
              <w:jc w:val="center"/>
              <w:rPr>
                <w:rFonts w:hint="default" w:ascii="宋体" w:hAnsi="宋体" w:eastAsiaTheme="minorEastAsia"/>
                <w:sz w:val="24"/>
                <w:szCs w:val="24"/>
                <w:highlight w:val="none"/>
                <w:lang w:val="en-US" w:eastAsia="zh-CN"/>
              </w:rPr>
            </w:pPr>
            <w:r>
              <w:rPr>
                <w:rFonts w:hint="eastAsia" w:ascii="宋体" w:hAnsi="宋体"/>
                <w:sz w:val="24"/>
                <w:szCs w:val="24"/>
                <w:highlight w:val="none"/>
                <w:lang w:val="en-US" w:eastAsia="zh-CN"/>
              </w:rPr>
              <w:t>承诺书</w:t>
            </w:r>
          </w:p>
        </w:tc>
        <w:tc>
          <w:tcPr>
            <w:tcW w:w="835" w:type="dxa"/>
            <w:noWrap w:val="0"/>
            <w:vAlign w:val="center"/>
          </w:tcPr>
          <w:p w14:paraId="54E01E74">
            <w:pPr>
              <w:jc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7分</w:t>
            </w:r>
          </w:p>
        </w:tc>
        <w:tc>
          <w:tcPr>
            <w:tcW w:w="7293" w:type="dxa"/>
            <w:noWrap w:val="0"/>
            <w:vAlign w:val="top"/>
          </w:tcPr>
          <w:p w14:paraId="2760F39B">
            <w:pPr>
              <w:numPr>
                <w:ilvl w:val="0"/>
                <w:numId w:val="0"/>
              </w:numPr>
              <w:spacing w:line="400" w:lineRule="exact"/>
              <w:ind w:firstLine="480" w:firstLineChars="200"/>
              <w:rPr>
                <w:rFonts w:hint="eastAsia" w:ascii="宋体" w:hAnsi="宋体"/>
                <w:sz w:val="24"/>
                <w:szCs w:val="24"/>
                <w:highlight w:val="none"/>
                <w:lang w:val="en-US" w:eastAsia="zh-CN"/>
              </w:rPr>
            </w:pPr>
            <w:r>
              <w:rPr>
                <w:rFonts w:hint="eastAsia" w:ascii="宋体" w:hAnsi="宋体"/>
                <w:sz w:val="24"/>
                <w:szCs w:val="24"/>
                <w:highlight w:val="none"/>
                <w:lang w:val="en-US" w:eastAsia="zh-CN"/>
              </w:rPr>
              <w:t>1、承诺接入平台的各类采集终端设备、消控室控制设备、虚拟消控室采集等设备均按实际采购价格（应为厂家直接开票的销售价格）</w:t>
            </w:r>
            <w:r>
              <w:rPr>
                <w:rFonts w:hint="eastAsia" w:ascii="宋体" w:hAnsi="宋体"/>
                <w:b w:val="0"/>
                <w:bCs w:val="0"/>
                <w:sz w:val="24"/>
                <w:szCs w:val="24"/>
                <w:highlight w:val="none"/>
                <w:lang w:val="en-US" w:eastAsia="zh-CN"/>
              </w:rPr>
              <w:t>提供且不加价得2分，</w:t>
            </w:r>
            <w:r>
              <w:rPr>
                <w:rFonts w:hint="eastAsia" w:ascii="宋体" w:hAnsi="宋体"/>
                <w:b/>
                <w:bCs/>
                <w:sz w:val="24"/>
                <w:szCs w:val="24"/>
                <w:highlight w:val="none"/>
                <w:lang w:val="en-US" w:eastAsia="zh-CN"/>
              </w:rPr>
              <w:t>本项最高得2分。</w:t>
            </w:r>
          </w:p>
          <w:p w14:paraId="63270C54">
            <w:pPr>
              <w:numPr>
                <w:ilvl w:val="0"/>
                <w:numId w:val="0"/>
              </w:numPr>
              <w:spacing w:line="400" w:lineRule="exact"/>
              <w:ind w:firstLine="480" w:firstLineChars="200"/>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2、为养老机构提供后期消控室远程值守和设备远程操作服务的，服务基础价15000元/年，每降低1000元的得1分，</w:t>
            </w:r>
            <w:r>
              <w:rPr>
                <w:rFonts w:hint="eastAsia" w:ascii="宋体" w:hAnsi="宋体"/>
                <w:b/>
                <w:bCs/>
                <w:sz w:val="24"/>
                <w:szCs w:val="24"/>
                <w:highlight w:val="none"/>
                <w:lang w:val="en-US" w:eastAsia="zh-CN"/>
              </w:rPr>
              <w:t>本项最高得5分（本项服务不在本次招标预算内，为后期配套服务）。</w:t>
            </w:r>
          </w:p>
          <w:p w14:paraId="4708670D">
            <w:pPr>
              <w:spacing w:line="400" w:lineRule="exact"/>
              <w:ind w:firstLine="482" w:firstLineChars="200"/>
              <w:rPr>
                <w:rFonts w:hint="default" w:ascii="宋体" w:hAnsi="宋体"/>
                <w:sz w:val="24"/>
                <w:szCs w:val="24"/>
                <w:highlight w:val="none"/>
                <w:lang w:val="en-US" w:eastAsia="zh-CN"/>
              </w:rPr>
            </w:pPr>
            <w:r>
              <w:rPr>
                <w:rFonts w:hint="eastAsia"/>
                <w:b/>
                <w:bCs/>
                <w:color w:val="auto"/>
                <w:sz w:val="24"/>
                <w:szCs w:val="20"/>
                <w:highlight w:val="none"/>
                <w:lang w:val="en-US" w:eastAsia="zh-CN"/>
              </w:rPr>
              <w:t xml:space="preserve">注：不承诺的不得分，投标时需提供原件扫描件并加盖单位公章（承诺书格式自拟） </w:t>
            </w:r>
          </w:p>
        </w:tc>
      </w:tr>
      <w:tr w14:paraId="3CD3F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noWrap w:val="0"/>
            <w:vAlign w:val="center"/>
          </w:tcPr>
          <w:p w14:paraId="59A9929F">
            <w:pPr>
              <w:jc w:val="center"/>
              <w:rPr>
                <w:rFonts w:hint="eastAsia" w:ascii="宋体" w:hAnsi="宋体" w:eastAsiaTheme="minorEastAsia"/>
                <w:color w:val="auto"/>
                <w:sz w:val="24"/>
                <w:szCs w:val="24"/>
                <w:highlight w:val="none"/>
                <w:lang w:eastAsia="zh-CN"/>
              </w:rPr>
            </w:pPr>
            <w:r>
              <w:rPr>
                <w:rFonts w:hint="eastAsia" w:ascii="宋体" w:hAnsi="宋体"/>
                <w:color w:val="auto"/>
                <w:sz w:val="24"/>
                <w:szCs w:val="24"/>
                <w:highlight w:val="none"/>
                <w:lang w:eastAsia="zh-CN"/>
              </w:rPr>
              <w:t>技术解决方案</w:t>
            </w:r>
          </w:p>
        </w:tc>
        <w:tc>
          <w:tcPr>
            <w:tcW w:w="835" w:type="dxa"/>
            <w:noWrap w:val="0"/>
            <w:vAlign w:val="center"/>
          </w:tcPr>
          <w:p w14:paraId="768545C8">
            <w:pPr>
              <w:jc w:val="center"/>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33分</w:t>
            </w:r>
          </w:p>
        </w:tc>
        <w:tc>
          <w:tcPr>
            <w:tcW w:w="7293" w:type="dxa"/>
            <w:noWrap w:val="0"/>
            <w:vAlign w:val="top"/>
          </w:tcPr>
          <w:p w14:paraId="2AAE6212">
            <w:pPr>
              <w:numPr>
                <w:ilvl w:val="0"/>
                <w:numId w:val="5"/>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承诺无偿接入亭湖区已经安装和使用的“一键呼叫”、智能烟感等居家应急设备平台，提供承诺书和具体解决方案，解决方案具有可操作性。</w:t>
            </w:r>
          </w:p>
          <w:p w14:paraId="5EBB9AD0">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优于项目需求得5分，</w:t>
            </w:r>
          </w:p>
          <w:p w14:paraId="38DD99FA">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满足项目需求得4分，</w:t>
            </w:r>
          </w:p>
          <w:p w14:paraId="41A12450">
            <w:pPr>
              <w:numPr>
                <w:ilvl w:val="0"/>
                <w:numId w:val="0"/>
              </w:numPr>
              <w:spacing w:line="400" w:lineRule="exact"/>
              <w:ind w:firstLine="482" w:firstLineChars="20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未提供或提供不全得0分。</w:t>
            </w:r>
          </w:p>
          <w:p w14:paraId="551E7CBA">
            <w:pPr>
              <w:numPr>
                <w:ilvl w:val="0"/>
                <w:numId w:val="0"/>
              </w:numPr>
              <w:spacing w:line="400" w:lineRule="exact"/>
              <w:ind w:firstLine="482" w:firstLineChars="20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注：投标时承诺书需加盖单位公章（承诺书格式自拟） ，解决方案篇幅不超过2页（每超过1页的，扣 0.1分），未提供或提供不全不得分。</w:t>
            </w:r>
          </w:p>
          <w:p w14:paraId="7841B6EE">
            <w:pPr>
              <w:numPr>
                <w:ilvl w:val="0"/>
                <w:numId w:val="5"/>
              </w:numPr>
              <w:spacing w:line="400" w:lineRule="exact"/>
              <w:ind w:firstLine="480" w:firstLineChars="200"/>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针对提供养老机构消防控制室远程控制解决方案，解决方案应具有可操作性。</w:t>
            </w:r>
          </w:p>
          <w:p w14:paraId="12279CFF">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优于项目需求得4分，</w:t>
            </w:r>
          </w:p>
          <w:p w14:paraId="42298A28">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满足项目需求得3分，</w:t>
            </w:r>
          </w:p>
          <w:p w14:paraId="0E1EA0F0">
            <w:pPr>
              <w:numPr>
                <w:ilvl w:val="0"/>
                <w:numId w:val="0"/>
              </w:numPr>
              <w:spacing w:line="400" w:lineRule="exact"/>
              <w:ind w:firstLine="482" w:firstLineChars="20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未提供或提供不全得0分。</w:t>
            </w:r>
          </w:p>
          <w:p w14:paraId="21A42122">
            <w:pPr>
              <w:numPr>
                <w:ilvl w:val="0"/>
                <w:numId w:val="0"/>
              </w:numPr>
              <w:spacing w:line="400" w:lineRule="exact"/>
              <w:ind w:firstLine="482" w:firstLineChars="200"/>
              <w:rPr>
                <w:rFonts w:hint="default" w:ascii="宋体" w:hAnsi="宋体"/>
                <w:color w:val="auto"/>
                <w:sz w:val="24"/>
                <w:szCs w:val="24"/>
                <w:highlight w:val="none"/>
                <w:lang w:val="en-US" w:eastAsia="zh-CN"/>
              </w:rPr>
            </w:pPr>
            <w:r>
              <w:rPr>
                <w:rFonts w:hint="eastAsia" w:ascii="宋体" w:hAnsi="宋体"/>
                <w:b/>
                <w:bCs/>
                <w:color w:val="auto"/>
                <w:sz w:val="24"/>
                <w:szCs w:val="24"/>
                <w:highlight w:val="none"/>
                <w:lang w:val="en-US" w:eastAsia="zh-CN"/>
              </w:rPr>
              <w:t>注：解决方案篇幅不超过3页（每超过1页的，扣 0.1分），未提供或提供不全不得分。</w:t>
            </w:r>
          </w:p>
          <w:p w14:paraId="45A06BBB">
            <w:pPr>
              <w:numPr>
                <w:ilvl w:val="0"/>
                <w:numId w:val="5"/>
              </w:numPr>
              <w:spacing w:line="400" w:lineRule="exact"/>
              <w:ind w:firstLine="480" w:firstLineChars="200"/>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针对为社区养老服务机构和设施提供虚拟消控室解决方案，解决方案应具有可操作性。</w:t>
            </w:r>
          </w:p>
          <w:p w14:paraId="54E09005">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优于项目需求得4分，</w:t>
            </w:r>
          </w:p>
          <w:p w14:paraId="0C752D25">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满足项目需求得3分，</w:t>
            </w:r>
          </w:p>
          <w:p w14:paraId="14942877">
            <w:pPr>
              <w:numPr>
                <w:ilvl w:val="0"/>
                <w:numId w:val="0"/>
              </w:numPr>
              <w:spacing w:line="400" w:lineRule="exact"/>
              <w:ind w:firstLine="482" w:firstLineChars="20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未提供或提供不全得0分。</w:t>
            </w:r>
          </w:p>
          <w:p w14:paraId="40E950BB">
            <w:pPr>
              <w:numPr>
                <w:ilvl w:val="0"/>
                <w:numId w:val="0"/>
              </w:numPr>
              <w:spacing w:line="400" w:lineRule="exact"/>
              <w:ind w:firstLine="482" w:firstLineChars="200"/>
              <w:rPr>
                <w:rFonts w:hint="default" w:ascii="宋体" w:hAnsi="宋体"/>
                <w:color w:val="auto"/>
                <w:sz w:val="24"/>
                <w:szCs w:val="24"/>
                <w:highlight w:val="none"/>
                <w:lang w:val="en-US" w:eastAsia="zh-CN"/>
              </w:rPr>
            </w:pPr>
            <w:r>
              <w:rPr>
                <w:rFonts w:hint="eastAsia" w:ascii="宋体" w:hAnsi="宋体"/>
                <w:b/>
                <w:bCs/>
                <w:color w:val="auto"/>
                <w:sz w:val="24"/>
                <w:szCs w:val="24"/>
                <w:highlight w:val="none"/>
                <w:lang w:val="en-US" w:eastAsia="zh-CN"/>
              </w:rPr>
              <w:t>注：解决方案篇幅不超过3页（每超过1页的，扣 0.1分），未提供或提供不全不得分。</w:t>
            </w:r>
          </w:p>
          <w:p w14:paraId="14877A4E">
            <w:pPr>
              <w:numPr>
                <w:ilvl w:val="0"/>
                <w:numId w:val="5"/>
              </w:numPr>
              <w:spacing w:line="400" w:lineRule="exact"/>
              <w:ind w:firstLine="480" w:firstLineChars="200"/>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针对提供养老机构“一床一码”解决方案，解决方案具备一线工作人员操作简便、信息自动汇集、数据自动分析，能够有效杜绝“虚报冒领”补贴。</w:t>
            </w:r>
          </w:p>
          <w:p w14:paraId="251E3DD5">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优于项目需求得4分，</w:t>
            </w:r>
          </w:p>
          <w:p w14:paraId="59CF7D1B">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满足项目需求得3分，</w:t>
            </w:r>
          </w:p>
          <w:p w14:paraId="31E218D0">
            <w:pPr>
              <w:numPr>
                <w:ilvl w:val="0"/>
                <w:numId w:val="0"/>
              </w:numPr>
              <w:spacing w:line="400" w:lineRule="exact"/>
              <w:ind w:firstLine="482" w:firstLineChars="20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未提供或提供不全得0分。</w:t>
            </w:r>
          </w:p>
          <w:p w14:paraId="7C0255DC">
            <w:pPr>
              <w:numPr>
                <w:ilvl w:val="0"/>
                <w:numId w:val="0"/>
              </w:numPr>
              <w:spacing w:line="400" w:lineRule="exact"/>
              <w:ind w:firstLine="482" w:firstLineChars="200"/>
              <w:rPr>
                <w:rFonts w:hint="default" w:ascii="宋体" w:hAnsi="宋体"/>
                <w:color w:val="auto"/>
                <w:sz w:val="24"/>
                <w:szCs w:val="24"/>
                <w:highlight w:val="none"/>
                <w:lang w:val="en-US" w:eastAsia="zh-CN"/>
              </w:rPr>
            </w:pPr>
            <w:r>
              <w:rPr>
                <w:rFonts w:hint="eastAsia" w:ascii="宋体" w:hAnsi="宋体"/>
                <w:b/>
                <w:bCs/>
                <w:color w:val="auto"/>
                <w:sz w:val="24"/>
                <w:szCs w:val="24"/>
                <w:highlight w:val="none"/>
                <w:lang w:val="en-US" w:eastAsia="zh-CN"/>
              </w:rPr>
              <w:t>注：解决方案篇幅不超过3页（每超过1页的，扣 0.1分），未提供或提供不全不得分。</w:t>
            </w:r>
          </w:p>
          <w:p w14:paraId="104B36C1">
            <w:pPr>
              <w:numPr>
                <w:ilvl w:val="0"/>
                <w:numId w:val="5"/>
              </w:numPr>
              <w:spacing w:line="400" w:lineRule="exact"/>
              <w:ind w:firstLine="480" w:firstLineChars="200"/>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针对提供社区养老服务设施运营补贴智能监管解决方案，解决方案具备一线工作人员操作简便、服务项目和人次自动统计、信息自动汇集、数据自动分析，能够有效杜绝“虚报冒领”补贴。</w:t>
            </w:r>
          </w:p>
          <w:p w14:paraId="412CB555">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优于项目需求得4分，</w:t>
            </w:r>
          </w:p>
          <w:p w14:paraId="7A3E513F">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满足项目需求得3分，</w:t>
            </w:r>
          </w:p>
          <w:p w14:paraId="2E182D55">
            <w:pPr>
              <w:numPr>
                <w:ilvl w:val="0"/>
                <w:numId w:val="0"/>
              </w:numPr>
              <w:spacing w:line="400" w:lineRule="exact"/>
              <w:ind w:firstLine="482" w:firstLineChars="20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未提供或提供不全得0分。</w:t>
            </w:r>
          </w:p>
          <w:p w14:paraId="179C1294">
            <w:pPr>
              <w:numPr>
                <w:ilvl w:val="0"/>
                <w:numId w:val="0"/>
              </w:numPr>
              <w:spacing w:line="400" w:lineRule="exact"/>
              <w:ind w:firstLine="482" w:firstLineChars="200"/>
              <w:rPr>
                <w:rFonts w:hint="default" w:ascii="宋体" w:hAnsi="宋体"/>
                <w:color w:val="auto"/>
                <w:sz w:val="24"/>
                <w:szCs w:val="24"/>
                <w:highlight w:val="none"/>
                <w:lang w:val="en-US" w:eastAsia="zh-CN"/>
              </w:rPr>
            </w:pPr>
            <w:r>
              <w:rPr>
                <w:rFonts w:hint="eastAsia" w:ascii="宋体" w:hAnsi="宋体"/>
                <w:b/>
                <w:bCs/>
                <w:color w:val="auto"/>
                <w:sz w:val="24"/>
                <w:szCs w:val="24"/>
                <w:highlight w:val="none"/>
                <w:lang w:val="en-US" w:eastAsia="zh-CN"/>
              </w:rPr>
              <w:t>注：解决方案篇幅不超过3页（每超过1页的，扣 0.1分），未提供或提供不全不得分。</w:t>
            </w:r>
          </w:p>
          <w:p w14:paraId="49F56208">
            <w:pPr>
              <w:numPr>
                <w:ilvl w:val="0"/>
                <w:numId w:val="5"/>
              </w:numPr>
              <w:spacing w:line="400" w:lineRule="exact"/>
              <w:ind w:firstLine="480" w:firstLineChars="200"/>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针对提供“亭颐养”数字养老服务超市服务工单全流程监管解决方案，解决方案具备一线工作人员操作简便、信息自动汇集、数据自动分析、满意度评价、预警提醒等功能，能够有效杜绝“虚假服务”。</w:t>
            </w:r>
          </w:p>
          <w:p w14:paraId="2BAC5FDD">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优于项目需求得4分，</w:t>
            </w:r>
          </w:p>
          <w:p w14:paraId="1049757D">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满足项目需求得3分，</w:t>
            </w:r>
          </w:p>
          <w:p w14:paraId="0754C0F5">
            <w:pPr>
              <w:numPr>
                <w:ilvl w:val="0"/>
                <w:numId w:val="0"/>
              </w:numPr>
              <w:spacing w:line="400" w:lineRule="exact"/>
              <w:ind w:firstLine="482" w:firstLineChars="20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未提供或提供不全得0分。</w:t>
            </w:r>
          </w:p>
          <w:p w14:paraId="237C868A">
            <w:pPr>
              <w:numPr>
                <w:ilvl w:val="0"/>
                <w:numId w:val="0"/>
              </w:numPr>
              <w:spacing w:line="400" w:lineRule="exact"/>
              <w:ind w:firstLine="482" w:firstLineChars="200"/>
              <w:rPr>
                <w:rFonts w:hint="default"/>
                <w:color w:val="auto"/>
                <w:highlight w:val="none"/>
                <w:lang w:val="en-US" w:eastAsia="zh-CN"/>
              </w:rPr>
            </w:pPr>
            <w:r>
              <w:rPr>
                <w:rFonts w:hint="eastAsia" w:ascii="宋体" w:hAnsi="宋体"/>
                <w:b/>
                <w:bCs/>
                <w:color w:val="auto"/>
                <w:sz w:val="24"/>
                <w:szCs w:val="24"/>
                <w:highlight w:val="none"/>
                <w:lang w:val="en-US" w:eastAsia="zh-CN"/>
              </w:rPr>
              <w:t>注：解决方案篇幅不超过3页（每超过1页的，扣 0.1分），未提供或提供不全不得分。</w:t>
            </w:r>
          </w:p>
          <w:p w14:paraId="144D6266">
            <w:pPr>
              <w:numPr>
                <w:ilvl w:val="0"/>
                <w:numId w:val="5"/>
              </w:numPr>
              <w:spacing w:line="400" w:lineRule="exact"/>
              <w:ind w:firstLine="480" w:firstLineChars="200"/>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针对民政其他业务数据接入解决方案，解决方案平台应能够简便获取民政领域的殡葬、救助、困境儿童、高龄津贴，以及医保的长期照护保险等数据，能够自动分析预警。</w:t>
            </w:r>
          </w:p>
          <w:p w14:paraId="232FBA25">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优于项目需求得4分，</w:t>
            </w:r>
          </w:p>
          <w:p w14:paraId="2632FD2F">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满足项目需求得3分，</w:t>
            </w:r>
          </w:p>
          <w:p w14:paraId="5F02F41A">
            <w:pPr>
              <w:numPr>
                <w:ilvl w:val="0"/>
                <w:numId w:val="0"/>
              </w:numPr>
              <w:spacing w:line="400" w:lineRule="exact"/>
              <w:ind w:firstLine="482" w:firstLineChars="20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未提供或提供不全得0分。</w:t>
            </w:r>
          </w:p>
          <w:p w14:paraId="18D383E7">
            <w:pPr>
              <w:numPr>
                <w:ilvl w:val="0"/>
                <w:numId w:val="0"/>
              </w:numPr>
              <w:spacing w:line="400" w:lineRule="exact"/>
              <w:ind w:firstLine="482" w:firstLineChars="200"/>
              <w:rPr>
                <w:rFonts w:hint="eastAsia"/>
                <w:color w:val="auto"/>
                <w:highlight w:val="none"/>
                <w:lang w:val="en-US" w:eastAsia="zh-CN"/>
              </w:rPr>
            </w:pPr>
            <w:r>
              <w:rPr>
                <w:rFonts w:hint="eastAsia" w:ascii="宋体" w:hAnsi="宋体"/>
                <w:b/>
                <w:bCs/>
                <w:color w:val="auto"/>
                <w:sz w:val="24"/>
                <w:szCs w:val="24"/>
                <w:highlight w:val="none"/>
                <w:lang w:val="en-US" w:eastAsia="zh-CN"/>
              </w:rPr>
              <w:t>注：解决方案篇幅不超过3页（每超过1页的，扣 0.1分），未提供或提供不全不得分。</w:t>
            </w:r>
          </w:p>
          <w:p w14:paraId="483F289E">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8、针对视频监控接入解决方案，解决方案应能满足现已经安装的各类视频监控设备接入平台的要求，应具备市场上主流视频监控设备接入的标准接口。</w:t>
            </w:r>
          </w:p>
          <w:p w14:paraId="36D06CCE">
            <w:pPr>
              <w:numPr>
                <w:ilvl w:val="0"/>
                <w:numId w:val="0"/>
              </w:numPr>
              <w:spacing w:line="400" w:lineRule="exact"/>
              <w:ind w:left="480" w:leftChars="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优于项目需求得4分，</w:t>
            </w:r>
          </w:p>
          <w:p w14:paraId="680DFCE2">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满足项目需求得3分，</w:t>
            </w:r>
          </w:p>
          <w:p w14:paraId="3FFFB45E">
            <w:pPr>
              <w:numPr>
                <w:ilvl w:val="0"/>
                <w:numId w:val="0"/>
              </w:numPr>
              <w:spacing w:line="400" w:lineRule="exact"/>
              <w:ind w:firstLine="482" w:firstLineChars="20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未提供或提供不全得0分。</w:t>
            </w:r>
          </w:p>
          <w:p w14:paraId="501EEA0F">
            <w:pPr>
              <w:numPr>
                <w:ilvl w:val="0"/>
                <w:numId w:val="0"/>
              </w:numPr>
              <w:spacing w:line="400" w:lineRule="exact"/>
              <w:ind w:firstLine="482" w:firstLineChars="200"/>
              <w:rPr>
                <w:rFonts w:hint="default"/>
                <w:color w:val="auto"/>
                <w:highlight w:val="none"/>
                <w:lang w:val="en-US" w:eastAsia="zh-CN"/>
              </w:rPr>
            </w:pPr>
            <w:r>
              <w:rPr>
                <w:rFonts w:hint="eastAsia" w:ascii="宋体" w:hAnsi="宋体"/>
                <w:b/>
                <w:bCs/>
                <w:color w:val="auto"/>
                <w:sz w:val="24"/>
                <w:szCs w:val="24"/>
                <w:highlight w:val="none"/>
                <w:lang w:val="en-US" w:eastAsia="zh-CN"/>
              </w:rPr>
              <w:t>注：解决方案篇幅不超过3页（每超过1页的，扣 0.1分），未提供或提供不全不得分。</w:t>
            </w:r>
          </w:p>
        </w:tc>
      </w:tr>
      <w:tr w14:paraId="62CA5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 w:type="dxa"/>
            <w:noWrap w:val="0"/>
            <w:vAlign w:val="center"/>
          </w:tcPr>
          <w:p w14:paraId="311704B0">
            <w:pPr>
              <w:jc w:val="center"/>
              <w:rPr>
                <w:rFonts w:hint="eastAsia" w:ascii="宋体" w:hAnsi="宋体"/>
                <w:color w:val="auto"/>
                <w:sz w:val="24"/>
                <w:szCs w:val="24"/>
              </w:rPr>
            </w:pPr>
            <w:r>
              <w:rPr>
                <w:rFonts w:hint="eastAsia" w:ascii="宋体" w:hAnsi="宋体"/>
                <w:color w:val="auto"/>
                <w:sz w:val="24"/>
                <w:szCs w:val="24"/>
              </w:rPr>
              <w:t>服务方案</w:t>
            </w:r>
          </w:p>
        </w:tc>
        <w:tc>
          <w:tcPr>
            <w:tcW w:w="835" w:type="dxa"/>
            <w:noWrap w:val="0"/>
            <w:vAlign w:val="center"/>
          </w:tcPr>
          <w:p w14:paraId="32336101">
            <w:pPr>
              <w:jc w:val="center"/>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25分</w:t>
            </w:r>
          </w:p>
        </w:tc>
        <w:tc>
          <w:tcPr>
            <w:tcW w:w="7293" w:type="dxa"/>
            <w:noWrap w:val="0"/>
            <w:vAlign w:val="top"/>
          </w:tcPr>
          <w:p w14:paraId="51241C54">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投标单位能结合项目实际需求，编制项目总体规划，总体规划应体现人力资源配置、监管服务平台未来升级方向、“亭颐养”数字养老服务超市运营总体规划，以及与“一键呼叫”值守、工单审核、呼叫热线等要素配合。</w:t>
            </w:r>
          </w:p>
          <w:p w14:paraId="78D7B693">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优于项目需求得4分，</w:t>
            </w:r>
          </w:p>
          <w:p w14:paraId="05416F1E">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满足项目需求得3分，</w:t>
            </w:r>
          </w:p>
          <w:p w14:paraId="156656F1">
            <w:pPr>
              <w:numPr>
                <w:ilvl w:val="0"/>
                <w:numId w:val="0"/>
              </w:numPr>
              <w:spacing w:line="400" w:lineRule="exact"/>
              <w:ind w:firstLine="482" w:firstLineChars="20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未提供或提供不全得0分。</w:t>
            </w:r>
          </w:p>
          <w:p w14:paraId="418534D6">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2.能够结合项目情况制定符合发展规划与目标的服务宗旨和服务理念，且宗旨和理念具有较好可读性与宣传性。</w:t>
            </w:r>
          </w:p>
          <w:p w14:paraId="043F8123">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优于项目需求得4分，</w:t>
            </w:r>
          </w:p>
          <w:p w14:paraId="69530726">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满足项目需求得3分，</w:t>
            </w:r>
          </w:p>
          <w:p w14:paraId="2B46D4C9">
            <w:pPr>
              <w:numPr>
                <w:ilvl w:val="0"/>
                <w:numId w:val="0"/>
              </w:numPr>
              <w:spacing w:line="400" w:lineRule="exact"/>
              <w:ind w:firstLine="482" w:firstLineChars="20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未提供或提供不全得0分。</w:t>
            </w:r>
          </w:p>
          <w:p w14:paraId="1FE6DF67">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3.投标供应商针对本项目平台运营及呼叫中心管理提供管理制度方案，包括着装规范、行为规范、工作环境规范等，方案完善全面，适用性强。</w:t>
            </w:r>
          </w:p>
          <w:p w14:paraId="6D158EB6">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优于项目需求得4分，</w:t>
            </w:r>
          </w:p>
          <w:p w14:paraId="3226E6F4">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满足项目需求得3分，</w:t>
            </w:r>
          </w:p>
          <w:p w14:paraId="21ABE88B">
            <w:pPr>
              <w:numPr>
                <w:ilvl w:val="0"/>
                <w:numId w:val="0"/>
              </w:numPr>
              <w:spacing w:line="400" w:lineRule="exact"/>
              <w:ind w:firstLine="482" w:firstLineChars="200"/>
              <w:rPr>
                <w:rFonts w:hint="eastAsia"/>
                <w:color w:val="auto"/>
                <w:highlight w:val="none"/>
                <w:lang w:val="en-US" w:eastAsia="zh-CN"/>
              </w:rPr>
            </w:pPr>
            <w:r>
              <w:rPr>
                <w:rFonts w:hint="eastAsia" w:ascii="宋体" w:hAnsi="宋体"/>
                <w:b/>
                <w:bCs/>
                <w:color w:val="auto"/>
                <w:sz w:val="24"/>
                <w:szCs w:val="24"/>
                <w:highlight w:val="none"/>
                <w:lang w:val="en-US" w:eastAsia="zh-CN"/>
              </w:rPr>
              <w:t>未提供或提供不全得0分。</w:t>
            </w:r>
          </w:p>
          <w:p w14:paraId="2B1CB4E0">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4.投标供应商针对本项目服务对象及服务特点，制定针对性话术规范方案，应考虑各种不同处理场景的应对话术。方案完善全面，适用性强。</w:t>
            </w:r>
          </w:p>
          <w:p w14:paraId="1DF5CFCE">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优于项目需求得4分，</w:t>
            </w:r>
          </w:p>
          <w:p w14:paraId="61917660">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满足项目需求得3分，</w:t>
            </w:r>
          </w:p>
          <w:p w14:paraId="222EAD44">
            <w:pPr>
              <w:numPr>
                <w:ilvl w:val="0"/>
                <w:numId w:val="0"/>
              </w:numPr>
              <w:spacing w:line="400" w:lineRule="exact"/>
              <w:ind w:firstLine="482" w:firstLineChars="20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未提供或提供不全得0分。</w:t>
            </w:r>
          </w:p>
          <w:p w14:paraId="58E51E8A">
            <w:pPr>
              <w:numPr>
                <w:ilvl w:val="0"/>
                <w:numId w:val="0"/>
              </w:numPr>
              <w:spacing w:line="400" w:lineRule="exact"/>
              <w:ind w:firstLine="480" w:firstLineChars="200"/>
              <w:rPr>
                <w:rFonts w:hint="eastAsia" w:ascii="宋体" w:hAnsi="宋体"/>
                <w:color w:val="auto"/>
                <w:sz w:val="24"/>
                <w:szCs w:val="24"/>
                <w:highlight w:val="none"/>
                <w:lang w:eastAsia="zh-CN"/>
              </w:rPr>
            </w:pPr>
            <w:r>
              <w:rPr>
                <w:rFonts w:hint="eastAsia" w:ascii="宋体" w:hAnsi="宋体" w:eastAsia="宋体" w:cs="Times New Roman"/>
                <w:color w:val="auto"/>
                <w:sz w:val="24"/>
                <w:szCs w:val="24"/>
                <w:highlight w:val="none"/>
                <w:lang w:val="en-US" w:eastAsia="zh-CN"/>
              </w:rPr>
              <w:t>5.针对岗前培训方案、人员培训管理方案进行评审，从方案完整性、科学合理性、切实可行性等方面</w:t>
            </w:r>
            <w:r>
              <w:rPr>
                <w:rFonts w:hint="eastAsia" w:ascii="宋体" w:hAnsi="宋体"/>
                <w:color w:val="auto"/>
                <w:sz w:val="24"/>
                <w:szCs w:val="24"/>
                <w:highlight w:val="none"/>
                <w:lang w:eastAsia="zh-CN"/>
              </w:rPr>
              <w:t>。</w:t>
            </w:r>
          </w:p>
          <w:p w14:paraId="2DE4A544">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优于项目需求得3分，</w:t>
            </w:r>
          </w:p>
          <w:p w14:paraId="7F10AE46">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满足项目需求得2分，</w:t>
            </w:r>
          </w:p>
          <w:p w14:paraId="4FCFCAE3">
            <w:pPr>
              <w:numPr>
                <w:ilvl w:val="0"/>
                <w:numId w:val="0"/>
              </w:numPr>
              <w:spacing w:line="400" w:lineRule="exact"/>
              <w:ind w:firstLine="482" w:firstLineChars="20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未提供或提供不全得0分。</w:t>
            </w:r>
          </w:p>
          <w:p w14:paraId="0E7A1A92">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6.投标人提供数据安全能力、数据安全标准、数据安全服务、数据安全管理等方面，方案全面完整、科学合理。</w:t>
            </w:r>
          </w:p>
          <w:p w14:paraId="5C562175">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优于项目需求得3分，</w:t>
            </w:r>
          </w:p>
          <w:p w14:paraId="05719B55">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满足项目需求得2分，</w:t>
            </w:r>
          </w:p>
          <w:p w14:paraId="05A1E2A6">
            <w:pPr>
              <w:numPr>
                <w:ilvl w:val="0"/>
                <w:numId w:val="0"/>
              </w:numPr>
              <w:spacing w:line="400" w:lineRule="exact"/>
              <w:ind w:firstLine="482" w:firstLineChars="20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未提供或提供不全得0分。</w:t>
            </w:r>
          </w:p>
          <w:p w14:paraId="13079310">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7.投标人对应急管理总则、预警和预防机制、应急处理程序、保障措施方案全面完整、科学合理。</w:t>
            </w:r>
          </w:p>
          <w:p w14:paraId="0CABE64A">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优于项目需求得3分，</w:t>
            </w:r>
          </w:p>
          <w:p w14:paraId="647BC3EB">
            <w:pPr>
              <w:numPr>
                <w:ilvl w:val="0"/>
                <w:numId w:val="0"/>
              </w:numP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满足项目需求得2分，</w:t>
            </w:r>
          </w:p>
          <w:p w14:paraId="0BD692E1">
            <w:pPr>
              <w:numPr>
                <w:ilvl w:val="0"/>
                <w:numId w:val="0"/>
              </w:numPr>
              <w:spacing w:line="400" w:lineRule="exact"/>
              <w:ind w:firstLine="482" w:firstLineChars="20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未提供或提供不全得0分。</w:t>
            </w:r>
          </w:p>
        </w:tc>
      </w:tr>
    </w:tbl>
    <w:p w14:paraId="58C54DEC">
      <w:pPr>
        <w:pStyle w:val="13"/>
        <w:ind w:left="0" w:leftChars="0" w:firstLine="0" w:firstLineChars="0"/>
        <w:rPr>
          <w:rFonts w:hint="eastAsia" w:ascii="宋体" w:hAnsi="宋体" w:eastAsia="宋体" w:cs="宋体"/>
          <w:color w:val="auto"/>
          <w:kern w:val="0"/>
          <w:sz w:val="24"/>
          <w:highlight w:val="none"/>
          <w:lang w:val="en-US" w:eastAsia="zh-CN"/>
        </w:rPr>
      </w:pPr>
    </w:p>
    <w:p w14:paraId="50BC1F7A">
      <w:pPr>
        <w:pStyle w:val="15"/>
        <w:keepNext/>
        <w:spacing w:beforeAutospacing="0" w:afterAutospacing="0"/>
        <w:jc w:val="both"/>
        <w:rPr>
          <w:rFonts w:hint="eastAsia" w:ascii="黑体" w:hAnsi="宋体" w:eastAsia="黑体" w:cs="黑体"/>
          <w:color w:val="000000"/>
          <w:sz w:val="44"/>
          <w:szCs w:val="44"/>
          <w:highlight w:val="none"/>
        </w:rPr>
        <w:sectPr>
          <w:pgSz w:w="11906" w:h="16838"/>
          <w:pgMar w:top="1440" w:right="1800" w:bottom="1440" w:left="1800" w:header="851" w:footer="992" w:gutter="0"/>
          <w:cols w:space="425" w:num="1"/>
          <w:docGrid w:type="lines" w:linePitch="312" w:charSpace="0"/>
        </w:sectPr>
      </w:pPr>
    </w:p>
    <w:p w14:paraId="3AFAA618">
      <w:pPr>
        <w:pStyle w:val="15"/>
        <w:keepNext/>
        <w:spacing w:beforeAutospacing="0" w:afterAutospacing="0"/>
        <w:jc w:val="both"/>
        <w:rPr>
          <w:rFonts w:hint="eastAsia" w:ascii="黑体" w:hAnsi="宋体" w:eastAsia="黑体" w:cs="黑体"/>
          <w:color w:val="000000"/>
          <w:sz w:val="44"/>
          <w:szCs w:val="44"/>
          <w:highlight w:val="none"/>
        </w:rPr>
      </w:pPr>
    </w:p>
    <w:p w14:paraId="097161F1">
      <w:pPr>
        <w:pStyle w:val="15"/>
        <w:keepNext/>
        <w:spacing w:beforeAutospacing="0" w:afterAutospacing="0"/>
        <w:jc w:val="both"/>
        <w:rPr>
          <w:rFonts w:hint="eastAsia" w:ascii="黑体" w:hAnsi="宋体" w:eastAsia="黑体" w:cs="黑体"/>
          <w:color w:val="000000"/>
          <w:sz w:val="44"/>
          <w:szCs w:val="44"/>
          <w:highlight w:val="none"/>
        </w:rPr>
      </w:pPr>
    </w:p>
    <w:p w14:paraId="48FC1F48">
      <w:pPr>
        <w:pStyle w:val="15"/>
        <w:keepNext/>
        <w:spacing w:beforeAutospacing="0" w:afterAutospacing="0"/>
        <w:jc w:val="center"/>
        <w:rPr>
          <w:rFonts w:hint="eastAsia" w:ascii="黑体" w:hAnsi="宋体" w:eastAsia="黑体" w:cs="黑体"/>
          <w:color w:val="000000"/>
          <w:sz w:val="44"/>
          <w:szCs w:val="44"/>
          <w:highlight w:val="none"/>
        </w:rPr>
      </w:pPr>
    </w:p>
    <w:p w14:paraId="394BDBC7">
      <w:pPr>
        <w:pStyle w:val="15"/>
        <w:keepNext/>
        <w:spacing w:beforeAutospacing="0" w:afterAutospacing="0"/>
        <w:jc w:val="cente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  投标文件格式 </w:t>
      </w:r>
    </w:p>
    <w:p w14:paraId="0F436F85">
      <w:pPr>
        <w:pStyle w:val="15"/>
        <w:keepNext/>
        <w:spacing w:beforeAutospacing="0" w:afterAutospacing="0"/>
        <w:jc w:val="center"/>
        <w:rPr>
          <w:rFonts w:hint="eastAsia" w:ascii="黑体" w:hAnsi="宋体" w:eastAsia="黑体" w:cs="黑体"/>
          <w:color w:val="000000"/>
          <w:sz w:val="44"/>
          <w:szCs w:val="44"/>
          <w:highlight w:val="none"/>
        </w:rPr>
      </w:pPr>
    </w:p>
    <w:p w14:paraId="0B24E8AD">
      <w:pPr>
        <w:pStyle w:val="15"/>
        <w:keepNext/>
        <w:spacing w:beforeAutospacing="0" w:afterAutospacing="0"/>
        <w:jc w:val="center"/>
        <w:rPr>
          <w:rFonts w:hint="eastAsia" w:ascii="黑体" w:hAnsi="宋体" w:eastAsia="黑体" w:cs="黑体"/>
          <w:color w:val="000000"/>
          <w:sz w:val="44"/>
          <w:szCs w:val="44"/>
          <w:highlight w:val="none"/>
        </w:rPr>
      </w:pPr>
    </w:p>
    <w:p w14:paraId="0FCB2737">
      <w:pPr>
        <w:pStyle w:val="15"/>
        <w:keepNext/>
        <w:spacing w:beforeAutospacing="0" w:afterAutospacing="0"/>
        <w:jc w:val="center"/>
        <w:rPr>
          <w:rFonts w:hint="eastAsia" w:ascii="黑体" w:hAnsi="宋体" w:eastAsia="黑体" w:cs="黑体"/>
          <w:color w:val="000000"/>
          <w:sz w:val="44"/>
          <w:szCs w:val="44"/>
          <w:highlight w:val="none"/>
        </w:rPr>
      </w:pPr>
    </w:p>
    <w:p w14:paraId="76AFC445">
      <w:pPr>
        <w:pStyle w:val="15"/>
        <w:keepNext/>
        <w:spacing w:beforeAutospacing="0" w:afterAutospacing="0"/>
        <w:jc w:val="center"/>
        <w:rPr>
          <w:rFonts w:hint="eastAsia" w:ascii="黑体" w:hAnsi="宋体" w:eastAsia="黑体" w:cs="黑体"/>
          <w:color w:val="000000"/>
          <w:sz w:val="44"/>
          <w:szCs w:val="44"/>
          <w:highlight w:val="none"/>
        </w:rPr>
      </w:pPr>
    </w:p>
    <w:p w14:paraId="350E9433">
      <w:pPr>
        <w:pStyle w:val="15"/>
        <w:keepNext/>
        <w:spacing w:beforeAutospacing="0" w:afterAutospacing="0"/>
        <w:jc w:val="center"/>
        <w:rPr>
          <w:rFonts w:hint="eastAsia" w:ascii="黑体" w:hAnsi="宋体" w:eastAsia="黑体" w:cs="黑体"/>
          <w:color w:val="000000"/>
          <w:sz w:val="44"/>
          <w:szCs w:val="44"/>
          <w:highlight w:val="none"/>
        </w:rPr>
      </w:pPr>
    </w:p>
    <w:p w14:paraId="6F42C460">
      <w:pPr>
        <w:pStyle w:val="15"/>
        <w:keepNext/>
        <w:spacing w:beforeAutospacing="0" w:afterAutospacing="0"/>
        <w:jc w:val="center"/>
        <w:rPr>
          <w:rFonts w:hint="eastAsia" w:ascii="黑体" w:hAnsi="宋体" w:eastAsia="黑体" w:cs="黑体"/>
          <w:color w:val="000000"/>
          <w:sz w:val="44"/>
          <w:szCs w:val="44"/>
          <w:highlight w:val="none"/>
        </w:rPr>
      </w:pPr>
    </w:p>
    <w:p w14:paraId="14D7A9D0">
      <w:pPr>
        <w:pStyle w:val="15"/>
        <w:spacing w:beforeAutospacing="0" w:afterAutospacing="0"/>
        <w:jc w:val="center"/>
        <w:rPr>
          <w:highlight w:val="none"/>
        </w:rPr>
      </w:pPr>
      <w:bookmarkStart w:id="181" w:name="_Hlt26955039"/>
      <w:bookmarkEnd w:id="181"/>
      <w:bookmarkStart w:id="182" w:name="_Hlt26671244"/>
      <w:bookmarkEnd w:id="182"/>
      <w:bookmarkStart w:id="183" w:name="_Toc26554094"/>
      <w:bookmarkEnd w:id="183"/>
      <w:bookmarkStart w:id="184" w:name="_Toc120614282"/>
      <w:bookmarkStart w:id="185" w:name="_Toc49090576"/>
      <w:r>
        <w:rPr>
          <w:rFonts w:hint="eastAsia" w:ascii="宋体" w:hAnsi="宋体" w:eastAsia="宋体" w:cs="宋体"/>
          <w:b/>
          <w:color w:val="000000"/>
          <w:sz w:val="72"/>
          <w:szCs w:val="72"/>
          <w:highlight w:val="none"/>
        </w:rPr>
        <w:t>投  标  文  件</w:t>
      </w:r>
    </w:p>
    <w:p w14:paraId="22DEB80C">
      <w:pPr>
        <w:pStyle w:val="15"/>
        <w:spacing w:beforeAutospacing="0" w:afterAutospacing="0"/>
        <w:jc w:val="center"/>
        <w:rPr>
          <w:highlight w:val="none"/>
        </w:rPr>
      </w:pPr>
      <w:r>
        <w:rPr>
          <w:highlight w:val="none"/>
        </w:rPr>
        <w:t> </w:t>
      </w:r>
    </w:p>
    <w:p w14:paraId="71BD0C14">
      <w:pPr>
        <w:pStyle w:val="15"/>
        <w:spacing w:beforeAutospacing="0" w:afterAutospacing="0"/>
        <w:jc w:val="center"/>
        <w:rPr>
          <w:highlight w:val="none"/>
        </w:rPr>
      </w:pPr>
      <w:r>
        <w:rPr>
          <w:highlight w:val="none"/>
        </w:rPr>
        <w:t> </w:t>
      </w:r>
    </w:p>
    <w:p w14:paraId="14CECC71">
      <w:pPr>
        <w:pStyle w:val="15"/>
        <w:spacing w:beforeAutospacing="0" w:afterAutospacing="0"/>
        <w:jc w:val="center"/>
        <w:rPr>
          <w:highlight w:val="none"/>
        </w:rPr>
      </w:pPr>
      <w:r>
        <w:rPr>
          <w:highlight w:val="none"/>
        </w:rPr>
        <w:t> </w:t>
      </w:r>
    </w:p>
    <w:p w14:paraId="6CF50948">
      <w:pPr>
        <w:pStyle w:val="15"/>
        <w:spacing w:beforeAutospacing="0" w:afterAutospacing="0"/>
        <w:jc w:val="center"/>
        <w:rPr>
          <w:highlight w:val="none"/>
        </w:rPr>
      </w:pPr>
      <w:r>
        <w:rPr>
          <w:highlight w:val="none"/>
        </w:rPr>
        <w:t> </w:t>
      </w:r>
    </w:p>
    <w:p w14:paraId="059E7B16">
      <w:pPr>
        <w:pStyle w:val="15"/>
        <w:spacing w:beforeAutospacing="0" w:afterAutospacing="0"/>
        <w:jc w:val="center"/>
        <w:rPr>
          <w:highlight w:val="none"/>
        </w:rPr>
      </w:pPr>
      <w:r>
        <w:rPr>
          <w:highlight w:val="none"/>
        </w:rPr>
        <w:t> </w:t>
      </w:r>
    </w:p>
    <w:p w14:paraId="47A79981">
      <w:pPr>
        <w:pStyle w:val="15"/>
        <w:spacing w:beforeAutospacing="0" w:afterAutospacing="0"/>
        <w:ind w:firstLine="1084"/>
        <w:jc w:val="both"/>
        <w:rPr>
          <w:highlight w:val="none"/>
        </w:rPr>
      </w:pPr>
      <w:r>
        <w:rPr>
          <w:rFonts w:hint="eastAsia" w:ascii="宋体" w:hAnsi="宋体" w:eastAsia="宋体" w:cs="宋体"/>
          <w:b/>
          <w:color w:val="000000"/>
          <w:sz w:val="36"/>
          <w:szCs w:val="36"/>
          <w:highlight w:val="none"/>
        </w:rPr>
        <w:t>项目 名 称：</w:t>
      </w:r>
      <w:r>
        <w:rPr>
          <w:rFonts w:hint="eastAsia" w:ascii="宋体" w:hAnsi="宋体" w:eastAsia="宋体" w:cs="宋体"/>
          <w:b/>
          <w:color w:val="000000"/>
          <w:sz w:val="36"/>
          <w:szCs w:val="36"/>
          <w:highlight w:val="none"/>
          <w:u w:val="single"/>
        </w:rPr>
        <w:t xml:space="preserve">               </w:t>
      </w:r>
    </w:p>
    <w:p w14:paraId="45010DBF">
      <w:pPr>
        <w:pStyle w:val="15"/>
        <w:spacing w:beforeAutospacing="0" w:afterAutospacing="0"/>
        <w:ind w:firstLine="1084"/>
        <w:jc w:val="both"/>
        <w:rPr>
          <w:highlight w:val="none"/>
        </w:rPr>
      </w:pPr>
      <w:r>
        <w:rPr>
          <w:rFonts w:hint="eastAsia" w:ascii="宋体" w:hAnsi="宋体" w:eastAsia="宋体" w:cs="宋体"/>
          <w:b/>
          <w:color w:val="000000"/>
          <w:sz w:val="36"/>
          <w:szCs w:val="36"/>
          <w:highlight w:val="none"/>
        </w:rPr>
        <w:t>项目 编 号：</w:t>
      </w:r>
      <w:r>
        <w:rPr>
          <w:rFonts w:hint="eastAsia" w:ascii="宋体" w:hAnsi="宋体" w:eastAsia="宋体" w:cs="宋体"/>
          <w:b/>
          <w:color w:val="000000"/>
          <w:sz w:val="36"/>
          <w:szCs w:val="36"/>
          <w:highlight w:val="none"/>
          <w:u w:val="single"/>
        </w:rPr>
        <w:t xml:space="preserve">               </w:t>
      </w:r>
    </w:p>
    <w:p w14:paraId="736DE0D4">
      <w:pPr>
        <w:pStyle w:val="15"/>
        <w:spacing w:beforeAutospacing="0" w:afterAutospacing="0"/>
        <w:jc w:val="both"/>
        <w:rPr>
          <w:highlight w:val="none"/>
        </w:rPr>
      </w:pPr>
      <w:r>
        <w:rPr>
          <w:rFonts w:hint="eastAsia" w:ascii="宋体" w:hAnsi="宋体" w:eastAsia="宋体" w:cs="宋体"/>
          <w:b/>
          <w:color w:val="000000"/>
          <w:sz w:val="36"/>
          <w:szCs w:val="36"/>
          <w:highlight w:val="none"/>
        </w:rPr>
        <w:t>   投标人名称 ：</w:t>
      </w:r>
      <w:r>
        <w:rPr>
          <w:rFonts w:hint="eastAsia" w:ascii="宋体" w:hAnsi="宋体" w:eastAsia="宋体" w:cs="宋体"/>
          <w:b/>
          <w:color w:val="000000"/>
          <w:sz w:val="36"/>
          <w:szCs w:val="36"/>
          <w:highlight w:val="none"/>
          <w:u w:val="single"/>
        </w:rPr>
        <w:t xml:space="preserve">（加盖CA电子公章）        </w:t>
      </w:r>
    </w:p>
    <w:p w14:paraId="3947E53D">
      <w:pPr>
        <w:pStyle w:val="15"/>
        <w:spacing w:beforeAutospacing="0" w:afterAutospacing="0"/>
        <w:jc w:val="both"/>
        <w:rPr>
          <w:highlight w:val="none"/>
        </w:rPr>
      </w:pPr>
      <w:r>
        <w:rPr>
          <w:rFonts w:hint="eastAsia" w:ascii="宋体" w:hAnsi="宋体" w:eastAsia="宋体" w:cs="宋体"/>
          <w:b/>
          <w:color w:val="000000"/>
          <w:sz w:val="36"/>
          <w:szCs w:val="36"/>
          <w:highlight w:val="none"/>
        </w:rPr>
        <w:t>   日   期 ：</w:t>
      </w:r>
      <w:r>
        <w:rPr>
          <w:rFonts w:hint="eastAsia" w:ascii="宋体" w:hAnsi="宋体" w:eastAsia="宋体" w:cs="宋体"/>
          <w:b/>
          <w:color w:val="000000"/>
          <w:sz w:val="36"/>
          <w:szCs w:val="36"/>
          <w:highlight w:val="none"/>
          <w:u w:val="single"/>
        </w:rPr>
        <w:t>                     </w:t>
      </w:r>
    </w:p>
    <w:p w14:paraId="008F6786">
      <w:pPr>
        <w:pStyle w:val="15"/>
        <w:spacing w:beforeAutospacing="0" w:afterAutospacing="0" w:line="0" w:lineRule="atLeast"/>
        <w:jc w:val="center"/>
        <w:rPr>
          <w:highlight w:val="none"/>
        </w:rPr>
      </w:pPr>
      <w:r>
        <w:rPr>
          <w:highlight w:val="none"/>
        </w:rPr>
        <w:t> </w:t>
      </w:r>
    </w:p>
    <w:p w14:paraId="0004A50C">
      <w:pPr>
        <w:pStyle w:val="15"/>
        <w:spacing w:beforeAutospacing="0" w:afterAutospacing="0" w:line="0" w:lineRule="atLeast"/>
        <w:jc w:val="both"/>
        <w:rPr>
          <w:highlight w:val="none"/>
        </w:rPr>
      </w:pPr>
      <w:r>
        <w:rPr>
          <w:highlight w:val="none"/>
        </w:rPr>
        <w:t> </w:t>
      </w:r>
    </w:p>
    <w:p w14:paraId="79EF6E88">
      <w:pPr>
        <w:pStyle w:val="15"/>
        <w:spacing w:beforeAutospacing="0" w:afterAutospacing="0" w:line="0" w:lineRule="atLeast"/>
        <w:jc w:val="center"/>
        <w:rPr>
          <w:rFonts w:ascii="宋体" w:hAnsi="宋体" w:eastAsia="宋体" w:cs="宋体"/>
          <w:b/>
          <w:color w:val="000000"/>
          <w:sz w:val="36"/>
          <w:szCs w:val="36"/>
          <w:highlight w:val="none"/>
          <w:u w:val="single"/>
        </w:rPr>
      </w:pPr>
    </w:p>
    <w:p w14:paraId="7FDB23BC">
      <w:pPr>
        <w:pStyle w:val="15"/>
        <w:spacing w:beforeAutospacing="0" w:afterAutospacing="0" w:line="0" w:lineRule="atLeast"/>
        <w:jc w:val="center"/>
        <w:rPr>
          <w:rFonts w:ascii="宋体" w:hAnsi="宋体" w:eastAsia="宋体" w:cs="宋体"/>
          <w:b/>
          <w:color w:val="000000"/>
          <w:sz w:val="36"/>
          <w:szCs w:val="36"/>
          <w:highlight w:val="none"/>
          <w:u w:val="single"/>
        </w:rPr>
      </w:pPr>
    </w:p>
    <w:p w14:paraId="535972F9">
      <w:pPr>
        <w:pStyle w:val="15"/>
        <w:spacing w:beforeAutospacing="0" w:afterAutospacing="0" w:line="0" w:lineRule="atLeast"/>
        <w:jc w:val="center"/>
        <w:rPr>
          <w:rFonts w:ascii="宋体" w:hAnsi="宋体" w:eastAsia="宋体" w:cs="宋体"/>
          <w:b/>
          <w:color w:val="000000"/>
          <w:sz w:val="36"/>
          <w:szCs w:val="36"/>
          <w:highlight w:val="none"/>
          <w:u w:val="single"/>
        </w:rPr>
      </w:pPr>
    </w:p>
    <w:p w14:paraId="6D5EFAD9">
      <w:pPr>
        <w:pStyle w:val="15"/>
        <w:spacing w:beforeAutospacing="0" w:afterAutospacing="0" w:line="0" w:lineRule="atLeast"/>
        <w:jc w:val="both"/>
        <w:rPr>
          <w:rFonts w:ascii="宋体" w:hAnsi="宋体" w:eastAsia="宋体" w:cs="宋体"/>
          <w:b/>
          <w:color w:val="000000"/>
          <w:sz w:val="36"/>
          <w:szCs w:val="36"/>
          <w:highlight w:val="none"/>
          <w:u w:val="single"/>
        </w:rPr>
      </w:pPr>
    </w:p>
    <w:p w14:paraId="06EE6D93">
      <w:pPr>
        <w:pStyle w:val="15"/>
        <w:spacing w:beforeAutospacing="0" w:afterAutospacing="0" w:line="0" w:lineRule="atLeast"/>
        <w:jc w:val="center"/>
        <w:rPr>
          <w:highlight w:val="none"/>
        </w:rPr>
      </w:pPr>
      <w:r>
        <w:rPr>
          <w:rFonts w:hint="eastAsia" w:ascii="宋体" w:hAnsi="宋体" w:eastAsia="宋体" w:cs="宋体"/>
          <w:b/>
          <w:color w:val="000000"/>
          <w:sz w:val="32"/>
          <w:szCs w:val="32"/>
          <w:highlight w:val="none"/>
        </w:rPr>
        <w:t>投标文件目录</w:t>
      </w:r>
    </w:p>
    <w:p w14:paraId="30EA27C7">
      <w:pPr>
        <w:pStyle w:val="15"/>
        <w:spacing w:beforeAutospacing="0" w:afterAutospacing="0" w:line="0" w:lineRule="atLeast"/>
        <w:jc w:val="center"/>
        <w:rPr>
          <w:highlight w:val="none"/>
        </w:rPr>
      </w:pPr>
      <w:r>
        <w:rPr>
          <w:highlight w:val="none"/>
        </w:rPr>
        <w:t> </w:t>
      </w:r>
    </w:p>
    <w:p w14:paraId="5713C76E">
      <w:pPr>
        <w:pStyle w:val="15"/>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一、法人或者其他组织的营业执照等证明文件</w:t>
      </w:r>
      <w:r>
        <w:rPr>
          <w:rFonts w:hint="eastAsia" w:ascii="宋体" w:hAnsi="宋体" w:eastAsia="宋体" w:cs="宋体"/>
          <w:i/>
          <w:iCs w:val="0"/>
          <w:color w:val="000000"/>
          <w:highlight w:val="none"/>
          <w:u w:val="single"/>
          <w:lang w:val="en-US" w:eastAsia="zh-CN"/>
        </w:rPr>
        <w:t>或</w:t>
      </w:r>
      <w:r>
        <w:rPr>
          <w:rFonts w:hint="eastAsia" w:ascii="宋体" w:hAnsi="宋体" w:eastAsia="宋体" w:cs="宋体"/>
          <w:i/>
          <w:iCs w:val="0"/>
          <w:color w:val="000000"/>
          <w:highlight w:val="none"/>
          <w:u w:val="single"/>
        </w:rPr>
        <w:t>自然人的身份证明</w:t>
      </w:r>
    </w:p>
    <w:p w14:paraId="0631C9D2">
      <w:pPr>
        <w:keepNext w:val="0"/>
        <w:keepLines w:val="0"/>
        <w:pageBreakBefore w:val="0"/>
        <w:tabs>
          <w:tab w:val="left" w:pos="1331"/>
        </w:tabs>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i/>
          <w:iCs w:val="0"/>
          <w:color w:val="000000"/>
          <w:kern w:val="0"/>
          <w:sz w:val="24"/>
          <w:szCs w:val="24"/>
          <w:highlight w:val="none"/>
          <w:u w:val="single"/>
          <w:lang w:val="en-US" w:eastAsia="zh-CN" w:bidi="ar-SA"/>
        </w:rPr>
      </w:pPr>
      <w:r>
        <w:rPr>
          <w:rFonts w:hint="eastAsia" w:ascii="宋体" w:hAnsi="宋体" w:eastAsia="宋体" w:cs="宋体"/>
          <w:i/>
          <w:iCs w:val="0"/>
          <w:color w:val="000000"/>
          <w:kern w:val="0"/>
          <w:sz w:val="24"/>
          <w:szCs w:val="24"/>
          <w:highlight w:val="none"/>
          <w:u w:val="single"/>
          <w:lang w:val="en-US" w:eastAsia="zh-CN" w:bidi="ar-SA"/>
        </w:rPr>
        <w:t>二、上一年度的财务状况报告（至少提供资产负债表、利润表、现金流量表，</w:t>
      </w:r>
    </w:p>
    <w:p w14:paraId="0C60B884">
      <w:pPr>
        <w:pStyle w:val="15"/>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hint="eastAsia" w:ascii="宋体" w:hAnsi="宋体" w:eastAsia="宋体" w:cs="宋体"/>
          <w:i/>
          <w:iCs w:val="0"/>
          <w:color w:val="000000"/>
          <w:kern w:val="0"/>
          <w:sz w:val="24"/>
          <w:szCs w:val="24"/>
          <w:highlight w:val="none"/>
          <w:u w:val="single"/>
          <w:lang w:val="en-US" w:eastAsia="zh-CN" w:bidi="ar-SA"/>
        </w:rPr>
      </w:pPr>
      <w:r>
        <w:rPr>
          <w:rFonts w:hint="eastAsia" w:ascii="宋体" w:hAnsi="宋体" w:eastAsia="宋体" w:cs="宋体"/>
          <w:i/>
          <w:iCs w:val="0"/>
          <w:color w:val="000000"/>
          <w:kern w:val="0"/>
          <w:sz w:val="24"/>
          <w:szCs w:val="24"/>
          <w:highlight w:val="none"/>
          <w:u w:val="single"/>
          <w:lang w:val="en-US" w:eastAsia="zh-CN" w:bidi="ar-SA"/>
        </w:rPr>
        <w:t>投标人成立不满一年无需提供）；</w:t>
      </w:r>
    </w:p>
    <w:p w14:paraId="42ACAE88">
      <w:pPr>
        <w:pStyle w:val="15"/>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lang w:val="en-US" w:eastAsia="zh-CN"/>
        </w:rPr>
        <w:t>三</w:t>
      </w:r>
      <w:r>
        <w:rPr>
          <w:rFonts w:hint="eastAsia" w:ascii="宋体" w:hAnsi="宋体" w:eastAsia="宋体" w:cs="宋体"/>
          <w:i/>
          <w:iCs w:val="0"/>
          <w:color w:val="000000"/>
          <w:highlight w:val="none"/>
          <w:u w:val="single"/>
        </w:rPr>
        <w:t>、具备履行合同所必需的设备和专业技术能力的书面声明</w:t>
      </w:r>
    </w:p>
    <w:p w14:paraId="3F988CBE">
      <w:pPr>
        <w:pStyle w:val="15"/>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lang w:val="en-US" w:eastAsia="zh-CN"/>
        </w:rPr>
        <w:t>四</w:t>
      </w:r>
      <w:r>
        <w:rPr>
          <w:rFonts w:hint="eastAsia" w:ascii="宋体" w:hAnsi="宋体" w:eastAsia="宋体" w:cs="宋体"/>
          <w:i/>
          <w:iCs w:val="0"/>
          <w:color w:val="000000"/>
          <w:highlight w:val="none"/>
          <w:u w:val="singl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58936FC6">
      <w:pPr>
        <w:pStyle w:val="15"/>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五、参加政府采购活动前 3 年内在经营活动中没有重大违法记录的书面声明</w:t>
      </w:r>
    </w:p>
    <w:p w14:paraId="6CFBDE60">
      <w:pPr>
        <w:pStyle w:val="15"/>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六、特定资格要求的证明文件（如果本项目设置特定资格要求，则需要提供）</w:t>
      </w:r>
    </w:p>
    <w:p w14:paraId="3E3E3867">
      <w:pPr>
        <w:pStyle w:val="15"/>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七、法人授权书</w:t>
      </w:r>
    </w:p>
    <w:p w14:paraId="3BDE6B94">
      <w:pPr>
        <w:pStyle w:val="15"/>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八、投标函</w:t>
      </w:r>
    </w:p>
    <w:p w14:paraId="5FEA8D1E">
      <w:pPr>
        <w:pStyle w:val="15"/>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hint="eastAsia" w:ascii="宋体" w:hAnsi="宋体" w:eastAsia="宋体" w:cs="宋体"/>
          <w:i/>
          <w:iCs w:val="0"/>
          <w:color w:val="000000"/>
          <w:highlight w:val="none"/>
          <w:u w:val="single"/>
          <w:lang w:val="en-US" w:eastAsia="zh-CN"/>
        </w:rPr>
      </w:pPr>
      <w:r>
        <w:rPr>
          <w:rFonts w:hint="eastAsia" w:ascii="宋体" w:hAnsi="宋体" w:eastAsia="宋体" w:cs="宋体"/>
          <w:i/>
          <w:iCs w:val="0"/>
          <w:color w:val="000000"/>
          <w:highlight w:val="none"/>
          <w:u w:val="single"/>
        </w:rPr>
        <w:t>九、</w:t>
      </w:r>
      <w:r>
        <w:rPr>
          <w:rFonts w:hint="eastAsia" w:ascii="宋体" w:hAnsi="宋体" w:eastAsia="宋体" w:cs="宋体"/>
          <w:i/>
          <w:iCs w:val="0"/>
          <w:color w:val="000000"/>
          <w:highlight w:val="none"/>
          <w:u w:val="single"/>
          <w:lang w:val="en-US" w:eastAsia="zh-CN"/>
        </w:rPr>
        <w:t>中小</w:t>
      </w:r>
      <w:r>
        <w:rPr>
          <w:rFonts w:hint="eastAsia" w:ascii="宋体" w:hAnsi="宋体" w:eastAsia="宋体" w:cs="宋体"/>
          <w:i/>
          <w:iCs w:val="0"/>
          <w:color w:val="000000"/>
          <w:highlight w:val="none"/>
          <w:u w:val="single"/>
        </w:rPr>
        <w:t>企业声明函</w:t>
      </w:r>
    </w:p>
    <w:p w14:paraId="5DF6C869">
      <w:pPr>
        <w:pStyle w:val="15"/>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hint="default" w:ascii="宋体" w:hAnsi="宋体" w:eastAsia="宋体" w:cs="宋体"/>
          <w:i w:val="0"/>
          <w:iCs/>
          <w:color w:val="000000"/>
          <w:highlight w:val="none"/>
          <w:u w:val="single"/>
          <w:lang w:val="en-US" w:eastAsia="zh-CN"/>
        </w:rPr>
      </w:pPr>
      <w:r>
        <w:rPr>
          <w:rFonts w:hint="eastAsia" w:ascii="宋体" w:hAnsi="宋体" w:eastAsia="宋体" w:cs="宋体"/>
          <w:i w:val="0"/>
          <w:iCs/>
          <w:color w:val="000000"/>
          <w:highlight w:val="none"/>
          <w:u w:val="single"/>
        </w:rPr>
        <w:t>十、残疾人福利性单位声明函</w:t>
      </w:r>
    </w:p>
    <w:p w14:paraId="260078DA">
      <w:pPr>
        <w:pStyle w:val="15"/>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十</w:t>
      </w:r>
      <w:r>
        <w:rPr>
          <w:rFonts w:hint="eastAsia" w:ascii="宋体" w:hAnsi="宋体" w:eastAsia="宋体" w:cs="宋体"/>
          <w:i/>
          <w:iCs w:val="0"/>
          <w:color w:val="000000"/>
          <w:highlight w:val="none"/>
          <w:u w:val="single"/>
          <w:lang w:val="en-US" w:eastAsia="zh-CN"/>
        </w:rPr>
        <w:t>一</w:t>
      </w:r>
      <w:r>
        <w:rPr>
          <w:rFonts w:hint="eastAsia" w:ascii="宋体" w:hAnsi="宋体" w:eastAsia="宋体" w:cs="宋体"/>
          <w:i/>
          <w:iCs w:val="0"/>
          <w:color w:val="000000"/>
          <w:highlight w:val="none"/>
          <w:u w:val="single"/>
        </w:rPr>
        <w:t>、技术要求响应及偏离表</w:t>
      </w:r>
    </w:p>
    <w:p w14:paraId="7D69B72A">
      <w:pPr>
        <w:pStyle w:val="15"/>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十</w:t>
      </w:r>
      <w:r>
        <w:rPr>
          <w:rFonts w:hint="eastAsia" w:ascii="宋体" w:hAnsi="宋体" w:eastAsia="宋体" w:cs="宋体"/>
          <w:i/>
          <w:iCs w:val="0"/>
          <w:color w:val="000000"/>
          <w:highlight w:val="none"/>
          <w:u w:val="single"/>
          <w:lang w:val="en-US" w:eastAsia="zh-CN"/>
        </w:rPr>
        <w:t>二</w:t>
      </w:r>
      <w:r>
        <w:rPr>
          <w:rFonts w:hint="eastAsia" w:ascii="宋体" w:hAnsi="宋体" w:eastAsia="宋体" w:cs="宋体"/>
          <w:i/>
          <w:iCs w:val="0"/>
          <w:color w:val="000000"/>
          <w:highlight w:val="none"/>
          <w:u w:val="single"/>
        </w:rPr>
        <w:t>、商务要求响应及偏离表</w:t>
      </w:r>
    </w:p>
    <w:p w14:paraId="48EFFF5A">
      <w:pPr>
        <w:pStyle w:val="15"/>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十</w:t>
      </w:r>
      <w:r>
        <w:rPr>
          <w:rFonts w:hint="eastAsia" w:ascii="宋体" w:hAnsi="宋体" w:eastAsia="宋体" w:cs="宋体"/>
          <w:i/>
          <w:iCs w:val="0"/>
          <w:color w:val="000000"/>
          <w:highlight w:val="none"/>
          <w:u w:val="single"/>
          <w:lang w:val="en-US" w:eastAsia="zh-CN"/>
        </w:rPr>
        <w:t>三</w:t>
      </w:r>
      <w:r>
        <w:rPr>
          <w:rFonts w:hint="eastAsia" w:ascii="宋体" w:hAnsi="宋体" w:eastAsia="宋体" w:cs="宋体"/>
          <w:i/>
          <w:iCs w:val="0"/>
          <w:color w:val="000000"/>
          <w:highlight w:val="none"/>
          <w:u w:val="single"/>
        </w:rPr>
        <w:t>、开标一览表</w:t>
      </w:r>
    </w:p>
    <w:p w14:paraId="161CCAB1">
      <w:pPr>
        <w:pStyle w:val="15"/>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十</w:t>
      </w:r>
      <w:r>
        <w:rPr>
          <w:rFonts w:hint="eastAsia" w:ascii="宋体" w:hAnsi="宋体" w:eastAsia="宋体" w:cs="宋体"/>
          <w:i/>
          <w:iCs w:val="0"/>
          <w:color w:val="000000"/>
          <w:highlight w:val="none"/>
          <w:u w:val="single"/>
          <w:lang w:val="en-US" w:eastAsia="zh-CN"/>
        </w:rPr>
        <w:t>四</w:t>
      </w:r>
      <w:r>
        <w:rPr>
          <w:rFonts w:hint="eastAsia" w:ascii="宋体" w:hAnsi="宋体" w:eastAsia="宋体" w:cs="宋体"/>
          <w:i/>
          <w:iCs w:val="0"/>
          <w:color w:val="000000"/>
          <w:highlight w:val="none"/>
          <w:u w:val="single"/>
        </w:rPr>
        <w:t>、</w:t>
      </w:r>
      <w:r>
        <w:rPr>
          <w:rFonts w:hint="eastAsia" w:ascii="宋体" w:hAnsi="宋体" w:eastAsia="宋体" w:cs="宋体"/>
          <w:i/>
          <w:iCs w:val="0"/>
          <w:color w:val="000000"/>
          <w:highlight w:val="none"/>
          <w:u w:val="single"/>
          <w:lang w:eastAsia="zh-CN"/>
        </w:rPr>
        <w:t>技术解决方案、</w:t>
      </w:r>
      <w:r>
        <w:rPr>
          <w:rFonts w:hint="eastAsia" w:ascii="宋体" w:hAnsi="宋体" w:eastAsia="宋体" w:cs="宋体"/>
          <w:i/>
          <w:iCs w:val="0"/>
          <w:color w:val="000000"/>
          <w:highlight w:val="none"/>
          <w:u w:val="single"/>
          <w:lang w:val="en-US" w:eastAsia="zh-CN"/>
        </w:rPr>
        <w:t>服务方案</w:t>
      </w:r>
      <w:r>
        <w:rPr>
          <w:rFonts w:hint="eastAsia" w:ascii="宋体" w:hAnsi="宋体" w:eastAsia="宋体" w:cs="宋体"/>
          <w:i/>
          <w:iCs w:val="0"/>
          <w:color w:val="000000"/>
          <w:highlight w:val="none"/>
          <w:u w:val="single"/>
        </w:rPr>
        <w:t>等</w:t>
      </w:r>
    </w:p>
    <w:p w14:paraId="2B4328CE">
      <w:pPr>
        <w:pStyle w:val="15"/>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t>十</w:t>
      </w:r>
      <w:r>
        <w:rPr>
          <w:rFonts w:hint="eastAsia" w:ascii="宋体" w:hAnsi="宋体" w:eastAsia="宋体" w:cs="宋体"/>
          <w:i/>
          <w:iCs w:val="0"/>
          <w:color w:val="000000"/>
          <w:highlight w:val="none"/>
          <w:u w:val="single"/>
          <w:lang w:val="en-US" w:eastAsia="zh-CN"/>
        </w:rPr>
        <w:t>五</w:t>
      </w:r>
      <w:r>
        <w:rPr>
          <w:rFonts w:hint="eastAsia" w:ascii="宋体" w:hAnsi="宋体" w:eastAsia="宋体" w:cs="宋体"/>
          <w:i/>
          <w:iCs w:val="0"/>
          <w:color w:val="000000"/>
          <w:highlight w:val="none"/>
          <w:u w:val="single"/>
        </w:rPr>
        <w:t>、盐城市政府采购事前信用承诺书</w:t>
      </w:r>
    </w:p>
    <w:p w14:paraId="4DA9FEAA">
      <w:pPr>
        <w:pStyle w:val="15"/>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hint="eastAsia" w:ascii="宋体" w:hAnsi="宋体" w:eastAsia="宋体" w:cs="宋体"/>
          <w:color w:val="auto"/>
          <w:highlight w:val="none"/>
          <w:lang w:val="en-US" w:eastAsia="zh-CN"/>
        </w:rPr>
      </w:pPr>
      <w:r>
        <w:rPr>
          <w:rFonts w:hint="eastAsia" w:ascii="宋体" w:hAnsi="宋体" w:eastAsia="宋体" w:cs="宋体"/>
          <w:i/>
          <w:iCs w:val="0"/>
          <w:color w:val="000000"/>
          <w:highlight w:val="none"/>
          <w:u w:val="single"/>
          <w:lang w:val="en-US" w:eastAsia="zh-CN"/>
        </w:rPr>
        <w:t>注：招标文件中规定要求提供的证明材料和投标人认为需要提供的其他材料。</w:t>
      </w:r>
    </w:p>
    <w:p w14:paraId="61806445">
      <w:pPr>
        <w:pStyle w:val="15"/>
        <w:spacing w:beforeAutospacing="0" w:afterAutospacing="0" w:line="0" w:lineRule="atLeast"/>
        <w:jc w:val="both"/>
        <w:rPr>
          <w:rFonts w:hint="eastAsia" w:ascii="宋体" w:hAnsi="宋体" w:eastAsia="宋体" w:cs="宋体"/>
          <w:color w:val="auto"/>
          <w:highlight w:val="none"/>
          <w:lang w:val="en-US" w:eastAsia="zh-CN"/>
        </w:rPr>
      </w:pPr>
    </w:p>
    <w:p w14:paraId="01B5D769">
      <w:pPr>
        <w:pStyle w:val="15"/>
        <w:spacing w:beforeAutospacing="0" w:afterAutospacing="0" w:line="0" w:lineRule="atLeast"/>
        <w:jc w:val="both"/>
        <w:rPr>
          <w:rFonts w:hint="eastAsia" w:ascii="宋体" w:hAnsi="宋体" w:eastAsia="宋体" w:cs="宋体"/>
          <w:color w:val="auto"/>
          <w:highlight w:val="none"/>
          <w:lang w:val="en-US" w:eastAsia="zh-CN"/>
        </w:rPr>
      </w:pPr>
    </w:p>
    <w:p w14:paraId="0C78B675">
      <w:pPr>
        <w:pStyle w:val="15"/>
        <w:spacing w:beforeAutospacing="0" w:afterAutospacing="0" w:line="0" w:lineRule="atLeast"/>
        <w:jc w:val="both"/>
        <w:rPr>
          <w:rFonts w:hint="eastAsia" w:ascii="宋体" w:hAnsi="宋体" w:eastAsia="宋体" w:cs="宋体"/>
          <w:color w:val="auto"/>
          <w:highlight w:val="none"/>
          <w:lang w:val="en-US" w:eastAsia="zh-CN"/>
        </w:rPr>
      </w:pPr>
    </w:p>
    <w:p w14:paraId="2409FA5C">
      <w:pPr>
        <w:pStyle w:val="15"/>
        <w:spacing w:beforeAutospacing="0" w:afterAutospacing="0" w:line="0" w:lineRule="atLeast"/>
        <w:jc w:val="both"/>
        <w:rPr>
          <w:rFonts w:hint="eastAsia" w:ascii="宋体" w:hAnsi="宋体" w:eastAsia="宋体" w:cs="宋体"/>
          <w:color w:val="auto"/>
          <w:highlight w:val="none"/>
          <w:lang w:val="en-US" w:eastAsia="zh-CN"/>
        </w:rPr>
      </w:pPr>
    </w:p>
    <w:p w14:paraId="600EAB84">
      <w:pPr>
        <w:pStyle w:val="15"/>
        <w:spacing w:beforeAutospacing="0" w:afterAutospacing="0" w:line="0" w:lineRule="atLeast"/>
        <w:jc w:val="both"/>
        <w:rPr>
          <w:rFonts w:hint="eastAsia" w:ascii="宋体" w:hAnsi="宋体" w:eastAsia="宋体" w:cs="宋体"/>
          <w:color w:val="auto"/>
          <w:highlight w:val="none"/>
          <w:lang w:val="en-US" w:eastAsia="zh-CN"/>
        </w:rPr>
      </w:pPr>
    </w:p>
    <w:p w14:paraId="2172FC4D">
      <w:pPr>
        <w:pStyle w:val="15"/>
        <w:spacing w:beforeAutospacing="0" w:afterAutospacing="0" w:line="0" w:lineRule="atLeast"/>
        <w:jc w:val="both"/>
        <w:rPr>
          <w:rFonts w:hint="eastAsia" w:ascii="宋体" w:hAnsi="宋体" w:eastAsia="宋体" w:cs="宋体"/>
          <w:color w:val="auto"/>
          <w:highlight w:val="none"/>
          <w:lang w:val="en-US" w:eastAsia="zh-CN"/>
        </w:rPr>
      </w:pPr>
    </w:p>
    <w:p w14:paraId="329805D9">
      <w:pPr>
        <w:pStyle w:val="15"/>
        <w:spacing w:beforeAutospacing="0" w:afterAutospacing="0" w:line="0" w:lineRule="atLeast"/>
        <w:jc w:val="both"/>
        <w:rPr>
          <w:rFonts w:hint="eastAsia" w:ascii="宋体" w:hAnsi="宋体" w:eastAsia="宋体" w:cs="宋体"/>
          <w:color w:val="auto"/>
          <w:highlight w:val="none"/>
          <w:lang w:val="en-US" w:eastAsia="zh-CN"/>
        </w:rPr>
      </w:pPr>
    </w:p>
    <w:p w14:paraId="2EF6E9C5">
      <w:pPr>
        <w:pStyle w:val="15"/>
        <w:spacing w:beforeAutospacing="0" w:afterAutospacing="0" w:line="0" w:lineRule="atLeast"/>
        <w:jc w:val="both"/>
        <w:rPr>
          <w:rFonts w:hint="eastAsia" w:ascii="宋体" w:hAnsi="宋体" w:eastAsia="宋体" w:cs="宋体"/>
          <w:color w:val="auto"/>
          <w:highlight w:val="none"/>
          <w:lang w:val="en-US" w:eastAsia="zh-CN"/>
        </w:rPr>
      </w:pPr>
    </w:p>
    <w:p w14:paraId="3AFD48EA">
      <w:pPr>
        <w:pStyle w:val="15"/>
        <w:spacing w:beforeAutospacing="0" w:afterAutospacing="0"/>
        <w:jc w:val="both"/>
        <w:rPr>
          <w:highlight w:val="none"/>
        </w:rPr>
      </w:pPr>
      <w:r>
        <w:rPr>
          <w:rFonts w:hint="eastAsia" w:ascii="黑体" w:hAnsi="宋体" w:eastAsia="黑体" w:cs="黑体"/>
          <w:i/>
          <w:color w:val="000000"/>
          <w:sz w:val="32"/>
          <w:szCs w:val="32"/>
          <w:highlight w:val="none"/>
          <w:u w:val="single"/>
        </w:rPr>
        <w:t>一、法人或者其他组织的营业执照等证明文件</w:t>
      </w:r>
      <w:r>
        <w:rPr>
          <w:rFonts w:hint="eastAsia" w:ascii="黑体" w:hAnsi="宋体" w:eastAsia="黑体" w:cs="黑体"/>
          <w:i/>
          <w:color w:val="000000"/>
          <w:sz w:val="32"/>
          <w:szCs w:val="32"/>
          <w:highlight w:val="none"/>
          <w:u w:val="single"/>
          <w:lang w:val="en-US" w:eastAsia="zh-CN"/>
        </w:rPr>
        <w:t>或</w:t>
      </w:r>
      <w:r>
        <w:rPr>
          <w:rFonts w:hint="eastAsia" w:ascii="黑体" w:hAnsi="宋体" w:eastAsia="黑体" w:cs="黑体"/>
          <w:i/>
          <w:color w:val="000000"/>
          <w:sz w:val="32"/>
          <w:szCs w:val="32"/>
          <w:highlight w:val="none"/>
          <w:u w:val="single"/>
        </w:rPr>
        <w:t>自然人的身份证明</w:t>
      </w:r>
    </w:p>
    <w:p w14:paraId="20683007">
      <w:pPr>
        <w:pStyle w:val="15"/>
        <w:spacing w:beforeAutospacing="0" w:afterAutospacing="0" w:line="0" w:lineRule="atLeast"/>
        <w:ind w:firstLine="480"/>
        <w:jc w:val="both"/>
        <w:rPr>
          <w:highlight w:val="none"/>
        </w:rPr>
      </w:pPr>
      <w:r>
        <w:rPr>
          <w:highlight w:val="none"/>
        </w:rPr>
        <w:t> </w:t>
      </w:r>
    </w:p>
    <w:p w14:paraId="31F29E3F">
      <w:pPr>
        <w:pStyle w:val="15"/>
        <w:spacing w:beforeAutospacing="0" w:afterAutospacing="0"/>
        <w:jc w:val="both"/>
        <w:rPr>
          <w:rFonts w:hint="eastAsia" w:eastAsia="黑体"/>
          <w:highlight w:val="none"/>
          <w:lang w:val="en-US" w:eastAsia="zh-CN"/>
        </w:rPr>
      </w:pPr>
      <w:r>
        <w:rPr>
          <w:rFonts w:hint="eastAsia" w:ascii="黑体" w:hAnsi="宋体" w:eastAsia="黑体" w:cs="黑体"/>
          <w:i/>
          <w:color w:val="000000"/>
          <w:sz w:val="32"/>
          <w:szCs w:val="32"/>
          <w:highlight w:val="none"/>
          <w:u w:val="single"/>
        </w:rPr>
        <w:t>二、上一年度的财务状况报</w:t>
      </w:r>
      <w:r>
        <w:rPr>
          <w:rFonts w:hint="eastAsia" w:ascii="黑体" w:hAnsi="宋体" w:eastAsia="黑体" w:cs="黑体"/>
          <w:i/>
          <w:color w:val="000000"/>
          <w:sz w:val="32"/>
          <w:szCs w:val="32"/>
          <w:highlight w:val="none"/>
          <w:u w:val="single"/>
          <w:lang w:val="en-US" w:eastAsia="zh-CN"/>
        </w:rPr>
        <w:t>告（成立不满一年不需提供）；</w:t>
      </w:r>
    </w:p>
    <w:p w14:paraId="057FE733">
      <w:pPr>
        <w:tabs>
          <w:tab w:val="left" w:pos="1331"/>
        </w:tabs>
        <w:bidi w:val="0"/>
        <w:jc w:val="left"/>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（至少提供资产负债表、利润表、现金流量表，投标人成立不满一年无需提供）</w:t>
      </w:r>
    </w:p>
    <w:p w14:paraId="4778C699">
      <w:pPr>
        <w:pStyle w:val="15"/>
        <w:spacing w:beforeAutospacing="0" w:afterAutospacing="0" w:line="0" w:lineRule="atLeast"/>
        <w:ind w:firstLine="480"/>
        <w:jc w:val="both"/>
        <w:rPr>
          <w:highlight w:val="none"/>
        </w:rPr>
      </w:pPr>
    </w:p>
    <w:p w14:paraId="25FFB547">
      <w:pPr>
        <w:pStyle w:val="15"/>
        <w:spacing w:beforeAutospacing="0" w:afterAutospacing="0"/>
        <w:jc w:val="both"/>
        <w:rPr>
          <w:highlight w:val="none"/>
        </w:rPr>
      </w:pPr>
      <w:r>
        <w:rPr>
          <w:highlight w:val="none"/>
        </w:rPr>
        <w:t> </w:t>
      </w:r>
    </w:p>
    <w:p w14:paraId="63180049">
      <w:pPr>
        <w:pStyle w:val="15"/>
        <w:spacing w:beforeAutospacing="0" w:afterAutospacing="0"/>
        <w:jc w:val="both"/>
        <w:rPr>
          <w:highlight w:val="none"/>
        </w:rPr>
      </w:pPr>
      <w:r>
        <w:rPr>
          <w:highlight w:val="none"/>
        </w:rPr>
        <w:t> </w:t>
      </w:r>
    </w:p>
    <w:p w14:paraId="7F1E7E29">
      <w:pPr>
        <w:pStyle w:val="15"/>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三</w:t>
      </w:r>
      <w:r>
        <w:rPr>
          <w:rFonts w:hint="eastAsia" w:ascii="黑体" w:hAnsi="宋体" w:eastAsia="黑体" w:cs="黑体"/>
          <w:i/>
          <w:color w:val="000000"/>
          <w:sz w:val="32"/>
          <w:szCs w:val="32"/>
          <w:highlight w:val="none"/>
          <w:u w:val="single"/>
        </w:rPr>
        <w:t>、具备履行合同所必需的设备和专业技术能力的书面声明</w:t>
      </w:r>
    </w:p>
    <w:p w14:paraId="472E9ABD">
      <w:pPr>
        <w:pStyle w:val="15"/>
        <w:spacing w:beforeAutospacing="0" w:afterAutospacing="0" w:line="0" w:lineRule="atLeast"/>
        <w:ind w:firstLine="492"/>
        <w:jc w:val="both"/>
        <w:rPr>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2987A767">
      <w:pPr>
        <w:pStyle w:val="15"/>
        <w:spacing w:beforeAutospacing="0" w:afterAutospacing="0" w:line="0" w:lineRule="atLeast"/>
        <w:ind w:firstLine="492"/>
        <w:jc w:val="both"/>
        <w:rPr>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3BCA7677">
      <w:pPr>
        <w:pStyle w:val="15"/>
        <w:spacing w:beforeAutospacing="0" w:afterAutospacing="0"/>
        <w:jc w:val="both"/>
        <w:rPr>
          <w:rFonts w:hint="eastAsia" w:ascii="宋体" w:hAnsi="宋体" w:eastAsia="宋体" w:cs="宋体"/>
          <w:color w:val="000000"/>
          <w:highlight w:val="none"/>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7E763E7C">
      <w:pPr>
        <w:pStyle w:val="15"/>
        <w:spacing w:beforeAutospacing="0" w:afterAutospacing="0"/>
        <w:jc w:val="both"/>
        <w:rPr>
          <w:highlight w:val="none"/>
        </w:rPr>
      </w:pPr>
      <w:r>
        <w:rPr>
          <w:rFonts w:hint="eastAsia" w:ascii="黑体" w:hAnsi="宋体" w:eastAsia="黑体" w:cs="黑体"/>
          <w:i/>
          <w:color w:val="000000"/>
          <w:sz w:val="32"/>
          <w:szCs w:val="32"/>
          <w:highlight w:val="none"/>
          <w:u w:val="single"/>
          <w:lang w:val="en-US" w:eastAsia="zh-CN"/>
        </w:rPr>
        <w:t>四</w:t>
      </w:r>
      <w:r>
        <w:rPr>
          <w:rFonts w:hint="eastAsia" w:ascii="黑体" w:hAnsi="宋体" w:eastAsia="黑体" w:cs="黑体"/>
          <w:i/>
          <w:color w:val="000000"/>
          <w:sz w:val="32"/>
          <w:szCs w:val="32"/>
          <w:highlight w:val="none"/>
          <w:u w:val="single"/>
        </w:rPr>
        <w:t>、依法缴纳税收和社会保障资金的相关材料</w:t>
      </w:r>
    </w:p>
    <w:p w14:paraId="573B755F">
      <w:pPr>
        <w:pStyle w:val="15"/>
        <w:spacing w:beforeAutospacing="0" w:afterAutospacing="0"/>
        <w:ind w:firstLine="480"/>
        <w:jc w:val="both"/>
        <w:rPr>
          <w:highlight w:val="none"/>
        </w:rPr>
      </w:pPr>
      <w:bookmarkStart w:id="186" w:name="_Toc120614284"/>
      <w:r>
        <w:rPr>
          <w:rFonts w:hint="eastAsia" w:ascii="宋体" w:hAnsi="宋体" w:eastAsia="宋体" w:cs="宋体"/>
          <w:color w:val="000000"/>
          <w:highlight w:val="none"/>
        </w:rPr>
        <w:t>提供提交投标文件截止时间前一年内至少一个月依法缴纳税收及缴纳社会保障资金的证明材料。投标人依法享受缓缴、免缴税收、社会保障资金的提供证明材料。</w:t>
      </w:r>
      <w:bookmarkEnd w:id="186"/>
    </w:p>
    <w:p w14:paraId="363F6DD6">
      <w:pPr>
        <w:pStyle w:val="15"/>
        <w:spacing w:beforeAutospacing="0" w:afterAutospacing="0"/>
        <w:jc w:val="both"/>
        <w:rPr>
          <w:highlight w:val="none"/>
        </w:rPr>
      </w:pPr>
      <w:r>
        <w:rPr>
          <w:rFonts w:hint="eastAsia" w:ascii="黑体" w:hAnsi="宋体" w:eastAsia="黑体" w:cs="黑体"/>
          <w:i/>
          <w:color w:val="000000"/>
          <w:sz w:val="32"/>
          <w:szCs w:val="32"/>
          <w:highlight w:val="none"/>
          <w:u w:val="single"/>
        </w:rPr>
        <w:t>五、参加政府采购活动前 3 年内在经营活动中没有重大违法记录的书面声明</w:t>
      </w:r>
    </w:p>
    <w:p w14:paraId="493AC879">
      <w:pPr>
        <w:pStyle w:val="15"/>
        <w:spacing w:beforeAutospacing="0" w:afterAutospacing="0" w:line="0" w:lineRule="atLeast"/>
        <w:jc w:val="both"/>
        <w:rPr>
          <w:highlight w:val="none"/>
        </w:rPr>
      </w:pPr>
      <w:r>
        <w:rPr>
          <w:rFonts w:hint="eastAsia" w:ascii="宋体" w:hAnsi="宋体" w:eastAsia="宋体" w:cs="宋体"/>
          <w:b/>
          <w:color w:val="000000"/>
          <w:sz w:val="44"/>
          <w:szCs w:val="44"/>
          <w:highlight w:val="none"/>
        </w:rPr>
        <w:t>       声  明</w:t>
      </w:r>
    </w:p>
    <w:p w14:paraId="41791563">
      <w:pPr>
        <w:pStyle w:val="15"/>
        <w:spacing w:beforeAutospacing="0" w:afterAutospacing="0" w:line="0" w:lineRule="atLeast"/>
        <w:jc w:val="both"/>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我单位郑重声明：参加本次政府采购活动前 3 年内，我单位在经营活动中没有因违法经营受到刑事处罚或者责令停产停业、吊销许可证或者执照、较大数额罚款等行政处罚。</w:t>
      </w:r>
    </w:p>
    <w:p w14:paraId="6119E2AF">
      <w:pPr>
        <w:pStyle w:val="15"/>
        <w:spacing w:beforeAutospacing="0" w:afterAutospacing="0"/>
        <w:jc w:val="both"/>
        <w:rPr>
          <w:highlight w:val="none"/>
        </w:rPr>
      </w:pPr>
      <w:r>
        <w:rPr>
          <w:highlight w:val="none"/>
        </w:rPr>
        <w:t> </w:t>
      </w:r>
    </w:p>
    <w:p w14:paraId="03822A78">
      <w:pPr>
        <w:pStyle w:val="15"/>
        <w:spacing w:beforeAutospacing="0" w:afterAutospacing="0"/>
        <w:jc w:val="both"/>
        <w:rPr>
          <w:highlight w:val="none"/>
        </w:rPr>
      </w:pPr>
      <w:r>
        <w:rPr>
          <w:rFonts w:hint="eastAsia" w:ascii="黑体" w:hAnsi="宋体" w:eastAsia="黑体" w:cs="黑体"/>
          <w:i/>
          <w:color w:val="000000"/>
          <w:sz w:val="32"/>
          <w:szCs w:val="32"/>
          <w:highlight w:val="none"/>
          <w:u w:val="single"/>
        </w:rPr>
        <w:t>六、特定资格要求的证明文件</w:t>
      </w:r>
    </w:p>
    <w:p w14:paraId="4C7AE4BB">
      <w:pPr>
        <w:pStyle w:val="15"/>
        <w:spacing w:beforeAutospacing="0" w:afterAutospacing="0" w:line="0" w:lineRule="atLeast"/>
        <w:jc w:val="both"/>
        <w:rPr>
          <w:highlight w:val="none"/>
        </w:rPr>
      </w:pPr>
      <w:r>
        <w:rPr>
          <w:rFonts w:hint="eastAsia" w:ascii="宋体" w:hAnsi="宋体" w:eastAsia="宋体" w:cs="宋体"/>
          <w:color w:val="000000"/>
          <w:highlight w:val="none"/>
        </w:rPr>
        <w:t>    如果本项目申请人的特定资格要求中要求提供的，必须提供。</w:t>
      </w:r>
    </w:p>
    <w:p w14:paraId="4F82CDD6">
      <w:pPr>
        <w:pStyle w:val="15"/>
        <w:spacing w:beforeAutospacing="0" w:afterAutospacing="0" w:line="0" w:lineRule="atLeast"/>
        <w:jc w:val="both"/>
        <w:rPr>
          <w:highlight w:val="none"/>
        </w:rPr>
      </w:pPr>
      <w:r>
        <w:rPr>
          <w:highlight w:val="none"/>
        </w:rPr>
        <w:t> </w:t>
      </w:r>
    </w:p>
    <w:p w14:paraId="18734FE7">
      <w:pPr>
        <w:pStyle w:val="15"/>
        <w:spacing w:beforeAutospacing="0" w:afterAutospacing="0"/>
        <w:jc w:val="center"/>
        <w:rPr>
          <w:rFonts w:ascii="黑体" w:hAnsi="宋体" w:eastAsia="黑体" w:cs="黑体"/>
          <w:i/>
          <w:color w:val="000000"/>
          <w:sz w:val="32"/>
          <w:szCs w:val="32"/>
          <w:highlight w:val="none"/>
          <w:u w:val="single"/>
        </w:rPr>
      </w:pPr>
    </w:p>
    <w:p w14:paraId="6C52318B">
      <w:pPr>
        <w:pStyle w:val="15"/>
        <w:spacing w:beforeAutospacing="0" w:afterAutospacing="0"/>
        <w:jc w:val="both"/>
        <w:rPr>
          <w:rFonts w:ascii="黑体" w:hAnsi="宋体" w:eastAsia="黑体" w:cs="黑体"/>
          <w:i/>
          <w:color w:val="000000"/>
          <w:sz w:val="32"/>
          <w:szCs w:val="32"/>
          <w:highlight w:val="none"/>
          <w:u w:val="single"/>
        </w:rPr>
      </w:pPr>
    </w:p>
    <w:p w14:paraId="2DA39500">
      <w:pPr>
        <w:pStyle w:val="15"/>
        <w:spacing w:beforeAutospacing="0" w:afterAutospacing="0"/>
        <w:jc w:val="both"/>
        <w:rPr>
          <w:rFonts w:ascii="黑体" w:hAnsi="宋体" w:eastAsia="黑体" w:cs="黑体"/>
          <w:i/>
          <w:color w:val="000000"/>
          <w:sz w:val="32"/>
          <w:szCs w:val="32"/>
          <w:highlight w:val="none"/>
          <w:u w:val="single"/>
        </w:rPr>
      </w:pPr>
    </w:p>
    <w:p w14:paraId="0B03FD04">
      <w:pPr>
        <w:pStyle w:val="15"/>
        <w:spacing w:beforeAutospacing="0" w:afterAutospacing="0"/>
        <w:jc w:val="both"/>
        <w:rPr>
          <w:rFonts w:ascii="黑体" w:hAnsi="宋体" w:eastAsia="黑体" w:cs="黑体"/>
          <w:i/>
          <w:color w:val="000000"/>
          <w:sz w:val="32"/>
          <w:szCs w:val="32"/>
          <w:highlight w:val="none"/>
          <w:u w:val="single"/>
        </w:rPr>
      </w:pPr>
    </w:p>
    <w:p w14:paraId="429D58A5">
      <w:pPr>
        <w:pStyle w:val="15"/>
        <w:spacing w:beforeAutospacing="0" w:afterAutospacing="0"/>
        <w:jc w:val="center"/>
        <w:rPr>
          <w:highlight w:val="none"/>
        </w:rPr>
      </w:pPr>
      <w:r>
        <w:rPr>
          <w:rFonts w:hint="eastAsia" w:ascii="黑体" w:hAnsi="宋体" w:eastAsia="黑体" w:cs="黑体"/>
          <w:i/>
          <w:color w:val="000000"/>
          <w:sz w:val="32"/>
          <w:szCs w:val="32"/>
          <w:highlight w:val="none"/>
          <w:u w:val="single"/>
        </w:rPr>
        <w:t>七、法人授权书</w:t>
      </w:r>
    </w:p>
    <w:p w14:paraId="75371E96">
      <w:pPr>
        <w:pStyle w:val="15"/>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ind w:firstLine="480"/>
        <w:jc w:val="both"/>
        <w:textAlignment w:val="auto"/>
        <w:rPr>
          <w:highlight w:val="none"/>
        </w:rPr>
      </w:pPr>
      <w:r>
        <w:rPr>
          <w:rFonts w:ascii="Times New Roman" w:hAnsi="Times New Roman"/>
          <w:color w:val="000000"/>
          <w:highlight w:val="none"/>
        </w:rPr>
        <w:t>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号项目采购活动的合法代理人，以本单位名义全权处理一切与该项目采购有关的事务。</w:t>
      </w:r>
    </w:p>
    <w:p w14:paraId="3AC9EC25">
      <w:pPr>
        <w:pStyle w:val="15"/>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ind w:firstLine="480"/>
        <w:jc w:val="both"/>
        <w:textAlignment w:val="auto"/>
        <w:rPr>
          <w:highlight w:val="none"/>
        </w:rPr>
      </w:pPr>
      <w:r>
        <w:rPr>
          <w:rFonts w:ascii="Times New Roman" w:hAnsi="Times New Roman"/>
          <w:color w:val="000000"/>
          <w:highlight w:val="none"/>
        </w:rPr>
        <w:t>本授权书于______年____月____日起生效，特此声明。</w:t>
      </w:r>
    </w:p>
    <w:p w14:paraId="2DC53DE8">
      <w:pPr>
        <w:pStyle w:val="15"/>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jc w:val="both"/>
        <w:textAlignment w:val="auto"/>
        <w:rPr>
          <w:highlight w:val="none"/>
        </w:rPr>
      </w:pPr>
      <w:r>
        <w:rPr>
          <w:rFonts w:ascii="Times New Roman" w:hAnsi="Times New Roman"/>
          <w:color w:val="000000"/>
          <w:highlight w:val="none"/>
        </w:rPr>
        <w:t>        被授权人身份证号码：</w:t>
      </w:r>
      <w:r>
        <w:rPr>
          <w:rFonts w:ascii="Times New Roman" w:hAnsi="Times New Roman"/>
          <w:color w:val="000000"/>
          <w:highlight w:val="none"/>
          <w:u w:val="single"/>
        </w:rPr>
        <w:t xml:space="preserve">                              </w:t>
      </w:r>
    </w:p>
    <w:p w14:paraId="2613E46B">
      <w:pPr>
        <w:pStyle w:val="15"/>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jc w:val="both"/>
        <w:textAlignment w:val="auto"/>
        <w:rPr>
          <w:rFonts w:ascii="Times New Roman" w:hAnsi="Times New Roman"/>
          <w:color w:val="000000"/>
          <w:highlight w:val="none"/>
          <w:u w:val="single"/>
        </w:rPr>
      </w:pPr>
      <w:r>
        <w:rPr>
          <w:rFonts w:ascii="Times New Roman" w:hAnsi="Times New Roman"/>
          <w:color w:val="000000"/>
          <w:highlight w:val="none"/>
        </w:rPr>
        <w:t>         被授权人联系电话：（手机）</w:t>
      </w:r>
      <w:r>
        <w:rPr>
          <w:rFonts w:ascii="Times New Roman" w:hAnsi="Times New Roman"/>
          <w:color w:val="000000"/>
          <w:highlight w:val="none"/>
          <w:u w:val="single"/>
        </w:rPr>
        <w:t xml:space="preserve">                          </w:t>
      </w:r>
    </w:p>
    <w:p w14:paraId="4FE26A2D">
      <w:pPr>
        <w:pStyle w:val="15"/>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ind w:firstLine="480" w:firstLineChars="200"/>
        <w:jc w:val="both"/>
        <w:textAlignment w:val="auto"/>
        <w:rPr>
          <w:highlight w:val="none"/>
        </w:rPr>
      </w:pPr>
      <w:r>
        <w:rPr>
          <w:rFonts w:ascii="Times New Roman" w:hAnsi="Times New Roman"/>
          <w:color w:val="000000"/>
          <w:highlight w:val="none"/>
        </w:rPr>
        <w:t>授权单位名称：</w:t>
      </w:r>
      <w:r>
        <w:rPr>
          <w:rFonts w:ascii="Times New Roman" w:hAnsi="Times New Roman"/>
          <w:color w:val="000000"/>
          <w:highlight w:val="none"/>
          <w:u w:val="single"/>
        </w:rPr>
        <w:t>（加盖CA电子公章）</w:t>
      </w:r>
    </w:p>
    <w:p w14:paraId="659A81C5">
      <w:pPr>
        <w:pStyle w:val="15"/>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ind w:firstLine="480"/>
        <w:jc w:val="both"/>
        <w:textAlignment w:val="auto"/>
        <w:rPr>
          <w:highlight w:val="none"/>
        </w:rPr>
      </w:pPr>
      <w:r>
        <w:rPr>
          <w:rFonts w:ascii="Times New Roman" w:hAnsi="Times New Roman"/>
          <w:color w:val="000000"/>
          <w:highlight w:val="none"/>
        </w:rPr>
        <w:t>单位地址：</w:t>
      </w:r>
      <w:r>
        <w:rPr>
          <w:rFonts w:ascii="Times New Roman" w:hAnsi="Times New Roman"/>
          <w:color w:val="000000"/>
          <w:highlight w:val="none"/>
          <w:u w:val="single"/>
        </w:rPr>
        <w:t xml:space="preserve">                                         </w:t>
      </w:r>
    </w:p>
    <w:p w14:paraId="747B88F2">
      <w:pPr>
        <w:pStyle w:val="15"/>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ind w:firstLine="480"/>
        <w:jc w:val="both"/>
        <w:textAlignment w:val="auto"/>
        <w:rPr>
          <w:highlight w:val="none"/>
        </w:rPr>
      </w:pPr>
      <w:r>
        <w:rPr>
          <w:rFonts w:ascii="Times New Roman" w:hAnsi="Times New Roman"/>
          <w:color w:val="000000"/>
          <w:highlight w:val="none"/>
        </w:rPr>
        <w:t>  日期：</w:t>
      </w:r>
      <w:bookmarkStart w:id="187" w:name="_Hlt26955070"/>
      <w:bookmarkStart w:id="188" w:name="_格式3__银行出具的资信证明"/>
      <w:bookmarkStart w:id="189" w:name="_Hlt26671380"/>
      <w:r>
        <w:rPr>
          <w:rFonts w:ascii="Times New Roman" w:hAnsi="Times New Roman"/>
          <w:color w:val="000000"/>
          <w:highlight w:val="none"/>
          <w:u w:val="single"/>
        </w:rPr>
        <w:t xml:space="preserve">                                         </w:t>
      </w:r>
    </w:p>
    <w:p w14:paraId="4434C07B">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highlight w:val="none"/>
        </w:rPr>
      </w:pPr>
      <w:r>
        <w:rPr>
          <w:highlight w:val="none"/>
        </w:rPr>
        <w:t> </w:t>
      </w:r>
    </w:p>
    <w:p w14:paraId="54380AE8">
      <w:pPr>
        <w:pStyle w:val="15"/>
        <w:spacing w:beforeAutospacing="0" w:afterAutospacing="0"/>
        <w:jc w:val="both"/>
        <w:rPr>
          <w:highlight w:val="none"/>
        </w:rPr>
      </w:pPr>
      <w:r>
        <w:rPr>
          <w:highlight w:val="none"/>
        </w:rPr>
        <w:t> </w:t>
      </w:r>
    </w:p>
    <w:p w14:paraId="35C87C39">
      <w:pPr>
        <w:pStyle w:val="15"/>
        <w:spacing w:beforeAutospacing="0" w:afterAutospacing="0" w:line="0" w:lineRule="atLeast"/>
        <w:jc w:val="both"/>
        <w:rPr>
          <w:highlight w:val="none"/>
        </w:rPr>
      </w:pPr>
      <w:r>
        <w:rPr>
          <w:highlight w:val="none"/>
        </w:rPr>
        <w:t> </w:t>
      </w:r>
    </w:p>
    <w:p w14:paraId="56E61D5E">
      <w:pPr>
        <w:pStyle w:val="15"/>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w:t>
      </w:r>
    </w:p>
    <w:p w14:paraId="4937D57C">
      <w:pPr>
        <w:pStyle w:val="15"/>
        <w:spacing w:beforeAutospacing="0" w:afterAutospacing="0" w:line="0" w:lineRule="atLeast"/>
        <w:jc w:val="both"/>
        <w:rPr>
          <w:highlight w:val="none"/>
        </w:rPr>
      </w:pPr>
      <w:r>
        <w:rPr>
          <w:highlight w:val="none"/>
        </w:rPr>
        <w:t> </w:t>
      </w:r>
    </w:p>
    <w:p w14:paraId="0F02C396">
      <w:pPr>
        <w:pStyle w:val="15"/>
        <w:keepNext/>
        <w:keepLines/>
        <w:spacing w:before="260" w:beforeAutospacing="0" w:after="260" w:afterAutospacing="0" w:line="415" w:lineRule="auto"/>
        <w:ind w:firstLine="3390"/>
        <w:jc w:val="both"/>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r>
      <w:r>
        <w:rPr>
          <w:rFonts w:hint="eastAsia" w:ascii="宋体" w:hAnsi="宋体" w:eastAsia="宋体" w:cs="宋体"/>
          <w:b/>
          <w:color w:val="000000"/>
          <w:highlight w:val="none"/>
        </w:rPr>
        <w:t> </w:t>
      </w:r>
      <w:r>
        <w:rPr>
          <w:rFonts w:hint="eastAsia" w:ascii="黑体" w:hAnsi="宋体" w:eastAsia="黑体" w:cs="黑体"/>
          <w:b/>
          <w:color w:val="000000"/>
          <w:sz w:val="32"/>
          <w:szCs w:val="32"/>
          <w:highlight w:val="none"/>
        </w:rPr>
        <w:t>八、投标函</w:t>
      </w:r>
    </w:p>
    <w:p w14:paraId="26D1CCB0">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textAlignment w:val="auto"/>
        <w:rPr>
          <w:highlight w:val="none"/>
        </w:rPr>
      </w:pPr>
      <w:r>
        <w:rPr>
          <w:rFonts w:hint="eastAsia" w:ascii="宋体" w:hAnsi="宋体" w:eastAsia="宋体" w:cs="宋体"/>
          <w:color w:val="000000"/>
          <w:highlight w:val="none"/>
        </w:rPr>
        <w:t>致：</w:t>
      </w:r>
    </w:p>
    <w:p w14:paraId="2DE50441">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textAlignment w:val="auto"/>
        <w:rPr>
          <w:highlight w:val="none"/>
        </w:rPr>
      </w:pPr>
      <w:r>
        <w:rPr>
          <w:rFonts w:hint="eastAsia" w:ascii="宋体" w:hAnsi="宋体" w:eastAsia="宋体" w:cs="宋体"/>
          <w:color w:val="000000"/>
          <w:highlight w:val="none"/>
        </w:rPr>
        <w:t>根据贵方的</w:t>
      </w:r>
      <w:r>
        <w:rPr>
          <w:rFonts w:hint="eastAsia" w:ascii="宋体" w:hAnsi="宋体" w:eastAsia="宋体" w:cs="宋体"/>
          <w:color w:val="000000"/>
          <w:highlight w:val="none"/>
          <w:u w:val="single"/>
        </w:rPr>
        <w:t>JSZC-</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号招标文件，正式授权下述签字人</w:t>
      </w:r>
      <w:r>
        <w:rPr>
          <w:rFonts w:hint="eastAsia"/>
          <w:color w:val="FF0000"/>
          <w:sz w:val="24"/>
          <w:szCs w:val="24"/>
          <w:highlight w:val="none"/>
          <w:lang w:eastAsia="zh-CN"/>
        </w:rPr>
        <w:t>（</w:t>
      </w:r>
      <w:r>
        <w:rPr>
          <w:rFonts w:hint="eastAsia"/>
          <w:color w:val="FF0000"/>
          <w:sz w:val="24"/>
          <w:szCs w:val="24"/>
          <w:highlight w:val="none"/>
          <w:lang w:val="en-US" w:eastAsia="zh-CN"/>
        </w:rPr>
        <w:t>签字或签章）</w:t>
      </w:r>
      <w:r>
        <w:rPr>
          <w:rFonts w:hint="eastAsia" w:ascii="宋体" w:hAnsi="宋体" w:eastAsia="宋体" w:cs="宋体"/>
          <w:color w:val="000000"/>
          <w:highlight w:val="none"/>
        </w:rPr>
        <w:t>______(姓名)代表我方______________（投标人的名称），全权处理本次项目投标的有关事宜。</w:t>
      </w:r>
    </w:p>
    <w:p w14:paraId="64F87FD4">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textAlignment w:val="auto"/>
        <w:rPr>
          <w:highlight w:val="none"/>
        </w:rPr>
      </w:pPr>
      <w:r>
        <w:rPr>
          <w:rFonts w:hint="eastAsia" w:ascii="宋体" w:hAnsi="宋体" w:eastAsia="宋体" w:cs="宋体"/>
          <w:color w:val="000000"/>
          <w:highlight w:val="none"/>
        </w:rPr>
        <w:t>据此函，__________签字人</w:t>
      </w:r>
      <w:r>
        <w:rPr>
          <w:rFonts w:hint="eastAsia"/>
          <w:color w:val="FF0000"/>
          <w:sz w:val="24"/>
          <w:szCs w:val="24"/>
          <w:highlight w:val="none"/>
          <w:lang w:eastAsia="zh-CN"/>
        </w:rPr>
        <w:t>（</w:t>
      </w:r>
      <w:r>
        <w:rPr>
          <w:rFonts w:hint="eastAsia"/>
          <w:color w:val="FF0000"/>
          <w:sz w:val="24"/>
          <w:szCs w:val="24"/>
          <w:highlight w:val="none"/>
          <w:lang w:val="en-US" w:eastAsia="zh-CN"/>
        </w:rPr>
        <w:t>签字或签章）</w:t>
      </w:r>
      <w:r>
        <w:rPr>
          <w:rFonts w:hint="eastAsia" w:ascii="宋体" w:hAnsi="宋体" w:eastAsia="宋体" w:cs="宋体"/>
          <w:color w:val="000000"/>
          <w:highlight w:val="none"/>
        </w:rPr>
        <w:t>兹宣布同意如下：</w:t>
      </w:r>
    </w:p>
    <w:p w14:paraId="313F2607">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textAlignment w:val="auto"/>
        <w:rPr>
          <w:highlight w:val="none"/>
        </w:rPr>
      </w:pPr>
      <w:r>
        <w:rPr>
          <w:rFonts w:hint="eastAsia" w:ascii="宋体" w:hAnsi="宋体" w:eastAsia="宋体" w:cs="宋体"/>
          <w:color w:val="000000"/>
          <w:highlight w:val="none"/>
        </w:rPr>
        <w:t>1.按招标文件规定的各项要求，向买方提供所需服务（包含与服务相关的货物）。</w:t>
      </w:r>
    </w:p>
    <w:p w14:paraId="473EF1FB">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textAlignment w:val="auto"/>
        <w:rPr>
          <w:highlight w:val="none"/>
        </w:rPr>
      </w:pPr>
      <w:r>
        <w:rPr>
          <w:rFonts w:hint="eastAsia" w:ascii="宋体" w:hAnsi="宋体" w:eastAsia="宋体" w:cs="宋体"/>
          <w:color w:val="000000"/>
          <w:highlight w:val="none"/>
        </w:rPr>
        <w:t>2.我们完全理解贵方不一定将合同授予最低报价的投标人。</w:t>
      </w:r>
    </w:p>
    <w:p w14:paraId="58062D8A">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textAlignment w:val="auto"/>
        <w:rPr>
          <w:highlight w:val="none"/>
        </w:rPr>
      </w:pPr>
      <w:r>
        <w:rPr>
          <w:rFonts w:hint="eastAsia" w:ascii="宋体" w:hAnsi="宋体" w:eastAsia="宋体" w:cs="宋体"/>
          <w:color w:val="000000"/>
          <w:highlight w:val="none"/>
        </w:rPr>
        <w:t>3.我们已详细审核全部招标文件及其有效补充文件，我们知道必须放弃提出含糊不清或误解问题的权利。</w:t>
      </w:r>
    </w:p>
    <w:p w14:paraId="08CB0CD4">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textAlignment w:val="auto"/>
        <w:rPr>
          <w:highlight w:val="none"/>
        </w:rPr>
      </w:pPr>
      <w:r>
        <w:rPr>
          <w:rFonts w:hint="eastAsia" w:ascii="宋体" w:hAnsi="宋体" w:eastAsia="宋体" w:cs="宋体"/>
          <w:color w:val="000000"/>
          <w:highlight w:val="none"/>
        </w:rPr>
        <w:t>4.我们同意从规定的开标日期起遵循本投标文件，并在规定的投标有效期期满之前均具有约束力。</w:t>
      </w:r>
    </w:p>
    <w:p w14:paraId="209DD427">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textAlignment w:val="auto"/>
        <w:rPr>
          <w:highlight w:val="none"/>
        </w:rPr>
      </w:pPr>
      <w:r>
        <w:rPr>
          <w:rFonts w:hint="eastAsia" w:ascii="宋体" w:hAnsi="宋体" w:eastAsia="宋体" w:cs="宋体"/>
          <w:color w:val="000000"/>
          <w:highlight w:val="none"/>
        </w:rPr>
        <w:t>5.同意向贵方提供贵方可能另外要求的与投标有关的任何证据或资料，并保证我方已提供和将要提供的文件是真实的、准确的。</w:t>
      </w:r>
    </w:p>
    <w:p w14:paraId="1F9BB1C3">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textAlignment w:val="auto"/>
        <w:rPr>
          <w:highlight w:val="none"/>
        </w:rPr>
      </w:pPr>
      <w:r>
        <w:rPr>
          <w:rFonts w:hint="eastAsia" w:ascii="宋体" w:hAnsi="宋体" w:eastAsia="宋体" w:cs="宋体"/>
          <w:color w:val="000000"/>
          <w:highlight w:val="none"/>
        </w:rPr>
        <w:t>6.一旦我方中标,我方将根据招标文件的规定，严格履行合同的责任和义务,并保证在招标文件规定的时间完成项目，交付买方验收、使用。</w:t>
      </w:r>
    </w:p>
    <w:p w14:paraId="33641869">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textAlignment w:val="auto"/>
        <w:rPr>
          <w:highlight w:val="none"/>
        </w:rPr>
      </w:pPr>
      <w:r>
        <w:rPr>
          <w:rFonts w:hint="eastAsia" w:ascii="宋体" w:hAnsi="宋体" w:eastAsia="宋体" w:cs="宋体"/>
          <w:color w:val="000000"/>
          <w:highlight w:val="none"/>
        </w:rPr>
        <w:t>7.与本投标有关的正式通讯地址为：</w:t>
      </w:r>
    </w:p>
    <w:p w14:paraId="63F512FF">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20" w:firstLine="480"/>
        <w:textAlignment w:val="auto"/>
        <w:rPr>
          <w:highlight w:val="none"/>
        </w:rPr>
      </w:pPr>
      <w:r>
        <w:rPr>
          <w:rFonts w:hint="eastAsia" w:ascii="宋体" w:hAnsi="宋体" w:eastAsia="宋体" w:cs="宋体"/>
          <w:color w:val="000000"/>
          <w:highlight w:val="none"/>
        </w:rPr>
        <w:t>地          址：</w:t>
      </w:r>
    </w:p>
    <w:p w14:paraId="40615D05">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20" w:firstLine="480"/>
        <w:textAlignment w:val="auto"/>
        <w:rPr>
          <w:highlight w:val="none"/>
        </w:rPr>
      </w:pPr>
      <w:r>
        <w:rPr>
          <w:rFonts w:hint="eastAsia" w:ascii="宋体" w:hAnsi="宋体" w:eastAsia="宋体" w:cs="宋体"/>
          <w:color w:val="000000"/>
          <w:highlight w:val="none"/>
        </w:rPr>
        <w:t>邮          编：</w:t>
      </w:r>
    </w:p>
    <w:p w14:paraId="6828345E">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20" w:firstLine="480"/>
        <w:textAlignment w:val="auto"/>
        <w:rPr>
          <w:highlight w:val="none"/>
        </w:rPr>
      </w:pPr>
      <w:r>
        <w:rPr>
          <w:rFonts w:hint="eastAsia" w:ascii="宋体" w:hAnsi="宋体" w:eastAsia="宋体" w:cs="宋体"/>
          <w:color w:val="000000"/>
          <w:highlight w:val="none"/>
        </w:rPr>
        <w:t>电          话：</w:t>
      </w:r>
    </w:p>
    <w:p w14:paraId="3AB5B37A">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20" w:firstLine="480"/>
        <w:textAlignment w:val="auto"/>
        <w:rPr>
          <w:highlight w:val="none"/>
        </w:rPr>
      </w:pPr>
      <w:r>
        <w:rPr>
          <w:rFonts w:hint="eastAsia" w:ascii="宋体" w:hAnsi="宋体" w:eastAsia="宋体" w:cs="宋体"/>
          <w:color w:val="000000"/>
          <w:highlight w:val="none"/>
        </w:rPr>
        <w:t>传          真：</w:t>
      </w:r>
    </w:p>
    <w:p w14:paraId="3DA45C60">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20" w:firstLine="480"/>
        <w:textAlignment w:val="auto"/>
        <w:rPr>
          <w:highlight w:val="none"/>
        </w:rPr>
      </w:pPr>
      <w:r>
        <w:rPr>
          <w:rFonts w:hint="eastAsia" w:ascii="宋体" w:hAnsi="宋体" w:eastAsia="宋体" w:cs="宋体"/>
          <w:color w:val="000000"/>
          <w:highlight w:val="none"/>
        </w:rPr>
        <w:t>投标人开户行：</w:t>
      </w:r>
    </w:p>
    <w:p w14:paraId="19B2C12A">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20" w:firstLine="480"/>
        <w:textAlignment w:val="auto"/>
        <w:rPr>
          <w:highlight w:val="none"/>
        </w:rPr>
      </w:pPr>
      <w:r>
        <w:rPr>
          <w:rFonts w:hint="eastAsia" w:ascii="宋体" w:hAnsi="宋体" w:eastAsia="宋体" w:cs="宋体"/>
          <w:color w:val="000000"/>
          <w:highlight w:val="none"/>
        </w:rPr>
        <w:t xml:space="preserve">账          号： </w:t>
      </w:r>
    </w:p>
    <w:p w14:paraId="4B904C99">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20" w:firstLine="480"/>
        <w:textAlignment w:val="auto"/>
        <w:rPr>
          <w:highlight w:val="none"/>
        </w:rPr>
      </w:pPr>
      <w:r>
        <w:rPr>
          <w:rFonts w:hint="eastAsia" w:ascii="宋体" w:hAnsi="宋体" w:eastAsia="宋体" w:cs="宋体"/>
          <w:color w:val="000000"/>
          <w:highlight w:val="none"/>
        </w:rPr>
        <w:t>日           期：________年____月____日</w:t>
      </w:r>
    </w:p>
    <w:p w14:paraId="517D30F4">
      <w:pPr>
        <w:pStyle w:val="15"/>
        <w:spacing w:beforeAutospacing="0" w:afterAutospacing="0" w:line="0" w:lineRule="atLeast"/>
        <w:ind w:firstLine="240"/>
        <w:jc w:val="center"/>
        <w:rPr>
          <w:highlight w:val="none"/>
        </w:rPr>
      </w:pPr>
      <w:r>
        <w:rPr>
          <w:highlight w:val="none"/>
        </w:rPr>
        <w:t> </w:t>
      </w:r>
    </w:p>
    <w:p w14:paraId="7D02EC5F">
      <w:pPr>
        <w:pStyle w:val="15"/>
        <w:spacing w:beforeAutospacing="0" w:afterAutospacing="0" w:line="0" w:lineRule="atLeast"/>
        <w:ind w:firstLine="240"/>
        <w:jc w:val="center"/>
        <w:rPr>
          <w:highlight w:val="none"/>
        </w:rPr>
      </w:pPr>
      <w:r>
        <w:rPr>
          <w:highlight w:val="none"/>
        </w:rPr>
        <w:t> </w:t>
      </w:r>
    </w:p>
    <w:p w14:paraId="526D8B48">
      <w:pPr>
        <w:pStyle w:val="15"/>
        <w:spacing w:beforeAutospacing="0" w:afterAutospacing="0" w:line="0" w:lineRule="atLeast"/>
        <w:ind w:firstLine="240"/>
        <w:jc w:val="center"/>
        <w:rPr>
          <w:highlight w:val="none"/>
        </w:rPr>
      </w:pPr>
      <w:r>
        <w:rPr>
          <w:highlight w:val="none"/>
        </w:rPr>
        <w:t> </w:t>
      </w:r>
    </w:p>
    <w:p w14:paraId="7D664580">
      <w:pPr>
        <w:pStyle w:val="15"/>
        <w:spacing w:beforeAutospacing="0" w:afterAutospacing="0" w:line="0" w:lineRule="atLeast"/>
        <w:ind w:firstLine="240"/>
        <w:jc w:val="center"/>
        <w:rPr>
          <w:highlight w:val="none"/>
        </w:rPr>
      </w:pPr>
      <w:r>
        <w:rPr>
          <w:highlight w:val="none"/>
        </w:rPr>
        <w:t> </w:t>
      </w:r>
    </w:p>
    <w:p w14:paraId="4CB43A27">
      <w:pPr>
        <w:pStyle w:val="15"/>
        <w:spacing w:beforeAutospacing="0" w:afterAutospacing="0" w:line="0" w:lineRule="atLeast"/>
        <w:ind w:firstLine="240"/>
        <w:jc w:val="center"/>
        <w:rPr>
          <w:highlight w:val="none"/>
        </w:rPr>
      </w:pPr>
      <w:r>
        <w:rPr>
          <w:highlight w:val="none"/>
        </w:rPr>
        <w:t> </w:t>
      </w:r>
    </w:p>
    <w:p w14:paraId="009E3C67">
      <w:pPr>
        <w:pStyle w:val="15"/>
        <w:spacing w:beforeAutospacing="0" w:afterAutospacing="0" w:line="0" w:lineRule="atLeast"/>
        <w:ind w:firstLine="240"/>
        <w:jc w:val="center"/>
        <w:rPr>
          <w:highlight w:val="none"/>
        </w:rPr>
      </w:pPr>
    </w:p>
    <w:p w14:paraId="076B6F71">
      <w:pPr>
        <w:pStyle w:val="15"/>
        <w:spacing w:beforeAutospacing="0" w:afterAutospacing="0" w:line="0" w:lineRule="atLeast"/>
        <w:ind w:firstLine="240"/>
        <w:jc w:val="center"/>
        <w:rPr>
          <w:highlight w:val="none"/>
        </w:rPr>
      </w:pPr>
    </w:p>
    <w:p w14:paraId="3827CC3B">
      <w:pPr>
        <w:pStyle w:val="15"/>
        <w:spacing w:beforeAutospacing="0" w:afterAutospacing="0" w:line="0" w:lineRule="atLeast"/>
        <w:ind w:firstLine="240"/>
        <w:jc w:val="center"/>
        <w:rPr>
          <w:highlight w:val="none"/>
        </w:rPr>
      </w:pPr>
    </w:p>
    <w:p w14:paraId="2B728E37">
      <w:pPr>
        <w:pStyle w:val="15"/>
        <w:spacing w:beforeAutospacing="0" w:afterAutospacing="0" w:line="0" w:lineRule="atLeast"/>
        <w:ind w:firstLine="240"/>
        <w:jc w:val="center"/>
        <w:rPr>
          <w:highlight w:val="none"/>
        </w:rPr>
      </w:pPr>
    </w:p>
    <w:p w14:paraId="0F79A881">
      <w:pPr>
        <w:pStyle w:val="15"/>
        <w:spacing w:beforeAutospacing="0" w:afterAutospacing="0" w:line="0" w:lineRule="atLeast"/>
        <w:jc w:val="both"/>
        <w:rPr>
          <w:highlight w:val="none"/>
        </w:rPr>
      </w:pPr>
    </w:p>
    <w:p w14:paraId="757DE681">
      <w:pPr>
        <w:pStyle w:val="15"/>
        <w:spacing w:beforeAutospacing="0" w:afterAutospacing="0" w:line="0" w:lineRule="atLeast"/>
        <w:jc w:val="both"/>
        <w:rPr>
          <w:highlight w:val="none"/>
        </w:rPr>
      </w:pPr>
      <w:r>
        <w:rPr>
          <w:highlight w:val="none"/>
        </w:rPr>
        <w:t> </w:t>
      </w:r>
    </w:p>
    <w:p w14:paraId="76E9D5C9">
      <w:pPr>
        <w:pStyle w:val="15"/>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w:t>
      </w:r>
    </w:p>
    <w:p w14:paraId="1DCF832C">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号）的规定，本公司（联合体）参加盐城市亭湖区民政局组织的（单位名称）</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2604D9A">
      <w:pPr>
        <w:numPr>
          <w:ilvl w:val="0"/>
          <w:numId w:val="6"/>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numPr>
          <w:ilvl w:val="0"/>
          <w:numId w:val="6"/>
        </w:numPr>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34FA3AC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15"/>
        <w:spacing w:beforeAutospacing="0" w:afterAutospacing="0" w:line="0" w:lineRule="atLeast"/>
        <w:ind w:right="720"/>
        <w:jc w:val="both"/>
        <w:rPr>
          <w:color w:val="auto"/>
          <w:highlight w:val="none"/>
        </w:rPr>
      </w:pPr>
      <w:r>
        <w:rPr>
          <w:color w:val="auto"/>
          <w:highlight w:val="none"/>
        </w:rPr>
        <w:t> </w:t>
      </w:r>
    </w:p>
    <w:p w14:paraId="6CD49601">
      <w:pPr>
        <w:pStyle w:val="15"/>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15"/>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9B20EFD">
      <w:pPr>
        <w:pStyle w:val="15"/>
        <w:spacing w:beforeAutospacing="0" w:afterAutospacing="0" w:line="0" w:lineRule="atLeast"/>
        <w:ind w:firstLine="240"/>
        <w:jc w:val="both"/>
        <w:rPr>
          <w:color w:val="auto"/>
          <w:highlight w:val="none"/>
        </w:rPr>
      </w:pPr>
      <w:r>
        <w:rPr>
          <w:color w:val="auto"/>
          <w:highlight w:val="none"/>
        </w:rPr>
        <w:t> </w:t>
      </w:r>
    </w:p>
    <w:p w14:paraId="5FD8B9FE">
      <w:pPr>
        <w:pStyle w:val="15"/>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15"/>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3C438E2C">
      <w:pPr>
        <w:pStyle w:val="15"/>
        <w:spacing w:beforeAutospacing="0" w:afterAutospacing="0" w:line="0" w:lineRule="atLeast"/>
        <w:jc w:val="center"/>
        <w:rPr>
          <w:rFonts w:hint="default" w:eastAsia="黑体"/>
          <w:highlight w:val="none"/>
          <w:lang w:val="en-US" w:eastAsia="zh-CN"/>
        </w:rPr>
      </w:pPr>
      <w:r>
        <w:rPr>
          <w:rFonts w:hint="eastAsia" w:ascii="黑体" w:hAnsi="宋体" w:eastAsia="黑体" w:cs="黑体"/>
          <w:b/>
          <w:color w:val="auto"/>
          <w:sz w:val="32"/>
          <w:szCs w:val="32"/>
          <w:highlight w:val="none"/>
        </w:rPr>
        <w:br w:type="page"/>
      </w:r>
      <w:r>
        <w:rPr>
          <w:rFonts w:hint="eastAsia" w:ascii="黑体" w:hAnsi="宋体" w:eastAsia="黑体" w:cs="黑体"/>
          <w:b/>
          <w:color w:val="000000"/>
          <w:sz w:val="32"/>
          <w:szCs w:val="32"/>
          <w:highlight w:val="none"/>
        </w:rPr>
        <w:t> 十、残疾人福利性单位声明函</w:t>
      </w:r>
      <w:r>
        <w:rPr>
          <w:rFonts w:hint="eastAsia" w:ascii="黑体" w:hAnsi="宋体" w:eastAsia="黑体" w:cs="黑体"/>
          <w:b/>
          <w:color w:val="000000"/>
          <w:sz w:val="32"/>
          <w:szCs w:val="32"/>
          <w:highlight w:val="none"/>
          <w:lang w:eastAsia="zh-CN"/>
        </w:rPr>
        <w:t>（</w:t>
      </w:r>
      <w:r>
        <w:rPr>
          <w:rFonts w:hint="eastAsia" w:ascii="黑体" w:hAnsi="宋体" w:eastAsia="黑体" w:cs="黑体"/>
          <w:b/>
          <w:color w:val="000000"/>
          <w:sz w:val="32"/>
          <w:szCs w:val="32"/>
          <w:highlight w:val="none"/>
          <w:lang w:val="en-US" w:eastAsia="zh-CN"/>
        </w:rPr>
        <w:t>如有）</w:t>
      </w:r>
    </w:p>
    <w:p w14:paraId="40AD2CD4">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〔2017〕141号</w:t>
      </w:r>
      <w:r>
        <w:rPr>
          <w:rFonts w:hint="eastAsia" w:ascii="宋体" w:hAnsi="宋体" w:eastAsia="宋体" w:cs="宋体"/>
          <w:color w:val="000000"/>
          <w:highlight w:val="none"/>
        </w:rPr>
        <w:t>）的规定，本单位为符合条件的残疾人福利性单位，且本单位参加______单位的采购文件编号为______的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项目采购活动由本单位提供服务。</w:t>
      </w:r>
    </w:p>
    <w:p w14:paraId="7214428A">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highlight w:val="none"/>
        </w:rPr>
      </w:pPr>
      <w:r>
        <w:rPr>
          <w:rFonts w:hint="eastAsia" w:ascii="宋体" w:hAnsi="宋体" w:eastAsia="宋体" w:cs="宋体"/>
          <w:color w:val="000000"/>
          <w:highlight w:val="none"/>
        </w:rPr>
        <w:t>本单位对上述声明的真实性负责。如有虚假，将依法承担相应责任。</w:t>
      </w:r>
    </w:p>
    <w:p w14:paraId="13451427">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highlight w:val="none"/>
        </w:rPr>
      </w:pPr>
      <w:r>
        <w:rPr>
          <w:highlight w:val="none"/>
        </w:rPr>
        <w:t> </w:t>
      </w:r>
    </w:p>
    <w:p w14:paraId="2FAF371E">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eastAsia="宋体"/>
          <w:highlight w:val="none"/>
          <w:lang w:eastAsia="zh-CN"/>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p>
    <w:p w14:paraId="29CEDC66">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highlight w:val="none"/>
        </w:rPr>
      </w:pPr>
      <w:r>
        <w:rPr>
          <w:rFonts w:hint="eastAsia" w:ascii="宋体" w:hAnsi="宋体" w:eastAsia="宋体" w:cs="宋体"/>
          <w:color w:val="000000"/>
          <w:highlight w:val="none"/>
        </w:rPr>
        <w:t>2、中标人为残疾人福利单位的，此声明函将随中标结果同时公告，接受社会监督</w:t>
      </w:r>
    </w:p>
    <w:p w14:paraId="756ED4E7">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624"/>
        <w:jc w:val="both"/>
        <w:textAlignment w:val="auto"/>
        <w:rPr>
          <w:highlight w:val="none"/>
        </w:rPr>
      </w:pPr>
      <w:r>
        <w:rPr>
          <w:highlight w:val="none"/>
        </w:rPr>
        <w:t> </w:t>
      </w:r>
    </w:p>
    <w:p w14:paraId="0A80BD48">
      <w:pPr>
        <w:pStyle w:val="15"/>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500" w:lineRule="exact"/>
        <w:ind w:right="1560" w:firstLine="624"/>
        <w:jc w:val="center"/>
        <w:textAlignment w:val="auto"/>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供应商全称（加盖CA电</w:t>
      </w:r>
      <w:r>
        <w:rPr>
          <w:rFonts w:hint="eastAsia" w:ascii="宋体" w:hAnsi="宋体" w:eastAsia="宋体" w:cs="宋体"/>
          <w:color w:val="000000"/>
          <w:highlight w:val="none"/>
          <w:lang w:val="en-US" w:eastAsia="zh-CN"/>
        </w:rPr>
        <w:t>子</w:t>
      </w:r>
      <w:r>
        <w:rPr>
          <w:rFonts w:hint="eastAsia" w:ascii="宋体" w:hAnsi="宋体" w:eastAsia="宋体" w:cs="宋体"/>
          <w:color w:val="000000"/>
          <w:highlight w:val="none"/>
        </w:rPr>
        <w:t>公章）：</w:t>
      </w:r>
    </w:p>
    <w:p w14:paraId="26FB6E74">
      <w:pPr>
        <w:pStyle w:val="15"/>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500" w:lineRule="exact"/>
        <w:ind w:right="1560" w:firstLine="480"/>
        <w:jc w:val="center"/>
        <w:textAlignment w:val="auto"/>
        <w:rPr>
          <w:highlight w:val="none"/>
        </w:rPr>
      </w:pPr>
      <w:r>
        <w:rPr>
          <w:rFonts w:hint="eastAsia" w:ascii="宋体" w:hAnsi="宋体" w:eastAsia="宋体" w:cs="宋体"/>
          <w:color w:val="000000"/>
          <w:highlight w:val="none"/>
        </w:rPr>
        <w:t>        日  期：</w:t>
      </w:r>
    </w:p>
    <w:p w14:paraId="2B15E9CD">
      <w:pPr>
        <w:pStyle w:val="15"/>
        <w:spacing w:beforeAutospacing="0" w:afterAutospacing="0" w:line="0" w:lineRule="atLeast"/>
        <w:jc w:val="center"/>
        <w:rPr>
          <w:highlight w:val="none"/>
        </w:rPr>
      </w:pPr>
      <w:r>
        <w:rPr>
          <w:highlight w:val="none"/>
        </w:rPr>
        <w:t> </w:t>
      </w:r>
    </w:p>
    <w:p w14:paraId="5B4F30B6">
      <w:pPr>
        <w:pStyle w:val="15"/>
        <w:spacing w:beforeAutospacing="0" w:afterAutospacing="0" w:line="0" w:lineRule="atLeast"/>
        <w:jc w:val="center"/>
        <w:rPr>
          <w:highlight w:val="none"/>
        </w:rPr>
      </w:pPr>
      <w:r>
        <w:rPr>
          <w:highlight w:val="none"/>
        </w:rPr>
        <w:t> </w:t>
      </w:r>
    </w:p>
    <w:p w14:paraId="0BFA54F0">
      <w:pPr>
        <w:pStyle w:val="15"/>
        <w:spacing w:beforeAutospacing="0" w:afterAutospacing="0" w:line="0" w:lineRule="atLeast"/>
        <w:jc w:val="center"/>
        <w:rPr>
          <w:highlight w:val="none"/>
        </w:rPr>
      </w:pPr>
      <w:r>
        <w:rPr>
          <w:highlight w:val="none"/>
        </w:rPr>
        <w:t> </w:t>
      </w:r>
    </w:p>
    <w:p w14:paraId="23548FC4">
      <w:pPr>
        <w:pStyle w:val="15"/>
        <w:spacing w:beforeAutospacing="0" w:afterAutospacing="0" w:line="0" w:lineRule="atLeast"/>
        <w:jc w:val="center"/>
        <w:rPr>
          <w:highlight w:val="none"/>
        </w:rPr>
      </w:pPr>
      <w:r>
        <w:rPr>
          <w:highlight w:val="none"/>
        </w:rPr>
        <w:t> </w:t>
      </w:r>
    </w:p>
    <w:p w14:paraId="7CC18ADA">
      <w:pPr>
        <w:pStyle w:val="15"/>
        <w:spacing w:beforeAutospacing="0" w:afterAutospacing="0" w:line="0" w:lineRule="atLeast"/>
        <w:jc w:val="center"/>
        <w:rPr>
          <w:highlight w:val="none"/>
        </w:rPr>
      </w:pPr>
      <w:r>
        <w:rPr>
          <w:highlight w:val="none"/>
        </w:rPr>
        <w:t> </w:t>
      </w:r>
    </w:p>
    <w:p w14:paraId="3620AEDE">
      <w:pPr>
        <w:pStyle w:val="15"/>
        <w:spacing w:beforeAutospacing="0" w:afterAutospacing="0" w:line="0" w:lineRule="atLeast"/>
        <w:jc w:val="center"/>
        <w:rPr>
          <w:highlight w:val="none"/>
        </w:rPr>
      </w:pPr>
      <w:r>
        <w:rPr>
          <w:highlight w:val="none"/>
        </w:rPr>
        <w:t> </w:t>
      </w:r>
    </w:p>
    <w:p w14:paraId="45D5FEAA">
      <w:pPr>
        <w:pStyle w:val="15"/>
        <w:spacing w:beforeAutospacing="0" w:afterAutospacing="0" w:line="0" w:lineRule="atLeast"/>
        <w:jc w:val="center"/>
        <w:rPr>
          <w:highlight w:val="none"/>
        </w:rPr>
      </w:pPr>
      <w:r>
        <w:rPr>
          <w:highlight w:val="none"/>
        </w:rPr>
        <w:t> </w:t>
      </w:r>
    </w:p>
    <w:p w14:paraId="02551D98">
      <w:pPr>
        <w:pStyle w:val="15"/>
        <w:spacing w:beforeAutospacing="0" w:afterAutospacing="0" w:line="0" w:lineRule="atLeast"/>
        <w:jc w:val="center"/>
        <w:rPr>
          <w:highlight w:val="none"/>
        </w:rPr>
      </w:pPr>
      <w:r>
        <w:rPr>
          <w:highlight w:val="none"/>
        </w:rPr>
        <w:t> </w:t>
      </w:r>
    </w:p>
    <w:p w14:paraId="2E201E66">
      <w:pPr>
        <w:pStyle w:val="15"/>
        <w:spacing w:beforeAutospacing="0" w:afterAutospacing="0" w:line="0" w:lineRule="atLeast"/>
        <w:jc w:val="center"/>
        <w:rPr>
          <w:highlight w:val="none"/>
        </w:rPr>
      </w:pPr>
    </w:p>
    <w:p w14:paraId="26480510">
      <w:pPr>
        <w:pStyle w:val="15"/>
        <w:spacing w:beforeAutospacing="0" w:afterAutospacing="0" w:line="0" w:lineRule="atLeast"/>
        <w:jc w:val="center"/>
        <w:rPr>
          <w:highlight w:val="none"/>
        </w:rPr>
      </w:pPr>
    </w:p>
    <w:p w14:paraId="040A5ABB">
      <w:pPr>
        <w:pStyle w:val="15"/>
        <w:spacing w:beforeAutospacing="0" w:afterAutospacing="0" w:line="0" w:lineRule="atLeast"/>
        <w:jc w:val="center"/>
        <w:rPr>
          <w:highlight w:val="none"/>
        </w:rPr>
      </w:pPr>
    </w:p>
    <w:p w14:paraId="0E4F8989">
      <w:pPr>
        <w:pStyle w:val="15"/>
        <w:spacing w:beforeAutospacing="0" w:afterAutospacing="0" w:line="0" w:lineRule="atLeast"/>
        <w:jc w:val="center"/>
        <w:rPr>
          <w:highlight w:val="none"/>
        </w:rPr>
      </w:pPr>
    </w:p>
    <w:p w14:paraId="33B3D7CE">
      <w:pPr>
        <w:pStyle w:val="15"/>
        <w:spacing w:beforeAutospacing="0" w:afterAutospacing="0" w:line="0" w:lineRule="atLeast"/>
        <w:jc w:val="center"/>
        <w:rPr>
          <w:highlight w:val="none"/>
        </w:rPr>
      </w:pPr>
    </w:p>
    <w:p w14:paraId="47822C90">
      <w:pPr>
        <w:pStyle w:val="15"/>
        <w:spacing w:beforeAutospacing="0" w:afterAutospacing="0" w:line="0" w:lineRule="atLeast"/>
        <w:jc w:val="center"/>
        <w:rPr>
          <w:highlight w:val="none"/>
        </w:rPr>
      </w:pPr>
    </w:p>
    <w:p w14:paraId="09A39851">
      <w:pPr>
        <w:pStyle w:val="15"/>
        <w:spacing w:beforeAutospacing="0" w:afterAutospacing="0" w:line="0" w:lineRule="atLeast"/>
        <w:jc w:val="center"/>
        <w:rPr>
          <w:highlight w:val="none"/>
        </w:rPr>
      </w:pPr>
    </w:p>
    <w:p w14:paraId="7FD1136E">
      <w:pPr>
        <w:pStyle w:val="15"/>
        <w:spacing w:beforeAutospacing="0" w:afterAutospacing="0" w:line="0" w:lineRule="atLeast"/>
        <w:jc w:val="center"/>
        <w:rPr>
          <w:highlight w:val="none"/>
        </w:rPr>
      </w:pPr>
    </w:p>
    <w:p w14:paraId="5BEB7273">
      <w:pPr>
        <w:pStyle w:val="15"/>
        <w:spacing w:beforeAutospacing="0" w:afterAutospacing="0" w:line="0" w:lineRule="atLeast"/>
        <w:jc w:val="center"/>
        <w:rPr>
          <w:highlight w:val="none"/>
        </w:rPr>
      </w:pPr>
    </w:p>
    <w:p w14:paraId="033ACD42">
      <w:pPr>
        <w:pStyle w:val="15"/>
        <w:spacing w:beforeAutospacing="0" w:afterAutospacing="0" w:line="0" w:lineRule="atLeast"/>
        <w:jc w:val="center"/>
        <w:rPr>
          <w:highlight w:val="none"/>
        </w:rPr>
      </w:pPr>
    </w:p>
    <w:p w14:paraId="0E7A7A07">
      <w:pPr>
        <w:pStyle w:val="15"/>
        <w:spacing w:beforeAutospacing="0" w:afterAutospacing="0" w:line="0" w:lineRule="atLeast"/>
        <w:jc w:val="center"/>
        <w:rPr>
          <w:highlight w:val="none"/>
        </w:rPr>
      </w:pPr>
    </w:p>
    <w:p w14:paraId="290ED4BC">
      <w:pPr>
        <w:pStyle w:val="15"/>
        <w:spacing w:beforeAutospacing="0" w:afterAutospacing="0" w:line="0" w:lineRule="atLeast"/>
        <w:jc w:val="center"/>
        <w:rPr>
          <w:highlight w:val="none"/>
        </w:rPr>
      </w:pPr>
    </w:p>
    <w:p w14:paraId="2DE28D43">
      <w:pPr>
        <w:pStyle w:val="15"/>
        <w:spacing w:beforeAutospacing="0" w:afterAutospacing="0" w:line="0" w:lineRule="atLeast"/>
        <w:jc w:val="center"/>
        <w:rPr>
          <w:highlight w:val="none"/>
        </w:rPr>
      </w:pPr>
    </w:p>
    <w:p w14:paraId="4C188FB5">
      <w:pPr>
        <w:pStyle w:val="15"/>
        <w:spacing w:beforeAutospacing="0" w:afterAutospacing="0" w:line="0" w:lineRule="atLeast"/>
        <w:jc w:val="center"/>
        <w:rPr>
          <w:highlight w:val="none"/>
        </w:rPr>
      </w:pPr>
    </w:p>
    <w:p w14:paraId="44A213E5">
      <w:pPr>
        <w:pStyle w:val="15"/>
        <w:spacing w:beforeAutospacing="0" w:afterAutospacing="0" w:line="0" w:lineRule="atLeast"/>
        <w:jc w:val="center"/>
        <w:rPr>
          <w:highlight w:val="none"/>
        </w:rPr>
      </w:pPr>
    </w:p>
    <w:p w14:paraId="3B49ABBC">
      <w:pPr>
        <w:pStyle w:val="15"/>
        <w:spacing w:beforeAutospacing="0" w:afterAutospacing="0" w:line="0" w:lineRule="atLeast"/>
        <w:jc w:val="center"/>
        <w:rPr>
          <w:highlight w:val="none"/>
        </w:rPr>
      </w:pPr>
    </w:p>
    <w:p w14:paraId="4C665761">
      <w:pPr>
        <w:pStyle w:val="15"/>
        <w:spacing w:beforeAutospacing="0" w:afterAutospacing="0"/>
        <w:jc w:val="center"/>
        <w:rPr>
          <w:i/>
          <w:iCs/>
          <w:highlight w:val="none"/>
          <w:u w:val="single"/>
        </w:rPr>
      </w:pPr>
      <w:r>
        <w:rPr>
          <w:rFonts w:hint="eastAsia" w:ascii="黑体" w:hAnsi="宋体" w:eastAsia="黑体" w:cs="黑体"/>
          <w:b/>
          <w:i/>
          <w:iCs/>
          <w:color w:val="000000"/>
          <w:sz w:val="32"/>
          <w:szCs w:val="32"/>
          <w:highlight w:val="none"/>
          <w:u w:val="single"/>
        </w:rPr>
        <w:t>十</w:t>
      </w:r>
      <w:r>
        <w:rPr>
          <w:rFonts w:hint="eastAsia" w:ascii="黑体" w:hAnsi="宋体" w:eastAsia="黑体" w:cs="黑体"/>
          <w:b/>
          <w:i/>
          <w:iCs/>
          <w:color w:val="000000"/>
          <w:sz w:val="32"/>
          <w:szCs w:val="32"/>
          <w:highlight w:val="none"/>
          <w:u w:val="single"/>
          <w:lang w:val="en-US" w:eastAsia="zh-CN"/>
        </w:rPr>
        <w:t>一</w:t>
      </w:r>
      <w:r>
        <w:rPr>
          <w:rFonts w:hint="eastAsia" w:ascii="黑体" w:hAnsi="宋体" w:eastAsia="黑体" w:cs="黑体"/>
          <w:b/>
          <w:i/>
          <w:iCs/>
          <w:color w:val="000000"/>
          <w:sz w:val="32"/>
          <w:szCs w:val="32"/>
          <w:highlight w:val="none"/>
          <w:u w:val="single"/>
        </w:rPr>
        <w:t>、技术要求响应及偏离表</w:t>
      </w:r>
    </w:p>
    <w:tbl>
      <w:tblPr>
        <w:tblStyle w:val="18"/>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8C67D6B">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DE08D">
            <w:pPr>
              <w:pStyle w:val="15"/>
              <w:spacing w:beforeAutospacing="0" w:afterAutospacing="0"/>
              <w:jc w:val="center"/>
              <w:rPr>
                <w:highlight w:val="none"/>
              </w:rPr>
            </w:pPr>
            <w:r>
              <w:rPr>
                <w:rFonts w:hint="eastAsia" w:ascii="宋体" w:hAnsi="宋体" w:eastAsia="宋体" w:cs="宋体"/>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E111">
            <w:pPr>
              <w:pStyle w:val="15"/>
              <w:spacing w:beforeAutospacing="0" w:afterAutospacing="0"/>
              <w:jc w:val="center"/>
              <w:rPr>
                <w:highlight w:val="none"/>
              </w:rPr>
            </w:pPr>
            <w:r>
              <w:rPr>
                <w:rFonts w:hint="eastAsia" w:ascii="宋体" w:hAnsi="宋体" w:eastAsia="宋体" w:cs="宋体"/>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6C2EF">
            <w:pPr>
              <w:pStyle w:val="15"/>
              <w:spacing w:beforeAutospacing="0" w:afterAutospacing="0"/>
              <w:jc w:val="center"/>
              <w:rPr>
                <w:highlight w:val="none"/>
              </w:rPr>
            </w:pPr>
            <w:r>
              <w:rPr>
                <w:rFonts w:hint="eastAsia" w:ascii="宋体" w:hAnsi="宋体" w:eastAsia="宋体" w:cs="宋体"/>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F4F6C">
            <w:pPr>
              <w:pStyle w:val="15"/>
              <w:spacing w:beforeAutospacing="0" w:afterAutospacing="0"/>
              <w:jc w:val="center"/>
              <w:rPr>
                <w:highlight w:val="none"/>
              </w:rPr>
            </w:pPr>
            <w:r>
              <w:rPr>
                <w:rFonts w:hint="eastAsia" w:ascii="宋体" w:hAnsi="宋体" w:eastAsia="宋体" w:cs="宋体"/>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50C9B">
            <w:pPr>
              <w:pStyle w:val="15"/>
              <w:spacing w:beforeAutospacing="0" w:afterAutospacing="0"/>
              <w:jc w:val="center"/>
              <w:rPr>
                <w:highlight w:val="none"/>
              </w:rPr>
            </w:pPr>
            <w:r>
              <w:rPr>
                <w:rFonts w:hint="eastAsia" w:ascii="宋体" w:hAnsi="宋体" w:eastAsia="宋体" w:cs="宋体"/>
                <w:color w:val="000000"/>
                <w:highlight w:val="none"/>
              </w:rPr>
              <w:t>证明</w:t>
            </w:r>
          </w:p>
          <w:p w14:paraId="0AA567DE">
            <w:pPr>
              <w:pStyle w:val="15"/>
              <w:spacing w:beforeAutospacing="0" w:afterAutospacing="0"/>
              <w:jc w:val="center"/>
              <w:rPr>
                <w:highlight w:val="none"/>
              </w:rPr>
            </w:pPr>
            <w:r>
              <w:rPr>
                <w:rFonts w:hint="eastAsia" w:ascii="宋体" w:hAnsi="宋体" w:eastAsia="宋体" w:cs="宋体"/>
                <w:color w:val="000000"/>
                <w:highlight w:val="none"/>
              </w:rPr>
              <w:t>材料</w:t>
            </w:r>
          </w:p>
        </w:tc>
      </w:tr>
      <w:tr w14:paraId="2D55E8D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13A6D">
            <w:pPr>
              <w:pStyle w:val="1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93F98">
            <w:pPr>
              <w:pStyle w:val="1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E1D89">
            <w:pPr>
              <w:pStyle w:val="1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87EF9">
            <w:pPr>
              <w:pStyle w:val="1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5079C">
            <w:pPr>
              <w:pStyle w:val="15"/>
              <w:spacing w:beforeAutospacing="0" w:afterAutospacing="0"/>
              <w:jc w:val="center"/>
              <w:rPr>
                <w:highlight w:val="none"/>
              </w:rPr>
            </w:pPr>
            <w:r>
              <w:rPr>
                <w:highlight w:val="none"/>
              </w:rPr>
              <w:t> </w:t>
            </w:r>
          </w:p>
        </w:tc>
      </w:tr>
      <w:tr w14:paraId="6A22AAF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9958B">
            <w:pPr>
              <w:pStyle w:val="1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19D3">
            <w:pPr>
              <w:pStyle w:val="1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75A1">
            <w:pPr>
              <w:pStyle w:val="1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FC8BB">
            <w:pPr>
              <w:pStyle w:val="1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BFCA8">
            <w:pPr>
              <w:pStyle w:val="15"/>
              <w:spacing w:beforeAutospacing="0" w:afterAutospacing="0"/>
              <w:jc w:val="center"/>
              <w:rPr>
                <w:highlight w:val="none"/>
              </w:rPr>
            </w:pPr>
            <w:r>
              <w:rPr>
                <w:highlight w:val="none"/>
              </w:rPr>
              <w:t> </w:t>
            </w:r>
          </w:p>
        </w:tc>
      </w:tr>
      <w:tr w14:paraId="0A96D92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845D8">
            <w:pPr>
              <w:pStyle w:val="1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F83CE">
            <w:pPr>
              <w:pStyle w:val="1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5206A">
            <w:pPr>
              <w:pStyle w:val="1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64FE1">
            <w:pPr>
              <w:pStyle w:val="1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581DA">
            <w:pPr>
              <w:pStyle w:val="15"/>
              <w:spacing w:beforeAutospacing="0" w:afterAutospacing="0"/>
              <w:jc w:val="center"/>
              <w:rPr>
                <w:highlight w:val="none"/>
              </w:rPr>
            </w:pPr>
            <w:r>
              <w:rPr>
                <w:highlight w:val="none"/>
              </w:rPr>
              <w:t> </w:t>
            </w:r>
          </w:p>
        </w:tc>
      </w:tr>
      <w:tr w14:paraId="6A3D630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F5B2F">
            <w:pPr>
              <w:pStyle w:val="1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DB8D7">
            <w:pPr>
              <w:pStyle w:val="1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EDA57">
            <w:pPr>
              <w:pStyle w:val="1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CB6AD">
            <w:pPr>
              <w:pStyle w:val="1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1883">
            <w:pPr>
              <w:pStyle w:val="15"/>
              <w:spacing w:beforeAutospacing="0" w:afterAutospacing="0"/>
              <w:jc w:val="center"/>
              <w:rPr>
                <w:highlight w:val="none"/>
              </w:rPr>
            </w:pPr>
            <w:r>
              <w:rPr>
                <w:highlight w:val="none"/>
              </w:rPr>
              <w:t> </w:t>
            </w:r>
          </w:p>
        </w:tc>
      </w:tr>
      <w:tr w14:paraId="1FD103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8B157">
            <w:pPr>
              <w:pStyle w:val="1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7CAED">
            <w:pPr>
              <w:pStyle w:val="1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8D6B9">
            <w:pPr>
              <w:pStyle w:val="1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BF19F">
            <w:pPr>
              <w:pStyle w:val="1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55CDD">
            <w:pPr>
              <w:pStyle w:val="15"/>
              <w:spacing w:beforeAutospacing="0" w:afterAutospacing="0"/>
              <w:jc w:val="center"/>
              <w:rPr>
                <w:highlight w:val="none"/>
              </w:rPr>
            </w:pPr>
            <w:r>
              <w:rPr>
                <w:highlight w:val="none"/>
              </w:rPr>
              <w:t> </w:t>
            </w:r>
          </w:p>
        </w:tc>
      </w:tr>
      <w:tr w14:paraId="7E7BEB0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AE6E8">
            <w:pPr>
              <w:pStyle w:val="1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22274">
            <w:pPr>
              <w:pStyle w:val="1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9B729">
            <w:pPr>
              <w:pStyle w:val="1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35ED">
            <w:pPr>
              <w:pStyle w:val="1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023FA">
            <w:pPr>
              <w:pStyle w:val="15"/>
              <w:spacing w:beforeAutospacing="0" w:afterAutospacing="0"/>
              <w:jc w:val="center"/>
              <w:rPr>
                <w:highlight w:val="none"/>
              </w:rPr>
            </w:pPr>
            <w:r>
              <w:rPr>
                <w:highlight w:val="none"/>
              </w:rPr>
              <w:t> </w:t>
            </w:r>
          </w:p>
        </w:tc>
      </w:tr>
      <w:tr w14:paraId="04CD8F2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F401">
            <w:pPr>
              <w:pStyle w:val="1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4C446">
            <w:pPr>
              <w:pStyle w:val="15"/>
              <w:spacing w:beforeAutospacing="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32FF0">
            <w:pPr>
              <w:pStyle w:val="1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46148">
            <w:pPr>
              <w:pStyle w:val="1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4035">
            <w:pPr>
              <w:pStyle w:val="15"/>
              <w:spacing w:beforeAutospacing="0" w:afterAutospacing="0"/>
              <w:jc w:val="center"/>
              <w:rPr>
                <w:highlight w:val="none"/>
              </w:rPr>
            </w:pPr>
            <w:r>
              <w:rPr>
                <w:highlight w:val="none"/>
              </w:rPr>
              <w:t> </w:t>
            </w:r>
          </w:p>
        </w:tc>
      </w:tr>
      <w:tr w14:paraId="42CC7CC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8F694">
            <w:pPr>
              <w:pStyle w:val="15"/>
              <w:spacing w:beforeAutospacing="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9BBC6">
            <w:pPr>
              <w:pStyle w:val="15"/>
              <w:spacing w:beforeAutospacing="0" w:afterAutospacing="0"/>
              <w:jc w:val="center"/>
              <w:rPr>
                <w:highlight w:val="none"/>
              </w:rPr>
            </w:pPr>
            <w:r>
              <w:rPr>
                <w:rFonts w:hint="eastAsia" w:ascii="宋体" w:hAnsi="宋体" w:eastAsia="宋体" w:cs="宋体"/>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054F4">
            <w:pPr>
              <w:pStyle w:val="15"/>
              <w:spacing w:beforeAutospacing="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B8EFF">
            <w:pPr>
              <w:pStyle w:val="15"/>
              <w:spacing w:beforeAutospacing="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890D4">
            <w:pPr>
              <w:pStyle w:val="15"/>
              <w:spacing w:beforeAutospacing="0" w:afterAutospacing="0"/>
              <w:jc w:val="center"/>
              <w:rPr>
                <w:highlight w:val="none"/>
              </w:rPr>
            </w:pPr>
            <w:r>
              <w:rPr>
                <w:highlight w:val="none"/>
              </w:rPr>
              <w:t> </w:t>
            </w:r>
          </w:p>
        </w:tc>
      </w:tr>
    </w:tbl>
    <w:p w14:paraId="039DC209">
      <w:pPr>
        <w:pStyle w:val="15"/>
        <w:spacing w:beforeAutospacing="0" w:afterAutospacing="0"/>
        <w:jc w:val="both"/>
        <w:rPr>
          <w:highlight w:val="none"/>
        </w:rPr>
      </w:pPr>
      <w:r>
        <w:rPr>
          <w:rFonts w:hint="eastAsia" w:ascii="宋体" w:hAnsi="宋体" w:eastAsia="宋体" w:cs="宋体"/>
          <w:color w:val="000000"/>
          <w:highlight w:val="none"/>
        </w:rPr>
        <w:t>注： 行数不够，可自行添加。</w:t>
      </w:r>
    </w:p>
    <w:p w14:paraId="15AA5ABF">
      <w:pPr>
        <w:pStyle w:val="15"/>
        <w:spacing w:beforeAutospacing="0" w:afterAutospacing="0"/>
        <w:jc w:val="center"/>
        <w:rPr>
          <w:highlight w:val="none"/>
        </w:rPr>
      </w:pPr>
      <w:r>
        <w:rPr>
          <w:highlight w:val="none"/>
        </w:rPr>
        <w:t> </w:t>
      </w:r>
    </w:p>
    <w:p w14:paraId="3DE57A72">
      <w:pPr>
        <w:pStyle w:val="15"/>
        <w:spacing w:beforeAutospacing="0" w:afterAutospacing="0"/>
        <w:jc w:val="center"/>
        <w:rPr>
          <w:highlight w:val="none"/>
        </w:rPr>
      </w:pPr>
      <w:r>
        <w:rPr>
          <w:highlight w:val="none"/>
        </w:rPr>
        <w:t> </w:t>
      </w:r>
    </w:p>
    <w:p w14:paraId="5D8A6DEA">
      <w:pPr>
        <w:pStyle w:val="15"/>
        <w:spacing w:beforeAutospacing="0" w:afterAutospacing="0"/>
        <w:jc w:val="center"/>
        <w:rPr>
          <w:highlight w:val="none"/>
        </w:rPr>
      </w:pPr>
      <w:r>
        <w:rPr>
          <w:highlight w:val="none"/>
        </w:rPr>
        <w:t> </w:t>
      </w:r>
    </w:p>
    <w:p w14:paraId="4F7E03C8">
      <w:pPr>
        <w:pStyle w:val="15"/>
        <w:spacing w:beforeAutospacing="0" w:afterAutospacing="0"/>
        <w:jc w:val="center"/>
        <w:rPr>
          <w:highlight w:val="none"/>
        </w:rPr>
      </w:pPr>
      <w:r>
        <w:rPr>
          <w:highlight w:val="none"/>
        </w:rPr>
        <w:t> </w:t>
      </w:r>
    </w:p>
    <w:p w14:paraId="068A4565">
      <w:pPr>
        <w:pStyle w:val="15"/>
        <w:spacing w:beforeAutospacing="0" w:afterAutospacing="0"/>
        <w:jc w:val="both"/>
        <w:rPr>
          <w:highlight w:val="none"/>
        </w:rPr>
      </w:pPr>
      <w:r>
        <w:rPr>
          <w:highlight w:val="none"/>
        </w:rPr>
        <w:t> </w:t>
      </w:r>
    </w:p>
    <w:p w14:paraId="6EC5A847">
      <w:pPr>
        <w:pStyle w:val="15"/>
        <w:spacing w:beforeAutospacing="0" w:afterAutospacing="0"/>
        <w:jc w:val="both"/>
        <w:rPr>
          <w:highlight w:val="none"/>
        </w:rPr>
      </w:pPr>
      <w:r>
        <w:rPr>
          <w:highlight w:val="none"/>
        </w:rPr>
        <w:t> </w:t>
      </w:r>
    </w:p>
    <w:p w14:paraId="78FCBE0B">
      <w:pPr>
        <w:pStyle w:val="15"/>
        <w:spacing w:beforeAutospacing="0" w:afterAutospacing="0"/>
        <w:jc w:val="both"/>
        <w:rPr>
          <w:highlight w:val="none"/>
        </w:rPr>
      </w:pPr>
      <w:r>
        <w:rPr>
          <w:highlight w:val="none"/>
        </w:rPr>
        <w:t> </w:t>
      </w:r>
    </w:p>
    <w:p w14:paraId="174ABED4">
      <w:pPr>
        <w:pStyle w:val="15"/>
        <w:spacing w:beforeAutospacing="0" w:afterAutospacing="0"/>
        <w:jc w:val="both"/>
        <w:rPr>
          <w:highlight w:val="none"/>
        </w:rPr>
      </w:pPr>
      <w:r>
        <w:rPr>
          <w:highlight w:val="none"/>
        </w:rPr>
        <w:t> </w:t>
      </w:r>
    </w:p>
    <w:p w14:paraId="79285A37">
      <w:pPr>
        <w:pStyle w:val="15"/>
        <w:spacing w:beforeAutospacing="0" w:afterAutospacing="0"/>
        <w:jc w:val="both"/>
        <w:rPr>
          <w:highlight w:val="none"/>
        </w:rPr>
      </w:pPr>
    </w:p>
    <w:p w14:paraId="1F8896A9">
      <w:pPr>
        <w:pStyle w:val="15"/>
        <w:spacing w:beforeAutospacing="0" w:afterAutospacing="0"/>
        <w:jc w:val="both"/>
        <w:rPr>
          <w:highlight w:val="none"/>
        </w:rPr>
      </w:pPr>
    </w:p>
    <w:p w14:paraId="33FE263D">
      <w:pPr>
        <w:pStyle w:val="15"/>
        <w:spacing w:beforeAutospacing="0" w:afterAutospacing="0"/>
        <w:jc w:val="both"/>
        <w:rPr>
          <w:highlight w:val="none"/>
        </w:rPr>
      </w:pPr>
    </w:p>
    <w:p w14:paraId="6377BA79">
      <w:pPr>
        <w:pStyle w:val="15"/>
        <w:spacing w:beforeAutospacing="0" w:afterAutospacing="0"/>
        <w:jc w:val="both"/>
        <w:rPr>
          <w:highlight w:val="none"/>
        </w:rPr>
      </w:pPr>
    </w:p>
    <w:p w14:paraId="7251072B">
      <w:pPr>
        <w:pStyle w:val="15"/>
        <w:spacing w:beforeAutospacing="0" w:afterAutospacing="0"/>
        <w:jc w:val="both"/>
        <w:rPr>
          <w:highlight w:val="none"/>
        </w:rPr>
      </w:pPr>
    </w:p>
    <w:p w14:paraId="1B25334D">
      <w:pPr>
        <w:pStyle w:val="15"/>
        <w:spacing w:beforeAutospacing="0" w:afterAutospacing="0"/>
        <w:jc w:val="both"/>
        <w:rPr>
          <w:highlight w:val="none"/>
        </w:rPr>
      </w:pPr>
    </w:p>
    <w:p w14:paraId="5D154BA8">
      <w:pPr>
        <w:pStyle w:val="15"/>
        <w:spacing w:beforeAutospacing="0" w:afterAutospacing="0"/>
        <w:jc w:val="both"/>
        <w:rPr>
          <w:highlight w:val="none"/>
        </w:rPr>
      </w:pPr>
    </w:p>
    <w:p w14:paraId="50B76237">
      <w:pPr>
        <w:pStyle w:val="15"/>
        <w:spacing w:beforeAutospacing="0" w:afterAutospacing="0"/>
        <w:jc w:val="both"/>
        <w:rPr>
          <w:highlight w:val="none"/>
        </w:rPr>
      </w:pPr>
    </w:p>
    <w:p w14:paraId="3C29FEC0">
      <w:pPr>
        <w:pStyle w:val="15"/>
        <w:spacing w:beforeAutospacing="0" w:afterAutospacing="0"/>
        <w:jc w:val="both"/>
        <w:rPr>
          <w:highlight w:val="none"/>
        </w:rPr>
      </w:pPr>
    </w:p>
    <w:p w14:paraId="341FB04E">
      <w:pPr>
        <w:pStyle w:val="15"/>
        <w:spacing w:beforeAutospacing="0" w:afterAutospacing="0"/>
        <w:jc w:val="both"/>
        <w:rPr>
          <w:highlight w:val="none"/>
        </w:rPr>
      </w:pPr>
    </w:p>
    <w:p w14:paraId="388B35FD">
      <w:pPr>
        <w:pStyle w:val="15"/>
        <w:spacing w:beforeAutospacing="0" w:afterAutospacing="0"/>
        <w:jc w:val="both"/>
        <w:rPr>
          <w:highlight w:val="none"/>
        </w:rPr>
      </w:pPr>
    </w:p>
    <w:p w14:paraId="07E2D191">
      <w:pPr>
        <w:pStyle w:val="15"/>
        <w:spacing w:beforeAutospacing="0" w:afterAutospacing="0"/>
        <w:jc w:val="both"/>
        <w:rPr>
          <w:highlight w:val="none"/>
        </w:rPr>
      </w:pPr>
    </w:p>
    <w:p w14:paraId="40F74D23">
      <w:pPr>
        <w:pStyle w:val="15"/>
        <w:spacing w:beforeAutospacing="0" w:afterAutospacing="0"/>
        <w:jc w:val="both"/>
        <w:rPr>
          <w:highlight w:val="none"/>
        </w:rPr>
      </w:pPr>
    </w:p>
    <w:p w14:paraId="22A00EBC">
      <w:pPr>
        <w:pStyle w:val="15"/>
        <w:spacing w:beforeAutospacing="0" w:afterAutospacing="0"/>
        <w:jc w:val="both"/>
        <w:rPr>
          <w:highlight w:val="none"/>
        </w:rPr>
      </w:pPr>
      <w:r>
        <w:rPr>
          <w:highlight w:val="none"/>
        </w:rPr>
        <w:t> </w:t>
      </w:r>
    </w:p>
    <w:p w14:paraId="450607F9">
      <w:pPr>
        <w:pStyle w:val="15"/>
        <w:spacing w:beforeAutospacing="0" w:afterAutospacing="0"/>
        <w:jc w:val="both"/>
        <w:rPr>
          <w:highlight w:val="none"/>
        </w:rPr>
      </w:pPr>
      <w:r>
        <w:rPr>
          <w:highlight w:val="none"/>
        </w:rPr>
        <w:t> </w:t>
      </w:r>
    </w:p>
    <w:p w14:paraId="2937E1C6">
      <w:pPr>
        <w:pStyle w:val="15"/>
        <w:spacing w:beforeAutospacing="0" w:afterAutospacing="0"/>
        <w:jc w:val="center"/>
        <w:rPr>
          <w:i/>
          <w:iCs/>
          <w:highlight w:val="none"/>
          <w:u w:val="single"/>
        </w:rPr>
      </w:pPr>
      <w:bookmarkStart w:id="190" w:name="_Hlt26955054"/>
      <w:r>
        <w:rPr>
          <w:rFonts w:hint="eastAsia" w:ascii="黑体" w:hAnsi="宋体" w:eastAsia="黑体" w:cs="黑体"/>
          <w:b/>
          <w:i/>
          <w:iCs/>
          <w:color w:val="000000"/>
          <w:sz w:val="32"/>
          <w:szCs w:val="32"/>
          <w:highlight w:val="none"/>
          <w:u w:val="single"/>
          <w:lang w:val="en-US" w:eastAsia="zh-CN"/>
        </w:rPr>
        <w:t>十二</w:t>
      </w:r>
      <w:r>
        <w:rPr>
          <w:rFonts w:hint="eastAsia" w:ascii="黑体" w:hAnsi="宋体" w:eastAsia="黑体" w:cs="黑体"/>
          <w:b/>
          <w:i/>
          <w:iCs/>
          <w:color w:val="000000"/>
          <w:sz w:val="32"/>
          <w:szCs w:val="32"/>
          <w:highlight w:val="none"/>
          <w:u w:val="single"/>
        </w:rPr>
        <w:t>、商务要求响应及偏离表</w:t>
      </w:r>
    </w:p>
    <w:tbl>
      <w:tblPr>
        <w:tblStyle w:val="18"/>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41983AF4">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69174">
            <w:pPr>
              <w:pStyle w:val="15"/>
              <w:spacing w:beforeAutospacing="0" w:afterAutospacing="0"/>
              <w:jc w:val="center"/>
              <w:rPr>
                <w:highlight w:val="none"/>
              </w:rPr>
            </w:pPr>
            <w:bookmarkStart w:id="191" w:name="_Hlt26955064"/>
            <w:bookmarkStart w:id="192" w:name="_Hlt26609391"/>
            <w:bookmarkStart w:id="193" w:name="_Hlt26955056"/>
            <w:bookmarkStart w:id="194" w:name="_Hlt26671343"/>
            <w:bookmarkStart w:id="195" w:name="_Hlt24879081"/>
            <w:bookmarkStart w:id="196" w:name="_Hlt26580838"/>
            <w:bookmarkStart w:id="197" w:name="_Hlt26671372"/>
            <w:bookmarkStart w:id="198" w:name="_Hlt26782999"/>
            <w:r>
              <w:rPr>
                <w:rFonts w:hint="eastAsia" w:ascii="宋体" w:hAnsi="宋体" w:eastAsia="宋体" w:cs="宋体"/>
                <w:color w:val="000000"/>
                <w:highlight w:val="none"/>
              </w:rPr>
              <w:t>序号</w:t>
            </w:r>
          </w:p>
          <w:bookmarkEnd w:id="191"/>
          <w:bookmarkEnd w:id="192"/>
          <w:bookmarkEnd w:id="193"/>
          <w:bookmarkEnd w:id="194"/>
          <w:bookmarkEnd w:id="195"/>
          <w:bookmarkEnd w:id="196"/>
          <w:bookmarkEnd w:id="197"/>
          <w:bookmarkEnd w:id="198"/>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6234">
            <w:pPr>
              <w:pStyle w:val="15"/>
              <w:spacing w:beforeAutospacing="0" w:afterAutospacing="0"/>
              <w:jc w:val="center"/>
              <w:rPr>
                <w:highlight w:val="none"/>
              </w:rPr>
            </w:pPr>
            <w:r>
              <w:rPr>
                <w:rFonts w:hint="eastAsia" w:ascii="宋体" w:hAnsi="宋体" w:eastAsia="宋体" w:cs="宋体"/>
                <w:color w:val="000000"/>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DE2C3">
            <w:pPr>
              <w:pStyle w:val="15"/>
              <w:spacing w:beforeAutospacing="0" w:afterAutospacing="0"/>
              <w:jc w:val="center"/>
              <w:rPr>
                <w:highlight w:val="none"/>
              </w:rPr>
            </w:pPr>
            <w:r>
              <w:rPr>
                <w:rFonts w:hint="eastAsia" w:ascii="宋体" w:hAnsi="宋体" w:eastAsia="宋体" w:cs="宋体"/>
                <w:color w:val="000000"/>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3B165">
            <w:pPr>
              <w:pStyle w:val="15"/>
              <w:spacing w:beforeAutospacing="0" w:afterAutospacing="0"/>
              <w:jc w:val="center"/>
              <w:rPr>
                <w:highlight w:val="none"/>
              </w:rPr>
            </w:pPr>
            <w:r>
              <w:rPr>
                <w:rFonts w:hint="eastAsia" w:ascii="宋体" w:hAnsi="宋体" w:eastAsia="宋体" w:cs="宋体"/>
                <w:color w:val="000000"/>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5564C">
            <w:pPr>
              <w:pStyle w:val="15"/>
              <w:spacing w:beforeAutospacing="0" w:afterAutospacing="0"/>
              <w:jc w:val="center"/>
              <w:rPr>
                <w:highlight w:val="none"/>
              </w:rPr>
            </w:pPr>
            <w:r>
              <w:rPr>
                <w:rFonts w:hint="eastAsia" w:ascii="宋体" w:hAnsi="宋体" w:eastAsia="宋体" w:cs="宋体"/>
                <w:color w:val="000000"/>
                <w:highlight w:val="none"/>
              </w:rPr>
              <w:t>证明</w:t>
            </w:r>
          </w:p>
          <w:p w14:paraId="07127613">
            <w:pPr>
              <w:pStyle w:val="15"/>
              <w:spacing w:beforeAutospacing="0" w:afterAutospacing="0"/>
              <w:jc w:val="center"/>
              <w:rPr>
                <w:highlight w:val="none"/>
              </w:rPr>
            </w:pPr>
            <w:r>
              <w:rPr>
                <w:rFonts w:hint="eastAsia" w:ascii="宋体" w:hAnsi="宋体" w:eastAsia="宋体" w:cs="宋体"/>
                <w:color w:val="000000"/>
                <w:highlight w:val="none"/>
              </w:rPr>
              <w:t>材料</w:t>
            </w:r>
          </w:p>
        </w:tc>
      </w:tr>
      <w:tr w14:paraId="62547FD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B7343">
            <w:pPr>
              <w:pStyle w:val="15"/>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00662">
            <w:pPr>
              <w:pStyle w:val="15"/>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BBD93">
            <w:pPr>
              <w:pStyle w:val="15"/>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EE4BC">
            <w:pPr>
              <w:pStyle w:val="15"/>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0B98">
            <w:pPr>
              <w:pStyle w:val="15"/>
              <w:spacing w:beforeAutospacing="0" w:afterAutospacing="0"/>
              <w:jc w:val="center"/>
              <w:rPr>
                <w:highlight w:val="none"/>
              </w:rPr>
            </w:pPr>
            <w:r>
              <w:rPr>
                <w:highlight w:val="none"/>
              </w:rPr>
              <w:t> </w:t>
            </w:r>
          </w:p>
        </w:tc>
      </w:tr>
      <w:tr w14:paraId="71131C2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D40B7">
            <w:pPr>
              <w:pStyle w:val="15"/>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E3336">
            <w:pPr>
              <w:pStyle w:val="15"/>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6CF03">
            <w:pPr>
              <w:pStyle w:val="15"/>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7E368">
            <w:pPr>
              <w:pStyle w:val="15"/>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97859">
            <w:pPr>
              <w:pStyle w:val="15"/>
              <w:spacing w:beforeAutospacing="0" w:afterAutospacing="0"/>
              <w:jc w:val="center"/>
              <w:rPr>
                <w:highlight w:val="none"/>
              </w:rPr>
            </w:pPr>
            <w:r>
              <w:rPr>
                <w:highlight w:val="none"/>
              </w:rPr>
              <w:t> </w:t>
            </w:r>
          </w:p>
        </w:tc>
      </w:tr>
      <w:tr w14:paraId="3820784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A9B7D">
            <w:pPr>
              <w:pStyle w:val="15"/>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D99A5">
            <w:pPr>
              <w:pStyle w:val="15"/>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4C122">
            <w:pPr>
              <w:pStyle w:val="15"/>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89354">
            <w:pPr>
              <w:pStyle w:val="15"/>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3AF76">
            <w:pPr>
              <w:pStyle w:val="15"/>
              <w:spacing w:beforeAutospacing="0" w:afterAutospacing="0"/>
              <w:jc w:val="center"/>
              <w:rPr>
                <w:highlight w:val="none"/>
              </w:rPr>
            </w:pPr>
            <w:r>
              <w:rPr>
                <w:highlight w:val="none"/>
              </w:rPr>
              <w:t> </w:t>
            </w:r>
          </w:p>
        </w:tc>
      </w:tr>
      <w:tr w14:paraId="37E06C0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07472">
            <w:pPr>
              <w:pStyle w:val="15"/>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C8784">
            <w:pPr>
              <w:pStyle w:val="15"/>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62DCF">
            <w:pPr>
              <w:pStyle w:val="15"/>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74011">
            <w:pPr>
              <w:pStyle w:val="15"/>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91310">
            <w:pPr>
              <w:pStyle w:val="15"/>
              <w:spacing w:beforeAutospacing="0" w:afterAutospacing="0"/>
              <w:jc w:val="center"/>
              <w:rPr>
                <w:highlight w:val="none"/>
              </w:rPr>
            </w:pPr>
            <w:r>
              <w:rPr>
                <w:highlight w:val="none"/>
              </w:rPr>
              <w:t> </w:t>
            </w:r>
          </w:p>
        </w:tc>
      </w:tr>
      <w:tr w14:paraId="1649B01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12B5E">
            <w:pPr>
              <w:pStyle w:val="15"/>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F250D">
            <w:pPr>
              <w:pStyle w:val="15"/>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60118">
            <w:pPr>
              <w:pStyle w:val="15"/>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10CD6">
            <w:pPr>
              <w:pStyle w:val="15"/>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CDC2">
            <w:pPr>
              <w:pStyle w:val="15"/>
              <w:spacing w:beforeAutospacing="0" w:afterAutospacing="0"/>
              <w:jc w:val="center"/>
              <w:rPr>
                <w:highlight w:val="none"/>
              </w:rPr>
            </w:pPr>
            <w:r>
              <w:rPr>
                <w:highlight w:val="none"/>
              </w:rPr>
              <w:t> </w:t>
            </w:r>
          </w:p>
        </w:tc>
      </w:tr>
      <w:tr w14:paraId="4C46CBE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2130">
            <w:pPr>
              <w:pStyle w:val="15"/>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2399">
            <w:pPr>
              <w:pStyle w:val="15"/>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BE612">
            <w:pPr>
              <w:pStyle w:val="15"/>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2BB81">
            <w:pPr>
              <w:pStyle w:val="15"/>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72123">
            <w:pPr>
              <w:pStyle w:val="15"/>
              <w:spacing w:beforeAutospacing="0" w:afterAutospacing="0"/>
              <w:jc w:val="center"/>
              <w:rPr>
                <w:highlight w:val="none"/>
              </w:rPr>
            </w:pPr>
            <w:r>
              <w:rPr>
                <w:highlight w:val="none"/>
              </w:rPr>
              <w:t> </w:t>
            </w:r>
          </w:p>
        </w:tc>
      </w:tr>
      <w:tr w14:paraId="1AD28F7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F8B3F">
            <w:pPr>
              <w:pStyle w:val="15"/>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CDC77">
            <w:pPr>
              <w:pStyle w:val="15"/>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5B54">
            <w:pPr>
              <w:pStyle w:val="15"/>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CE64">
            <w:pPr>
              <w:pStyle w:val="15"/>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395F">
            <w:pPr>
              <w:pStyle w:val="15"/>
              <w:spacing w:beforeAutospacing="0" w:afterAutospacing="0"/>
              <w:jc w:val="center"/>
              <w:rPr>
                <w:highlight w:val="none"/>
              </w:rPr>
            </w:pPr>
            <w:r>
              <w:rPr>
                <w:highlight w:val="none"/>
              </w:rPr>
              <w:t> </w:t>
            </w:r>
          </w:p>
        </w:tc>
      </w:tr>
      <w:tr w14:paraId="3A13CA4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5AB7">
            <w:pPr>
              <w:pStyle w:val="15"/>
              <w:spacing w:beforeAutospacing="0" w:afterAutospacing="0"/>
              <w:jc w:val="center"/>
              <w:rPr>
                <w:highlight w:val="none"/>
              </w:rPr>
            </w:pPr>
            <w:r>
              <w:rPr>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CCEF1">
            <w:pPr>
              <w:pStyle w:val="15"/>
              <w:spacing w:beforeAutospacing="0" w:afterAutospacing="0"/>
              <w:jc w:val="center"/>
              <w:rPr>
                <w:highlight w:val="none"/>
              </w:rPr>
            </w:pPr>
            <w:r>
              <w:rPr>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5450">
            <w:pPr>
              <w:pStyle w:val="15"/>
              <w:spacing w:beforeAutospacing="0" w:afterAutospacing="0"/>
              <w:jc w:val="center"/>
              <w:rPr>
                <w:highlight w:val="none"/>
              </w:rPr>
            </w:pPr>
            <w:r>
              <w:rPr>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159AF">
            <w:pPr>
              <w:pStyle w:val="15"/>
              <w:spacing w:beforeAutospacing="0" w:afterAutospacing="0"/>
              <w:jc w:val="center"/>
              <w:rPr>
                <w:highlight w:val="none"/>
              </w:rPr>
            </w:pPr>
            <w:r>
              <w:rPr>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CB8C6">
            <w:pPr>
              <w:pStyle w:val="15"/>
              <w:spacing w:beforeAutospacing="0" w:afterAutospacing="0"/>
              <w:jc w:val="center"/>
              <w:rPr>
                <w:highlight w:val="none"/>
              </w:rPr>
            </w:pPr>
            <w:r>
              <w:rPr>
                <w:highlight w:val="none"/>
              </w:rPr>
              <w:t> </w:t>
            </w:r>
          </w:p>
        </w:tc>
      </w:tr>
    </w:tbl>
    <w:p w14:paraId="0515F675">
      <w:pPr>
        <w:pStyle w:val="15"/>
        <w:spacing w:beforeAutospacing="0" w:afterAutospacing="0"/>
        <w:jc w:val="both"/>
        <w:rPr>
          <w:highlight w:val="none"/>
        </w:rPr>
      </w:pPr>
      <w:r>
        <w:rPr>
          <w:rFonts w:hint="eastAsia" w:ascii="宋体" w:hAnsi="宋体" w:eastAsia="宋体" w:cs="宋体"/>
          <w:color w:val="000000"/>
          <w:highlight w:val="none"/>
        </w:rPr>
        <w:t>注： 行数不够，可自行添加。</w:t>
      </w:r>
    </w:p>
    <w:p w14:paraId="4F9477BB">
      <w:pPr>
        <w:pStyle w:val="15"/>
        <w:spacing w:beforeAutospacing="0" w:afterAutospacing="0" w:line="480" w:lineRule="auto"/>
        <w:jc w:val="both"/>
        <w:rPr>
          <w:highlight w:val="none"/>
        </w:rPr>
      </w:pPr>
      <w:r>
        <w:rPr>
          <w:highlight w:val="none"/>
        </w:rPr>
        <w:t> </w:t>
      </w:r>
    </w:p>
    <w:p w14:paraId="771A2ABD">
      <w:pPr>
        <w:pStyle w:val="15"/>
        <w:spacing w:beforeAutospacing="0" w:afterAutospacing="0" w:line="480" w:lineRule="auto"/>
        <w:jc w:val="both"/>
        <w:rPr>
          <w:highlight w:val="none"/>
        </w:rPr>
      </w:pPr>
      <w:r>
        <w:rPr>
          <w:highlight w:val="none"/>
        </w:rPr>
        <w:t> </w:t>
      </w:r>
    </w:p>
    <w:p w14:paraId="6564921F">
      <w:pPr>
        <w:pStyle w:val="15"/>
        <w:spacing w:beforeAutospacing="0" w:afterAutospacing="0"/>
        <w:jc w:val="center"/>
        <w:rPr>
          <w:highlight w:val="none"/>
        </w:rPr>
      </w:pPr>
      <w:bookmarkStart w:id="199" w:name="_Toc462564146"/>
      <w:bookmarkStart w:id="200" w:name="_Hlt26671374"/>
      <w:bookmarkStart w:id="201" w:name="_Hlt26609389"/>
      <w:bookmarkStart w:id="202" w:name="_Hlt26955066"/>
      <w:bookmarkStart w:id="203" w:name="_格式2__法定代表人授权书"/>
      <w:r>
        <w:rPr>
          <w:highlight w:val="none"/>
        </w:rPr>
        <w:t> </w:t>
      </w:r>
    </w:p>
    <w:p w14:paraId="43E033E8">
      <w:pPr>
        <w:pStyle w:val="15"/>
        <w:spacing w:beforeAutospacing="0" w:afterAutospacing="0"/>
        <w:jc w:val="both"/>
        <w:rPr>
          <w:highlight w:val="none"/>
        </w:rPr>
      </w:pPr>
      <w:r>
        <w:rPr>
          <w:highlight w:val="none"/>
        </w:rPr>
        <w:t> </w:t>
      </w:r>
    </w:p>
    <w:p w14:paraId="34DD36AA">
      <w:pPr>
        <w:pStyle w:val="15"/>
        <w:spacing w:beforeAutospacing="0" w:afterAutospacing="0"/>
        <w:jc w:val="both"/>
        <w:rPr>
          <w:highlight w:val="none"/>
        </w:rPr>
      </w:pPr>
      <w:r>
        <w:rPr>
          <w:highlight w:val="none"/>
        </w:rPr>
        <w:t> </w:t>
      </w:r>
    </w:p>
    <w:p w14:paraId="0B59FED3">
      <w:pPr>
        <w:pStyle w:val="15"/>
        <w:spacing w:beforeAutospacing="0" w:afterAutospacing="0"/>
        <w:jc w:val="both"/>
        <w:rPr>
          <w:highlight w:val="none"/>
        </w:rPr>
      </w:pPr>
    </w:p>
    <w:p w14:paraId="674A53C6">
      <w:pPr>
        <w:pStyle w:val="15"/>
        <w:spacing w:beforeAutospacing="0" w:afterAutospacing="0"/>
        <w:jc w:val="both"/>
        <w:rPr>
          <w:highlight w:val="none"/>
        </w:rPr>
      </w:pPr>
    </w:p>
    <w:p w14:paraId="7646B14A">
      <w:pPr>
        <w:pStyle w:val="15"/>
        <w:spacing w:beforeAutospacing="0" w:afterAutospacing="0"/>
        <w:jc w:val="both"/>
        <w:rPr>
          <w:highlight w:val="none"/>
        </w:rPr>
      </w:pPr>
    </w:p>
    <w:p w14:paraId="18437834">
      <w:pPr>
        <w:pStyle w:val="15"/>
        <w:spacing w:beforeAutospacing="0" w:afterAutospacing="0"/>
        <w:jc w:val="both"/>
        <w:rPr>
          <w:highlight w:val="none"/>
        </w:rPr>
      </w:pPr>
    </w:p>
    <w:p w14:paraId="6AC5CF75">
      <w:pPr>
        <w:pStyle w:val="15"/>
        <w:spacing w:beforeAutospacing="0" w:afterAutospacing="0"/>
        <w:jc w:val="both"/>
        <w:rPr>
          <w:highlight w:val="none"/>
        </w:rPr>
      </w:pPr>
    </w:p>
    <w:p w14:paraId="4402A329">
      <w:pPr>
        <w:pStyle w:val="15"/>
        <w:spacing w:beforeAutospacing="0" w:afterAutospacing="0"/>
        <w:jc w:val="both"/>
        <w:rPr>
          <w:highlight w:val="none"/>
        </w:rPr>
      </w:pPr>
    </w:p>
    <w:p w14:paraId="433415F5">
      <w:pPr>
        <w:pStyle w:val="15"/>
        <w:spacing w:beforeAutospacing="0" w:afterAutospacing="0"/>
        <w:jc w:val="both"/>
        <w:rPr>
          <w:highlight w:val="none"/>
        </w:rPr>
      </w:pPr>
    </w:p>
    <w:p w14:paraId="664A23CF">
      <w:pPr>
        <w:pStyle w:val="15"/>
        <w:spacing w:beforeAutospacing="0" w:afterAutospacing="0"/>
        <w:jc w:val="both"/>
        <w:rPr>
          <w:highlight w:val="none"/>
        </w:rPr>
      </w:pPr>
    </w:p>
    <w:p w14:paraId="577CDDA2">
      <w:pPr>
        <w:pStyle w:val="15"/>
        <w:spacing w:beforeAutospacing="0" w:afterAutospacing="0"/>
        <w:jc w:val="both"/>
        <w:rPr>
          <w:highlight w:val="none"/>
        </w:rPr>
      </w:pPr>
    </w:p>
    <w:p w14:paraId="2C30742F">
      <w:pPr>
        <w:pStyle w:val="15"/>
        <w:spacing w:beforeAutospacing="0" w:afterAutospacing="0"/>
        <w:jc w:val="both"/>
        <w:rPr>
          <w:highlight w:val="none"/>
        </w:rPr>
      </w:pPr>
    </w:p>
    <w:p w14:paraId="3BA22CC3">
      <w:pPr>
        <w:pStyle w:val="15"/>
        <w:spacing w:beforeAutospacing="0" w:afterAutospacing="0"/>
        <w:jc w:val="both"/>
        <w:rPr>
          <w:highlight w:val="none"/>
        </w:rPr>
      </w:pPr>
    </w:p>
    <w:p w14:paraId="284FF7FD">
      <w:pPr>
        <w:pStyle w:val="15"/>
        <w:spacing w:beforeAutospacing="0" w:afterAutospacing="0"/>
        <w:jc w:val="both"/>
        <w:rPr>
          <w:highlight w:val="none"/>
        </w:rPr>
      </w:pPr>
    </w:p>
    <w:p w14:paraId="634E5CAA">
      <w:pPr>
        <w:pStyle w:val="15"/>
        <w:spacing w:beforeAutospacing="0" w:afterAutospacing="0"/>
        <w:jc w:val="both"/>
        <w:rPr>
          <w:highlight w:val="none"/>
        </w:rPr>
      </w:pPr>
    </w:p>
    <w:p w14:paraId="770C7ECF">
      <w:pPr>
        <w:pStyle w:val="15"/>
        <w:spacing w:beforeAutospacing="0" w:afterAutospacing="0"/>
        <w:jc w:val="both"/>
        <w:rPr>
          <w:highlight w:val="none"/>
        </w:rPr>
      </w:pPr>
    </w:p>
    <w:p w14:paraId="53A5D0DD">
      <w:pPr>
        <w:pStyle w:val="15"/>
        <w:spacing w:beforeAutospacing="0" w:afterAutospacing="0"/>
        <w:jc w:val="both"/>
        <w:rPr>
          <w:highlight w:val="none"/>
        </w:rPr>
      </w:pPr>
    </w:p>
    <w:p w14:paraId="72CA5A2B">
      <w:pPr>
        <w:pStyle w:val="15"/>
        <w:spacing w:beforeAutospacing="0" w:afterAutospacing="0"/>
        <w:jc w:val="center"/>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三</w:t>
      </w:r>
      <w:r>
        <w:rPr>
          <w:rFonts w:hint="eastAsia" w:ascii="黑体" w:hAnsi="宋体" w:eastAsia="黑体" w:cs="黑体"/>
          <w:b/>
          <w:i/>
          <w:color w:val="auto"/>
          <w:sz w:val="32"/>
          <w:szCs w:val="32"/>
          <w:highlight w:val="none"/>
          <w:u w:val="single"/>
        </w:rPr>
        <w:t>、开标一览表</w:t>
      </w:r>
    </w:p>
    <w:p w14:paraId="70B14AA4">
      <w:pPr>
        <w:pStyle w:val="15"/>
        <w:spacing w:beforeAutospacing="0" w:afterAutospacing="0"/>
        <w:ind w:firstLine="480"/>
        <w:jc w:val="both"/>
        <w:rPr>
          <w:color w:val="auto"/>
          <w:highlight w:val="none"/>
        </w:rPr>
      </w:pPr>
      <w:r>
        <w:rPr>
          <w:rFonts w:hint="eastAsia" w:ascii="宋体" w:hAnsi="宋体" w:eastAsia="宋体" w:cs="宋体"/>
          <w:color w:val="auto"/>
          <w:highlight w:val="none"/>
        </w:rPr>
        <w:t>投标人全称（加盖CA电子签章）：</w:t>
      </w:r>
    </w:p>
    <w:p w14:paraId="4361FD6A">
      <w:pPr>
        <w:pStyle w:val="15"/>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3003A85B">
      <w:pPr>
        <w:pStyle w:val="15"/>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tbl>
      <w:tblPr>
        <w:tblStyle w:val="18"/>
        <w:tblW w:w="8206" w:type="dxa"/>
        <w:tblCellSpacing w:w="0" w:type="dxa"/>
        <w:tblInd w:w="118" w:type="dxa"/>
        <w:tblLayout w:type="fixed"/>
        <w:tblCellMar>
          <w:top w:w="0" w:type="dxa"/>
          <w:left w:w="108" w:type="dxa"/>
          <w:bottom w:w="0" w:type="dxa"/>
          <w:right w:w="108" w:type="dxa"/>
        </w:tblCellMar>
      </w:tblPr>
      <w:tblGrid>
        <w:gridCol w:w="8206"/>
      </w:tblGrid>
      <w:tr w14:paraId="7E2950E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5B03">
            <w:pPr>
              <w:pStyle w:val="15"/>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22A141A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6054">
            <w:pPr>
              <w:pStyle w:val="15"/>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28EF8FA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0BC8">
            <w:pPr>
              <w:pStyle w:val="15"/>
              <w:spacing w:beforeAutospacing="0" w:afterAutospacing="0" w:line="0" w:lineRule="atLeast"/>
              <w:rPr>
                <w:color w:val="auto"/>
                <w:highlight w:val="none"/>
              </w:rPr>
            </w:pPr>
            <w:r>
              <w:rPr>
                <w:rFonts w:hint="eastAsia" w:ascii="宋体" w:hAnsi="宋体" w:eastAsia="宋体" w:cs="宋体"/>
                <w:color w:val="auto"/>
                <w:highlight w:val="none"/>
              </w:rPr>
              <w:t>小写：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（人民币：元）</w:t>
            </w:r>
          </w:p>
        </w:tc>
      </w:tr>
    </w:tbl>
    <w:p w14:paraId="083F367D">
      <w:pPr>
        <w:pStyle w:val="15"/>
        <w:spacing w:beforeAutospacing="0" w:afterAutospacing="0"/>
        <w:jc w:val="both"/>
        <w:rPr>
          <w:color w:val="auto"/>
          <w:highlight w:val="none"/>
        </w:rPr>
      </w:pPr>
      <w:r>
        <w:rPr>
          <w:color w:val="auto"/>
          <w:highlight w:val="none"/>
        </w:rPr>
        <w:t> </w:t>
      </w:r>
    </w:p>
    <w:p w14:paraId="15F53820">
      <w:pPr>
        <w:pStyle w:val="15"/>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B5D6B9D">
      <w:pPr>
        <w:pStyle w:val="15"/>
        <w:spacing w:beforeAutospacing="0" w:afterAutospacing="0"/>
        <w:ind w:firstLine="480"/>
        <w:jc w:val="both"/>
        <w:rPr>
          <w:highlight w:val="none"/>
        </w:rPr>
      </w:pPr>
      <w:r>
        <w:rPr>
          <w:highlight w:val="none"/>
        </w:rPr>
        <w:t> </w:t>
      </w:r>
    </w:p>
    <w:p w14:paraId="7EDBB936">
      <w:pPr>
        <w:pStyle w:val="15"/>
        <w:spacing w:beforeAutospacing="0" w:afterAutospacing="0" w:line="0" w:lineRule="atLeast"/>
        <w:ind w:firstLine="480"/>
        <w:jc w:val="both"/>
        <w:rPr>
          <w:rFonts w:hint="eastAsia" w:ascii="宋体" w:hAnsi="宋体" w:eastAsia="宋体" w:cs="宋体"/>
          <w:color w:val="000000"/>
          <w:highlight w:val="none"/>
          <w:lang w:val="en-US" w:eastAsia="zh-CN"/>
        </w:rPr>
      </w:pPr>
    </w:p>
    <w:p w14:paraId="29D1AF51">
      <w:pPr>
        <w:widowControl/>
        <w:spacing w:before="50" w:after="50"/>
        <w:jc w:val="center"/>
        <w:rPr>
          <w:highlight w:val="none"/>
        </w:rPr>
      </w:pPr>
      <w:r>
        <w:rPr>
          <w:highlight w:val="none"/>
        </w:rPr>
        <w:tab/>
      </w:r>
    </w:p>
    <w:p w14:paraId="0C1E89E2">
      <w:pPr>
        <w:widowControl/>
        <w:spacing w:before="50" w:after="50"/>
        <w:jc w:val="center"/>
        <w:rPr>
          <w:highlight w:val="none"/>
        </w:rPr>
      </w:pPr>
    </w:p>
    <w:p w14:paraId="1C05BC4E">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hint="eastAsia" w:ascii="Calibri" w:hAnsi="Calibri" w:eastAsia="Calibri" w:cs="Calibri"/>
          <w:b/>
          <w:color w:val="000000"/>
          <w:sz w:val="24"/>
          <w:szCs w:val="24"/>
          <w:lang w:val="en-US" w:eastAsia="zh-CN"/>
        </w:rPr>
      </w:pPr>
      <w:r>
        <w:rPr>
          <w:rFonts w:ascii="Calibri" w:hAnsi="Calibri" w:eastAsia="Calibri" w:cs="Calibri"/>
          <w:b/>
          <w:color w:val="000000"/>
          <w:sz w:val="24"/>
          <w:szCs w:val="24"/>
        </w:rPr>
        <w:t xml:space="preserve">  </w:t>
      </w:r>
    </w:p>
    <w:p w14:paraId="1E9B53E1">
      <w:pPr>
        <w:widowControl/>
        <w:spacing w:before="50" w:after="50"/>
        <w:jc w:val="center"/>
        <w:rPr>
          <w:highlight w:val="none"/>
        </w:rPr>
      </w:pPr>
    </w:p>
    <w:p w14:paraId="1A2AFD28">
      <w:pPr>
        <w:widowControl/>
        <w:spacing w:before="50" w:after="50"/>
        <w:jc w:val="center"/>
        <w:rPr>
          <w:highlight w:val="none"/>
        </w:rPr>
      </w:pPr>
    </w:p>
    <w:p w14:paraId="5E5337A9">
      <w:pPr>
        <w:pStyle w:val="2"/>
        <w:rPr>
          <w:highlight w:val="none"/>
        </w:rPr>
      </w:pPr>
    </w:p>
    <w:p w14:paraId="2FF69F76">
      <w:pPr>
        <w:pStyle w:val="2"/>
        <w:rPr>
          <w:highlight w:val="none"/>
        </w:rPr>
      </w:pPr>
    </w:p>
    <w:p w14:paraId="2743A357">
      <w:pPr>
        <w:pStyle w:val="2"/>
        <w:rPr>
          <w:highlight w:val="none"/>
        </w:rPr>
      </w:pPr>
    </w:p>
    <w:p w14:paraId="784FB7E5">
      <w:pPr>
        <w:pStyle w:val="2"/>
        <w:rPr>
          <w:highlight w:val="none"/>
        </w:rPr>
      </w:pPr>
    </w:p>
    <w:p w14:paraId="48AAF1A4">
      <w:pPr>
        <w:pStyle w:val="2"/>
        <w:rPr>
          <w:highlight w:val="none"/>
        </w:rPr>
      </w:pPr>
    </w:p>
    <w:p w14:paraId="3F1C3248">
      <w:pPr>
        <w:pStyle w:val="2"/>
        <w:rPr>
          <w:highlight w:val="none"/>
        </w:rPr>
      </w:pPr>
    </w:p>
    <w:p w14:paraId="086C1101">
      <w:pPr>
        <w:pStyle w:val="2"/>
        <w:rPr>
          <w:highlight w:val="none"/>
        </w:rPr>
      </w:pPr>
    </w:p>
    <w:p w14:paraId="6BE557EB">
      <w:pPr>
        <w:pStyle w:val="2"/>
        <w:rPr>
          <w:highlight w:val="none"/>
        </w:rPr>
      </w:pPr>
    </w:p>
    <w:p w14:paraId="1396AE6E">
      <w:pPr>
        <w:pStyle w:val="2"/>
        <w:rPr>
          <w:highlight w:val="none"/>
        </w:rPr>
      </w:pPr>
    </w:p>
    <w:p w14:paraId="6A1F7C47">
      <w:pPr>
        <w:pStyle w:val="2"/>
        <w:rPr>
          <w:highlight w:val="none"/>
        </w:rPr>
      </w:pPr>
    </w:p>
    <w:p w14:paraId="5951B684">
      <w:pPr>
        <w:pStyle w:val="2"/>
        <w:rPr>
          <w:highlight w:val="none"/>
        </w:rPr>
      </w:pPr>
    </w:p>
    <w:p w14:paraId="3DFB95B7">
      <w:pPr>
        <w:pStyle w:val="2"/>
        <w:rPr>
          <w:highlight w:val="none"/>
        </w:rPr>
      </w:pPr>
    </w:p>
    <w:p w14:paraId="02311C7E">
      <w:pPr>
        <w:pStyle w:val="2"/>
        <w:rPr>
          <w:highlight w:val="none"/>
        </w:rPr>
      </w:pPr>
    </w:p>
    <w:p w14:paraId="30C50B2E">
      <w:pPr>
        <w:pStyle w:val="2"/>
        <w:rPr>
          <w:highlight w:val="none"/>
        </w:rPr>
      </w:pPr>
    </w:p>
    <w:p w14:paraId="0A546B2B">
      <w:pPr>
        <w:pStyle w:val="2"/>
        <w:rPr>
          <w:highlight w:val="none"/>
        </w:rPr>
      </w:pPr>
    </w:p>
    <w:p w14:paraId="5318BD22">
      <w:pPr>
        <w:pStyle w:val="2"/>
        <w:rPr>
          <w:highlight w:val="none"/>
        </w:rPr>
      </w:pPr>
    </w:p>
    <w:p w14:paraId="570FAF9C">
      <w:pPr>
        <w:pStyle w:val="2"/>
        <w:rPr>
          <w:highlight w:val="none"/>
        </w:rPr>
      </w:pPr>
    </w:p>
    <w:p w14:paraId="4CDBFA95">
      <w:pPr>
        <w:pStyle w:val="2"/>
        <w:rPr>
          <w:highlight w:val="none"/>
        </w:rPr>
      </w:pPr>
    </w:p>
    <w:p w14:paraId="1C1B6F76">
      <w:pPr>
        <w:pStyle w:val="2"/>
        <w:rPr>
          <w:highlight w:val="none"/>
        </w:rPr>
      </w:pPr>
    </w:p>
    <w:p w14:paraId="04B573BD">
      <w:pPr>
        <w:widowControl/>
        <w:spacing w:before="50" w:after="50"/>
        <w:jc w:val="both"/>
        <w:rPr>
          <w:highlight w:val="none"/>
        </w:rPr>
      </w:pPr>
    </w:p>
    <w:p w14:paraId="7004870A">
      <w:pPr>
        <w:widowControl/>
        <w:spacing w:before="50" w:after="50"/>
        <w:jc w:val="center"/>
        <w:rPr>
          <w:rFonts w:ascii="宋体" w:hAnsi="宋体" w:eastAsia="宋体" w:cs="宋体"/>
          <w:b/>
          <w:bCs/>
          <w:i/>
          <w:iCs/>
          <w:sz w:val="24"/>
          <w:highlight w:val="none"/>
          <w:u w:val="single"/>
        </w:rPr>
      </w:pPr>
      <w:r>
        <w:rPr>
          <w:rFonts w:hint="eastAsia" w:ascii="宋体" w:hAnsi="宋体" w:eastAsia="宋体" w:cs="宋体"/>
          <w:b/>
          <w:bCs/>
          <w:i/>
          <w:iCs/>
          <w:color w:val="000000"/>
          <w:sz w:val="32"/>
          <w:szCs w:val="32"/>
          <w:highlight w:val="none"/>
          <w:u w:val="single"/>
        </w:rPr>
        <w:t>十</w:t>
      </w:r>
      <w:r>
        <w:rPr>
          <w:rFonts w:hint="eastAsia" w:ascii="宋体" w:hAnsi="宋体" w:eastAsia="宋体" w:cs="宋体"/>
          <w:b/>
          <w:bCs/>
          <w:i/>
          <w:iCs/>
          <w:color w:val="000000"/>
          <w:sz w:val="32"/>
          <w:szCs w:val="32"/>
          <w:highlight w:val="none"/>
          <w:u w:val="single"/>
          <w:lang w:val="en-US" w:eastAsia="zh-CN"/>
        </w:rPr>
        <w:t>四</w:t>
      </w:r>
      <w:r>
        <w:rPr>
          <w:rFonts w:hint="eastAsia" w:ascii="宋体" w:hAnsi="宋体" w:eastAsia="宋体" w:cs="宋体"/>
          <w:b/>
          <w:bCs/>
          <w:i/>
          <w:iCs/>
          <w:color w:val="000000"/>
          <w:sz w:val="32"/>
          <w:szCs w:val="32"/>
          <w:highlight w:val="none"/>
          <w:u w:val="single"/>
        </w:rPr>
        <w:t>、</w:t>
      </w:r>
      <w:r>
        <w:rPr>
          <w:rFonts w:hint="eastAsia" w:ascii="宋体" w:hAnsi="宋体" w:eastAsia="宋体" w:cs="宋体"/>
          <w:b/>
          <w:bCs/>
          <w:i/>
          <w:iCs/>
          <w:color w:val="000000"/>
          <w:sz w:val="32"/>
          <w:szCs w:val="32"/>
          <w:highlight w:val="none"/>
          <w:u w:val="single"/>
          <w:lang w:eastAsia="zh-CN"/>
        </w:rPr>
        <w:t>技术解决方案、</w:t>
      </w:r>
      <w:r>
        <w:rPr>
          <w:rFonts w:hint="eastAsia" w:ascii="宋体" w:hAnsi="宋体" w:eastAsia="宋体" w:cs="宋体"/>
          <w:b/>
          <w:bCs/>
          <w:i/>
          <w:iCs/>
          <w:color w:val="000000"/>
          <w:sz w:val="32"/>
          <w:szCs w:val="32"/>
          <w:highlight w:val="none"/>
          <w:u w:val="single"/>
          <w:lang w:val="en-US" w:eastAsia="zh-CN"/>
        </w:rPr>
        <w:t>服务方案</w:t>
      </w:r>
      <w:r>
        <w:rPr>
          <w:rFonts w:hint="eastAsia" w:ascii="宋体" w:hAnsi="宋体" w:eastAsia="宋体" w:cs="宋体"/>
          <w:b/>
          <w:bCs/>
          <w:i/>
          <w:iCs/>
          <w:color w:val="000000"/>
          <w:sz w:val="32"/>
          <w:szCs w:val="32"/>
          <w:highlight w:val="none"/>
          <w:u w:val="single"/>
        </w:rPr>
        <w:t>等</w:t>
      </w:r>
    </w:p>
    <w:p w14:paraId="7B35C616">
      <w:pPr>
        <w:pStyle w:val="15"/>
        <w:tabs>
          <w:tab w:val="left" w:pos="2160"/>
        </w:tabs>
        <w:spacing w:beforeAutospacing="0" w:afterAutospacing="0"/>
        <w:jc w:val="both"/>
        <w:rPr>
          <w:highlight w:val="none"/>
        </w:rPr>
      </w:pPr>
    </w:p>
    <w:p w14:paraId="2E05F151">
      <w:pPr>
        <w:widowControl/>
        <w:spacing w:line="499" w:lineRule="atLeast"/>
        <w:ind w:firstLine="1600"/>
        <w:rPr>
          <w:rFonts w:ascii="宋体" w:hAnsi="宋体" w:eastAsia="宋体" w:cs="宋体"/>
          <w:color w:val="000000"/>
          <w:sz w:val="32"/>
          <w:szCs w:val="32"/>
          <w:highlight w:val="none"/>
        </w:rPr>
      </w:pPr>
    </w:p>
    <w:p w14:paraId="4A600B49">
      <w:pPr>
        <w:widowControl/>
        <w:spacing w:line="499" w:lineRule="atLeast"/>
        <w:ind w:firstLine="1600"/>
        <w:rPr>
          <w:rFonts w:ascii="宋体" w:hAnsi="宋体" w:eastAsia="宋体" w:cs="宋体"/>
          <w:color w:val="000000"/>
          <w:sz w:val="32"/>
          <w:szCs w:val="32"/>
          <w:highlight w:val="none"/>
        </w:rPr>
      </w:pPr>
    </w:p>
    <w:p w14:paraId="0BD27D1B">
      <w:pPr>
        <w:widowControl/>
        <w:spacing w:line="499" w:lineRule="atLeast"/>
        <w:ind w:firstLine="1600"/>
        <w:rPr>
          <w:rFonts w:ascii="宋体" w:hAnsi="宋体" w:eastAsia="宋体" w:cs="宋体"/>
          <w:color w:val="000000"/>
          <w:sz w:val="32"/>
          <w:szCs w:val="32"/>
          <w:highlight w:val="none"/>
        </w:rPr>
      </w:pPr>
    </w:p>
    <w:p w14:paraId="26590AC4">
      <w:pPr>
        <w:widowControl/>
        <w:spacing w:line="499" w:lineRule="atLeast"/>
        <w:ind w:firstLine="1600"/>
        <w:rPr>
          <w:rFonts w:ascii="宋体" w:hAnsi="宋体" w:eastAsia="宋体" w:cs="宋体"/>
          <w:color w:val="000000"/>
          <w:sz w:val="32"/>
          <w:szCs w:val="32"/>
          <w:highlight w:val="none"/>
        </w:rPr>
      </w:pPr>
    </w:p>
    <w:p w14:paraId="2AA4ACEE">
      <w:pPr>
        <w:widowControl/>
        <w:spacing w:line="499" w:lineRule="atLeast"/>
        <w:ind w:firstLine="1600"/>
        <w:rPr>
          <w:rFonts w:ascii="宋体" w:hAnsi="宋体" w:eastAsia="宋体" w:cs="宋体"/>
          <w:color w:val="000000"/>
          <w:sz w:val="32"/>
          <w:szCs w:val="32"/>
          <w:highlight w:val="none"/>
        </w:rPr>
      </w:pPr>
    </w:p>
    <w:p w14:paraId="3941763E">
      <w:pPr>
        <w:widowControl/>
        <w:spacing w:line="499" w:lineRule="atLeast"/>
        <w:ind w:firstLine="1600"/>
        <w:rPr>
          <w:rFonts w:ascii="宋体" w:hAnsi="宋体" w:eastAsia="宋体" w:cs="宋体"/>
          <w:color w:val="000000"/>
          <w:sz w:val="32"/>
          <w:szCs w:val="32"/>
          <w:highlight w:val="none"/>
        </w:rPr>
      </w:pPr>
    </w:p>
    <w:p w14:paraId="7BDE8637">
      <w:pPr>
        <w:widowControl/>
        <w:spacing w:line="499" w:lineRule="atLeast"/>
        <w:ind w:firstLine="1600"/>
        <w:rPr>
          <w:rFonts w:ascii="宋体" w:hAnsi="宋体" w:eastAsia="宋体" w:cs="宋体"/>
          <w:color w:val="000000"/>
          <w:sz w:val="32"/>
          <w:szCs w:val="32"/>
          <w:highlight w:val="none"/>
        </w:rPr>
      </w:pPr>
    </w:p>
    <w:p w14:paraId="28C20E5A">
      <w:pPr>
        <w:widowControl/>
        <w:spacing w:line="499" w:lineRule="atLeast"/>
        <w:ind w:firstLine="1600"/>
        <w:rPr>
          <w:rFonts w:ascii="宋体" w:hAnsi="宋体" w:eastAsia="宋体" w:cs="宋体"/>
          <w:color w:val="000000"/>
          <w:sz w:val="32"/>
          <w:szCs w:val="32"/>
          <w:highlight w:val="none"/>
        </w:rPr>
      </w:pPr>
    </w:p>
    <w:p w14:paraId="68A65AD9">
      <w:pPr>
        <w:widowControl/>
        <w:spacing w:line="499" w:lineRule="atLeast"/>
        <w:ind w:firstLine="1600"/>
        <w:rPr>
          <w:rFonts w:ascii="宋体" w:hAnsi="宋体" w:eastAsia="宋体" w:cs="宋体"/>
          <w:color w:val="000000"/>
          <w:sz w:val="32"/>
          <w:szCs w:val="32"/>
          <w:highlight w:val="none"/>
        </w:rPr>
      </w:pPr>
    </w:p>
    <w:p w14:paraId="3102B3C3">
      <w:pPr>
        <w:widowControl/>
        <w:spacing w:line="499" w:lineRule="atLeast"/>
        <w:ind w:firstLine="1600"/>
        <w:rPr>
          <w:rFonts w:ascii="宋体" w:hAnsi="宋体" w:eastAsia="宋体" w:cs="宋体"/>
          <w:color w:val="000000"/>
          <w:sz w:val="32"/>
          <w:szCs w:val="32"/>
          <w:highlight w:val="none"/>
        </w:rPr>
      </w:pPr>
    </w:p>
    <w:p w14:paraId="61F78CD7">
      <w:pPr>
        <w:widowControl/>
        <w:spacing w:line="499" w:lineRule="atLeast"/>
        <w:ind w:firstLine="1600"/>
        <w:rPr>
          <w:rFonts w:ascii="宋体" w:hAnsi="宋体" w:eastAsia="宋体" w:cs="宋体"/>
          <w:color w:val="000000"/>
          <w:sz w:val="32"/>
          <w:szCs w:val="32"/>
          <w:highlight w:val="none"/>
        </w:rPr>
      </w:pPr>
    </w:p>
    <w:p w14:paraId="40ABC58B">
      <w:pPr>
        <w:widowControl/>
        <w:spacing w:line="499" w:lineRule="atLeast"/>
        <w:ind w:firstLine="1600"/>
        <w:rPr>
          <w:rFonts w:ascii="宋体" w:hAnsi="宋体" w:eastAsia="宋体" w:cs="宋体"/>
          <w:color w:val="000000"/>
          <w:sz w:val="32"/>
          <w:szCs w:val="32"/>
          <w:highlight w:val="none"/>
        </w:rPr>
      </w:pPr>
    </w:p>
    <w:p w14:paraId="38DB44D6">
      <w:pPr>
        <w:widowControl/>
        <w:spacing w:line="499" w:lineRule="atLeast"/>
        <w:ind w:firstLine="1600"/>
        <w:rPr>
          <w:rFonts w:ascii="宋体" w:hAnsi="宋体" w:eastAsia="宋体" w:cs="宋体"/>
          <w:color w:val="000000"/>
          <w:sz w:val="32"/>
          <w:szCs w:val="32"/>
          <w:highlight w:val="none"/>
        </w:rPr>
      </w:pPr>
    </w:p>
    <w:p w14:paraId="1FF3DE71">
      <w:pPr>
        <w:widowControl/>
        <w:spacing w:line="499" w:lineRule="atLeast"/>
        <w:ind w:firstLine="1600"/>
        <w:rPr>
          <w:rFonts w:ascii="宋体" w:hAnsi="宋体" w:eastAsia="宋体" w:cs="宋体"/>
          <w:color w:val="000000"/>
          <w:sz w:val="32"/>
          <w:szCs w:val="32"/>
          <w:highlight w:val="none"/>
        </w:rPr>
      </w:pPr>
    </w:p>
    <w:p w14:paraId="5078FCFC">
      <w:pPr>
        <w:widowControl/>
        <w:spacing w:line="499" w:lineRule="atLeast"/>
        <w:ind w:firstLine="1600"/>
        <w:rPr>
          <w:rFonts w:ascii="宋体" w:hAnsi="宋体" w:eastAsia="宋体" w:cs="宋体"/>
          <w:color w:val="000000"/>
          <w:sz w:val="32"/>
          <w:szCs w:val="32"/>
          <w:highlight w:val="none"/>
        </w:rPr>
      </w:pPr>
    </w:p>
    <w:p w14:paraId="685824D5">
      <w:pPr>
        <w:widowControl/>
        <w:spacing w:line="499" w:lineRule="atLeast"/>
        <w:ind w:firstLine="1600"/>
        <w:rPr>
          <w:rFonts w:ascii="宋体" w:hAnsi="宋体" w:eastAsia="宋体" w:cs="宋体"/>
          <w:color w:val="000000"/>
          <w:sz w:val="32"/>
          <w:szCs w:val="32"/>
          <w:highlight w:val="none"/>
        </w:rPr>
      </w:pPr>
    </w:p>
    <w:p w14:paraId="6075A9B9">
      <w:pPr>
        <w:widowControl/>
        <w:spacing w:line="499" w:lineRule="atLeast"/>
        <w:ind w:firstLine="1600"/>
        <w:rPr>
          <w:rFonts w:ascii="宋体" w:hAnsi="宋体" w:eastAsia="宋体" w:cs="宋体"/>
          <w:color w:val="000000"/>
          <w:sz w:val="32"/>
          <w:szCs w:val="32"/>
          <w:highlight w:val="none"/>
        </w:rPr>
      </w:pPr>
    </w:p>
    <w:p w14:paraId="2947B088">
      <w:pPr>
        <w:widowControl/>
        <w:spacing w:line="499" w:lineRule="atLeast"/>
        <w:ind w:firstLine="1600"/>
        <w:rPr>
          <w:rFonts w:ascii="宋体" w:hAnsi="宋体" w:eastAsia="宋体" w:cs="宋体"/>
          <w:color w:val="000000"/>
          <w:sz w:val="32"/>
          <w:szCs w:val="32"/>
          <w:highlight w:val="none"/>
        </w:rPr>
      </w:pPr>
    </w:p>
    <w:p w14:paraId="391DFE35">
      <w:pPr>
        <w:widowControl/>
        <w:spacing w:line="499" w:lineRule="atLeast"/>
        <w:ind w:firstLine="1600"/>
        <w:rPr>
          <w:rFonts w:ascii="宋体" w:hAnsi="宋体" w:eastAsia="宋体" w:cs="宋体"/>
          <w:color w:val="000000"/>
          <w:sz w:val="32"/>
          <w:szCs w:val="32"/>
          <w:highlight w:val="none"/>
        </w:rPr>
      </w:pPr>
    </w:p>
    <w:p w14:paraId="04782B12">
      <w:pPr>
        <w:widowControl/>
        <w:spacing w:line="499" w:lineRule="atLeast"/>
        <w:rPr>
          <w:rFonts w:hint="eastAsia" w:ascii="宋体" w:hAnsi="宋体" w:eastAsia="宋体" w:cs="宋体"/>
          <w:b/>
          <w:bCs/>
          <w:i/>
          <w:iCs/>
          <w:color w:val="000000"/>
          <w:sz w:val="32"/>
          <w:szCs w:val="32"/>
          <w:highlight w:val="none"/>
          <w:u w:val="single"/>
        </w:rPr>
      </w:pPr>
    </w:p>
    <w:p w14:paraId="4CFD966F">
      <w:pPr>
        <w:widowControl/>
        <w:spacing w:line="499" w:lineRule="atLeast"/>
        <w:ind w:firstLine="1600"/>
        <w:rPr>
          <w:rFonts w:ascii="宋体" w:hAnsi="宋体" w:eastAsia="宋体" w:cs="宋体"/>
          <w:b/>
          <w:bCs/>
          <w:i/>
          <w:iCs/>
          <w:sz w:val="24"/>
          <w:highlight w:val="none"/>
          <w:u w:val="single"/>
        </w:rPr>
      </w:pPr>
      <w:r>
        <w:rPr>
          <w:rFonts w:hint="eastAsia" w:ascii="宋体" w:hAnsi="宋体" w:eastAsia="宋体" w:cs="宋体"/>
          <w:b/>
          <w:bCs/>
          <w:i/>
          <w:iCs/>
          <w:color w:val="000000"/>
          <w:sz w:val="32"/>
          <w:szCs w:val="32"/>
          <w:highlight w:val="none"/>
          <w:u w:val="single"/>
        </w:rPr>
        <w:t>十</w:t>
      </w:r>
      <w:r>
        <w:rPr>
          <w:rFonts w:hint="eastAsia" w:ascii="宋体" w:hAnsi="宋体" w:eastAsia="宋体" w:cs="宋体"/>
          <w:b/>
          <w:bCs/>
          <w:i/>
          <w:iCs/>
          <w:color w:val="000000"/>
          <w:sz w:val="32"/>
          <w:szCs w:val="32"/>
          <w:highlight w:val="none"/>
          <w:u w:val="single"/>
          <w:lang w:val="en-US" w:eastAsia="zh-CN"/>
        </w:rPr>
        <w:t>五</w:t>
      </w:r>
      <w:r>
        <w:rPr>
          <w:rFonts w:hint="eastAsia" w:ascii="宋体" w:hAnsi="宋体" w:eastAsia="宋体" w:cs="宋体"/>
          <w:b/>
          <w:bCs/>
          <w:i/>
          <w:iCs/>
          <w:color w:val="000000"/>
          <w:sz w:val="32"/>
          <w:szCs w:val="32"/>
          <w:highlight w:val="none"/>
          <w:u w:val="single"/>
        </w:rPr>
        <w:t>、盐城市政府采购事前信用承诺书</w:t>
      </w:r>
    </w:p>
    <w:p w14:paraId="12DBF935">
      <w:pPr>
        <w:widowControl/>
        <w:spacing w:line="499" w:lineRule="atLeast"/>
        <w:ind w:firstLine="640"/>
        <w:jc w:val="left"/>
        <w:rPr>
          <w:rFonts w:ascii="宋体" w:hAnsi="宋体" w:eastAsia="宋体" w:cs="宋体"/>
          <w:sz w:val="24"/>
          <w:highlight w:val="none"/>
        </w:rPr>
      </w:pPr>
      <w:r>
        <w:rPr>
          <w:rFonts w:hint="eastAsia" w:ascii="宋体" w:hAnsi="宋体" w:eastAsia="宋体" w:cs="宋体"/>
          <w:color w:val="000000"/>
          <w:sz w:val="32"/>
          <w:szCs w:val="32"/>
          <w:highlight w:val="none"/>
        </w:rPr>
        <w:t> </w:t>
      </w:r>
    </w:p>
    <w:p w14:paraId="518FF601">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41DD4ED3">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虚假成分</w:t>
      </w:r>
      <w:r>
        <w:rPr>
          <w:rFonts w:hint="eastAsia" w:ascii="宋体" w:hAnsi="宋体" w:eastAsia="宋体" w:cs="宋体"/>
          <w:color w:val="000000"/>
          <w:sz w:val="24"/>
          <w:highlight w:val="none"/>
        </w:rPr>
        <w:t>，并对所提供资料的真实性负责；</w:t>
      </w:r>
    </w:p>
    <w:p w14:paraId="2646A310">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5024D90">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p>
    <w:p w14:paraId="46DCE0D7">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（四）严格遵守即时信息公示规定，及时</w:t>
      </w:r>
      <w:r>
        <w:rPr>
          <w:rFonts w:hint="eastAsia" w:ascii="宋体" w:hAnsi="宋体" w:eastAsia="宋体" w:cs="宋体"/>
          <w:color w:val="000000"/>
          <w:sz w:val="24"/>
          <w:highlight w:val="none"/>
          <w:lang w:eastAsia="zh-CN"/>
        </w:rPr>
        <w:t>维护和更新</w:t>
      </w:r>
      <w:r>
        <w:rPr>
          <w:rFonts w:hint="eastAsia" w:ascii="宋体" w:hAnsi="宋体" w:eastAsia="宋体" w:cs="宋体"/>
          <w:color w:val="000000"/>
          <w:sz w:val="24"/>
          <w:highlight w:val="none"/>
        </w:rPr>
        <w:t>盐城市政府采购网中与本单位相关的信息；</w:t>
      </w:r>
    </w:p>
    <w:p w14:paraId="5BFC43D2">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E0062C9">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（六）自觉接受政府、行业组织、社会公众、新闻舆论的监督；</w:t>
      </w:r>
    </w:p>
    <w:p w14:paraId="7B51C052">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7E8A388">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（八）本人已认真阅读了上述承诺，并向本单位员工作了宣传教育。</w:t>
      </w:r>
    </w:p>
    <w:p w14:paraId="413A0F2D">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法定代表人签名：</w:t>
      </w:r>
    </w:p>
    <w:p w14:paraId="3C5185D7">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单位名称（加盖CA电子公章）：</w:t>
      </w:r>
    </w:p>
    <w:p w14:paraId="3D2A7919">
      <w:pPr>
        <w:widowControl/>
        <w:spacing w:line="499" w:lineRule="atLeast"/>
        <w:jc w:val="center"/>
        <w:rPr>
          <w:highlight w:val="none"/>
        </w:rPr>
      </w:pPr>
      <w:r>
        <w:rPr>
          <w:rFonts w:hint="eastAsia" w:ascii="宋体" w:hAnsi="宋体" w:eastAsia="宋体" w:cs="宋体"/>
          <w:color w:val="000000"/>
          <w:sz w:val="24"/>
          <w:highlight w:val="none"/>
        </w:rPr>
        <w:t>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日</w:t>
      </w:r>
      <w:bookmarkEnd w:id="31"/>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77"/>
      <w:bookmarkEnd w:id="180"/>
      <w:bookmarkEnd w:id="184"/>
      <w:bookmarkEnd w:id="185"/>
      <w:bookmarkEnd w:id="187"/>
      <w:bookmarkEnd w:id="188"/>
      <w:bookmarkEnd w:id="189"/>
      <w:bookmarkEnd w:id="190"/>
      <w:bookmarkEnd w:id="199"/>
      <w:bookmarkEnd w:id="200"/>
      <w:bookmarkEnd w:id="201"/>
      <w:bookmarkEnd w:id="202"/>
      <w:bookmarkEnd w:id="203"/>
    </w:p>
    <w:p w14:paraId="463F07CA">
      <w:pPr>
        <w:pStyle w:val="15"/>
        <w:spacing w:beforeAutospacing="0" w:afterAutospacing="0"/>
        <w:jc w:val="center"/>
        <w:rPr>
          <w:rFonts w:hint="eastAsia" w:ascii="宋体" w:hAnsi="宋体" w:eastAsia="宋体" w:cs="宋体"/>
          <w:b/>
          <w:color w:val="000000"/>
          <w:sz w:val="32"/>
          <w:szCs w:val="32"/>
          <w:highlight w:val="none"/>
        </w:rPr>
      </w:pPr>
    </w:p>
    <w:p w14:paraId="4D3B41D8">
      <w:pPr>
        <w:pStyle w:val="15"/>
        <w:spacing w:beforeAutospacing="0" w:afterAutospacing="0"/>
        <w:jc w:val="center"/>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质疑函范本</w:t>
      </w:r>
    </w:p>
    <w:p w14:paraId="09EC660E">
      <w:pPr>
        <w:pStyle w:val="15"/>
        <w:spacing w:before="290"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一、质疑供应商基本信息</w:t>
      </w:r>
    </w:p>
    <w:p w14:paraId="1BBEA404">
      <w:pPr>
        <w:pStyle w:val="1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质疑供应商：</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683C323">
      <w:pPr>
        <w:pStyle w:val="15"/>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w:t>
      </w:r>
    </w:p>
    <w:p w14:paraId="4FD10787">
      <w:pPr>
        <w:pStyle w:val="1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51269EB1">
      <w:pPr>
        <w:pStyle w:val="15"/>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68A79C72">
      <w:pPr>
        <w:pStyle w:val="1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p>
    <w:p w14:paraId="5B63D208">
      <w:pPr>
        <w:pStyle w:val="1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授权代表：</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C1857D9">
      <w:pPr>
        <w:pStyle w:val="1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28C266A2">
      <w:pPr>
        <w:pStyle w:val="15"/>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地址： </w:t>
      </w:r>
      <w:r>
        <w:rPr>
          <w:rFonts w:hint="eastAsia" w:ascii="宋体" w:hAnsi="宋体" w:eastAsia="宋体" w:cs="宋体"/>
          <w:color w:val="000000"/>
          <w:highlight w:val="none"/>
          <w:u w:val="single"/>
        </w:rPr>
        <w:t>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3855B596">
      <w:pPr>
        <w:pStyle w:val="1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邮编：</w:t>
      </w:r>
      <w:r>
        <w:rPr>
          <w:rFonts w:hint="eastAsia" w:ascii="宋体" w:hAnsi="宋体" w:eastAsia="宋体" w:cs="宋体"/>
          <w:color w:val="000000"/>
          <w:highlight w:val="none"/>
          <w:u w:val="single"/>
        </w:rPr>
        <w:t xml:space="preserve">                                </w:t>
      </w:r>
    </w:p>
    <w:p w14:paraId="25856014">
      <w:pPr>
        <w:pStyle w:val="1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二、质疑项目基本情况</w:t>
      </w:r>
    </w:p>
    <w:p w14:paraId="3DF26DCD">
      <w:pPr>
        <w:pStyle w:val="1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质疑项目的名称：</w:t>
      </w:r>
      <w:r>
        <w:rPr>
          <w:rFonts w:hint="eastAsia" w:ascii="宋体" w:hAnsi="宋体" w:eastAsia="宋体" w:cs="宋体"/>
          <w:color w:val="000000"/>
          <w:highlight w:val="none"/>
          <w:u w:val="single"/>
        </w:rPr>
        <w:t xml:space="preserve">                            </w:t>
      </w:r>
    </w:p>
    <w:p w14:paraId="05D9AAAA">
      <w:pPr>
        <w:pStyle w:val="15"/>
        <w:spacing w:beforeAutospacing="0" w:afterAutospacing="0" w:line="360" w:lineRule="auto"/>
        <w:jc w:val="both"/>
        <w:rPr>
          <w:rFonts w:ascii="宋体" w:hAnsi="宋体" w:eastAsia="宋体" w:cs="宋体"/>
          <w:color w:val="000000"/>
          <w:highlight w:val="none"/>
          <w:u w:val="single"/>
        </w:rPr>
      </w:pPr>
      <w:r>
        <w:rPr>
          <w:rFonts w:hint="eastAsia" w:ascii="宋体" w:hAnsi="宋体" w:eastAsia="宋体" w:cs="宋体"/>
          <w:color w:val="000000"/>
          <w:highlight w:val="none"/>
        </w:rPr>
        <w:t>质疑项目的编号：</w:t>
      </w:r>
      <w:r>
        <w:rPr>
          <w:rFonts w:hint="eastAsia" w:ascii="宋体" w:hAnsi="宋体" w:eastAsia="宋体" w:cs="宋体"/>
          <w:color w:val="000000"/>
          <w:highlight w:val="none"/>
          <w:u w:val="single"/>
        </w:rPr>
        <w:t xml:space="preserve">                          </w:t>
      </w:r>
    </w:p>
    <w:p w14:paraId="6C45C6E4">
      <w:pPr>
        <w:pStyle w:val="1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p>
    <w:p w14:paraId="002EE101">
      <w:pPr>
        <w:pStyle w:val="1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采购人名称：</w:t>
      </w:r>
      <w:r>
        <w:rPr>
          <w:rFonts w:hint="eastAsia" w:ascii="宋体" w:hAnsi="宋体" w:eastAsia="宋体" w:cs="宋体"/>
          <w:color w:val="000000"/>
          <w:highlight w:val="none"/>
          <w:u w:val="single"/>
        </w:rPr>
        <w:t xml:space="preserve">                            </w:t>
      </w:r>
    </w:p>
    <w:p w14:paraId="0C3EA93A">
      <w:pPr>
        <w:pStyle w:val="1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采购文件获取日期：</w:t>
      </w:r>
      <w:r>
        <w:rPr>
          <w:rFonts w:hint="eastAsia" w:ascii="宋体" w:hAnsi="宋体" w:eastAsia="宋体" w:cs="宋体"/>
          <w:color w:val="000000"/>
          <w:highlight w:val="none"/>
          <w:u w:val="single"/>
        </w:rPr>
        <w:t xml:space="preserve">                             </w:t>
      </w:r>
    </w:p>
    <w:p w14:paraId="454C489F">
      <w:pPr>
        <w:pStyle w:val="1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三、质疑事项具体内容</w:t>
      </w:r>
    </w:p>
    <w:p w14:paraId="5B0C3A09">
      <w:pPr>
        <w:pStyle w:val="1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质疑事项1：</w:t>
      </w:r>
      <w:r>
        <w:rPr>
          <w:rFonts w:hint="eastAsia" w:ascii="宋体" w:hAnsi="宋体" w:eastAsia="宋体" w:cs="宋体"/>
          <w:color w:val="000000"/>
          <w:highlight w:val="none"/>
          <w:u w:val="single"/>
        </w:rPr>
        <w:t xml:space="preserve">                             </w:t>
      </w:r>
    </w:p>
    <w:p w14:paraId="65F6B2B9">
      <w:pPr>
        <w:pStyle w:val="15"/>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事实依据：</w:t>
      </w:r>
      <w:r>
        <w:rPr>
          <w:rFonts w:hint="eastAsia" w:ascii="宋体" w:hAnsi="宋体" w:eastAsia="宋体" w:cs="宋体"/>
          <w:color w:val="000000"/>
          <w:highlight w:val="none"/>
          <w:u w:val="single"/>
        </w:rPr>
        <w:t xml:space="preserve">                                                   </w:t>
      </w:r>
    </w:p>
    <w:p w14:paraId="78A4C18D">
      <w:pPr>
        <w:pStyle w:val="1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法律依据：</w:t>
      </w:r>
      <w:r>
        <w:rPr>
          <w:rFonts w:hint="eastAsia" w:ascii="宋体" w:hAnsi="宋体" w:eastAsia="宋体" w:cs="宋体"/>
          <w:color w:val="000000"/>
          <w:highlight w:val="none"/>
          <w:u w:val="single"/>
        </w:rPr>
        <w:t xml:space="preserve">                                                    </w:t>
      </w:r>
    </w:p>
    <w:p w14:paraId="32398CFA">
      <w:pPr>
        <w:pStyle w:val="1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质疑事项2</w:t>
      </w:r>
    </w:p>
    <w:p w14:paraId="7481B690">
      <w:pPr>
        <w:pStyle w:val="1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w:t>
      </w:r>
    </w:p>
    <w:p w14:paraId="4BFC85F6">
      <w:pPr>
        <w:pStyle w:val="1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四、与质疑事项相关的质疑请求</w:t>
      </w:r>
    </w:p>
    <w:p w14:paraId="4142A576">
      <w:pPr>
        <w:pStyle w:val="15"/>
        <w:spacing w:beforeAutospacing="0" w:afterAutospacing="0" w:line="360" w:lineRule="auto"/>
        <w:jc w:val="both"/>
        <w:rPr>
          <w:rFonts w:ascii="宋体" w:hAnsi="宋体" w:eastAsia="宋体" w:cs="宋体"/>
          <w:highlight w:val="none"/>
        </w:rPr>
      </w:pPr>
      <w:r>
        <w:rPr>
          <w:rFonts w:hint="eastAsia" w:ascii="宋体" w:hAnsi="宋体" w:eastAsia="宋体" w:cs="宋体"/>
          <w:color w:val="000000"/>
          <w:highlight w:val="none"/>
        </w:rPr>
        <w:t>请求：</w:t>
      </w:r>
      <w:r>
        <w:rPr>
          <w:rFonts w:hint="eastAsia" w:ascii="宋体" w:hAnsi="宋体" w:eastAsia="宋体" w:cs="宋体"/>
          <w:color w:val="000000"/>
          <w:highlight w:val="none"/>
          <w:u w:val="single"/>
        </w:rPr>
        <w:t xml:space="preserve">                                                          </w:t>
      </w:r>
    </w:p>
    <w:p w14:paraId="0E62018D">
      <w:pPr>
        <w:pStyle w:val="15"/>
        <w:spacing w:beforeAutospacing="0" w:afterAutospacing="0"/>
        <w:jc w:val="both"/>
        <w:rPr>
          <w:rFonts w:ascii="宋体" w:hAnsi="宋体" w:eastAsia="宋体" w:cs="宋体"/>
          <w:highlight w:val="none"/>
        </w:rPr>
      </w:pPr>
      <w:r>
        <w:rPr>
          <w:rFonts w:hint="eastAsia" w:ascii="宋体" w:hAnsi="宋体" w:eastAsia="宋体" w:cs="宋体"/>
          <w:color w:val="000000"/>
          <w:highlight w:val="none"/>
        </w:rPr>
        <w:t xml:space="preserve">签字(签章)：                 公章：               日期：    </w:t>
      </w:r>
    </w:p>
    <w:p w14:paraId="2BD1128B">
      <w:pPr>
        <w:pStyle w:val="15"/>
        <w:spacing w:beforeAutospacing="0" w:afterAutospacing="0" w:line="0" w:lineRule="atLeast"/>
        <w:jc w:val="both"/>
        <w:rPr>
          <w:rFonts w:ascii="宋体" w:hAnsi="宋体" w:eastAsia="宋体" w:cs="宋体"/>
          <w:highlight w:val="none"/>
        </w:rPr>
      </w:pPr>
      <w:r>
        <w:rPr>
          <w:rFonts w:hint="eastAsia" w:ascii="宋体" w:hAnsi="宋体" w:eastAsia="宋体" w:cs="宋体"/>
          <w:b/>
          <w:color w:val="000000"/>
          <w:highlight w:val="none"/>
        </w:rPr>
        <w:t>质疑函制作说明：</w:t>
      </w:r>
    </w:p>
    <w:p w14:paraId="366B4F23">
      <w:pPr>
        <w:pStyle w:val="15"/>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1.供应商提出质疑时，应提交质疑函和必要的证明材料。</w:t>
      </w:r>
    </w:p>
    <w:p w14:paraId="4477C1A6">
      <w:pPr>
        <w:pStyle w:val="15"/>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B40952D">
      <w:pPr>
        <w:pStyle w:val="15"/>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3.质疑供应商若对项目的某一分包进行质疑，质疑函中应列明具体分包号。</w:t>
      </w:r>
    </w:p>
    <w:p w14:paraId="61B2EC12">
      <w:pPr>
        <w:pStyle w:val="15"/>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4.质疑函的质疑事项应具体、明确，并有必要的事实依据和法律依据。</w:t>
      </w:r>
    </w:p>
    <w:p w14:paraId="00DA2770">
      <w:pPr>
        <w:pStyle w:val="15"/>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5.质疑函的质疑请求应与质疑事项相关。</w:t>
      </w:r>
    </w:p>
    <w:p w14:paraId="7B96CA49">
      <w:pPr>
        <w:pStyle w:val="15"/>
        <w:widowControl/>
        <w:spacing w:beforeAutospacing="0" w:afterAutospacing="0" w:line="0" w:lineRule="atLeast"/>
        <w:ind w:firstLine="480"/>
        <w:rPr>
          <w:rFonts w:ascii="宋体" w:hAnsi="宋体" w:eastAsia="宋体" w:cs="宋体"/>
          <w:highlight w:val="none"/>
        </w:rPr>
      </w:pPr>
      <w:r>
        <w:rPr>
          <w:rFonts w:hint="eastAsia" w:ascii="宋体" w:hAnsi="宋体" w:eastAsia="宋体" w:cs="宋体"/>
          <w:color w:val="000000"/>
          <w:highlight w:val="none"/>
        </w:rPr>
        <w:t>6.质疑供应商为自然人的，质疑函应由本人签字；质疑供应商为法人或者其他组织的，质疑函应由法定代表人、主要负责人，或者其授权代表签字或者盖章，并加盖公章。</w:t>
      </w:r>
    </w:p>
    <w:p w14:paraId="2A8F5BDA">
      <w:pPr>
        <w:pStyle w:val="15"/>
        <w:spacing w:beforeAutospacing="0" w:afterAutospacing="0"/>
        <w:ind w:firstLine="420"/>
        <w:jc w:val="both"/>
        <w:rPr>
          <w:rFonts w:ascii="宋体" w:hAnsi="宋体" w:eastAsia="宋体" w:cs="宋体"/>
          <w:highlight w:val="none"/>
        </w:rPr>
      </w:pPr>
      <w:r>
        <w:rPr>
          <w:rFonts w:hint="eastAsia" w:ascii="宋体" w:hAnsi="宋体" w:eastAsia="宋体" w:cs="宋体"/>
          <w:highlight w:val="none"/>
        </w:rPr>
        <w:t> </w:t>
      </w:r>
    </w:p>
    <w:p w14:paraId="5C2BD028">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36F75E3-0F47-4B95-BABA-C781109ACA5E}"/>
  </w:font>
  <w:font w:name="黑体">
    <w:panose1 w:val="02010609060101010101"/>
    <w:charset w:val="86"/>
    <w:family w:val="auto"/>
    <w:pitch w:val="default"/>
    <w:sig w:usb0="800002BF" w:usb1="38CF7CFA" w:usb2="00000016" w:usb3="00000000" w:csb0="00040001" w:csb1="00000000"/>
    <w:embedRegular r:id="rId2" w:fontKey="{1F62AE53-9371-4FD6-A28E-43BA8CFD364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817753DB-27EE-4327-A98E-A2FA4B63333D}"/>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embedRegular r:id="rId4" w:fontKey="{7BDF1528-0E18-442A-89DB-6676531D8029}"/>
  </w:font>
  <w:font w:name="等线">
    <w:panose1 w:val="02010600030101010101"/>
    <w:charset w:val="86"/>
    <w:family w:val="auto"/>
    <w:pitch w:val="default"/>
    <w:sig w:usb0="A00002BF" w:usb1="38CF7CFA" w:usb2="00000016" w:usb3="00000000" w:csb0="0004000F" w:csb1="00000000"/>
  </w:font>
  <w:font w:name="Segoe UI Emoji">
    <w:panose1 w:val="020B0502040204020203"/>
    <w:charset w:val="00"/>
    <w:family w:val="auto"/>
    <w:pitch w:val="default"/>
    <w:sig w:usb0="00000001" w:usb1="02000000" w:usb2="00000000" w:usb3="00000000" w:csb0="00000001" w:csb1="00000000"/>
    <w:embedRegular r:id="rId5" w:fontKey="{F19E4DEA-D9C8-4EE9-A7C9-7A4509F2331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9AA80">
    <w:pPr>
      <w:pStyle w:val="11"/>
      <w:jc w:val="center"/>
      <w:rPr>
        <w:sz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EF5F94">
                          <w:pPr>
                            <w:pStyle w:val="11"/>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sZs1c8AgAAbwQAAA4AAAAAAAAAAQAgAAAAHwEAAGRycy9lMm9E&#10;b2MueG1sUEsFBgAAAAAGAAYAWQEAAM0FAAAAAA==&#10;">
              <v:fill on="f" focussize="0,0"/>
              <v:stroke on="f" weight="0.5pt"/>
              <v:imagedata o:title=""/>
              <o:lock v:ext="edit" aspectratio="f"/>
              <v:textbox inset="0mm,0mm,0mm,0mm" style="mso-fit-shape-to-text:t;">
                <w:txbxContent>
                  <w:p w14:paraId="62EF5F94">
                    <w:pPr>
                      <w:pStyle w:val="11"/>
                    </w:pPr>
                    <w:r>
                      <w:fldChar w:fldCharType="begin"/>
                    </w:r>
                    <w:r>
                      <w:instrText xml:space="preserve"> PAGE  \* MERGEFORMAT </w:instrText>
                    </w:r>
                    <w:r>
                      <w:fldChar w:fldCharType="separate"/>
                    </w:r>
                    <w:r>
                      <w:t>28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1EBF40">
    <w:pPr>
      <w:pStyle w:val="1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E4249A"/>
    <w:multiLevelType w:val="singleLevel"/>
    <w:tmpl w:val="8DE4249A"/>
    <w:lvl w:ilvl="0" w:tentative="0">
      <w:start w:val="1"/>
      <w:numFmt w:val="decimal"/>
      <w:suff w:val="nothing"/>
      <w:lvlText w:val="%1、"/>
      <w:lvlJc w:val="left"/>
      <w:rPr>
        <w:rFonts w:hint="default"/>
        <w:b/>
        <w:bCs/>
      </w:rPr>
    </w:lvl>
  </w:abstractNum>
  <w:abstractNum w:abstractNumId="1">
    <w:nsid w:val="90C92516"/>
    <w:multiLevelType w:val="singleLevel"/>
    <w:tmpl w:val="90C92516"/>
    <w:lvl w:ilvl="0" w:tentative="0">
      <w:start w:val="2"/>
      <w:numFmt w:val="decimal"/>
      <w:lvlText w:val="%1."/>
      <w:lvlJc w:val="left"/>
      <w:pPr>
        <w:tabs>
          <w:tab w:val="left" w:pos="312"/>
        </w:tabs>
      </w:pPr>
    </w:lvl>
  </w:abstractNum>
  <w:abstractNum w:abstractNumId="2">
    <w:nsid w:val="BBF9E8C0"/>
    <w:multiLevelType w:val="singleLevel"/>
    <w:tmpl w:val="BBF9E8C0"/>
    <w:lvl w:ilvl="0" w:tentative="0">
      <w:start w:val="1"/>
      <w:numFmt w:val="decimal"/>
      <w:lvlText w:val="%1."/>
      <w:lvlJc w:val="left"/>
      <w:pPr>
        <w:tabs>
          <w:tab w:val="left" w:pos="312"/>
        </w:tabs>
      </w:pPr>
    </w:lvl>
  </w:abstractNum>
  <w:abstractNum w:abstractNumId="3">
    <w:nsid w:val="C6EBBEA5"/>
    <w:multiLevelType w:val="singleLevel"/>
    <w:tmpl w:val="C6EBBEA5"/>
    <w:lvl w:ilvl="0" w:tentative="0">
      <w:start w:val="1"/>
      <w:numFmt w:val="decimal"/>
      <w:suff w:val="space"/>
      <w:lvlText w:val="%1."/>
      <w:lvlJc w:val="left"/>
    </w:lvl>
  </w:abstractNum>
  <w:abstractNum w:abstractNumId="4">
    <w:nsid w:val="CF092B84"/>
    <w:multiLevelType w:val="multilevel"/>
    <w:tmpl w:val="CF092B84"/>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6D3EB652"/>
    <w:multiLevelType w:val="singleLevel"/>
    <w:tmpl w:val="6D3EB652"/>
    <w:lvl w:ilvl="0" w:tentative="0">
      <w:start w:val="1"/>
      <w:numFmt w:val="decimal"/>
      <w:suff w:val="nothing"/>
      <w:lvlText w:val="%1、"/>
      <w:lvlJc w:val="left"/>
    </w:lvl>
  </w:abstractNum>
  <w:num w:numId="1">
    <w:abstractNumId w:val="4"/>
  </w:num>
  <w:num w:numId="2">
    <w:abstractNumId w:val="0"/>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displayBackgroundShape w:val="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75369"/>
    <w:rsid w:val="00077137"/>
    <w:rsid w:val="00081654"/>
    <w:rsid w:val="00093DD2"/>
    <w:rsid w:val="00100CC0"/>
    <w:rsid w:val="001315D9"/>
    <w:rsid w:val="00131CB1"/>
    <w:rsid w:val="00164C26"/>
    <w:rsid w:val="00172A27"/>
    <w:rsid w:val="00177F0B"/>
    <w:rsid w:val="001A3225"/>
    <w:rsid w:val="001D5FB4"/>
    <w:rsid w:val="001F4115"/>
    <w:rsid w:val="00215AA4"/>
    <w:rsid w:val="00251125"/>
    <w:rsid w:val="002D269B"/>
    <w:rsid w:val="002E1F6F"/>
    <w:rsid w:val="002E61F3"/>
    <w:rsid w:val="002F12F8"/>
    <w:rsid w:val="00332C70"/>
    <w:rsid w:val="003357D8"/>
    <w:rsid w:val="003C1A89"/>
    <w:rsid w:val="003C6894"/>
    <w:rsid w:val="00411CA3"/>
    <w:rsid w:val="004277C9"/>
    <w:rsid w:val="0043276E"/>
    <w:rsid w:val="004529E6"/>
    <w:rsid w:val="00455E51"/>
    <w:rsid w:val="004670D5"/>
    <w:rsid w:val="00474047"/>
    <w:rsid w:val="00491F6E"/>
    <w:rsid w:val="004D3110"/>
    <w:rsid w:val="004D3FDA"/>
    <w:rsid w:val="00502ACB"/>
    <w:rsid w:val="00520AC5"/>
    <w:rsid w:val="00552DFB"/>
    <w:rsid w:val="005E57E9"/>
    <w:rsid w:val="0068416A"/>
    <w:rsid w:val="006932C0"/>
    <w:rsid w:val="006B6F15"/>
    <w:rsid w:val="00755DF0"/>
    <w:rsid w:val="007871B9"/>
    <w:rsid w:val="00793978"/>
    <w:rsid w:val="007A220C"/>
    <w:rsid w:val="007A7B98"/>
    <w:rsid w:val="007B1CF4"/>
    <w:rsid w:val="00817A96"/>
    <w:rsid w:val="0088127E"/>
    <w:rsid w:val="008B090D"/>
    <w:rsid w:val="008C6C96"/>
    <w:rsid w:val="008E4636"/>
    <w:rsid w:val="00935693"/>
    <w:rsid w:val="00975D66"/>
    <w:rsid w:val="009762CD"/>
    <w:rsid w:val="009E5347"/>
    <w:rsid w:val="00A4304F"/>
    <w:rsid w:val="00A50F3C"/>
    <w:rsid w:val="00A62079"/>
    <w:rsid w:val="00A70028"/>
    <w:rsid w:val="00A80AB0"/>
    <w:rsid w:val="00A81D22"/>
    <w:rsid w:val="00AA2A8E"/>
    <w:rsid w:val="00AC2097"/>
    <w:rsid w:val="00B07FD4"/>
    <w:rsid w:val="00B454C4"/>
    <w:rsid w:val="00BE692E"/>
    <w:rsid w:val="00BE787D"/>
    <w:rsid w:val="00C30C78"/>
    <w:rsid w:val="00C36D58"/>
    <w:rsid w:val="00C83D22"/>
    <w:rsid w:val="00C86C58"/>
    <w:rsid w:val="00CB578B"/>
    <w:rsid w:val="00D1282F"/>
    <w:rsid w:val="00D550E3"/>
    <w:rsid w:val="00D63F4B"/>
    <w:rsid w:val="00D93FCD"/>
    <w:rsid w:val="00E57898"/>
    <w:rsid w:val="00E6087B"/>
    <w:rsid w:val="00F130C8"/>
    <w:rsid w:val="00F264FD"/>
    <w:rsid w:val="00F33192"/>
    <w:rsid w:val="00F50207"/>
    <w:rsid w:val="00F72CA9"/>
    <w:rsid w:val="00F8669E"/>
    <w:rsid w:val="00F957B2"/>
    <w:rsid w:val="00FC6132"/>
    <w:rsid w:val="00FE3C91"/>
    <w:rsid w:val="010158D6"/>
    <w:rsid w:val="01102D3B"/>
    <w:rsid w:val="01213882"/>
    <w:rsid w:val="013048A9"/>
    <w:rsid w:val="013206CC"/>
    <w:rsid w:val="014036E0"/>
    <w:rsid w:val="01416DF2"/>
    <w:rsid w:val="01530E5B"/>
    <w:rsid w:val="015C3D17"/>
    <w:rsid w:val="018404C4"/>
    <w:rsid w:val="0191141C"/>
    <w:rsid w:val="01934780"/>
    <w:rsid w:val="01AC75F0"/>
    <w:rsid w:val="01B31372"/>
    <w:rsid w:val="01C209CB"/>
    <w:rsid w:val="01CF16B2"/>
    <w:rsid w:val="01D61AA8"/>
    <w:rsid w:val="01DF5C17"/>
    <w:rsid w:val="01E00CE2"/>
    <w:rsid w:val="01E52B01"/>
    <w:rsid w:val="01ED602B"/>
    <w:rsid w:val="020876EE"/>
    <w:rsid w:val="02091DFF"/>
    <w:rsid w:val="0213141D"/>
    <w:rsid w:val="022B16AA"/>
    <w:rsid w:val="022C78EE"/>
    <w:rsid w:val="02357688"/>
    <w:rsid w:val="023B6BC5"/>
    <w:rsid w:val="025263E9"/>
    <w:rsid w:val="025F28B4"/>
    <w:rsid w:val="026719AA"/>
    <w:rsid w:val="02693733"/>
    <w:rsid w:val="026E6F9B"/>
    <w:rsid w:val="027345B1"/>
    <w:rsid w:val="02781BC8"/>
    <w:rsid w:val="02851591"/>
    <w:rsid w:val="029F00E6"/>
    <w:rsid w:val="02AA363F"/>
    <w:rsid w:val="02B26E88"/>
    <w:rsid w:val="02BD5381"/>
    <w:rsid w:val="02C40969"/>
    <w:rsid w:val="02D01CEA"/>
    <w:rsid w:val="02D23086"/>
    <w:rsid w:val="02D505AD"/>
    <w:rsid w:val="02DC3F04"/>
    <w:rsid w:val="02E04C74"/>
    <w:rsid w:val="02E0780F"/>
    <w:rsid w:val="02EA4873"/>
    <w:rsid w:val="02ED1C6E"/>
    <w:rsid w:val="02F23728"/>
    <w:rsid w:val="02F70D3E"/>
    <w:rsid w:val="02F7260F"/>
    <w:rsid w:val="02F768FE"/>
    <w:rsid w:val="03287DF3"/>
    <w:rsid w:val="03365B5E"/>
    <w:rsid w:val="03373831"/>
    <w:rsid w:val="034E4AD1"/>
    <w:rsid w:val="034F0B7A"/>
    <w:rsid w:val="035E700F"/>
    <w:rsid w:val="037E0789"/>
    <w:rsid w:val="039073C1"/>
    <w:rsid w:val="03913FFC"/>
    <w:rsid w:val="03962556"/>
    <w:rsid w:val="03A04A16"/>
    <w:rsid w:val="03B84E50"/>
    <w:rsid w:val="03CA0201"/>
    <w:rsid w:val="03CB1E6D"/>
    <w:rsid w:val="03CE5F43"/>
    <w:rsid w:val="03D80B70"/>
    <w:rsid w:val="03DD6186"/>
    <w:rsid w:val="03F31506"/>
    <w:rsid w:val="03F434D0"/>
    <w:rsid w:val="04065F59"/>
    <w:rsid w:val="041871BE"/>
    <w:rsid w:val="04433290"/>
    <w:rsid w:val="04455AD9"/>
    <w:rsid w:val="04516C23"/>
    <w:rsid w:val="045C354F"/>
    <w:rsid w:val="046E5030"/>
    <w:rsid w:val="049F51EA"/>
    <w:rsid w:val="04A62A1C"/>
    <w:rsid w:val="04BD7D66"/>
    <w:rsid w:val="04C06D20"/>
    <w:rsid w:val="04CB3A39"/>
    <w:rsid w:val="04CF1FA6"/>
    <w:rsid w:val="04DC643E"/>
    <w:rsid w:val="053C6EDC"/>
    <w:rsid w:val="05502988"/>
    <w:rsid w:val="05557F9E"/>
    <w:rsid w:val="055C20ED"/>
    <w:rsid w:val="05632411"/>
    <w:rsid w:val="05656433"/>
    <w:rsid w:val="056D178C"/>
    <w:rsid w:val="056E5657"/>
    <w:rsid w:val="058B0B81"/>
    <w:rsid w:val="05A54A82"/>
    <w:rsid w:val="05AD05DE"/>
    <w:rsid w:val="05B80C59"/>
    <w:rsid w:val="05BD3D79"/>
    <w:rsid w:val="05C9116E"/>
    <w:rsid w:val="05D1541D"/>
    <w:rsid w:val="05DB4947"/>
    <w:rsid w:val="05EC3946"/>
    <w:rsid w:val="05F36FE1"/>
    <w:rsid w:val="06020D60"/>
    <w:rsid w:val="060A5012"/>
    <w:rsid w:val="06141C07"/>
    <w:rsid w:val="061439B5"/>
    <w:rsid w:val="0621639E"/>
    <w:rsid w:val="062C42CE"/>
    <w:rsid w:val="062C51A3"/>
    <w:rsid w:val="06380C0F"/>
    <w:rsid w:val="0644429B"/>
    <w:rsid w:val="06527A7A"/>
    <w:rsid w:val="06540D5F"/>
    <w:rsid w:val="065A3ABE"/>
    <w:rsid w:val="066A7A79"/>
    <w:rsid w:val="067062C5"/>
    <w:rsid w:val="0671705A"/>
    <w:rsid w:val="06764670"/>
    <w:rsid w:val="067B57E2"/>
    <w:rsid w:val="06867FD2"/>
    <w:rsid w:val="068816AA"/>
    <w:rsid w:val="068A6E34"/>
    <w:rsid w:val="069A3EBB"/>
    <w:rsid w:val="06AD62E4"/>
    <w:rsid w:val="06B12B65"/>
    <w:rsid w:val="06BD29E9"/>
    <w:rsid w:val="06BD3726"/>
    <w:rsid w:val="06C4362D"/>
    <w:rsid w:val="06C734C5"/>
    <w:rsid w:val="06DA3702"/>
    <w:rsid w:val="06E573C8"/>
    <w:rsid w:val="06F6179A"/>
    <w:rsid w:val="06F832D7"/>
    <w:rsid w:val="071D689A"/>
    <w:rsid w:val="0722584D"/>
    <w:rsid w:val="0730481F"/>
    <w:rsid w:val="073162F8"/>
    <w:rsid w:val="074309F6"/>
    <w:rsid w:val="07471ADC"/>
    <w:rsid w:val="077706A0"/>
    <w:rsid w:val="07887E6F"/>
    <w:rsid w:val="07994E3B"/>
    <w:rsid w:val="07A02A3F"/>
    <w:rsid w:val="07A40F48"/>
    <w:rsid w:val="07B216D8"/>
    <w:rsid w:val="07B436A2"/>
    <w:rsid w:val="07B471FE"/>
    <w:rsid w:val="07C173FE"/>
    <w:rsid w:val="07CC279A"/>
    <w:rsid w:val="07F41CF0"/>
    <w:rsid w:val="07F651C7"/>
    <w:rsid w:val="080041F1"/>
    <w:rsid w:val="080A468F"/>
    <w:rsid w:val="08123F24"/>
    <w:rsid w:val="08161C67"/>
    <w:rsid w:val="0818264D"/>
    <w:rsid w:val="0828199A"/>
    <w:rsid w:val="083420ED"/>
    <w:rsid w:val="08422A5C"/>
    <w:rsid w:val="084D0F58"/>
    <w:rsid w:val="084F6F27"/>
    <w:rsid w:val="0854758E"/>
    <w:rsid w:val="085E7779"/>
    <w:rsid w:val="08624EAC"/>
    <w:rsid w:val="0869623A"/>
    <w:rsid w:val="086E3E73"/>
    <w:rsid w:val="08802303"/>
    <w:rsid w:val="08892439"/>
    <w:rsid w:val="088E7A79"/>
    <w:rsid w:val="089332B7"/>
    <w:rsid w:val="08940DDD"/>
    <w:rsid w:val="08992D34"/>
    <w:rsid w:val="089F1C5C"/>
    <w:rsid w:val="08AA0601"/>
    <w:rsid w:val="08C2594B"/>
    <w:rsid w:val="08C82932"/>
    <w:rsid w:val="08C86899"/>
    <w:rsid w:val="08CC1F45"/>
    <w:rsid w:val="08DF02AB"/>
    <w:rsid w:val="08F6063A"/>
    <w:rsid w:val="08F71453"/>
    <w:rsid w:val="09000221"/>
    <w:rsid w:val="09132265"/>
    <w:rsid w:val="091C32AD"/>
    <w:rsid w:val="093920B1"/>
    <w:rsid w:val="0970184A"/>
    <w:rsid w:val="097906FF"/>
    <w:rsid w:val="09903C9B"/>
    <w:rsid w:val="099C619C"/>
    <w:rsid w:val="099E0066"/>
    <w:rsid w:val="09A129E2"/>
    <w:rsid w:val="09A432A2"/>
    <w:rsid w:val="09BF1E8A"/>
    <w:rsid w:val="09CF178E"/>
    <w:rsid w:val="09D04097"/>
    <w:rsid w:val="09D92A42"/>
    <w:rsid w:val="09EF276F"/>
    <w:rsid w:val="09F43949"/>
    <w:rsid w:val="09FE79EC"/>
    <w:rsid w:val="0A211FBF"/>
    <w:rsid w:val="0A377A8F"/>
    <w:rsid w:val="0A456833"/>
    <w:rsid w:val="0A4C5E14"/>
    <w:rsid w:val="0A4F2E9A"/>
    <w:rsid w:val="0A522CFE"/>
    <w:rsid w:val="0A5D3B7D"/>
    <w:rsid w:val="0A5E16A3"/>
    <w:rsid w:val="0A766D81"/>
    <w:rsid w:val="0A83110A"/>
    <w:rsid w:val="0A89572C"/>
    <w:rsid w:val="0A9574CA"/>
    <w:rsid w:val="0AB17A25"/>
    <w:rsid w:val="0AB319EF"/>
    <w:rsid w:val="0ABC363A"/>
    <w:rsid w:val="0ABE5C37"/>
    <w:rsid w:val="0AD1239D"/>
    <w:rsid w:val="0AD8294B"/>
    <w:rsid w:val="0ADA114D"/>
    <w:rsid w:val="0AE41BA8"/>
    <w:rsid w:val="0AEE0C79"/>
    <w:rsid w:val="0AEE2A27"/>
    <w:rsid w:val="0B114967"/>
    <w:rsid w:val="0B193863"/>
    <w:rsid w:val="0B2A789E"/>
    <w:rsid w:val="0B3B060A"/>
    <w:rsid w:val="0B4B3B00"/>
    <w:rsid w:val="0B4D3BF1"/>
    <w:rsid w:val="0B4E5BBB"/>
    <w:rsid w:val="0B785BF9"/>
    <w:rsid w:val="0B8A23C1"/>
    <w:rsid w:val="0B8B64C8"/>
    <w:rsid w:val="0BA111B6"/>
    <w:rsid w:val="0BAE3813"/>
    <w:rsid w:val="0BBF32D0"/>
    <w:rsid w:val="0BC34CFF"/>
    <w:rsid w:val="0BD66393"/>
    <w:rsid w:val="0BE2046C"/>
    <w:rsid w:val="0BF40511"/>
    <w:rsid w:val="0BFF003E"/>
    <w:rsid w:val="0C006EB6"/>
    <w:rsid w:val="0C197F4D"/>
    <w:rsid w:val="0C252478"/>
    <w:rsid w:val="0C3B7F93"/>
    <w:rsid w:val="0C4F74F5"/>
    <w:rsid w:val="0C517711"/>
    <w:rsid w:val="0C547201"/>
    <w:rsid w:val="0C66524E"/>
    <w:rsid w:val="0C8C24F7"/>
    <w:rsid w:val="0C9413AC"/>
    <w:rsid w:val="0CA21D1B"/>
    <w:rsid w:val="0CAA1934"/>
    <w:rsid w:val="0CBD6B55"/>
    <w:rsid w:val="0CD619C5"/>
    <w:rsid w:val="0CDD2D53"/>
    <w:rsid w:val="0CFF0F1B"/>
    <w:rsid w:val="0D134165"/>
    <w:rsid w:val="0D14525C"/>
    <w:rsid w:val="0D157531"/>
    <w:rsid w:val="0D162709"/>
    <w:rsid w:val="0D2D73F1"/>
    <w:rsid w:val="0D3F57BC"/>
    <w:rsid w:val="0D4234FE"/>
    <w:rsid w:val="0D4D2FC1"/>
    <w:rsid w:val="0D584ACF"/>
    <w:rsid w:val="0D58687D"/>
    <w:rsid w:val="0D690A8B"/>
    <w:rsid w:val="0D7A309F"/>
    <w:rsid w:val="0D906017"/>
    <w:rsid w:val="0DCF60DD"/>
    <w:rsid w:val="0DDD1883"/>
    <w:rsid w:val="0DE545B5"/>
    <w:rsid w:val="0DE97EDE"/>
    <w:rsid w:val="0DF02F5A"/>
    <w:rsid w:val="0DF87B20"/>
    <w:rsid w:val="0DF91E0E"/>
    <w:rsid w:val="0E0362D5"/>
    <w:rsid w:val="0E082052"/>
    <w:rsid w:val="0E107158"/>
    <w:rsid w:val="0E1704E7"/>
    <w:rsid w:val="0E2201BB"/>
    <w:rsid w:val="0E3709B6"/>
    <w:rsid w:val="0E3F3599"/>
    <w:rsid w:val="0E4960DD"/>
    <w:rsid w:val="0E5232CD"/>
    <w:rsid w:val="0E67321C"/>
    <w:rsid w:val="0E7B6571"/>
    <w:rsid w:val="0E833DCE"/>
    <w:rsid w:val="0E83792A"/>
    <w:rsid w:val="0E966A8C"/>
    <w:rsid w:val="0E9C279A"/>
    <w:rsid w:val="0EB14497"/>
    <w:rsid w:val="0EB36461"/>
    <w:rsid w:val="0EC20452"/>
    <w:rsid w:val="0EC3241C"/>
    <w:rsid w:val="0EDB59B8"/>
    <w:rsid w:val="0EE61CD2"/>
    <w:rsid w:val="0EE749C6"/>
    <w:rsid w:val="0EE91E83"/>
    <w:rsid w:val="0F0740B7"/>
    <w:rsid w:val="0F0A004B"/>
    <w:rsid w:val="0F196E65"/>
    <w:rsid w:val="0F646881"/>
    <w:rsid w:val="0F655282"/>
    <w:rsid w:val="0F6D24BC"/>
    <w:rsid w:val="0F6E4136"/>
    <w:rsid w:val="0F7D537E"/>
    <w:rsid w:val="0F841BAC"/>
    <w:rsid w:val="0F873B4A"/>
    <w:rsid w:val="0F8B118C"/>
    <w:rsid w:val="0F8E5D83"/>
    <w:rsid w:val="0F9022FF"/>
    <w:rsid w:val="0FA11CA0"/>
    <w:rsid w:val="0FA3072B"/>
    <w:rsid w:val="0FAA4A0B"/>
    <w:rsid w:val="0FB57FB7"/>
    <w:rsid w:val="0FBC4A1F"/>
    <w:rsid w:val="0FBD342A"/>
    <w:rsid w:val="0FCC70AF"/>
    <w:rsid w:val="0FD146C5"/>
    <w:rsid w:val="0FE97C61"/>
    <w:rsid w:val="0FFB60B3"/>
    <w:rsid w:val="10007707"/>
    <w:rsid w:val="10054422"/>
    <w:rsid w:val="10096748"/>
    <w:rsid w:val="102D2243"/>
    <w:rsid w:val="10321608"/>
    <w:rsid w:val="10354C54"/>
    <w:rsid w:val="10374E70"/>
    <w:rsid w:val="1041184B"/>
    <w:rsid w:val="10525806"/>
    <w:rsid w:val="105B0B5E"/>
    <w:rsid w:val="106A6FF4"/>
    <w:rsid w:val="10795489"/>
    <w:rsid w:val="109B53FF"/>
    <w:rsid w:val="10B2533E"/>
    <w:rsid w:val="10B4026F"/>
    <w:rsid w:val="10C06C14"/>
    <w:rsid w:val="10C34956"/>
    <w:rsid w:val="10D40911"/>
    <w:rsid w:val="10DD0469"/>
    <w:rsid w:val="10E87F18"/>
    <w:rsid w:val="11072A94"/>
    <w:rsid w:val="11194576"/>
    <w:rsid w:val="112066C4"/>
    <w:rsid w:val="112910F2"/>
    <w:rsid w:val="11513D10"/>
    <w:rsid w:val="115832F0"/>
    <w:rsid w:val="11AB711C"/>
    <w:rsid w:val="11B12A00"/>
    <w:rsid w:val="11D11587"/>
    <w:rsid w:val="11D5049D"/>
    <w:rsid w:val="11E05DD9"/>
    <w:rsid w:val="11EB7CC0"/>
    <w:rsid w:val="11F66277"/>
    <w:rsid w:val="11FE3E97"/>
    <w:rsid w:val="1209283C"/>
    <w:rsid w:val="12192A7F"/>
    <w:rsid w:val="122E4051"/>
    <w:rsid w:val="1230601B"/>
    <w:rsid w:val="1234204C"/>
    <w:rsid w:val="12445622"/>
    <w:rsid w:val="125D539E"/>
    <w:rsid w:val="12617F82"/>
    <w:rsid w:val="12635AA8"/>
    <w:rsid w:val="12706417"/>
    <w:rsid w:val="128D5F68"/>
    <w:rsid w:val="12A21019"/>
    <w:rsid w:val="12A6008B"/>
    <w:rsid w:val="12A8795F"/>
    <w:rsid w:val="12BC340B"/>
    <w:rsid w:val="12C0114D"/>
    <w:rsid w:val="12C01BDA"/>
    <w:rsid w:val="12CB0637"/>
    <w:rsid w:val="12D9220E"/>
    <w:rsid w:val="12E71577"/>
    <w:rsid w:val="12F015A0"/>
    <w:rsid w:val="13010BF7"/>
    <w:rsid w:val="130B7EEE"/>
    <w:rsid w:val="13135DE5"/>
    <w:rsid w:val="131947E1"/>
    <w:rsid w:val="132711CC"/>
    <w:rsid w:val="132A0CBC"/>
    <w:rsid w:val="135A334F"/>
    <w:rsid w:val="137864D9"/>
    <w:rsid w:val="13A445CA"/>
    <w:rsid w:val="13A46379"/>
    <w:rsid w:val="13B03B6A"/>
    <w:rsid w:val="13B642FE"/>
    <w:rsid w:val="13BD38DE"/>
    <w:rsid w:val="13CE33F5"/>
    <w:rsid w:val="13CE7899"/>
    <w:rsid w:val="13D157F4"/>
    <w:rsid w:val="13F15336"/>
    <w:rsid w:val="140F484A"/>
    <w:rsid w:val="141C0605"/>
    <w:rsid w:val="143E4A1F"/>
    <w:rsid w:val="144237A3"/>
    <w:rsid w:val="14477BA7"/>
    <w:rsid w:val="145002AE"/>
    <w:rsid w:val="1461070D"/>
    <w:rsid w:val="147E7548"/>
    <w:rsid w:val="14830684"/>
    <w:rsid w:val="148461AA"/>
    <w:rsid w:val="14933FC5"/>
    <w:rsid w:val="14D114CC"/>
    <w:rsid w:val="14F25809"/>
    <w:rsid w:val="14F41582"/>
    <w:rsid w:val="1505553D"/>
    <w:rsid w:val="150C0679"/>
    <w:rsid w:val="150F0169"/>
    <w:rsid w:val="151F68ED"/>
    <w:rsid w:val="152359C3"/>
    <w:rsid w:val="15311E8E"/>
    <w:rsid w:val="15395C9A"/>
    <w:rsid w:val="1546345F"/>
    <w:rsid w:val="154711BB"/>
    <w:rsid w:val="155618F4"/>
    <w:rsid w:val="15581B10"/>
    <w:rsid w:val="157923E7"/>
    <w:rsid w:val="158A5A42"/>
    <w:rsid w:val="15907909"/>
    <w:rsid w:val="15915022"/>
    <w:rsid w:val="15AB60E4"/>
    <w:rsid w:val="15AE34DE"/>
    <w:rsid w:val="15AE7982"/>
    <w:rsid w:val="15D171CD"/>
    <w:rsid w:val="15DD2016"/>
    <w:rsid w:val="15DF5D8E"/>
    <w:rsid w:val="15E213DA"/>
    <w:rsid w:val="15F420C9"/>
    <w:rsid w:val="15F80BFE"/>
    <w:rsid w:val="16080E33"/>
    <w:rsid w:val="162C6AF9"/>
    <w:rsid w:val="163E3563"/>
    <w:rsid w:val="163F4A7E"/>
    <w:rsid w:val="16565924"/>
    <w:rsid w:val="165F0C7D"/>
    <w:rsid w:val="16640041"/>
    <w:rsid w:val="16682DCD"/>
    <w:rsid w:val="167B763D"/>
    <w:rsid w:val="16816E45"/>
    <w:rsid w:val="169263C8"/>
    <w:rsid w:val="16A11295"/>
    <w:rsid w:val="16A61788"/>
    <w:rsid w:val="16AE5760"/>
    <w:rsid w:val="16AF4856"/>
    <w:rsid w:val="16B541B3"/>
    <w:rsid w:val="16BE37EE"/>
    <w:rsid w:val="16C3120C"/>
    <w:rsid w:val="16C6452B"/>
    <w:rsid w:val="16DA0303"/>
    <w:rsid w:val="16FA09A5"/>
    <w:rsid w:val="16FC471D"/>
    <w:rsid w:val="170045BA"/>
    <w:rsid w:val="17051824"/>
    <w:rsid w:val="171750B3"/>
    <w:rsid w:val="17265553"/>
    <w:rsid w:val="172A3039"/>
    <w:rsid w:val="172D3091"/>
    <w:rsid w:val="174736BE"/>
    <w:rsid w:val="174A36DB"/>
    <w:rsid w:val="174D6D27"/>
    <w:rsid w:val="174D7871"/>
    <w:rsid w:val="175005C5"/>
    <w:rsid w:val="17504FE0"/>
    <w:rsid w:val="17555BDC"/>
    <w:rsid w:val="175759E5"/>
    <w:rsid w:val="175F2A87"/>
    <w:rsid w:val="17666D47"/>
    <w:rsid w:val="176A5B2B"/>
    <w:rsid w:val="176F0FD8"/>
    <w:rsid w:val="176F4EEF"/>
    <w:rsid w:val="17732C32"/>
    <w:rsid w:val="17782591"/>
    <w:rsid w:val="177B7D38"/>
    <w:rsid w:val="178521C3"/>
    <w:rsid w:val="17884203"/>
    <w:rsid w:val="178B0D7F"/>
    <w:rsid w:val="17920BDE"/>
    <w:rsid w:val="17936E30"/>
    <w:rsid w:val="179C380B"/>
    <w:rsid w:val="17BB42A1"/>
    <w:rsid w:val="17C268BD"/>
    <w:rsid w:val="17C463A4"/>
    <w:rsid w:val="17E325F0"/>
    <w:rsid w:val="1807337A"/>
    <w:rsid w:val="18075128"/>
    <w:rsid w:val="182C51D8"/>
    <w:rsid w:val="182E5D40"/>
    <w:rsid w:val="1836159F"/>
    <w:rsid w:val="184C6FDF"/>
    <w:rsid w:val="185540E5"/>
    <w:rsid w:val="185D11EC"/>
    <w:rsid w:val="18887611"/>
    <w:rsid w:val="188E75F7"/>
    <w:rsid w:val="18AE1A47"/>
    <w:rsid w:val="18BA4890"/>
    <w:rsid w:val="18BC4109"/>
    <w:rsid w:val="18D23988"/>
    <w:rsid w:val="18FD7BA1"/>
    <w:rsid w:val="1930504A"/>
    <w:rsid w:val="193260E4"/>
    <w:rsid w:val="196071E6"/>
    <w:rsid w:val="1963359E"/>
    <w:rsid w:val="19793E03"/>
    <w:rsid w:val="19835197"/>
    <w:rsid w:val="19A11C2E"/>
    <w:rsid w:val="19BE215E"/>
    <w:rsid w:val="19D43730"/>
    <w:rsid w:val="19D83220"/>
    <w:rsid w:val="19DF45AE"/>
    <w:rsid w:val="19E00326"/>
    <w:rsid w:val="19E25E4D"/>
    <w:rsid w:val="19E53082"/>
    <w:rsid w:val="19F416DC"/>
    <w:rsid w:val="1A006CD8"/>
    <w:rsid w:val="1A1324AA"/>
    <w:rsid w:val="1A1874F2"/>
    <w:rsid w:val="1A1C3150"/>
    <w:rsid w:val="1A4268EB"/>
    <w:rsid w:val="1A450189"/>
    <w:rsid w:val="1A4F2C83"/>
    <w:rsid w:val="1A554870"/>
    <w:rsid w:val="1A644AB4"/>
    <w:rsid w:val="1A6745A4"/>
    <w:rsid w:val="1A7A42D7"/>
    <w:rsid w:val="1A7F122B"/>
    <w:rsid w:val="1A8D6D2A"/>
    <w:rsid w:val="1AA839EE"/>
    <w:rsid w:val="1AAB26E2"/>
    <w:rsid w:val="1ACF6C99"/>
    <w:rsid w:val="1AD2708F"/>
    <w:rsid w:val="1AD75285"/>
    <w:rsid w:val="1ADC289C"/>
    <w:rsid w:val="1AE4474F"/>
    <w:rsid w:val="1AE6196C"/>
    <w:rsid w:val="1AFD0C15"/>
    <w:rsid w:val="1AFF197E"/>
    <w:rsid w:val="1B0A5837"/>
    <w:rsid w:val="1B193AF0"/>
    <w:rsid w:val="1B2F039C"/>
    <w:rsid w:val="1B43291B"/>
    <w:rsid w:val="1B46240B"/>
    <w:rsid w:val="1B5508A0"/>
    <w:rsid w:val="1B5F5046"/>
    <w:rsid w:val="1B7A5C97"/>
    <w:rsid w:val="1B8C2514"/>
    <w:rsid w:val="1B9509DF"/>
    <w:rsid w:val="1BA002D8"/>
    <w:rsid w:val="1BC3580A"/>
    <w:rsid w:val="1BCB3756"/>
    <w:rsid w:val="1BD20370"/>
    <w:rsid w:val="1BE27B27"/>
    <w:rsid w:val="1BEC6B0F"/>
    <w:rsid w:val="1BF07B93"/>
    <w:rsid w:val="1BF9122C"/>
    <w:rsid w:val="1C112A19"/>
    <w:rsid w:val="1C202C5C"/>
    <w:rsid w:val="1C221C3F"/>
    <w:rsid w:val="1C3217C2"/>
    <w:rsid w:val="1C35495A"/>
    <w:rsid w:val="1C4049E1"/>
    <w:rsid w:val="1C43089F"/>
    <w:rsid w:val="1C485D0F"/>
    <w:rsid w:val="1C493F61"/>
    <w:rsid w:val="1C7962B6"/>
    <w:rsid w:val="1C7A05BE"/>
    <w:rsid w:val="1C8B27CB"/>
    <w:rsid w:val="1C907B1F"/>
    <w:rsid w:val="1C95670A"/>
    <w:rsid w:val="1CA12B0A"/>
    <w:rsid w:val="1CA218C3"/>
    <w:rsid w:val="1CAC4347"/>
    <w:rsid w:val="1CD221A8"/>
    <w:rsid w:val="1CD31A7D"/>
    <w:rsid w:val="1CDA105D"/>
    <w:rsid w:val="1CDF0421"/>
    <w:rsid w:val="1D0165EA"/>
    <w:rsid w:val="1D0D2A5A"/>
    <w:rsid w:val="1D103695"/>
    <w:rsid w:val="1D104E5D"/>
    <w:rsid w:val="1D1125A5"/>
    <w:rsid w:val="1D154633"/>
    <w:rsid w:val="1D1C1092"/>
    <w:rsid w:val="1D383FD6"/>
    <w:rsid w:val="1D390DF2"/>
    <w:rsid w:val="1D3A7D4E"/>
    <w:rsid w:val="1D4D000A"/>
    <w:rsid w:val="1D4E37F9"/>
    <w:rsid w:val="1D4E55A7"/>
    <w:rsid w:val="1D4E7ABB"/>
    <w:rsid w:val="1D605A5A"/>
    <w:rsid w:val="1D624A6D"/>
    <w:rsid w:val="1D812873"/>
    <w:rsid w:val="1D8B05A9"/>
    <w:rsid w:val="1D94745E"/>
    <w:rsid w:val="1D990F18"/>
    <w:rsid w:val="1DDF4451"/>
    <w:rsid w:val="1DE2466D"/>
    <w:rsid w:val="1DE27A9B"/>
    <w:rsid w:val="1DFD1285"/>
    <w:rsid w:val="1DFD14A7"/>
    <w:rsid w:val="1E0647C5"/>
    <w:rsid w:val="1E1D1ADC"/>
    <w:rsid w:val="1E1D56A5"/>
    <w:rsid w:val="1E471C37"/>
    <w:rsid w:val="1E4E1D03"/>
    <w:rsid w:val="1E57048B"/>
    <w:rsid w:val="1E58492F"/>
    <w:rsid w:val="1E6A6411"/>
    <w:rsid w:val="1E8E0351"/>
    <w:rsid w:val="1E967206"/>
    <w:rsid w:val="1EA731C1"/>
    <w:rsid w:val="1EC70509"/>
    <w:rsid w:val="1ECC2C27"/>
    <w:rsid w:val="1ECE699F"/>
    <w:rsid w:val="1ED3045A"/>
    <w:rsid w:val="1EE6018D"/>
    <w:rsid w:val="1EF26B32"/>
    <w:rsid w:val="1F070103"/>
    <w:rsid w:val="1F270051"/>
    <w:rsid w:val="1F3802BD"/>
    <w:rsid w:val="1F413791"/>
    <w:rsid w:val="1F4A0271"/>
    <w:rsid w:val="1F5350F7"/>
    <w:rsid w:val="1F7F5EEC"/>
    <w:rsid w:val="1F881244"/>
    <w:rsid w:val="1F991238"/>
    <w:rsid w:val="1FA5245A"/>
    <w:rsid w:val="1FAA7025"/>
    <w:rsid w:val="1FBA5176"/>
    <w:rsid w:val="1FC7762D"/>
    <w:rsid w:val="1FD37DBC"/>
    <w:rsid w:val="1FD91AA0"/>
    <w:rsid w:val="1FF2321C"/>
    <w:rsid w:val="1FFC753C"/>
    <w:rsid w:val="2000702C"/>
    <w:rsid w:val="202A6576"/>
    <w:rsid w:val="20482782"/>
    <w:rsid w:val="205904EB"/>
    <w:rsid w:val="205C376D"/>
    <w:rsid w:val="20607ACB"/>
    <w:rsid w:val="20677E3C"/>
    <w:rsid w:val="206A26F8"/>
    <w:rsid w:val="206D21E8"/>
    <w:rsid w:val="20733730"/>
    <w:rsid w:val="207F2647"/>
    <w:rsid w:val="209429D0"/>
    <w:rsid w:val="2096173F"/>
    <w:rsid w:val="20A21E92"/>
    <w:rsid w:val="20A83FAF"/>
    <w:rsid w:val="20CA763A"/>
    <w:rsid w:val="20CE35E5"/>
    <w:rsid w:val="20CE42A1"/>
    <w:rsid w:val="20CE712B"/>
    <w:rsid w:val="20D01FEF"/>
    <w:rsid w:val="20EA3839"/>
    <w:rsid w:val="20EC1E85"/>
    <w:rsid w:val="20F8108D"/>
    <w:rsid w:val="20FE1DFE"/>
    <w:rsid w:val="21090163"/>
    <w:rsid w:val="21182154"/>
    <w:rsid w:val="21333432"/>
    <w:rsid w:val="21354AB4"/>
    <w:rsid w:val="215025DE"/>
    <w:rsid w:val="216E446A"/>
    <w:rsid w:val="217355DC"/>
    <w:rsid w:val="217A696B"/>
    <w:rsid w:val="21827A71"/>
    <w:rsid w:val="21963A0C"/>
    <w:rsid w:val="21B539C5"/>
    <w:rsid w:val="21BA76AF"/>
    <w:rsid w:val="21CC717D"/>
    <w:rsid w:val="21D267A7"/>
    <w:rsid w:val="21DB60D2"/>
    <w:rsid w:val="21E604A4"/>
    <w:rsid w:val="21F91EDF"/>
    <w:rsid w:val="220313AC"/>
    <w:rsid w:val="2208666C"/>
    <w:rsid w:val="22294CAD"/>
    <w:rsid w:val="223C6316"/>
    <w:rsid w:val="22424AA4"/>
    <w:rsid w:val="22520DC7"/>
    <w:rsid w:val="2252368A"/>
    <w:rsid w:val="225C2514"/>
    <w:rsid w:val="22680EB9"/>
    <w:rsid w:val="22835CF3"/>
    <w:rsid w:val="2288155B"/>
    <w:rsid w:val="228C104B"/>
    <w:rsid w:val="22934188"/>
    <w:rsid w:val="22B91715"/>
    <w:rsid w:val="22CF2CE6"/>
    <w:rsid w:val="22D36C7A"/>
    <w:rsid w:val="22E44EBB"/>
    <w:rsid w:val="22F62B8A"/>
    <w:rsid w:val="22F866E1"/>
    <w:rsid w:val="22FF181D"/>
    <w:rsid w:val="230C3F3A"/>
    <w:rsid w:val="23151041"/>
    <w:rsid w:val="23254D08"/>
    <w:rsid w:val="232F0909"/>
    <w:rsid w:val="23452FA8"/>
    <w:rsid w:val="234A4748"/>
    <w:rsid w:val="23534E2B"/>
    <w:rsid w:val="235F1ED6"/>
    <w:rsid w:val="2366364A"/>
    <w:rsid w:val="236E69A3"/>
    <w:rsid w:val="23931F66"/>
    <w:rsid w:val="23AD1279"/>
    <w:rsid w:val="23B229FE"/>
    <w:rsid w:val="23B5012E"/>
    <w:rsid w:val="23C465C3"/>
    <w:rsid w:val="23CE0398"/>
    <w:rsid w:val="23EB6BEB"/>
    <w:rsid w:val="23F724F4"/>
    <w:rsid w:val="23FA1FE5"/>
    <w:rsid w:val="24170F98"/>
    <w:rsid w:val="24213A15"/>
    <w:rsid w:val="24217571"/>
    <w:rsid w:val="24253506"/>
    <w:rsid w:val="24262DDA"/>
    <w:rsid w:val="242C02D7"/>
    <w:rsid w:val="24303C58"/>
    <w:rsid w:val="245060A9"/>
    <w:rsid w:val="24533DC2"/>
    <w:rsid w:val="245E2136"/>
    <w:rsid w:val="246C2EE2"/>
    <w:rsid w:val="24703675"/>
    <w:rsid w:val="2483647E"/>
    <w:rsid w:val="24883A94"/>
    <w:rsid w:val="249F75FF"/>
    <w:rsid w:val="24A65CC9"/>
    <w:rsid w:val="24AA3A0B"/>
    <w:rsid w:val="24BE643D"/>
    <w:rsid w:val="24EB1A52"/>
    <w:rsid w:val="250A6257"/>
    <w:rsid w:val="250F7D12"/>
    <w:rsid w:val="2532334D"/>
    <w:rsid w:val="2536529E"/>
    <w:rsid w:val="253D03DB"/>
    <w:rsid w:val="25601CED"/>
    <w:rsid w:val="2560231B"/>
    <w:rsid w:val="2588549E"/>
    <w:rsid w:val="259B3353"/>
    <w:rsid w:val="25AC0375"/>
    <w:rsid w:val="25B144CE"/>
    <w:rsid w:val="25B508B9"/>
    <w:rsid w:val="25B61F3B"/>
    <w:rsid w:val="25C1100C"/>
    <w:rsid w:val="25E20F82"/>
    <w:rsid w:val="25F0369F"/>
    <w:rsid w:val="25FC0296"/>
    <w:rsid w:val="2601765A"/>
    <w:rsid w:val="2604539D"/>
    <w:rsid w:val="26127ABA"/>
    <w:rsid w:val="261C6242"/>
    <w:rsid w:val="26213859"/>
    <w:rsid w:val="262C73C4"/>
    <w:rsid w:val="262D48F3"/>
    <w:rsid w:val="26321F0A"/>
    <w:rsid w:val="263317DE"/>
    <w:rsid w:val="264439EB"/>
    <w:rsid w:val="266A16A4"/>
    <w:rsid w:val="267409D7"/>
    <w:rsid w:val="26750FF7"/>
    <w:rsid w:val="268607A8"/>
    <w:rsid w:val="268B2A35"/>
    <w:rsid w:val="26A34BB6"/>
    <w:rsid w:val="26BC7A25"/>
    <w:rsid w:val="26DE31EC"/>
    <w:rsid w:val="26E054C2"/>
    <w:rsid w:val="26E16DB9"/>
    <w:rsid w:val="26EF7DFB"/>
    <w:rsid w:val="26F62F37"/>
    <w:rsid w:val="27035654"/>
    <w:rsid w:val="270A69E3"/>
    <w:rsid w:val="27194423"/>
    <w:rsid w:val="27206206"/>
    <w:rsid w:val="27290FC5"/>
    <w:rsid w:val="27547C5E"/>
    <w:rsid w:val="27856069"/>
    <w:rsid w:val="278975BD"/>
    <w:rsid w:val="278B7B24"/>
    <w:rsid w:val="278C73F8"/>
    <w:rsid w:val="27BD1CA7"/>
    <w:rsid w:val="27C05218"/>
    <w:rsid w:val="27EE3C0E"/>
    <w:rsid w:val="280D678A"/>
    <w:rsid w:val="280F2F92"/>
    <w:rsid w:val="28177609"/>
    <w:rsid w:val="28185E93"/>
    <w:rsid w:val="2829733C"/>
    <w:rsid w:val="284B1061"/>
    <w:rsid w:val="28546167"/>
    <w:rsid w:val="28550131"/>
    <w:rsid w:val="2858552C"/>
    <w:rsid w:val="285F1EC7"/>
    <w:rsid w:val="285F2D5E"/>
    <w:rsid w:val="28655BFD"/>
    <w:rsid w:val="286F11F3"/>
    <w:rsid w:val="287265EE"/>
    <w:rsid w:val="28A013AD"/>
    <w:rsid w:val="28BC3D0D"/>
    <w:rsid w:val="28CD5F1A"/>
    <w:rsid w:val="28D41056"/>
    <w:rsid w:val="28DE1ED5"/>
    <w:rsid w:val="28E60D8A"/>
    <w:rsid w:val="28FB32DD"/>
    <w:rsid w:val="28FE41FC"/>
    <w:rsid w:val="29345C52"/>
    <w:rsid w:val="29363ABF"/>
    <w:rsid w:val="294A57BC"/>
    <w:rsid w:val="29551878"/>
    <w:rsid w:val="29752839"/>
    <w:rsid w:val="297D349C"/>
    <w:rsid w:val="2996274E"/>
    <w:rsid w:val="29A44ECD"/>
    <w:rsid w:val="29A529F3"/>
    <w:rsid w:val="29BD7D3C"/>
    <w:rsid w:val="29DB4666"/>
    <w:rsid w:val="29EE2D37"/>
    <w:rsid w:val="29F23B7C"/>
    <w:rsid w:val="29F23E8A"/>
    <w:rsid w:val="29FD282F"/>
    <w:rsid w:val="29FF2103"/>
    <w:rsid w:val="2A002610"/>
    <w:rsid w:val="2A005E38"/>
    <w:rsid w:val="2A140D45"/>
    <w:rsid w:val="2A222295"/>
    <w:rsid w:val="2A241B69"/>
    <w:rsid w:val="2A4648B7"/>
    <w:rsid w:val="2A4D39E6"/>
    <w:rsid w:val="2A7B1B56"/>
    <w:rsid w:val="2A7E571E"/>
    <w:rsid w:val="2A806F05"/>
    <w:rsid w:val="2A8077CD"/>
    <w:rsid w:val="2A856EE7"/>
    <w:rsid w:val="2A8A27F8"/>
    <w:rsid w:val="2A946CEF"/>
    <w:rsid w:val="2A9A62D0"/>
    <w:rsid w:val="2AB253C7"/>
    <w:rsid w:val="2AB53120"/>
    <w:rsid w:val="2ABC5BE6"/>
    <w:rsid w:val="2AE53AEE"/>
    <w:rsid w:val="2AED63FF"/>
    <w:rsid w:val="2B005440"/>
    <w:rsid w:val="2B011EAB"/>
    <w:rsid w:val="2B116592"/>
    <w:rsid w:val="2B157704"/>
    <w:rsid w:val="2B1659E8"/>
    <w:rsid w:val="2B204A27"/>
    <w:rsid w:val="2B5D3585"/>
    <w:rsid w:val="2B6F150A"/>
    <w:rsid w:val="2B807EC1"/>
    <w:rsid w:val="2B8723B0"/>
    <w:rsid w:val="2BA968B3"/>
    <w:rsid w:val="2BC01D66"/>
    <w:rsid w:val="2BC5112A"/>
    <w:rsid w:val="2BCA6741"/>
    <w:rsid w:val="2BCF4DA0"/>
    <w:rsid w:val="2BD870AF"/>
    <w:rsid w:val="2BDF043E"/>
    <w:rsid w:val="2BF87404"/>
    <w:rsid w:val="2C03574A"/>
    <w:rsid w:val="2C0A4EA8"/>
    <w:rsid w:val="2C0E0D23"/>
    <w:rsid w:val="2C0E487F"/>
    <w:rsid w:val="2C1125C1"/>
    <w:rsid w:val="2C183950"/>
    <w:rsid w:val="2C5B2595"/>
    <w:rsid w:val="2C691BB8"/>
    <w:rsid w:val="2C736DD8"/>
    <w:rsid w:val="2C7B3B05"/>
    <w:rsid w:val="2C7C3EDF"/>
    <w:rsid w:val="2C7C7A3B"/>
    <w:rsid w:val="2C9124B9"/>
    <w:rsid w:val="2C9C632F"/>
    <w:rsid w:val="2CA376BD"/>
    <w:rsid w:val="2CA62D0A"/>
    <w:rsid w:val="2CB847EB"/>
    <w:rsid w:val="2CC277F5"/>
    <w:rsid w:val="2CC413E2"/>
    <w:rsid w:val="2CC55886"/>
    <w:rsid w:val="2CC86A45"/>
    <w:rsid w:val="2CCA3374"/>
    <w:rsid w:val="2CD94E8D"/>
    <w:rsid w:val="2CDE06F5"/>
    <w:rsid w:val="2CDF2F0B"/>
    <w:rsid w:val="2CE1070A"/>
    <w:rsid w:val="2CEA709A"/>
    <w:rsid w:val="2D085772"/>
    <w:rsid w:val="2D105B5A"/>
    <w:rsid w:val="2D2A393B"/>
    <w:rsid w:val="2D3447B9"/>
    <w:rsid w:val="2D345B9B"/>
    <w:rsid w:val="2D381875"/>
    <w:rsid w:val="2D39592C"/>
    <w:rsid w:val="2D4367AA"/>
    <w:rsid w:val="2D665296"/>
    <w:rsid w:val="2D742E08"/>
    <w:rsid w:val="2DA82AB1"/>
    <w:rsid w:val="2DBB6F1E"/>
    <w:rsid w:val="2DC72F38"/>
    <w:rsid w:val="2DD85145"/>
    <w:rsid w:val="2DE03372"/>
    <w:rsid w:val="2DE24215"/>
    <w:rsid w:val="2DEA131C"/>
    <w:rsid w:val="2DF9330D"/>
    <w:rsid w:val="2E00469C"/>
    <w:rsid w:val="2E073C7C"/>
    <w:rsid w:val="2E0C4DEE"/>
    <w:rsid w:val="2E1168A9"/>
    <w:rsid w:val="2E146B5A"/>
    <w:rsid w:val="2E1D6FFC"/>
    <w:rsid w:val="2E262354"/>
    <w:rsid w:val="2E373A24"/>
    <w:rsid w:val="2E5C3FC8"/>
    <w:rsid w:val="2E5E7AF7"/>
    <w:rsid w:val="2E8452CD"/>
    <w:rsid w:val="2E875789"/>
    <w:rsid w:val="2E9F2106"/>
    <w:rsid w:val="2EA43279"/>
    <w:rsid w:val="2EBA6EE4"/>
    <w:rsid w:val="2EC41B6D"/>
    <w:rsid w:val="2EC50E19"/>
    <w:rsid w:val="2ECE6548"/>
    <w:rsid w:val="2EE73822"/>
    <w:rsid w:val="2EE94FDC"/>
    <w:rsid w:val="2EFC4E63"/>
    <w:rsid w:val="2F0957D2"/>
    <w:rsid w:val="2F1877C3"/>
    <w:rsid w:val="2F1A3A04"/>
    <w:rsid w:val="2F1E302B"/>
    <w:rsid w:val="2F2F43B2"/>
    <w:rsid w:val="2F3D27DD"/>
    <w:rsid w:val="2F403BF7"/>
    <w:rsid w:val="2F4308A5"/>
    <w:rsid w:val="2F4A686A"/>
    <w:rsid w:val="2F5A7DDB"/>
    <w:rsid w:val="2F6B2844"/>
    <w:rsid w:val="2F762E67"/>
    <w:rsid w:val="2F7E1D1C"/>
    <w:rsid w:val="2F8A6913"/>
    <w:rsid w:val="2F963509"/>
    <w:rsid w:val="2FA06136"/>
    <w:rsid w:val="2FA10B17"/>
    <w:rsid w:val="2FA80D19"/>
    <w:rsid w:val="2FAD4FD9"/>
    <w:rsid w:val="2FB15C4D"/>
    <w:rsid w:val="2FB346FB"/>
    <w:rsid w:val="2FCD4A51"/>
    <w:rsid w:val="2FD82D6F"/>
    <w:rsid w:val="2FDF1F8E"/>
    <w:rsid w:val="2FE778C1"/>
    <w:rsid w:val="2FF3270A"/>
    <w:rsid w:val="2FF70134"/>
    <w:rsid w:val="2FFA3A98"/>
    <w:rsid w:val="2FFA5778"/>
    <w:rsid w:val="30016D67"/>
    <w:rsid w:val="300246FB"/>
    <w:rsid w:val="301B5993"/>
    <w:rsid w:val="301D7B57"/>
    <w:rsid w:val="30406FD1"/>
    <w:rsid w:val="30407A33"/>
    <w:rsid w:val="30474804"/>
    <w:rsid w:val="30495C84"/>
    <w:rsid w:val="30640F12"/>
    <w:rsid w:val="30650005"/>
    <w:rsid w:val="3075311F"/>
    <w:rsid w:val="30843362"/>
    <w:rsid w:val="30D36886"/>
    <w:rsid w:val="30FA3624"/>
    <w:rsid w:val="310333AD"/>
    <w:rsid w:val="31216E03"/>
    <w:rsid w:val="3126266B"/>
    <w:rsid w:val="31295CB7"/>
    <w:rsid w:val="312C0E35"/>
    <w:rsid w:val="31435BDC"/>
    <w:rsid w:val="31522189"/>
    <w:rsid w:val="31653193"/>
    <w:rsid w:val="317433D6"/>
    <w:rsid w:val="31801B43"/>
    <w:rsid w:val="31844D10"/>
    <w:rsid w:val="318E0F10"/>
    <w:rsid w:val="31DB0550"/>
    <w:rsid w:val="31E85B72"/>
    <w:rsid w:val="31FC5F7F"/>
    <w:rsid w:val="32096215"/>
    <w:rsid w:val="320E1ED6"/>
    <w:rsid w:val="321E3342"/>
    <w:rsid w:val="32306F34"/>
    <w:rsid w:val="32456DF1"/>
    <w:rsid w:val="3251196A"/>
    <w:rsid w:val="325167F3"/>
    <w:rsid w:val="32531113"/>
    <w:rsid w:val="326A7BA8"/>
    <w:rsid w:val="32724DD0"/>
    <w:rsid w:val="327E41AE"/>
    <w:rsid w:val="32843AED"/>
    <w:rsid w:val="3287052F"/>
    <w:rsid w:val="328E04C8"/>
    <w:rsid w:val="328E2276"/>
    <w:rsid w:val="32935ADE"/>
    <w:rsid w:val="329E6CD8"/>
    <w:rsid w:val="32A058A2"/>
    <w:rsid w:val="32AE0B6A"/>
    <w:rsid w:val="32BF4CA5"/>
    <w:rsid w:val="32C20171"/>
    <w:rsid w:val="32D22AAA"/>
    <w:rsid w:val="32DF0D23"/>
    <w:rsid w:val="32E77BD8"/>
    <w:rsid w:val="32EC5E70"/>
    <w:rsid w:val="32FE389F"/>
    <w:rsid w:val="32FF4F22"/>
    <w:rsid w:val="3304190D"/>
    <w:rsid w:val="33042538"/>
    <w:rsid w:val="330429F1"/>
    <w:rsid w:val="33122EA7"/>
    <w:rsid w:val="333C573E"/>
    <w:rsid w:val="33440753"/>
    <w:rsid w:val="334B4AB3"/>
    <w:rsid w:val="334E397C"/>
    <w:rsid w:val="335A2AA0"/>
    <w:rsid w:val="33610962"/>
    <w:rsid w:val="336F654B"/>
    <w:rsid w:val="337169A2"/>
    <w:rsid w:val="33773E42"/>
    <w:rsid w:val="337E22EA"/>
    <w:rsid w:val="338668A6"/>
    <w:rsid w:val="33954AEA"/>
    <w:rsid w:val="339E298D"/>
    <w:rsid w:val="33AB32FB"/>
    <w:rsid w:val="33B57CD6"/>
    <w:rsid w:val="33C11E18"/>
    <w:rsid w:val="33C57F19"/>
    <w:rsid w:val="33D47543"/>
    <w:rsid w:val="33F20F2A"/>
    <w:rsid w:val="33F627C9"/>
    <w:rsid w:val="34000F51"/>
    <w:rsid w:val="3402116D"/>
    <w:rsid w:val="340A36C1"/>
    <w:rsid w:val="341B60BC"/>
    <w:rsid w:val="341D5FA7"/>
    <w:rsid w:val="341E0383"/>
    <w:rsid w:val="34207846"/>
    <w:rsid w:val="342F5CDB"/>
    <w:rsid w:val="34357460"/>
    <w:rsid w:val="34364D8F"/>
    <w:rsid w:val="34367069"/>
    <w:rsid w:val="34433534"/>
    <w:rsid w:val="34473024"/>
    <w:rsid w:val="34476B80"/>
    <w:rsid w:val="34515C51"/>
    <w:rsid w:val="346F4246"/>
    <w:rsid w:val="34781430"/>
    <w:rsid w:val="347D25A2"/>
    <w:rsid w:val="34BB131C"/>
    <w:rsid w:val="34C463DA"/>
    <w:rsid w:val="34C5219B"/>
    <w:rsid w:val="34E14EA2"/>
    <w:rsid w:val="34E268A9"/>
    <w:rsid w:val="34E346A0"/>
    <w:rsid w:val="34E46AC5"/>
    <w:rsid w:val="34FA1E45"/>
    <w:rsid w:val="35103416"/>
    <w:rsid w:val="351262ED"/>
    <w:rsid w:val="351D5B33"/>
    <w:rsid w:val="3528756C"/>
    <w:rsid w:val="353D7F83"/>
    <w:rsid w:val="354237EC"/>
    <w:rsid w:val="35496928"/>
    <w:rsid w:val="354E3F3E"/>
    <w:rsid w:val="355754E9"/>
    <w:rsid w:val="35584DBD"/>
    <w:rsid w:val="3563766B"/>
    <w:rsid w:val="356D6ABA"/>
    <w:rsid w:val="357A1FD4"/>
    <w:rsid w:val="359B1151"/>
    <w:rsid w:val="359F29EC"/>
    <w:rsid w:val="35A40002"/>
    <w:rsid w:val="35A41DB0"/>
    <w:rsid w:val="35AB313F"/>
    <w:rsid w:val="35AD49A2"/>
    <w:rsid w:val="35B069A7"/>
    <w:rsid w:val="35B6774F"/>
    <w:rsid w:val="35BA15D4"/>
    <w:rsid w:val="35BB5A78"/>
    <w:rsid w:val="35BC534C"/>
    <w:rsid w:val="35DD5D68"/>
    <w:rsid w:val="35F26FC0"/>
    <w:rsid w:val="35FF4995"/>
    <w:rsid w:val="36172BC3"/>
    <w:rsid w:val="361D6863"/>
    <w:rsid w:val="36206572"/>
    <w:rsid w:val="36317AE8"/>
    <w:rsid w:val="36483084"/>
    <w:rsid w:val="36541A28"/>
    <w:rsid w:val="365F4EFF"/>
    <w:rsid w:val="36694181"/>
    <w:rsid w:val="36721EAF"/>
    <w:rsid w:val="368D53CF"/>
    <w:rsid w:val="368F2A60"/>
    <w:rsid w:val="36AA6330"/>
    <w:rsid w:val="36B67FED"/>
    <w:rsid w:val="36C07071"/>
    <w:rsid w:val="36CC7C95"/>
    <w:rsid w:val="36D16BD5"/>
    <w:rsid w:val="36D84407"/>
    <w:rsid w:val="36E076F0"/>
    <w:rsid w:val="36EB650A"/>
    <w:rsid w:val="36F17277"/>
    <w:rsid w:val="36F430D1"/>
    <w:rsid w:val="370451FC"/>
    <w:rsid w:val="370519DB"/>
    <w:rsid w:val="370B18C5"/>
    <w:rsid w:val="37103BA1"/>
    <w:rsid w:val="371D11D0"/>
    <w:rsid w:val="37362EDC"/>
    <w:rsid w:val="374314B0"/>
    <w:rsid w:val="374A4436"/>
    <w:rsid w:val="375B1FDF"/>
    <w:rsid w:val="375C6DE7"/>
    <w:rsid w:val="375E637C"/>
    <w:rsid w:val="37607F59"/>
    <w:rsid w:val="378133A9"/>
    <w:rsid w:val="378400EB"/>
    <w:rsid w:val="378A742E"/>
    <w:rsid w:val="378C0D4E"/>
    <w:rsid w:val="379E40CE"/>
    <w:rsid w:val="37A20933"/>
    <w:rsid w:val="37F76BCC"/>
    <w:rsid w:val="37FA64C3"/>
    <w:rsid w:val="37FB65FF"/>
    <w:rsid w:val="37FD3B5B"/>
    <w:rsid w:val="37FE7E9E"/>
    <w:rsid w:val="38051CFC"/>
    <w:rsid w:val="381D47C2"/>
    <w:rsid w:val="3825542A"/>
    <w:rsid w:val="3834566E"/>
    <w:rsid w:val="383A233E"/>
    <w:rsid w:val="383E728F"/>
    <w:rsid w:val="385B52F0"/>
    <w:rsid w:val="387D5266"/>
    <w:rsid w:val="388A1731"/>
    <w:rsid w:val="38962092"/>
    <w:rsid w:val="389E4E7A"/>
    <w:rsid w:val="38A02D03"/>
    <w:rsid w:val="38C369F1"/>
    <w:rsid w:val="38CC7F9C"/>
    <w:rsid w:val="38D56021"/>
    <w:rsid w:val="38D62A31"/>
    <w:rsid w:val="38F512A1"/>
    <w:rsid w:val="38FD0155"/>
    <w:rsid w:val="390A63CE"/>
    <w:rsid w:val="39101F1B"/>
    <w:rsid w:val="39202096"/>
    <w:rsid w:val="39235CD0"/>
    <w:rsid w:val="3929719C"/>
    <w:rsid w:val="392D7EB3"/>
    <w:rsid w:val="39400042"/>
    <w:rsid w:val="395036C1"/>
    <w:rsid w:val="39535FC7"/>
    <w:rsid w:val="39643D30"/>
    <w:rsid w:val="39720FC7"/>
    <w:rsid w:val="39754190"/>
    <w:rsid w:val="39761CB6"/>
    <w:rsid w:val="398443D3"/>
    <w:rsid w:val="39923354"/>
    <w:rsid w:val="39986581"/>
    <w:rsid w:val="39987E7E"/>
    <w:rsid w:val="39A84137"/>
    <w:rsid w:val="39C944DB"/>
    <w:rsid w:val="39CD52E9"/>
    <w:rsid w:val="39F310A6"/>
    <w:rsid w:val="3A033549"/>
    <w:rsid w:val="3A17449C"/>
    <w:rsid w:val="3A1C0AAF"/>
    <w:rsid w:val="3A2B5F8C"/>
    <w:rsid w:val="3A2B6F44"/>
    <w:rsid w:val="3A2D6818"/>
    <w:rsid w:val="3A2F759B"/>
    <w:rsid w:val="3A377697"/>
    <w:rsid w:val="3A575643"/>
    <w:rsid w:val="3A5B15D7"/>
    <w:rsid w:val="3A5E4C24"/>
    <w:rsid w:val="3A64388F"/>
    <w:rsid w:val="3A6A181A"/>
    <w:rsid w:val="3A824DB6"/>
    <w:rsid w:val="3A8C4D49"/>
    <w:rsid w:val="3AA96BF6"/>
    <w:rsid w:val="3AB02FA5"/>
    <w:rsid w:val="3AB94550"/>
    <w:rsid w:val="3ADB0022"/>
    <w:rsid w:val="3AF85078"/>
    <w:rsid w:val="3AF86E26"/>
    <w:rsid w:val="3AFE1F63"/>
    <w:rsid w:val="3B0B043D"/>
    <w:rsid w:val="3B253993"/>
    <w:rsid w:val="3B2A2D58"/>
    <w:rsid w:val="3B4C2CCE"/>
    <w:rsid w:val="3B521A1D"/>
    <w:rsid w:val="3B532760"/>
    <w:rsid w:val="3B694BE1"/>
    <w:rsid w:val="3B702E61"/>
    <w:rsid w:val="3B732951"/>
    <w:rsid w:val="3B894FB4"/>
    <w:rsid w:val="3B950B19"/>
    <w:rsid w:val="3B9710EF"/>
    <w:rsid w:val="3B9B5A04"/>
    <w:rsid w:val="3BB56AC5"/>
    <w:rsid w:val="3BC1546A"/>
    <w:rsid w:val="3BCE402B"/>
    <w:rsid w:val="3BD17677"/>
    <w:rsid w:val="3BD72A99"/>
    <w:rsid w:val="3BDF2457"/>
    <w:rsid w:val="3BDF7FE6"/>
    <w:rsid w:val="3BEE647B"/>
    <w:rsid w:val="3BFA71F9"/>
    <w:rsid w:val="3C132F31"/>
    <w:rsid w:val="3C17152E"/>
    <w:rsid w:val="3C526A0A"/>
    <w:rsid w:val="3C646EAA"/>
    <w:rsid w:val="3C8234BA"/>
    <w:rsid w:val="3CB1207B"/>
    <w:rsid w:val="3CB66B2F"/>
    <w:rsid w:val="3CB66F99"/>
    <w:rsid w:val="3CBD0327"/>
    <w:rsid w:val="3CC11CFC"/>
    <w:rsid w:val="3CC36DCD"/>
    <w:rsid w:val="3CC541CF"/>
    <w:rsid w:val="3CE112D9"/>
    <w:rsid w:val="3CF14C9F"/>
    <w:rsid w:val="3D1837B0"/>
    <w:rsid w:val="3D197528"/>
    <w:rsid w:val="3D1D0DC6"/>
    <w:rsid w:val="3D204412"/>
    <w:rsid w:val="3D23372C"/>
    <w:rsid w:val="3D255ECD"/>
    <w:rsid w:val="3D2823FA"/>
    <w:rsid w:val="3D2C2DB7"/>
    <w:rsid w:val="3D2D22C8"/>
    <w:rsid w:val="3D4E55D7"/>
    <w:rsid w:val="3D581DFE"/>
    <w:rsid w:val="3D597924"/>
    <w:rsid w:val="3D5B52EB"/>
    <w:rsid w:val="3D6A4AAA"/>
    <w:rsid w:val="3D6E4973"/>
    <w:rsid w:val="3DBA6615"/>
    <w:rsid w:val="3DE10046"/>
    <w:rsid w:val="3DF80C94"/>
    <w:rsid w:val="3DFD4754"/>
    <w:rsid w:val="3E064F5A"/>
    <w:rsid w:val="3E067CFD"/>
    <w:rsid w:val="3E1201FF"/>
    <w:rsid w:val="3E161B6B"/>
    <w:rsid w:val="3E171CB9"/>
    <w:rsid w:val="3E18158D"/>
    <w:rsid w:val="3E287A22"/>
    <w:rsid w:val="3E2972F7"/>
    <w:rsid w:val="3E416D36"/>
    <w:rsid w:val="3E496B6B"/>
    <w:rsid w:val="3E546A69"/>
    <w:rsid w:val="3E5A7DF8"/>
    <w:rsid w:val="3E611186"/>
    <w:rsid w:val="3E726EF0"/>
    <w:rsid w:val="3E7F5998"/>
    <w:rsid w:val="3E810EE1"/>
    <w:rsid w:val="3E85578C"/>
    <w:rsid w:val="3E8B2434"/>
    <w:rsid w:val="3EC51715"/>
    <w:rsid w:val="3ED6747E"/>
    <w:rsid w:val="3ED92ACB"/>
    <w:rsid w:val="3EED6576"/>
    <w:rsid w:val="3EF21DDE"/>
    <w:rsid w:val="3F0056DB"/>
    <w:rsid w:val="3F0156C1"/>
    <w:rsid w:val="3F097401"/>
    <w:rsid w:val="3F0B43EB"/>
    <w:rsid w:val="3F1A3023"/>
    <w:rsid w:val="3F243A9D"/>
    <w:rsid w:val="3F3423F7"/>
    <w:rsid w:val="3F381EE7"/>
    <w:rsid w:val="3F395C5F"/>
    <w:rsid w:val="3F454604"/>
    <w:rsid w:val="3F512FA9"/>
    <w:rsid w:val="3F566811"/>
    <w:rsid w:val="3F7F376A"/>
    <w:rsid w:val="3F88629F"/>
    <w:rsid w:val="3F8C3FE1"/>
    <w:rsid w:val="3FA163D6"/>
    <w:rsid w:val="3FAF1A7E"/>
    <w:rsid w:val="3FB13A48"/>
    <w:rsid w:val="3FB6105E"/>
    <w:rsid w:val="3FC26720"/>
    <w:rsid w:val="3FEF631E"/>
    <w:rsid w:val="40093884"/>
    <w:rsid w:val="400A2B4C"/>
    <w:rsid w:val="400C5122"/>
    <w:rsid w:val="4022288C"/>
    <w:rsid w:val="40260F22"/>
    <w:rsid w:val="402B33C8"/>
    <w:rsid w:val="40350295"/>
    <w:rsid w:val="40420B44"/>
    <w:rsid w:val="40477F08"/>
    <w:rsid w:val="40602341"/>
    <w:rsid w:val="406E1D8D"/>
    <w:rsid w:val="40AA0BC3"/>
    <w:rsid w:val="40B03CFF"/>
    <w:rsid w:val="40B55E0A"/>
    <w:rsid w:val="40C07908"/>
    <w:rsid w:val="40C6671E"/>
    <w:rsid w:val="40D23C76"/>
    <w:rsid w:val="40D75730"/>
    <w:rsid w:val="40D828DA"/>
    <w:rsid w:val="40D93002"/>
    <w:rsid w:val="40E26B54"/>
    <w:rsid w:val="40E816EB"/>
    <w:rsid w:val="40F167F2"/>
    <w:rsid w:val="40FC0CF2"/>
    <w:rsid w:val="41000A0B"/>
    <w:rsid w:val="41171FD0"/>
    <w:rsid w:val="4124537B"/>
    <w:rsid w:val="41406E31"/>
    <w:rsid w:val="41605725"/>
    <w:rsid w:val="41782A6F"/>
    <w:rsid w:val="417E204F"/>
    <w:rsid w:val="41856F3A"/>
    <w:rsid w:val="41A73354"/>
    <w:rsid w:val="41BA3087"/>
    <w:rsid w:val="41CA7043"/>
    <w:rsid w:val="41CC5867"/>
    <w:rsid w:val="41DB0DAD"/>
    <w:rsid w:val="41F52311"/>
    <w:rsid w:val="41F61BE6"/>
    <w:rsid w:val="42053C57"/>
    <w:rsid w:val="420A5691"/>
    <w:rsid w:val="42214BD9"/>
    <w:rsid w:val="42230F81"/>
    <w:rsid w:val="42324DFA"/>
    <w:rsid w:val="424E557E"/>
    <w:rsid w:val="425C413F"/>
    <w:rsid w:val="425D7EB7"/>
    <w:rsid w:val="426C3C56"/>
    <w:rsid w:val="42750D5C"/>
    <w:rsid w:val="428617AE"/>
    <w:rsid w:val="428F0510"/>
    <w:rsid w:val="42903DE8"/>
    <w:rsid w:val="429C09DF"/>
    <w:rsid w:val="42A054DF"/>
    <w:rsid w:val="42AB6E74"/>
    <w:rsid w:val="42AC41EC"/>
    <w:rsid w:val="42AC6A21"/>
    <w:rsid w:val="42AF59D8"/>
    <w:rsid w:val="42B83F5B"/>
    <w:rsid w:val="42C341BE"/>
    <w:rsid w:val="42CB6BCE"/>
    <w:rsid w:val="42CE4911"/>
    <w:rsid w:val="42D02437"/>
    <w:rsid w:val="42DB55E4"/>
    <w:rsid w:val="431353F3"/>
    <w:rsid w:val="431C567C"/>
    <w:rsid w:val="43212C92"/>
    <w:rsid w:val="433E3844"/>
    <w:rsid w:val="43455446"/>
    <w:rsid w:val="43673409"/>
    <w:rsid w:val="436B7435"/>
    <w:rsid w:val="438D0328"/>
    <w:rsid w:val="439E6DDD"/>
    <w:rsid w:val="43A13D75"/>
    <w:rsid w:val="43A23DD3"/>
    <w:rsid w:val="43B92ECB"/>
    <w:rsid w:val="43C676E9"/>
    <w:rsid w:val="43E443EC"/>
    <w:rsid w:val="43EC14F2"/>
    <w:rsid w:val="43FC7DDA"/>
    <w:rsid w:val="4400619E"/>
    <w:rsid w:val="440A1978"/>
    <w:rsid w:val="441D5B50"/>
    <w:rsid w:val="44202F4A"/>
    <w:rsid w:val="444924A1"/>
    <w:rsid w:val="4450382F"/>
    <w:rsid w:val="446948F1"/>
    <w:rsid w:val="446B68BB"/>
    <w:rsid w:val="446D160A"/>
    <w:rsid w:val="447A4D50"/>
    <w:rsid w:val="447B72D7"/>
    <w:rsid w:val="447E2FEF"/>
    <w:rsid w:val="448C05DF"/>
    <w:rsid w:val="448C6831"/>
    <w:rsid w:val="4493196E"/>
    <w:rsid w:val="44936527"/>
    <w:rsid w:val="449974D6"/>
    <w:rsid w:val="44A26055"/>
    <w:rsid w:val="44BE1B03"/>
    <w:rsid w:val="44CE14E2"/>
    <w:rsid w:val="44DA072F"/>
    <w:rsid w:val="45050ABD"/>
    <w:rsid w:val="45124F88"/>
    <w:rsid w:val="452A22D2"/>
    <w:rsid w:val="453C2005"/>
    <w:rsid w:val="45442750"/>
    <w:rsid w:val="454D0F8E"/>
    <w:rsid w:val="455530C7"/>
    <w:rsid w:val="45594965"/>
    <w:rsid w:val="455C26A8"/>
    <w:rsid w:val="458536EE"/>
    <w:rsid w:val="45890E3A"/>
    <w:rsid w:val="458D5981"/>
    <w:rsid w:val="459534C4"/>
    <w:rsid w:val="45A70873"/>
    <w:rsid w:val="45BC3723"/>
    <w:rsid w:val="45C11CDA"/>
    <w:rsid w:val="45C62E77"/>
    <w:rsid w:val="45C81AEB"/>
    <w:rsid w:val="45C83899"/>
    <w:rsid w:val="45C85647"/>
    <w:rsid w:val="45CF2E79"/>
    <w:rsid w:val="45D95AA6"/>
    <w:rsid w:val="45DB0752"/>
    <w:rsid w:val="45DC10F2"/>
    <w:rsid w:val="45EF0E26"/>
    <w:rsid w:val="45F11042"/>
    <w:rsid w:val="45F3794E"/>
    <w:rsid w:val="45F8417E"/>
    <w:rsid w:val="45FC0A54"/>
    <w:rsid w:val="46026B79"/>
    <w:rsid w:val="4607616F"/>
    <w:rsid w:val="460E150A"/>
    <w:rsid w:val="46130FB8"/>
    <w:rsid w:val="46192347"/>
    <w:rsid w:val="46195EA3"/>
    <w:rsid w:val="461D1E37"/>
    <w:rsid w:val="461D469A"/>
    <w:rsid w:val="462C3E28"/>
    <w:rsid w:val="464A0752"/>
    <w:rsid w:val="46556E08"/>
    <w:rsid w:val="466976E6"/>
    <w:rsid w:val="46717A8D"/>
    <w:rsid w:val="46845A12"/>
    <w:rsid w:val="468B4FF2"/>
    <w:rsid w:val="46963997"/>
    <w:rsid w:val="469C7200"/>
    <w:rsid w:val="469F7437"/>
    <w:rsid w:val="46BB683B"/>
    <w:rsid w:val="46C027C2"/>
    <w:rsid w:val="46C93D6D"/>
    <w:rsid w:val="46D32596"/>
    <w:rsid w:val="46E20175"/>
    <w:rsid w:val="46EA0CE7"/>
    <w:rsid w:val="46EE5581"/>
    <w:rsid w:val="470D4256"/>
    <w:rsid w:val="471825FE"/>
    <w:rsid w:val="472208AE"/>
    <w:rsid w:val="472B2331"/>
    <w:rsid w:val="47377A4C"/>
    <w:rsid w:val="474D4056"/>
    <w:rsid w:val="47531243"/>
    <w:rsid w:val="47556476"/>
    <w:rsid w:val="475C7FF4"/>
    <w:rsid w:val="47704C41"/>
    <w:rsid w:val="47755C7D"/>
    <w:rsid w:val="4777325F"/>
    <w:rsid w:val="477737C9"/>
    <w:rsid w:val="477F6C5D"/>
    <w:rsid w:val="478654C0"/>
    <w:rsid w:val="478E0E64"/>
    <w:rsid w:val="479E0D55"/>
    <w:rsid w:val="47A143A2"/>
    <w:rsid w:val="47AF2F63"/>
    <w:rsid w:val="47B925F3"/>
    <w:rsid w:val="47C10635"/>
    <w:rsid w:val="47E0136E"/>
    <w:rsid w:val="47E250E6"/>
    <w:rsid w:val="47EC7D13"/>
    <w:rsid w:val="481D611E"/>
    <w:rsid w:val="482A25E9"/>
    <w:rsid w:val="482C010F"/>
    <w:rsid w:val="48362D3C"/>
    <w:rsid w:val="483A6022"/>
    <w:rsid w:val="48515DC8"/>
    <w:rsid w:val="485633DE"/>
    <w:rsid w:val="48771F96"/>
    <w:rsid w:val="48855A71"/>
    <w:rsid w:val="48910AEC"/>
    <w:rsid w:val="48913E27"/>
    <w:rsid w:val="489B34E7"/>
    <w:rsid w:val="489D725F"/>
    <w:rsid w:val="48B3170D"/>
    <w:rsid w:val="48BF2D31"/>
    <w:rsid w:val="48C92735"/>
    <w:rsid w:val="48C93BB0"/>
    <w:rsid w:val="48CE7418"/>
    <w:rsid w:val="48DF4379"/>
    <w:rsid w:val="48E1714C"/>
    <w:rsid w:val="48F650FE"/>
    <w:rsid w:val="48FB5D34"/>
    <w:rsid w:val="48FD1AAC"/>
    <w:rsid w:val="48FF5824"/>
    <w:rsid w:val="49105C83"/>
    <w:rsid w:val="49172B6D"/>
    <w:rsid w:val="491D3EFC"/>
    <w:rsid w:val="49361D80"/>
    <w:rsid w:val="493A685C"/>
    <w:rsid w:val="493C0826"/>
    <w:rsid w:val="493C7DE9"/>
    <w:rsid w:val="495A6EFE"/>
    <w:rsid w:val="49831FB1"/>
    <w:rsid w:val="49A62143"/>
    <w:rsid w:val="49CE6D87"/>
    <w:rsid w:val="49D62B33"/>
    <w:rsid w:val="49E1317B"/>
    <w:rsid w:val="49EA0282"/>
    <w:rsid w:val="49F033BE"/>
    <w:rsid w:val="49FB0AC3"/>
    <w:rsid w:val="49FE5ADB"/>
    <w:rsid w:val="4A031344"/>
    <w:rsid w:val="4A0D21C2"/>
    <w:rsid w:val="4A192915"/>
    <w:rsid w:val="4A1C1B92"/>
    <w:rsid w:val="4A1E13B4"/>
    <w:rsid w:val="4A1E1CDA"/>
    <w:rsid w:val="4A2C49B0"/>
    <w:rsid w:val="4A2D63C1"/>
    <w:rsid w:val="4A332606"/>
    <w:rsid w:val="4A3427C1"/>
    <w:rsid w:val="4A4D0811"/>
    <w:rsid w:val="4A5D4EF8"/>
    <w:rsid w:val="4A69085C"/>
    <w:rsid w:val="4A7933B4"/>
    <w:rsid w:val="4A7D1B0F"/>
    <w:rsid w:val="4A8835F7"/>
    <w:rsid w:val="4AAC50D1"/>
    <w:rsid w:val="4AC40AD3"/>
    <w:rsid w:val="4AEF0EBE"/>
    <w:rsid w:val="4AF018C8"/>
    <w:rsid w:val="4AF64A04"/>
    <w:rsid w:val="4AFA44F5"/>
    <w:rsid w:val="4AFB026D"/>
    <w:rsid w:val="4AFE7077"/>
    <w:rsid w:val="4B0C37B9"/>
    <w:rsid w:val="4B0E61F2"/>
    <w:rsid w:val="4B294DDA"/>
    <w:rsid w:val="4B663938"/>
    <w:rsid w:val="4B8B7843"/>
    <w:rsid w:val="4B8F02C4"/>
    <w:rsid w:val="4B944949"/>
    <w:rsid w:val="4B991F60"/>
    <w:rsid w:val="4BA0744D"/>
    <w:rsid w:val="4BB723E6"/>
    <w:rsid w:val="4BC319DE"/>
    <w:rsid w:val="4BC33B49"/>
    <w:rsid w:val="4BD12EAB"/>
    <w:rsid w:val="4BE62CCB"/>
    <w:rsid w:val="4C0C6ECB"/>
    <w:rsid w:val="4C2D3FC2"/>
    <w:rsid w:val="4C4D2D4A"/>
    <w:rsid w:val="4C58030B"/>
    <w:rsid w:val="4C5A2B74"/>
    <w:rsid w:val="4C5C4D3B"/>
    <w:rsid w:val="4C6A71B8"/>
    <w:rsid w:val="4C754B69"/>
    <w:rsid w:val="4C7622A1"/>
    <w:rsid w:val="4C7E1178"/>
    <w:rsid w:val="4C8300CC"/>
    <w:rsid w:val="4CD6689C"/>
    <w:rsid w:val="4CD70777"/>
    <w:rsid w:val="4CDA2830"/>
    <w:rsid w:val="4CEE03B5"/>
    <w:rsid w:val="4D005D50"/>
    <w:rsid w:val="4D1879C1"/>
    <w:rsid w:val="4D1A2C2C"/>
    <w:rsid w:val="4D217B1F"/>
    <w:rsid w:val="4D2D20D9"/>
    <w:rsid w:val="4D312086"/>
    <w:rsid w:val="4D317F76"/>
    <w:rsid w:val="4D3C69F8"/>
    <w:rsid w:val="4D4E78AD"/>
    <w:rsid w:val="4D510618"/>
    <w:rsid w:val="4D525435"/>
    <w:rsid w:val="4D583754"/>
    <w:rsid w:val="4D662315"/>
    <w:rsid w:val="4D6D5452"/>
    <w:rsid w:val="4D784E5B"/>
    <w:rsid w:val="4D896004"/>
    <w:rsid w:val="4D9D186C"/>
    <w:rsid w:val="4D9D560B"/>
    <w:rsid w:val="4DA074F7"/>
    <w:rsid w:val="4DA33F07"/>
    <w:rsid w:val="4DA92202"/>
    <w:rsid w:val="4DC2237F"/>
    <w:rsid w:val="4DD666DB"/>
    <w:rsid w:val="4DDE52C0"/>
    <w:rsid w:val="4DED20EF"/>
    <w:rsid w:val="4E013DEC"/>
    <w:rsid w:val="4E165AE9"/>
    <w:rsid w:val="4E1C4782"/>
    <w:rsid w:val="4E1F1CD6"/>
    <w:rsid w:val="4E3441C2"/>
    <w:rsid w:val="4E485577"/>
    <w:rsid w:val="4E4E286F"/>
    <w:rsid w:val="4E785144"/>
    <w:rsid w:val="4E7C1C47"/>
    <w:rsid w:val="4E8C7B5A"/>
    <w:rsid w:val="4E9C4CD5"/>
    <w:rsid w:val="4EBB21ED"/>
    <w:rsid w:val="4EC72940"/>
    <w:rsid w:val="4EDD03B5"/>
    <w:rsid w:val="4EF5033F"/>
    <w:rsid w:val="4F017C92"/>
    <w:rsid w:val="4F043B94"/>
    <w:rsid w:val="4F1A0053"/>
    <w:rsid w:val="4F1C4276"/>
    <w:rsid w:val="4F2F4D96"/>
    <w:rsid w:val="4F337FD5"/>
    <w:rsid w:val="4F4C4D0A"/>
    <w:rsid w:val="4F526BF1"/>
    <w:rsid w:val="4F6176BF"/>
    <w:rsid w:val="4F637D4D"/>
    <w:rsid w:val="4F725EDF"/>
    <w:rsid w:val="4F7A20A8"/>
    <w:rsid w:val="4F93316A"/>
    <w:rsid w:val="4F9B0E29"/>
    <w:rsid w:val="4FC2427A"/>
    <w:rsid w:val="4FCC3F86"/>
    <w:rsid w:val="4FCE41A2"/>
    <w:rsid w:val="4FD878A0"/>
    <w:rsid w:val="4FDA66A3"/>
    <w:rsid w:val="4FE234DC"/>
    <w:rsid w:val="4FEC106F"/>
    <w:rsid w:val="4FF6495F"/>
    <w:rsid w:val="5032409D"/>
    <w:rsid w:val="505446A7"/>
    <w:rsid w:val="506174DA"/>
    <w:rsid w:val="50746AF7"/>
    <w:rsid w:val="50971607"/>
    <w:rsid w:val="509B0528"/>
    <w:rsid w:val="50A0169A"/>
    <w:rsid w:val="50A1397F"/>
    <w:rsid w:val="50A90B17"/>
    <w:rsid w:val="50BB4726"/>
    <w:rsid w:val="50D13F4A"/>
    <w:rsid w:val="50D44C6C"/>
    <w:rsid w:val="50D7196A"/>
    <w:rsid w:val="50D912D6"/>
    <w:rsid w:val="50DD469C"/>
    <w:rsid w:val="50E517A3"/>
    <w:rsid w:val="50F87728"/>
    <w:rsid w:val="513B7615"/>
    <w:rsid w:val="514E10F6"/>
    <w:rsid w:val="51532BB1"/>
    <w:rsid w:val="516A7EFA"/>
    <w:rsid w:val="517D19DC"/>
    <w:rsid w:val="5184487E"/>
    <w:rsid w:val="518B234A"/>
    <w:rsid w:val="51952C43"/>
    <w:rsid w:val="519B2478"/>
    <w:rsid w:val="519B6306"/>
    <w:rsid w:val="51A80D1E"/>
    <w:rsid w:val="51B224CD"/>
    <w:rsid w:val="51BD627C"/>
    <w:rsid w:val="51BF748B"/>
    <w:rsid w:val="51C75DFE"/>
    <w:rsid w:val="51E57577"/>
    <w:rsid w:val="51E732F9"/>
    <w:rsid w:val="520619D1"/>
    <w:rsid w:val="52151C14"/>
    <w:rsid w:val="521A36CE"/>
    <w:rsid w:val="52233BBC"/>
    <w:rsid w:val="522822AF"/>
    <w:rsid w:val="52302EF2"/>
    <w:rsid w:val="52334208"/>
    <w:rsid w:val="523C1897"/>
    <w:rsid w:val="525070F0"/>
    <w:rsid w:val="52524C16"/>
    <w:rsid w:val="52575A5C"/>
    <w:rsid w:val="52630BD1"/>
    <w:rsid w:val="526571A3"/>
    <w:rsid w:val="52741FCB"/>
    <w:rsid w:val="528B1ED6"/>
    <w:rsid w:val="528C16EB"/>
    <w:rsid w:val="52A87C5A"/>
    <w:rsid w:val="52B04AC4"/>
    <w:rsid w:val="52B45877"/>
    <w:rsid w:val="52C202F2"/>
    <w:rsid w:val="52CA1464"/>
    <w:rsid w:val="52D06B10"/>
    <w:rsid w:val="52D34532"/>
    <w:rsid w:val="52D52291"/>
    <w:rsid w:val="530A3743"/>
    <w:rsid w:val="53112879"/>
    <w:rsid w:val="531C6FD2"/>
    <w:rsid w:val="533D58C6"/>
    <w:rsid w:val="53536515"/>
    <w:rsid w:val="53542C10"/>
    <w:rsid w:val="53583E92"/>
    <w:rsid w:val="535D7D17"/>
    <w:rsid w:val="53603363"/>
    <w:rsid w:val="53672943"/>
    <w:rsid w:val="53682217"/>
    <w:rsid w:val="536B21BA"/>
    <w:rsid w:val="536C61AC"/>
    <w:rsid w:val="539179C0"/>
    <w:rsid w:val="539B083F"/>
    <w:rsid w:val="53A862CC"/>
    <w:rsid w:val="53A92F5C"/>
    <w:rsid w:val="53AE2320"/>
    <w:rsid w:val="53BB6E3A"/>
    <w:rsid w:val="53C5766A"/>
    <w:rsid w:val="53C61A0F"/>
    <w:rsid w:val="53CD5259"/>
    <w:rsid w:val="53D62631"/>
    <w:rsid w:val="53DC50DF"/>
    <w:rsid w:val="53E2646E"/>
    <w:rsid w:val="53EA0E7E"/>
    <w:rsid w:val="53F00B8B"/>
    <w:rsid w:val="53FC752F"/>
    <w:rsid w:val="540C51D3"/>
    <w:rsid w:val="541008E5"/>
    <w:rsid w:val="54163A4F"/>
    <w:rsid w:val="54183C3E"/>
    <w:rsid w:val="542369BC"/>
    <w:rsid w:val="542645AC"/>
    <w:rsid w:val="542A0FDA"/>
    <w:rsid w:val="542B47E5"/>
    <w:rsid w:val="543C0AB5"/>
    <w:rsid w:val="543E21F2"/>
    <w:rsid w:val="543F741C"/>
    <w:rsid w:val="54443D43"/>
    <w:rsid w:val="545729B8"/>
    <w:rsid w:val="546C11F4"/>
    <w:rsid w:val="546E1AAF"/>
    <w:rsid w:val="547A66A6"/>
    <w:rsid w:val="54857525"/>
    <w:rsid w:val="5488491F"/>
    <w:rsid w:val="548D2129"/>
    <w:rsid w:val="54A656ED"/>
    <w:rsid w:val="54C067AF"/>
    <w:rsid w:val="54C31DFB"/>
    <w:rsid w:val="54C53DC5"/>
    <w:rsid w:val="54D20290"/>
    <w:rsid w:val="54D97871"/>
    <w:rsid w:val="54E104D3"/>
    <w:rsid w:val="54ED53D0"/>
    <w:rsid w:val="54EF0E42"/>
    <w:rsid w:val="54F54FCE"/>
    <w:rsid w:val="54F93A6F"/>
    <w:rsid w:val="54FC355F"/>
    <w:rsid w:val="55091CCC"/>
    <w:rsid w:val="5520724E"/>
    <w:rsid w:val="552F56E3"/>
    <w:rsid w:val="553920BD"/>
    <w:rsid w:val="55432336"/>
    <w:rsid w:val="55460E17"/>
    <w:rsid w:val="5560764A"/>
    <w:rsid w:val="55AB1785"/>
    <w:rsid w:val="55C0458D"/>
    <w:rsid w:val="55C67DF5"/>
    <w:rsid w:val="55D122F6"/>
    <w:rsid w:val="55FA184D"/>
    <w:rsid w:val="55FD30EB"/>
    <w:rsid w:val="560C1580"/>
    <w:rsid w:val="5613290E"/>
    <w:rsid w:val="56270168"/>
    <w:rsid w:val="56307253"/>
    <w:rsid w:val="56334D5F"/>
    <w:rsid w:val="56453199"/>
    <w:rsid w:val="56682C5A"/>
    <w:rsid w:val="568A63C1"/>
    <w:rsid w:val="5697353F"/>
    <w:rsid w:val="569864A3"/>
    <w:rsid w:val="56B23ED5"/>
    <w:rsid w:val="56B85264"/>
    <w:rsid w:val="56CA56C3"/>
    <w:rsid w:val="56CE27B7"/>
    <w:rsid w:val="56E349CD"/>
    <w:rsid w:val="57083DDD"/>
    <w:rsid w:val="571B5F1F"/>
    <w:rsid w:val="571B7CCD"/>
    <w:rsid w:val="57266966"/>
    <w:rsid w:val="572C3692"/>
    <w:rsid w:val="574134AB"/>
    <w:rsid w:val="576C2B1F"/>
    <w:rsid w:val="576D10A9"/>
    <w:rsid w:val="576D42A0"/>
    <w:rsid w:val="57727B09"/>
    <w:rsid w:val="579441A0"/>
    <w:rsid w:val="57AD28EF"/>
    <w:rsid w:val="57AF0129"/>
    <w:rsid w:val="57B7551B"/>
    <w:rsid w:val="57C245EC"/>
    <w:rsid w:val="57E43752"/>
    <w:rsid w:val="57EC78BB"/>
    <w:rsid w:val="57ED6DC6"/>
    <w:rsid w:val="58006EC2"/>
    <w:rsid w:val="580A7D41"/>
    <w:rsid w:val="581806B0"/>
    <w:rsid w:val="581F142F"/>
    <w:rsid w:val="582F6DAB"/>
    <w:rsid w:val="58304C11"/>
    <w:rsid w:val="58366D88"/>
    <w:rsid w:val="58433087"/>
    <w:rsid w:val="5844001A"/>
    <w:rsid w:val="586A03F8"/>
    <w:rsid w:val="58752C05"/>
    <w:rsid w:val="587873A1"/>
    <w:rsid w:val="58801DB1"/>
    <w:rsid w:val="58847AF3"/>
    <w:rsid w:val="5886386C"/>
    <w:rsid w:val="588910E4"/>
    <w:rsid w:val="5889510A"/>
    <w:rsid w:val="58923D54"/>
    <w:rsid w:val="58977827"/>
    <w:rsid w:val="58AD45AF"/>
    <w:rsid w:val="58AE691E"/>
    <w:rsid w:val="58C425E6"/>
    <w:rsid w:val="58D4718C"/>
    <w:rsid w:val="58D77C23"/>
    <w:rsid w:val="58EE0969"/>
    <w:rsid w:val="58F00A86"/>
    <w:rsid w:val="58F46A27"/>
    <w:rsid w:val="59274DA4"/>
    <w:rsid w:val="594C6863"/>
    <w:rsid w:val="59577BD8"/>
    <w:rsid w:val="597131E7"/>
    <w:rsid w:val="597B42B1"/>
    <w:rsid w:val="599211F9"/>
    <w:rsid w:val="59941FB8"/>
    <w:rsid w:val="59A33FA9"/>
    <w:rsid w:val="59A82CA5"/>
    <w:rsid w:val="59CB4BD7"/>
    <w:rsid w:val="5A3115B5"/>
    <w:rsid w:val="5A3B41BB"/>
    <w:rsid w:val="5A457E3E"/>
    <w:rsid w:val="5A4761D8"/>
    <w:rsid w:val="5A511C57"/>
    <w:rsid w:val="5A5F4374"/>
    <w:rsid w:val="5A6A4AC7"/>
    <w:rsid w:val="5A7A2F5C"/>
    <w:rsid w:val="5A932272"/>
    <w:rsid w:val="5A9A53AC"/>
    <w:rsid w:val="5A9D4E9D"/>
    <w:rsid w:val="5AAB441A"/>
    <w:rsid w:val="5AB81CD6"/>
    <w:rsid w:val="5ABD109B"/>
    <w:rsid w:val="5ACE5056"/>
    <w:rsid w:val="5AD514E8"/>
    <w:rsid w:val="5AD536B4"/>
    <w:rsid w:val="5AEA4CCC"/>
    <w:rsid w:val="5AF3503E"/>
    <w:rsid w:val="5B031B11"/>
    <w:rsid w:val="5B0942E0"/>
    <w:rsid w:val="5B0E7B48"/>
    <w:rsid w:val="5B2B4256"/>
    <w:rsid w:val="5B2C4517"/>
    <w:rsid w:val="5B3C2907"/>
    <w:rsid w:val="5B500161"/>
    <w:rsid w:val="5B6D16C4"/>
    <w:rsid w:val="5B7D784B"/>
    <w:rsid w:val="5B8F7043"/>
    <w:rsid w:val="5B96574B"/>
    <w:rsid w:val="5B977B3E"/>
    <w:rsid w:val="5BA82888"/>
    <w:rsid w:val="5BB16E51"/>
    <w:rsid w:val="5BBD7FB6"/>
    <w:rsid w:val="5BC052E6"/>
    <w:rsid w:val="5BC07095"/>
    <w:rsid w:val="5BC278ED"/>
    <w:rsid w:val="5BE82147"/>
    <w:rsid w:val="5C013209"/>
    <w:rsid w:val="5C053C85"/>
    <w:rsid w:val="5C1B076F"/>
    <w:rsid w:val="5C2515ED"/>
    <w:rsid w:val="5C263ADD"/>
    <w:rsid w:val="5C2A4141"/>
    <w:rsid w:val="5C2C297C"/>
    <w:rsid w:val="5C2E2250"/>
    <w:rsid w:val="5C563555"/>
    <w:rsid w:val="5C5A652B"/>
    <w:rsid w:val="5C696A57"/>
    <w:rsid w:val="5C741C2D"/>
    <w:rsid w:val="5C746938"/>
    <w:rsid w:val="5C7560D1"/>
    <w:rsid w:val="5CC46711"/>
    <w:rsid w:val="5CE305DA"/>
    <w:rsid w:val="5CF36FF6"/>
    <w:rsid w:val="5D3E5EBD"/>
    <w:rsid w:val="5D5850AB"/>
    <w:rsid w:val="5D597CC6"/>
    <w:rsid w:val="5D5F3DB5"/>
    <w:rsid w:val="5D5F6439"/>
    <w:rsid w:val="5D665A1A"/>
    <w:rsid w:val="5D6D0B56"/>
    <w:rsid w:val="5D760DFE"/>
    <w:rsid w:val="5D7E0FB5"/>
    <w:rsid w:val="5D822ED2"/>
    <w:rsid w:val="5D8B6A8D"/>
    <w:rsid w:val="5D964551"/>
    <w:rsid w:val="5D9702C9"/>
    <w:rsid w:val="5DA052A8"/>
    <w:rsid w:val="5DAD189A"/>
    <w:rsid w:val="5DD010E5"/>
    <w:rsid w:val="5DDC11E9"/>
    <w:rsid w:val="5DDD75C3"/>
    <w:rsid w:val="5DDE7CA6"/>
    <w:rsid w:val="5DE138D8"/>
    <w:rsid w:val="5DE80B25"/>
    <w:rsid w:val="5DE81CA0"/>
    <w:rsid w:val="5DF64FF0"/>
    <w:rsid w:val="5E1921ED"/>
    <w:rsid w:val="5E341674"/>
    <w:rsid w:val="5E4A70E9"/>
    <w:rsid w:val="5E6A778C"/>
    <w:rsid w:val="5E6D379F"/>
    <w:rsid w:val="5E6F4DA2"/>
    <w:rsid w:val="5E734892"/>
    <w:rsid w:val="5E84084D"/>
    <w:rsid w:val="5EA507C4"/>
    <w:rsid w:val="5EA66A16"/>
    <w:rsid w:val="5EA97EF5"/>
    <w:rsid w:val="5EB236E5"/>
    <w:rsid w:val="5EBB3B43"/>
    <w:rsid w:val="5EBB7FE7"/>
    <w:rsid w:val="5EF07A1A"/>
    <w:rsid w:val="5EF13A09"/>
    <w:rsid w:val="5EFC4888"/>
    <w:rsid w:val="5F1171DC"/>
    <w:rsid w:val="5F131BD1"/>
    <w:rsid w:val="5F3926B3"/>
    <w:rsid w:val="5F61293D"/>
    <w:rsid w:val="5F6441DB"/>
    <w:rsid w:val="5F7A1C50"/>
    <w:rsid w:val="5F7D5E8E"/>
    <w:rsid w:val="5F7F522A"/>
    <w:rsid w:val="5F8D5DE7"/>
    <w:rsid w:val="5FA171DD"/>
    <w:rsid w:val="5FA5323E"/>
    <w:rsid w:val="5FA73C5F"/>
    <w:rsid w:val="5FCA04E2"/>
    <w:rsid w:val="5FD405CF"/>
    <w:rsid w:val="5FD72BFF"/>
    <w:rsid w:val="5FE11149"/>
    <w:rsid w:val="5FFC4413"/>
    <w:rsid w:val="60065292"/>
    <w:rsid w:val="600D4872"/>
    <w:rsid w:val="601337BB"/>
    <w:rsid w:val="6014175D"/>
    <w:rsid w:val="60210FF8"/>
    <w:rsid w:val="602E0357"/>
    <w:rsid w:val="602F6597"/>
    <w:rsid w:val="603616BA"/>
    <w:rsid w:val="60421C7F"/>
    <w:rsid w:val="60477D84"/>
    <w:rsid w:val="60522285"/>
    <w:rsid w:val="606D70BF"/>
    <w:rsid w:val="60762DC3"/>
    <w:rsid w:val="60A725D1"/>
    <w:rsid w:val="60AA0313"/>
    <w:rsid w:val="60D51B2B"/>
    <w:rsid w:val="60E43825"/>
    <w:rsid w:val="610417D1"/>
    <w:rsid w:val="611B308F"/>
    <w:rsid w:val="61467C04"/>
    <w:rsid w:val="6158778F"/>
    <w:rsid w:val="61587D6F"/>
    <w:rsid w:val="615A7643"/>
    <w:rsid w:val="617821BF"/>
    <w:rsid w:val="617D1584"/>
    <w:rsid w:val="617F2D1C"/>
    <w:rsid w:val="61891CD7"/>
    <w:rsid w:val="619F64B3"/>
    <w:rsid w:val="61A60ADB"/>
    <w:rsid w:val="61BE5E24"/>
    <w:rsid w:val="61D94A0C"/>
    <w:rsid w:val="61F05A3E"/>
    <w:rsid w:val="61F93300"/>
    <w:rsid w:val="620D6DAC"/>
    <w:rsid w:val="62255EA3"/>
    <w:rsid w:val="62312A9A"/>
    <w:rsid w:val="625E3163"/>
    <w:rsid w:val="626C68EC"/>
    <w:rsid w:val="6283706E"/>
    <w:rsid w:val="62922E0D"/>
    <w:rsid w:val="629923ED"/>
    <w:rsid w:val="62A87E16"/>
    <w:rsid w:val="62AC5D05"/>
    <w:rsid w:val="62C43294"/>
    <w:rsid w:val="62CA561A"/>
    <w:rsid w:val="62CD2097"/>
    <w:rsid w:val="62E53885"/>
    <w:rsid w:val="62E56A99"/>
    <w:rsid w:val="62FF66F4"/>
    <w:rsid w:val="631303F2"/>
    <w:rsid w:val="6313315F"/>
    <w:rsid w:val="631D301E"/>
    <w:rsid w:val="632C63D6"/>
    <w:rsid w:val="634369A5"/>
    <w:rsid w:val="63497970"/>
    <w:rsid w:val="6369632A"/>
    <w:rsid w:val="637172BE"/>
    <w:rsid w:val="63750765"/>
    <w:rsid w:val="63780D97"/>
    <w:rsid w:val="63807109"/>
    <w:rsid w:val="638D04AC"/>
    <w:rsid w:val="63901A42"/>
    <w:rsid w:val="6394652D"/>
    <w:rsid w:val="63A70B3A"/>
    <w:rsid w:val="63BC6393"/>
    <w:rsid w:val="63C45637"/>
    <w:rsid w:val="63C46DE2"/>
    <w:rsid w:val="63CA7358"/>
    <w:rsid w:val="63CB4828"/>
    <w:rsid w:val="63CD6C1F"/>
    <w:rsid w:val="63D3389E"/>
    <w:rsid w:val="63D538F9"/>
    <w:rsid w:val="63DF6C7F"/>
    <w:rsid w:val="63F43D7F"/>
    <w:rsid w:val="64061D04"/>
    <w:rsid w:val="64301F91"/>
    <w:rsid w:val="64393E88"/>
    <w:rsid w:val="643D60AF"/>
    <w:rsid w:val="64591E34"/>
    <w:rsid w:val="64632CB3"/>
    <w:rsid w:val="647C1FC7"/>
    <w:rsid w:val="647C5B23"/>
    <w:rsid w:val="64813139"/>
    <w:rsid w:val="648E2C3C"/>
    <w:rsid w:val="64A36AC6"/>
    <w:rsid w:val="64A56430"/>
    <w:rsid w:val="64CA2D32"/>
    <w:rsid w:val="64CC5B9B"/>
    <w:rsid w:val="64CE0B67"/>
    <w:rsid w:val="64D52505"/>
    <w:rsid w:val="64D81563"/>
    <w:rsid w:val="650F6997"/>
    <w:rsid w:val="65101439"/>
    <w:rsid w:val="6511270F"/>
    <w:rsid w:val="65202952"/>
    <w:rsid w:val="65340695"/>
    <w:rsid w:val="653E102A"/>
    <w:rsid w:val="65476131"/>
    <w:rsid w:val="656960A7"/>
    <w:rsid w:val="656E7B61"/>
    <w:rsid w:val="656F7435"/>
    <w:rsid w:val="65717652"/>
    <w:rsid w:val="657D5FF6"/>
    <w:rsid w:val="65924CA9"/>
    <w:rsid w:val="65A76BCF"/>
    <w:rsid w:val="65BB2793"/>
    <w:rsid w:val="65BC08CD"/>
    <w:rsid w:val="65D5373C"/>
    <w:rsid w:val="65DA6CFC"/>
    <w:rsid w:val="65DD5A8E"/>
    <w:rsid w:val="65F53DDF"/>
    <w:rsid w:val="65FB46E7"/>
    <w:rsid w:val="65FC33BF"/>
    <w:rsid w:val="65FC516D"/>
    <w:rsid w:val="66072189"/>
    <w:rsid w:val="66074213"/>
    <w:rsid w:val="66430FEE"/>
    <w:rsid w:val="664E2757"/>
    <w:rsid w:val="66567D7F"/>
    <w:rsid w:val="665C5C0C"/>
    <w:rsid w:val="66611474"/>
    <w:rsid w:val="66656C08"/>
    <w:rsid w:val="667027CF"/>
    <w:rsid w:val="6688694C"/>
    <w:rsid w:val="6691124C"/>
    <w:rsid w:val="66AC1952"/>
    <w:rsid w:val="66B22301"/>
    <w:rsid w:val="66B84A7F"/>
    <w:rsid w:val="66C043ED"/>
    <w:rsid w:val="66D41C46"/>
    <w:rsid w:val="66F50672"/>
    <w:rsid w:val="670818F0"/>
    <w:rsid w:val="670D4A21"/>
    <w:rsid w:val="671958AB"/>
    <w:rsid w:val="671D183F"/>
    <w:rsid w:val="672F4A82"/>
    <w:rsid w:val="675A65EF"/>
    <w:rsid w:val="67660A27"/>
    <w:rsid w:val="67696832"/>
    <w:rsid w:val="67696D84"/>
    <w:rsid w:val="677551D7"/>
    <w:rsid w:val="678E44EB"/>
    <w:rsid w:val="67980EC5"/>
    <w:rsid w:val="679B04E6"/>
    <w:rsid w:val="67B101D9"/>
    <w:rsid w:val="67B6759E"/>
    <w:rsid w:val="67C1041C"/>
    <w:rsid w:val="67D53EC8"/>
    <w:rsid w:val="67D918D5"/>
    <w:rsid w:val="67DD0FCE"/>
    <w:rsid w:val="67EB36EB"/>
    <w:rsid w:val="67EE6D37"/>
    <w:rsid w:val="67FD51CC"/>
    <w:rsid w:val="68076E78"/>
    <w:rsid w:val="68245589"/>
    <w:rsid w:val="682664D1"/>
    <w:rsid w:val="68295FC1"/>
    <w:rsid w:val="68467D69"/>
    <w:rsid w:val="68570D81"/>
    <w:rsid w:val="68777DD2"/>
    <w:rsid w:val="687E6683"/>
    <w:rsid w:val="68822B27"/>
    <w:rsid w:val="68833924"/>
    <w:rsid w:val="68994EF5"/>
    <w:rsid w:val="689A2A1B"/>
    <w:rsid w:val="68B00491"/>
    <w:rsid w:val="68B95597"/>
    <w:rsid w:val="68BC5088"/>
    <w:rsid w:val="68BE670A"/>
    <w:rsid w:val="68BE73E6"/>
    <w:rsid w:val="68C1269E"/>
    <w:rsid w:val="68CA50AF"/>
    <w:rsid w:val="68CF442F"/>
    <w:rsid w:val="68EF720B"/>
    <w:rsid w:val="69003081"/>
    <w:rsid w:val="690B012A"/>
    <w:rsid w:val="690B02EE"/>
    <w:rsid w:val="690B4321"/>
    <w:rsid w:val="691E53FA"/>
    <w:rsid w:val="69232A11"/>
    <w:rsid w:val="692857DA"/>
    <w:rsid w:val="692F585A"/>
    <w:rsid w:val="69344C1E"/>
    <w:rsid w:val="69605A13"/>
    <w:rsid w:val="69674CB3"/>
    <w:rsid w:val="697524ED"/>
    <w:rsid w:val="699658D9"/>
    <w:rsid w:val="69983CE0"/>
    <w:rsid w:val="69A55B1C"/>
    <w:rsid w:val="69B0699A"/>
    <w:rsid w:val="69C207E6"/>
    <w:rsid w:val="69C808D8"/>
    <w:rsid w:val="69CC30A8"/>
    <w:rsid w:val="69D34437"/>
    <w:rsid w:val="69D57C48"/>
    <w:rsid w:val="69DA1BE5"/>
    <w:rsid w:val="69E5416A"/>
    <w:rsid w:val="6A1567FD"/>
    <w:rsid w:val="6A1A2066"/>
    <w:rsid w:val="6A1C1694"/>
    <w:rsid w:val="6A1D43F7"/>
    <w:rsid w:val="6A295DBB"/>
    <w:rsid w:val="6A2D59D3"/>
    <w:rsid w:val="6A303461"/>
    <w:rsid w:val="6A3053E5"/>
    <w:rsid w:val="6A5A6906"/>
    <w:rsid w:val="6A601457"/>
    <w:rsid w:val="6A751DB0"/>
    <w:rsid w:val="6A766410"/>
    <w:rsid w:val="6A777A10"/>
    <w:rsid w:val="6AB44268"/>
    <w:rsid w:val="6AB73D58"/>
    <w:rsid w:val="6AB95533"/>
    <w:rsid w:val="6ACA3A8C"/>
    <w:rsid w:val="6ADC731B"/>
    <w:rsid w:val="6AE54422"/>
    <w:rsid w:val="6AF97ECD"/>
    <w:rsid w:val="6AFB5005"/>
    <w:rsid w:val="6AFE3735"/>
    <w:rsid w:val="6B037E0E"/>
    <w:rsid w:val="6B055FFE"/>
    <w:rsid w:val="6B113550"/>
    <w:rsid w:val="6B144D07"/>
    <w:rsid w:val="6B146AB5"/>
    <w:rsid w:val="6B376C47"/>
    <w:rsid w:val="6B427AC6"/>
    <w:rsid w:val="6B4355EC"/>
    <w:rsid w:val="6B5670CE"/>
    <w:rsid w:val="6B643D5C"/>
    <w:rsid w:val="6B6C0BDE"/>
    <w:rsid w:val="6B826114"/>
    <w:rsid w:val="6BA51E03"/>
    <w:rsid w:val="6BBD0EFB"/>
    <w:rsid w:val="6BC16C25"/>
    <w:rsid w:val="6BDA5F51"/>
    <w:rsid w:val="6BDB5825"/>
    <w:rsid w:val="6BDD2B0A"/>
    <w:rsid w:val="6BDE41BB"/>
    <w:rsid w:val="6BE20961"/>
    <w:rsid w:val="6BF40AC7"/>
    <w:rsid w:val="6BF6440D"/>
    <w:rsid w:val="6C07661A"/>
    <w:rsid w:val="6C0F54CE"/>
    <w:rsid w:val="6C137923"/>
    <w:rsid w:val="6C5462A8"/>
    <w:rsid w:val="6C7041BF"/>
    <w:rsid w:val="6C7354D3"/>
    <w:rsid w:val="6C7D04C4"/>
    <w:rsid w:val="6C917FD7"/>
    <w:rsid w:val="6C9D0D2C"/>
    <w:rsid w:val="6CB247D7"/>
    <w:rsid w:val="6CCB3AEB"/>
    <w:rsid w:val="6CD26C28"/>
    <w:rsid w:val="6CDA5ADC"/>
    <w:rsid w:val="6CDC7AA6"/>
    <w:rsid w:val="6CDE381E"/>
    <w:rsid w:val="6D002A36"/>
    <w:rsid w:val="6D1245BD"/>
    <w:rsid w:val="6D30167C"/>
    <w:rsid w:val="6D320DD4"/>
    <w:rsid w:val="6D4321EA"/>
    <w:rsid w:val="6D543AE1"/>
    <w:rsid w:val="6D6D06FE"/>
    <w:rsid w:val="6D7565C8"/>
    <w:rsid w:val="6DAE1443"/>
    <w:rsid w:val="6DB24BA6"/>
    <w:rsid w:val="6DB41A6A"/>
    <w:rsid w:val="6DD841E9"/>
    <w:rsid w:val="6DE07122"/>
    <w:rsid w:val="6DEE183F"/>
    <w:rsid w:val="6DF57072"/>
    <w:rsid w:val="6E0472B5"/>
    <w:rsid w:val="6E0E3FC2"/>
    <w:rsid w:val="6E1D0376"/>
    <w:rsid w:val="6E1D2124"/>
    <w:rsid w:val="6E20628D"/>
    <w:rsid w:val="6E2214E9"/>
    <w:rsid w:val="6E272FA3"/>
    <w:rsid w:val="6E401402"/>
    <w:rsid w:val="6E414065"/>
    <w:rsid w:val="6E4B4EE4"/>
    <w:rsid w:val="6E4F3E7D"/>
    <w:rsid w:val="6E5C0E9F"/>
    <w:rsid w:val="6E647D53"/>
    <w:rsid w:val="6E69533E"/>
    <w:rsid w:val="6E7F4B8D"/>
    <w:rsid w:val="6E82642B"/>
    <w:rsid w:val="6E8B4399"/>
    <w:rsid w:val="6E902505"/>
    <w:rsid w:val="6EAA3313"/>
    <w:rsid w:val="6ED60931"/>
    <w:rsid w:val="6EDA6267"/>
    <w:rsid w:val="6F173F34"/>
    <w:rsid w:val="6F3239AE"/>
    <w:rsid w:val="6F3574FF"/>
    <w:rsid w:val="6F6F7A6D"/>
    <w:rsid w:val="6F711F0A"/>
    <w:rsid w:val="6F806E0F"/>
    <w:rsid w:val="6F823912"/>
    <w:rsid w:val="6F842A78"/>
    <w:rsid w:val="6F9E1043"/>
    <w:rsid w:val="6FA7614A"/>
    <w:rsid w:val="6FBB0862"/>
    <w:rsid w:val="6FC77366"/>
    <w:rsid w:val="6FCF38F2"/>
    <w:rsid w:val="6FD809F9"/>
    <w:rsid w:val="6FD84D69"/>
    <w:rsid w:val="6FDE7692"/>
    <w:rsid w:val="70041C78"/>
    <w:rsid w:val="70106954"/>
    <w:rsid w:val="70205EFC"/>
    <w:rsid w:val="70345528"/>
    <w:rsid w:val="704C4F43"/>
    <w:rsid w:val="706C052F"/>
    <w:rsid w:val="70782DDA"/>
    <w:rsid w:val="708125A3"/>
    <w:rsid w:val="70853FB1"/>
    <w:rsid w:val="708A15C7"/>
    <w:rsid w:val="70B12FF8"/>
    <w:rsid w:val="70C655B0"/>
    <w:rsid w:val="70DE5680"/>
    <w:rsid w:val="70F565D1"/>
    <w:rsid w:val="71267542"/>
    <w:rsid w:val="71467BE4"/>
    <w:rsid w:val="714B6FA9"/>
    <w:rsid w:val="715440AF"/>
    <w:rsid w:val="7157594D"/>
    <w:rsid w:val="718E00DE"/>
    <w:rsid w:val="718F57A7"/>
    <w:rsid w:val="71922E29"/>
    <w:rsid w:val="71940C0B"/>
    <w:rsid w:val="71BB7860"/>
    <w:rsid w:val="71C07997"/>
    <w:rsid w:val="71C1726B"/>
    <w:rsid w:val="71F31B1A"/>
    <w:rsid w:val="720C6738"/>
    <w:rsid w:val="72175A01"/>
    <w:rsid w:val="72190E55"/>
    <w:rsid w:val="721E46BD"/>
    <w:rsid w:val="72440385"/>
    <w:rsid w:val="727C4C20"/>
    <w:rsid w:val="72914E8F"/>
    <w:rsid w:val="729821F8"/>
    <w:rsid w:val="729B7ABC"/>
    <w:rsid w:val="72A2709C"/>
    <w:rsid w:val="72B172DF"/>
    <w:rsid w:val="72BB3CBA"/>
    <w:rsid w:val="72C46922"/>
    <w:rsid w:val="72CC236B"/>
    <w:rsid w:val="72F74C81"/>
    <w:rsid w:val="72FB2DA0"/>
    <w:rsid w:val="72FD2105"/>
    <w:rsid w:val="731A4E85"/>
    <w:rsid w:val="73612AB3"/>
    <w:rsid w:val="73761484"/>
    <w:rsid w:val="73877A65"/>
    <w:rsid w:val="7395275D"/>
    <w:rsid w:val="73993FFB"/>
    <w:rsid w:val="73BD485C"/>
    <w:rsid w:val="73C92407"/>
    <w:rsid w:val="73D56FFD"/>
    <w:rsid w:val="73E01C2A"/>
    <w:rsid w:val="73EA0CFB"/>
    <w:rsid w:val="73ED07EB"/>
    <w:rsid w:val="74037497"/>
    <w:rsid w:val="7416389E"/>
    <w:rsid w:val="741A35F5"/>
    <w:rsid w:val="741C5C5A"/>
    <w:rsid w:val="743F3C99"/>
    <w:rsid w:val="7440091B"/>
    <w:rsid w:val="744228E5"/>
    <w:rsid w:val="745C726F"/>
    <w:rsid w:val="74604F28"/>
    <w:rsid w:val="74657CCC"/>
    <w:rsid w:val="74835482"/>
    <w:rsid w:val="748374FC"/>
    <w:rsid w:val="74876970"/>
    <w:rsid w:val="74877DC7"/>
    <w:rsid w:val="74884070"/>
    <w:rsid w:val="74936C9D"/>
    <w:rsid w:val="7499627D"/>
    <w:rsid w:val="74A54962"/>
    <w:rsid w:val="74DB35C2"/>
    <w:rsid w:val="752C70F1"/>
    <w:rsid w:val="753509E2"/>
    <w:rsid w:val="75385A96"/>
    <w:rsid w:val="755A3C4C"/>
    <w:rsid w:val="755E374E"/>
    <w:rsid w:val="7561323F"/>
    <w:rsid w:val="75660855"/>
    <w:rsid w:val="75693EA1"/>
    <w:rsid w:val="75705230"/>
    <w:rsid w:val="7577036C"/>
    <w:rsid w:val="757A1C0A"/>
    <w:rsid w:val="758313A1"/>
    <w:rsid w:val="75890D8F"/>
    <w:rsid w:val="75B043EA"/>
    <w:rsid w:val="75BC425E"/>
    <w:rsid w:val="75BC66C7"/>
    <w:rsid w:val="75FC2F67"/>
    <w:rsid w:val="760140DA"/>
    <w:rsid w:val="7608190C"/>
    <w:rsid w:val="76085468"/>
    <w:rsid w:val="760A7432"/>
    <w:rsid w:val="761756AB"/>
    <w:rsid w:val="764A5A81"/>
    <w:rsid w:val="764D731F"/>
    <w:rsid w:val="766A7ED1"/>
    <w:rsid w:val="76744178"/>
    <w:rsid w:val="767B0330"/>
    <w:rsid w:val="767E1BCE"/>
    <w:rsid w:val="76B07212"/>
    <w:rsid w:val="76C5258F"/>
    <w:rsid w:val="76C679B4"/>
    <w:rsid w:val="76D55E4D"/>
    <w:rsid w:val="76D90F68"/>
    <w:rsid w:val="76DB2B7D"/>
    <w:rsid w:val="76DD68F5"/>
    <w:rsid w:val="76F34A7F"/>
    <w:rsid w:val="76F37EC6"/>
    <w:rsid w:val="770245AD"/>
    <w:rsid w:val="770C0F88"/>
    <w:rsid w:val="77147E3D"/>
    <w:rsid w:val="771542E1"/>
    <w:rsid w:val="77184374"/>
    <w:rsid w:val="77253E2A"/>
    <w:rsid w:val="77277B70"/>
    <w:rsid w:val="77280C7C"/>
    <w:rsid w:val="77297D8C"/>
    <w:rsid w:val="77366005"/>
    <w:rsid w:val="773A78A3"/>
    <w:rsid w:val="773E0392"/>
    <w:rsid w:val="77482736"/>
    <w:rsid w:val="77660E93"/>
    <w:rsid w:val="779571D0"/>
    <w:rsid w:val="77980A6E"/>
    <w:rsid w:val="779A47E6"/>
    <w:rsid w:val="77A613DD"/>
    <w:rsid w:val="77AA0208"/>
    <w:rsid w:val="77AF3E74"/>
    <w:rsid w:val="77B5517C"/>
    <w:rsid w:val="77B91110"/>
    <w:rsid w:val="77BB58EB"/>
    <w:rsid w:val="77BC29AE"/>
    <w:rsid w:val="77C1540B"/>
    <w:rsid w:val="77D0645A"/>
    <w:rsid w:val="77DD6ED4"/>
    <w:rsid w:val="77E93077"/>
    <w:rsid w:val="77EB6DF0"/>
    <w:rsid w:val="7805352D"/>
    <w:rsid w:val="781022D1"/>
    <w:rsid w:val="7817380F"/>
    <w:rsid w:val="781E5417"/>
    <w:rsid w:val="78212811"/>
    <w:rsid w:val="782303E7"/>
    <w:rsid w:val="782C7B34"/>
    <w:rsid w:val="783C5E93"/>
    <w:rsid w:val="783E7320"/>
    <w:rsid w:val="78454752"/>
    <w:rsid w:val="784F2599"/>
    <w:rsid w:val="78650950"/>
    <w:rsid w:val="788D60F9"/>
    <w:rsid w:val="78947487"/>
    <w:rsid w:val="78A84CE1"/>
    <w:rsid w:val="78B83176"/>
    <w:rsid w:val="78C43643"/>
    <w:rsid w:val="78C733B9"/>
    <w:rsid w:val="78CB19C0"/>
    <w:rsid w:val="78CD2873"/>
    <w:rsid w:val="78CF2782"/>
    <w:rsid w:val="78D635FC"/>
    <w:rsid w:val="78F35EFE"/>
    <w:rsid w:val="78F974D7"/>
    <w:rsid w:val="78FF5669"/>
    <w:rsid w:val="79082E05"/>
    <w:rsid w:val="790F4D60"/>
    <w:rsid w:val="791B3965"/>
    <w:rsid w:val="79224A93"/>
    <w:rsid w:val="79233D9B"/>
    <w:rsid w:val="79254583"/>
    <w:rsid w:val="79286AA6"/>
    <w:rsid w:val="793275BA"/>
    <w:rsid w:val="793547C6"/>
    <w:rsid w:val="79420C91"/>
    <w:rsid w:val="79426EE3"/>
    <w:rsid w:val="79603293"/>
    <w:rsid w:val="79782905"/>
    <w:rsid w:val="79915775"/>
    <w:rsid w:val="799C4845"/>
    <w:rsid w:val="79A724F1"/>
    <w:rsid w:val="79B06543"/>
    <w:rsid w:val="79B53B59"/>
    <w:rsid w:val="79C1605A"/>
    <w:rsid w:val="79C475EA"/>
    <w:rsid w:val="79E87A8A"/>
    <w:rsid w:val="79F006ED"/>
    <w:rsid w:val="79FF3026"/>
    <w:rsid w:val="7A0B3779"/>
    <w:rsid w:val="7A1C14E2"/>
    <w:rsid w:val="7A1E525A"/>
    <w:rsid w:val="7A320132"/>
    <w:rsid w:val="7A385A6B"/>
    <w:rsid w:val="7A4B7878"/>
    <w:rsid w:val="7A5F2241"/>
    <w:rsid w:val="7A6D100D"/>
    <w:rsid w:val="7A794B87"/>
    <w:rsid w:val="7A984CF8"/>
    <w:rsid w:val="7ABD5D84"/>
    <w:rsid w:val="7AD14F03"/>
    <w:rsid w:val="7AE31458"/>
    <w:rsid w:val="7B0816F7"/>
    <w:rsid w:val="7B1F37B5"/>
    <w:rsid w:val="7B29035B"/>
    <w:rsid w:val="7B383F08"/>
    <w:rsid w:val="7B4231CA"/>
    <w:rsid w:val="7B492710"/>
    <w:rsid w:val="7B503AFC"/>
    <w:rsid w:val="7B597F67"/>
    <w:rsid w:val="7B825670"/>
    <w:rsid w:val="7B946370"/>
    <w:rsid w:val="7BB67714"/>
    <w:rsid w:val="7BB95F83"/>
    <w:rsid w:val="7BD33A5D"/>
    <w:rsid w:val="7BF1074D"/>
    <w:rsid w:val="7BF9995A"/>
    <w:rsid w:val="7BFA1CF7"/>
    <w:rsid w:val="7C066078"/>
    <w:rsid w:val="7C077F70"/>
    <w:rsid w:val="7C084414"/>
    <w:rsid w:val="7C0E12FE"/>
    <w:rsid w:val="7C2823C0"/>
    <w:rsid w:val="7C324FED"/>
    <w:rsid w:val="7C372603"/>
    <w:rsid w:val="7C3E73A7"/>
    <w:rsid w:val="7C3F1529"/>
    <w:rsid w:val="7C5238E1"/>
    <w:rsid w:val="7C5F16F8"/>
    <w:rsid w:val="7C6929D9"/>
    <w:rsid w:val="7C7C095E"/>
    <w:rsid w:val="7C896BD7"/>
    <w:rsid w:val="7C9D3E10"/>
    <w:rsid w:val="7C9E471D"/>
    <w:rsid w:val="7CA82FB1"/>
    <w:rsid w:val="7CAA7635"/>
    <w:rsid w:val="7CAF2E48"/>
    <w:rsid w:val="7CB122FF"/>
    <w:rsid w:val="7CE16DC7"/>
    <w:rsid w:val="7CE34539"/>
    <w:rsid w:val="7D060228"/>
    <w:rsid w:val="7D4A19AF"/>
    <w:rsid w:val="7D553689"/>
    <w:rsid w:val="7D586CD5"/>
    <w:rsid w:val="7D60202E"/>
    <w:rsid w:val="7D787377"/>
    <w:rsid w:val="7DA05FAF"/>
    <w:rsid w:val="7DBA67DE"/>
    <w:rsid w:val="7DC73E5B"/>
    <w:rsid w:val="7DCE109B"/>
    <w:rsid w:val="7DDF2F52"/>
    <w:rsid w:val="7DEF22B8"/>
    <w:rsid w:val="7DF53ACA"/>
    <w:rsid w:val="7DF7159A"/>
    <w:rsid w:val="7DFF35F5"/>
    <w:rsid w:val="7E0724A9"/>
    <w:rsid w:val="7E1001D8"/>
    <w:rsid w:val="7E590F57"/>
    <w:rsid w:val="7E723DC7"/>
    <w:rsid w:val="7E7C50A3"/>
    <w:rsid w:val="7E966EB3"/>
    <w:rsid w:val="7EA06B86"/>
    <w:rsid w:val="7EB22415"/>
    <w:rsid w:val="7EDB7B57"/>
    <w:rsid w:val="7EFE1AFE"/>
    <w:rsid w:val="7F0E4C61"/>
    <w:rsid w:val="7F405C73"/>
    <w:rsid w:val="7F533BF8"/>
    <w:rsid w:val="7F57345D"/>
    <w:rsid w:val="7F737DF6"/>
    <w:rsid w:val="7F767209"/>
    <w:rsid w:val="7F791185"/>
    <w:rsid w:val="7F7AA31C"/>
    <w:rsid w:val="7F7F4C0B"/>
    <w:rsid w:val="7F8536E7"/>
    <w:rsid w:val="7F853FCE"/>
    <w:rsid w:val="7F8A71CA"/>
    <w:rsid w:val="7F8E2E82"/>
    <w:rsid w:val="7F912972"/>
    <w:rsid w:val="7F9A22D3"/>
    <w:rsid w:val="7FAFBD55"/>
    <w:rsid w:val="7FDD22B1"/>
    <w:rsid w:val="7FDD34C2"/>
    <w:rsid w:val="7FE06DC1"/>
    <w:rsid w:val="DF7E19F6"/>
    <w:rsid w:val="DFFDC982"/>
    <w:rsid w:val="E0FD5F0A"/>
    <w:rsid w:val="FDFDC328"/>
    <w:rsid w:val="FFB620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jc w:val="center"/>
      <w:outlineLvl w:val="0"/>
    </w:pPr>
    <w:rPr>
      <w:rFonts w:ascii="楷体_GB2312" w:eastAsia="楷体_GB2312"/>
      <w:sz w:val="28"/>
      <w:szCs w:val="28"/>
    </w:rPr>
  </w:style>
  <w:style w:type="paragraph" w:styleId="4">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customStyle="1" w:styleId="2">
    <w:name w:val="Default"/>
    <w:basedOn w:val="1"/>
    <w:semiHidden/>
    <w:qFormat/>
    <w:uiPriority w:val="0"/>
    <w:pPr>
      <w:autoSpaceDE w:val="0"/>
      <w:autoSpaceDN w:val="0"/>
      <w:adjustRightInd w:val="0"/>
      <w:jc w:val="left"/>
    </w:pPr>
    <w:rPr>
      <w:rFonts w:ascii="宋体" w:hAnsi="Calibri" w:cs="宋体"/>
      <w:color w:val="000000"/>
      <w:kern w:val="0"/>
      <w:sz w:val="24"/>
    </w:rPr>
  </w:style>
  <w:style w:type="paragraph" w:styleId="6">
    <w:name w:val="annotation text"/>
    <w:basedOn w:val="1"/>
    <w:autoRedefine/>
    <w:qFormat/>
    <w:uiPriority w:val="0"/>
    <w:pPr>
      <w:jc w:val="left"/>
    </w:pPr>
  </w:style>
  <w:style w:type="paragraph" w:styleId="7">
    <w:name w:val="Body Text"/>
    <w:basedOn w:val="1"/>
    <w:semiHidden/>
    <w:qFormat/>
    <w:uiPriority w:val="0"/>
    <w:rPr>
      <w:rFonts w:ascii="仿宋" w:hAnsi="仿宋" w:eastAsia="仿宋" w:cs="仿宋"/>
      <w:sz w:val="31"/>
      <w:szCs w:val="31"/>
      <w:lang w:val="en-US" w:eastAsia="en-US" w:bidi="ar-SA"/>
    </w:rPr>
  </w:style>
  <w:style w:type="paragraph" w:styleId="8">
    <w:name w:val="Body Text Indent"/>
    <w:basedOn w:val="1"/>
    <w:next w:val="9"/>
    <w:unhideWhenUsed/>
    <w:qFormat/>
    <w:uiPriority w:val="99"/>
    <w:pPr>
      <w:spacing w:after="120"/>
      <w:ind w:left="420"/>
    </w:pPr>
  </w:style>
  <w:style w:type="paragraph" w:styleId="9">
    <w:name w:val="envelope return"/>
    <w:basedOn w:val="1"/>
    <w:qFormat/>
    <w:uiPriority w:val="99"/>
    <w:rPr>
      <w:rFonts w:ascii="Arial" w:hAnsi="Arial" w:cs="Arial"/>
    </w:rPr>
  </w:style>
  <w:style w:type="paragraph" w:styleId="10">
    <w:name w:val="Plain Text"/>
    <w:basedOn w:val="1"/>
    <w:qFormat/>
    <w:uiPriority w:val="99"/>
    <w:rPr>
      <w:rFonts w:ascii="宋体" w:hAnsi="Courier New"/>
    </w:rPr>
  </w:style>
  <w:style w:type="paragraph" w:styleId="11">
    <w:name w:val="footer"/>
    <w:basedOn w:val="1"/>
    <w:link w:val="32"/>
    <w:autoRedefine/>
    <w:qFormat/>
    <w:uiPriority w:val="0"/>
    <w:pPr>
      <w:tabs>
        <w:tab w:val="center" w:pos="4153"/>
        <w:tab w:val="right" w:pos="8306"/>
      </w:tabs>
      <w:snapToGrid w:val="0"/>
      <w:jc w:val="left"/>
    </w:pPr>
    <w:rPr>
      <w:sz w:val="18"/>
      <w:szCs w:val="18"/>
    </w:rPr>
  </w:style>
  <w:style w:type="paragraph" w:styleId="12">
    <w:name w:val="header"/>
    <w:basedOn w:val="1"/>
    <w:link w:val="31"/>
    <w:autoRedefine/>
    <w:qFormat/>
    <w:uiPriority w:val="0"/>
    <w:pPr>
      <w:pBdr>
        <w:bottom w:val="single" w:color="auto" w:sz="6" w:space="1"/>
      </w:pBdr>
      <w:tabs>
        <w:tab w:val="center" w:pos="4153"/>
        <w:tab w:val="right" w:pos="8306"/>
      </w:tabs>
      <w:snapToGrid w:val="0"/>
      <w:jc w:val="center"/>
    </w:pPr>
    <w:rPr>
      <w:sz w:val="18"/>
      <w:szCs w:val="18"/>
    </w:rPr>
  </w:style>
  <w:style w:type="paragraph" w:styleId="13">
    <w:name w:val="toc 6"/>
    <w:basedOn w:val="1"/>
    <w:next w:val="1"/>
    <w:qFormat/>
    <w:uiPriority w:val="0"/>
    <w:pPr>
      <w:ind w:left="2100"/>
    </w:pPr>
    <w:rPr>
      <w:rFonts w:ascii="Times New Roman" w:hAnsi="Times New Roman" w:eastAsia="宋体" w:cs="Times New Roman"/>
    </w:rPr>
  </w:style>
  <w:style w:type="paragraph" w:styleId="14">
    <w:name w:val="table of figures"/>
    <w:basedOn w:val="1"/>
    <w:next w:val="1"/>
    <w:unhideWhenUsed/>
    <w:qFormat/>
    <w:uiPriority w:val="0"/>
    <w:pPr>
      <w:spacing w:before="100" w:beforeAutospacing="1" w:after="100" w:afterAutospacing="1"/>
      <w:ind w:left="200" w:leftChars="200" w:hanging="200" w:hangingChars="200"/>
    </w:pPr>
    <w:rPr>
      <w:rFonts w:ascii="Wingdings" w:hAnsi="Wingdings" w:eastAsia="仿宋_GB2312" w:cs="宋体"/>
      <w:sz w:val="28"/>
      <w:szCs w:val="28"/>
    </w:rPr>
  </w:style>
  <w:style w:type="paragraph" w:styleId="15">
    <w:name w:val="Normal (Web)"/>
    <w:basedOn w:val="1"/>
    <w:autoRedefine/>
    <w:qFormat/>
    <w:uiPriority w:val="0"/>
    <w:pPr>
      <w:spacing w:beforeAutospacing="1" w:afterAutospacing="1"/>
      <w:jc w:val="left"/>
    </w:pPr>
    <w:rPr>
      <w:rFonts w:cs="Times New Roman"/>
      <w:kern w:val="0"/>
      <w:sz w:val="24"/>
    </w:rPr>
  </w:style>
  <w:style w:type="paragraph" w:styleId="16">
    <w:name w:val="Body Text First Indent"/>
    <w:basedOn w:val="1"/>
    <w:next w:val="13"/>
    <w:qFormat/>
    <w:uiPriority w:val="0"/>
    <w:pPr>
      <w:spacing w:line="360" w:lineRule="auto"/>
      <w:ind w:firstLine="200"/>
    </w:pPr>
  </w:style>
  <w:style w:type="paragraph" w:styleId="17">
    <w:name w:val="Body Text First Indent 2"/>
    <w:basedOn w:val="8"/>
    <w:next w:val="1"/>
    <w:qFormat/>
    <w:uiPriority w:val="0"/>
    <w:pPr>
      <w:ind w:firstLine="420"/>
    </w:pPr>
  </w:style>
  <w:style w:type="table" w:styleId="19">
    <w:name w:val="Table Grid"/>
    <w:basedOn w:val="18"/>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1">
    <w:name w:val="Strong"/>
    <w:basedOn w:val="20"/>
    <w:qFormat/>
    <w:uiPriority w:val="0"/>
    <w:rPr>
      <w:b/>
    </w:rPr>
  </w:style>
  <w:style w:type="character" w:styleId="22">
    <w:name w:val="page number"/>
    <w:qFormat/>
    <w:uiPriority w:val="0"/>
  </w:style>
  <w:style w:type="character" w:styleId="23">
    <w:name w:val="Emphasis"/>
    <w:qFormat/>
    <w:uiPriority w:val="0"/>
    <w:rPr>
      <w:i/>
    </w:rPr>
  </w:style>
  <w:style w:type="paragraph" w:customStyle="1" w:styleId="24">
    <w:name w:val="正文文本113"/>
    <w:basedOn w:val="1"/>
    <w:next w:val="25"/>
    <w:qFormat/>
    <w:uiPriority w:val="0"/>
    <w:pPr>
      <w:spacing w:after="120"/>
    </w:pPr>
    <w:rPr>
      <w:sz w:val="28"/>
    </w:rPr>
  </w:style>
  <w:style w:type="paragraph" w:customStyle="1" w:styleId="25">
    <w:name w:val="一级条标题"/>
    <w:basedOn w:val="26"/>
    <w:next w:val="27"/>
    <w:qFormat/>
    <w:uiPriority w:val="0"/>
    <w:pPr>
      <w:spacing w:before="0" w:after="0"/>
      <w:ind w:left="907" w:hanging="907"/>
      <w:outlineLvl w:val="2"/>
    </w:pPr>
    <w:rPr>
      <w:rFonts w:hAnsi="宋体"/>
      <w:sz w:val="20"/>
      <w:szCs w:val="20"/>
    </w:rPr>
  </w:style>
  <w:style w:type="paragraph" w:customStyle="1" w:styleId="26">
    <w:name w:val="章标题"/>
    <w:next w:val="1"/>
    <w:qFormat/>
    <w:uiPriority w:val="0"/>
    <w:pPr>
      <w:spacing w:before="50" w:after="50"/>
      <w:ind w:left="810" w:hanging="810"/>
      <w:jc w:val="both"/>
      <w:outlineLvl w:val="1"/>
    </w:pPr>
    <w:rPr>
      <w:rFonts w:hint="default" w:ascii="黑体" w:hAnsi="Calibri" w:eastAsia="黑体" w:cs="Times New Roman"/>
      <w:sz w:val="21"/>
      <w:szCs w:val="22"/>
    </w:rPr>
  </w:style>
  <w:style w:type="paragraph" w:customStyle="1" w:styleId="27">
    <w:name w:val="段"/>
    <w:next w:val="28"/>
    <w:qFormat/>
    <w:uiPriority w:val="0"/>
    <w:pPr>
      <w:widowControl w:val="0"/>
      <w:ind w:firstLine="200"/>
      <w:jc w:val="both"/>
    </w:pPr>
    <w:rPr>
      <w:rFonts w:hint="default" w:ascii="宋体" w:hAnsi="宋体" w:eastAsia="宋体" w:cs="宋体"/>
      <w:color w:val="000000"/>
      <w:sz w:val="21"/>
      <w:szCs w:val="21"/>
    </w:rPr>
  </w:style>
  <w:style w:type="paragraph" w:customStyle="1" w:styleId="28">
    <w:name w:val="正文 A"/>
    <w:next w:val="27"/>
    <w:qFormat/>
    <w:uiPriority w:val="0"/>
    <w:pPr>
      <w:widowControl w:val="0"/>
      <w:jc w:val="both"/>
    </w:pPr>
    <w:rPr>
      <w:rFonts w:hint="default" w:ascii="Calibri" w:hAnsi="Calibri" w:eastAsia="Calibri" w:cs="Calibri"/>
      <w:color w:val="000000"/>
      <w:sz w:val="21"/>
      <w:szCs w:val="21"/>
    </w:rPr>
  </w:style>
  <w:style w:type="paragraph" w:customStyle="1" w:styleId="29">
    <w:name w:val="正文首行缩进11"/>
    <w:basedOn w:val="24"/>
    <w:next w:val="1"/>
    <w:unhideWhenUsed/>
    <w:qFormat/>
    <w:uiPriority w:val="99"/>
    <w:pPr>
      <w:ind w:firstLine="420"/>
    </w:pPr>
    <w:rPr>
      <w:rFonts w:ascii="Times New Roman" w:hAnsi="Times New Roman"/>
    </w:rPr>
  </w:style>
  <w:style w:type="paragraph" w:customStyle="1" w:styleId="30">
    <w:name w:val="正文文本11"/>
    <w:basedOn w:val="1"/>
    <w:next w:val="1"/>
    <w:qFormat/>
    <w:uiPriority w:val="0"/>
    <w:rPr>
      <w:rFonts w:ascii="楷体_GB2312" w:hAnsi="Arial" w:eastAsia="楷体_GB2312"/>
      <w:sz w:val="28"/>
      <w:szCs w:val="28"/>
      <w:lang w:eastAsia="en-US"/>
    </w:rPr>
  </w:style>
  <w:style w:type="character" w:customStyle="1" w:styleId="31">
    <w:name w:val="页眉 Char"/>
    <w:basedOn w:val="20"/>
    <w:link w:val="12"/>
    <w:autoRedefine/>
    <w:qFormat/>
    <w:uiPriority w:val="0"/>
    <w:rPr>
      <w:rFonts w:asciiTheme="minorHAnsi" w:hAnsiTheme="minorHAnsi" w:eastAsiaTheme="minorEastAsia" w:cstheme="minorBidi"/>
      <w:kern w:val="2"/>
      <w:sz w:val="18"/>
      <w:szCs w:val="18"/>
    </w:rPr>
  </w:style>
  <w:style w:type="character" w:customStyle="1" w:styleId="32">
    <w:name w:val="页脚 Char"/>
    <w:basedOn w:val="20"/>
    <w:link w:val="11"/>
    <w:autoRedefine/>
    <w:qFormat/>
    <w:uiPriority w:val="0"/>
    <w:rPr>
      <w:rFonts w:asciiTheme="minorHAnsi" w:hAnsiTheme="minorHAnsi" w:eastAsiaTheme="minorEastAsia" w:cstheme="minorBidi"/>
      <w:kern w:val="2"/>
      <w:sz w:val="18"/>
      <w:szCs w:val="18"/>
    </w:rPr>
  </w:style>
  <w:style w:type="paragraph" w:customStyle="1" w:styleId="33">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34">
    <w:name w:val="正文首行缩进 21"/>
    <w:basedOn w:val="35"/>
    <w:qFormat/>
    <w:uiPriority w:val="0"/>
    <w:pPr>
      <w:ind w:firstLine="420"/>
    </w:pPr>
  </w:style>
  <w:style w:type="paragraph" w:customStyle="1" w:styleId="35">
    <w:name w:val="正文文本缩进1"/>
    <w:basedOn w:val="1"/>
    <w:qFormat/>
    <w:uiPriority w:val="0"/>
    <w:pPr>
      <w:spacing w:after="120"/>
      <w:ind w:left="420"/>
    </w:pPr>
  </w:style>
  <w:style w:type="paragraph" w:customStyle="1" w:styleId="36">
    <w:name w:val="普通(网站)1"/>
    <w:basedOn w:val="1"/>
    <w:qFormat/>
    <w:uiPriority w:val="0"/>
    <w:pPr>
      <w:spacing w:beforeAutospacing="1" w:afterAutospacing="1"/>
      <w:jc w:val="left"/>
    </w:pPr>
    <w:rPr>
      <w:rFonts w:cs="Times New Roman"/>
      <w:sz w:val="24"/>
    </w:rPr>
  </w:style>
  <w:style w:type="paragraph" w:customStyle="1" w:styleId="37">
    <w:name w:val="Table Text"/>
    <w:basedOn w:val="1"/>
    <w:semiHidden/>
    <w:qFormat/>
    <w:uiPriority w:val="0"/>
    <w:rPr>
      <w:rFonts w:ascii="宋体" w:hAnsi="宋体" w:eastAsia="宋体" w:cs="宋体"/>
      <w:sz w:val="20"/>
      <w:szCs w:val="20"/>
      <w:lang w:val="en-US" w:eastAsia="en-US" w:bidi="ar-SA"/>
    </w:rPr>
  </w:style>
  <w:style w:type="table" w:customStyle="1" w:styleId="38">
    <w:name w:val="Table Normal"/>
    <w:semiHidden/>
    <w:unhideWhenUsed/>
    <w:qFormat/>
    <w:uiPriority w:val="0"/>
    <w:tblPr>
      <w:tblCellMar>
        <w:top w:w="0" w:type="dxa"/>
        <w:left w:w="0" w:type="dxa"/>
        <w:bottom w:w="0" w:type="dxa"/>
        <w:right w:w="0" w:type="dxa"/>
      </w:tblCellMar>
    </w:tblPr>
  </w:style>
  <w:style w:type="paragraph" w:customStyle="1" w:styleId="39">
    <w:name w:val="Plain Text"/>
    <w:basedOn w:val="1"/>
    <w:qFormat/>
    <w:uiPriority w:val="0"/>
    <w:rPr>
      <w:rFonts w:ascii="宋体" w:hAnsi="Courier New"/>
      <w:sz w:val="28"/>
    </w:rPr>
  </w:style>
  <w:style w:type="paragraph" w:customStyle="1" w:styleId="40">
    <w:name w:val="标题 21"/>
    <w:basedOn w:val="1"/>
    <w:next w:val="1"/>
    <w:qFormat/>
    <w:uiPriority w:val="0"/>
    <w:pPr>
      <w:spacing w:before="100" w:beforeAutospacing="1" w:after="100" w:afterAutospacing="1" w:line="480" w:lineRule="exact"/>
      <w:jc w:val="center"/>
      <w:outlineLvl w:val="1"/>
    </w:pPr>
    <w:rPr>
      <w:rFonts w:ascii="宋体" w:hAnsi="宋体" w:eastAsia="宋体" w:cs="Times New Roman"/>
      <w:b/>
      <w:bCs/>
      <w:sz w:val="30"/>
      <w:szCs w:val="30"/>
    </w:rPr>
  </w:style>
  <w:style w:type="paragraph" w:customStyle="1" w:styleId="41">
    <w:name w:val="纯文本1"/>
    <w:basedOn w:val="1"/>
    <w:next w:val="1"/>
    <w:qFormat/>
    <w:uiPriority w:val="0"/>
    <w:rPr>
      <w:rFonts w:ascii="宋体" w:hAnsi="Courier New"/>
      <w:szCs w:val="22"/>
    </w:rPr>
  </w:style>
  <w:style w:type="paragraph" w:customStyle="1" w:styleId="42">
    <w:name w:val="正文缩进11"/>
    <w:basedOn w:val="1"/>
    <w:qFormat/>
    <w:uiPriority w:val="0"/>
    <w:pPr>
      <w:ind w:firstLine="42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55</Pages>
  <Words>21800</Words>
  <Characters>23016</Characters>
  <Lines>167</Lines>
  <Paragraphs>47</Paragraphs>
  <TotalTime>156</TotalTime>
  <ScaleCrop>false</ScaleCrop>
  <LinksUpToDate>false</LinksUpToDate>
  <CharactersWithSpaces>23448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2014-10-30T20:08:00Z</dcterms:created>
  <dc:creator>正式环境陈艳测试账号</dc:creator>
  <cp:lastModifiedBy>郑晨生</cp:lastModifiedBy>
  <cp:lastPrinted>2026-07-23T04:08:00Z</cp:lastPrinted>
  <dcterms:modified xsi:type="dcterms:W3CDTF">2026-08-03T00:34:16Z</dcterms:modified>
  <cp:revision>272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7A641FF2D5A94338894538197F8CC5F9_13</vt:lpwstr>
  </property>
  <property fmtid="{D5CDD505-2E9C-101B-9397-08002B2CF9AE}" pid="4" name="KSOTemplateDocerSaveRecord">
    <vt:lpwstr>eyJoZGlkIjoiODgxMjJhNjMyZGY4YjdjMDgxYjcxZDFjNzgxNmI0ZjAiLCJ1c2VySWQiOiIxMjIxMDI1Nzk4In0=</vt:lpwstr>
  </property>
</Properties>
</file>