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6"/>
        <w:jc w:val="center"/>
        <w:spacing w:line="360" w:lineRule="auto"/>
        <w:rPr>
          <w:rFonts w:hint="eastAsia"/>
          <w:b/>
          <w:bCs/>
          <w:color w:val="000000"/>
          <w:sz w:val="72"/>
          <w:szCs w:val="72"/>
          <w:highlight w:val="none"/>
        </w:rPr>
      </w:pPr>
      <w:r>
        <w:rPr>
          <w:rFonts w:hint="eastAsia"/>
          <w:b/>
          <w:bCs/>
          <w:color w:val="000000"/>
          <w:sz w:val="72"/>
          <w:szCs w:val="72"/>
          <w:highlight w:val="none"/>
        </w:rPr>
      </w:r>
      <w:r/>
    </w:p>
    <w:p>
      <w:pPr>
        <w:pStyle w:val="1166"/>
        <w:jc w:val="center"/>
        <w:spacing w:line="360" w:lineRule="auto"/>
        <w:rPr>
          <w:b/>
          <w:bCs/>
          <w:color w:val="000000"/>
          <w:sz w:val="72"/>
          <w:szCs w:val="72"/>
          <w:highlight w:val="none"/>
        </w:rPr>
      </w:pPr>
      <w:r>
        <w:rPr>
          <w:b/>
          <w:bCs/>
          <w:color w:val="000000"/>
          <w:sz w:val="72"/>
          <w:szCs w:val="72"/>
          <w:highlight w:val="none"/>
        </w:rPr>
      </w:r>
      <w:r/>
    </w:p>
    <w:p>
      <w:pPr>
        <w:pStyle w:val="1166"/>
        <w:jc w:val="center"/>
        <w:spacing w:after="156" w:line="480" w:lineRule="auto"/>
        <w:rPr>
          <w:b/>
          <w:bCs/>
          <w:color w:val="000000"/>
          <w:sz w:val="72"/>
          <w:szCs w:val="72"/>
          <w:highlight w:val="none"/>
        </w:rPr>
      </w:pPr>
      <w:r>
        <w:rPr>
          <w:b/>
          <w:bCs/>
          <w:color w:val="000000"/>
          <w:sz w:val="72"/>
          <w:szCs w:val="72"/>
          <w:highlight w:val="none"/>
        </w:rPr>
        <w:t xml:space="preserve">南京红十字血液中心</w:t>
      </w:r>
      <w:r>
        <w:rPr>
          <w:b/>
          <w:bCs/>
          <w:color w:val="000000"/>
          <w:sz w:val="72"/>
          <w:szCs w:val="72"/>
          <w:highlight w:val="none"/>
        </w:rPr>
      </w:r>
      <w:r/>
    </w:p>
    <w:p>
      <w:pPr>
        <w:pStyle w:val="1223"/>
        <w:ind w:firstLine="422"/>
        <w:rPr>
          <w:b/>
          <w:bCs/>
          <w:color w:val="000000"/>
          <w:highlight w:val="none"/>
        </w:rPr>
      </w:pPr>
      <w:r>
        <w:rPr>
          <w:b/>
          <w:bCs/>
          <w:color w:val="000000"/>
          <w:highlight w:val="none"/>
        </w:rPr>
      </w:r>
      <w:r/>
    </w:p>
    <w:p>
      <w:pPr>
        <w:pStyle w:val="1166"/>
        <w:jc w:val="center"/>
        <w:spacing w:after="156" w:line="480" w:lineRule="auto"/>
        <w:rPr>
          <w:color w:val="000000"/>
          <w:sz w:val="72"/>
          <w:szCs w:val="72"/>
          <w:highlight w:val="none"/>
        </w:rPr>
      </w:pPr>
      <w:r>
        <w:rPr>
          <w:rFonts w:hint="eastAsia"/>
          <w:b/>
          <w:bCs/>
          <w:color w:val="000000"/>
          <w:sz w:val="52"/>
          <w:szCs w:val="52"/>
          <w:highlight w:val="none"/>
        </w:rPr>
        <w:t xml:space="preserve">采血车采购项目</w:t>
      </w:r>
      <w:r>
        <w:rPr>
          <w:color w:val="000000"/>
          <w:sz w:val="72"/>
          <w:szCs w:val="72"/>
          <w:highlight w:val="none"/>
        </w:rPr>
      </w:r>
      <w:r/>
    </w:p>
    <w:p>
      <w:pPr>
        <w:pStyle w:val="1166"/>
        <w:jc w:val="center"/>
        <w:spacing w:after="156" w:line="480" w:lineRule="auto"/>
        <w:rPr>
          <w:color w:val="000000"/>
          <w:sz w:val="72"/>
          <w:szCs w:val="72"/>
          <w:highlight w:val="none"/>
        </w:rPr>
      </w:pPr>
      <w:r>
        <w:rPr>
          <w:color w:val="000000"/>
          <w:sz w:val="72"/>
          <w:szCs w:val="72"/>
          <w:highlight w:val="none"/>
        </w:rPr>
      </w:r>
      <w:r/>
    </w:p>
    <w:p>
      <w:pPr>
        <w:pStyle w:val="1166"/>
        <w:jc w:val="center"/>
        <w:spacing w:line="360" w:lineRule="auto"/>
        <w:rPr>
          <w:color w:val="000000"/>
          <w:sz w:val="72"/>
          <w:szCs w:val="72"/>
          <w:highlight w:val="none"/>
        </w:rPr>
      </w:pPr>
      <w:r>
        <w:rPr>
          <w:color w:val="000000"/>
          <w:sz w:val="72"/>
          <w:szCs w:val="72"/>
          <w:highlight w:val="none"/>
        </w:rPr>
      </w:r>
      <w:r/>
    </w:p>
    <w:p>
      <w:pPr>
        <w:pStyle w:val="1166"/>
        <w:jc w:val="center"/>
        <w:spacing w:line="360" w:lineRule="auto"/>
        <w:rPr>
          <w:b/>
          <w:bCs/>
          <w:color w:val="000000"/>
          <w:sz w:val="72"/>
          <w:szCs w:val="72"/>
          <w:highlight w:val="none"/>
        </w:rPr>
      </w:pPr>
      <w:r>
        <w:rPr>
          <w:b/>
          <w:bCs/>
          <w:color w:val="000000"/>
          <w:sz w:val="96"/>
          <w:szCs w:val="96"/>
          <w:highlight w:val="none"/>
        </w:rPr>
        <w:t xml:space="preserve">招 标 文 件</w:t>
      </w:r>
      <w:r>
        <w:rPr>
          <w:b/>
          <w:bCs/>
          <w:color w:val="000000"/>
          <w:sz w:val="72"/>
          <w:szCs w:val="72"/>
          <w:highlight w:val="none"/>
        </w:rPr>
      </w:r>
      <w:r/>
    </w:p>
    <w:p>
      <w:pPr>
        <w:pStyle w:val="1166"/>
        <w:jc w:val="center"/>
        <w:spacing w:line="360" w:lineRule="auto"/>
        <w:rPr>
          <w:b/>
          <w:bCs/>
          <w:color w:val="000000"/>
          <w:sz w:val="36"/>
          <w:szCs w:val="36"/>
          <w:highlight w:val="none"/>
        </w:rPr>
      </w:pPr>
      <w:r>
        <w:rPr>
          <w:b/>
          <w:bCs/>
          <w:color w:val="000000"/>
          <w:sz w:val="36"/>
          <w:szCs w:val="36"/>
          <w:highlight w:val="none"/>
        </w:rPr>
        <w:t xml:space="preserve">招标编号：</w:t>
      </w:r>
      <w:r>
        <w:rPr>
          <w:rFonts w:hint="eastAsia"/>
          <w:b/>
          <w:bCs/>
          <w:color w:val="000000"/>
          <w:sz w:val="36"/>
          <w:szCs w:val="36"/>
          <w:highlight w:val="none"/>
          <w:lang w:eastAsia="zh-CN"/>
        </w:rPr>
        <w:t xml:space="preserve">JSZC-320100-SMDY-G2026-0071</w:t>
      </w:r>
      <w:r>
        <w:rPr>
          <w:b/>
          <w:bCs/>
          <w:color w:val="000000"/>
          <w:sz w:val="36"/>
          <w:szCs w:val="36"/>
          <w:highlight w:val="none"/>
        </w:rPr>
        <w:t xml:space="preserve">（</w:t>
      </w:r>
      <w:r>
        <w:rPr>
          <w:rFonts w:hint="eastAsia"/>
          <w:b/>
          <w:bCs/>
          <w:color w:val="000000"/>
          <w:sz w:val="36"/>
          <w:szCs w:val="36"/>
          <w:highlight w:val="none"/>
          <w:lang w:eastAsia="zh-CN"/>
        </w:rPr>
        <w:t xml:space="preserve">2640SUMEC/ZWHD2149</w:t>
      </w:r>
      <w:r>
        <w:rPr>
          <w:b/>
          <w:bCs/>
          <w:color w:val="000000"/>
          <w:sz w:val="36"/>
          <w:szCs w:val="36"/>
          <w:highlight w:val="none"/>
        </w:rPr>
        <w:t xml:space="preserve">）</w:t>
      </w:r>
      <w:r>
        <w:rPr>
          <w:b/>
          <w:bCs/>
          <w:color w:val="000000"/>
          <w:sz w:val="36"/>
          <w:szCs w:val="36"/>
          <w:highlight w:val="none"/>
        </w:rPr>
      </w:r>
      <w:r/>
    </w:p>
    <w:p>
      <w:pPr>
        <w:pStyle w:val="1166"/>
        <w:jc w:val="left"/>
        <w:spacing w:line="440" w:lineRule="exact"/>
        <w:rPr>
          <w:b/>
          <w:bCs/>
          <w:color w:val="000000"/>
          <w:sz w:val="72"/>
          <w:szCs w:val="72"/>
          <w:highlight w:val="none"/>
        </w:rPr>
      </w:pPr>
      <w:r>
        <w:rPr>
          <w:b/>
          <w:bCs/>
          <w:color w:val="000000"/>
          <w:sz w:val="72"/>
          <w:szCs w:val="72"/>
          <w:highlight w:val="none"/>
        </w:rPr>
      </w:r>
      <w:r/>
    </w:p>
    <w:p>
      <w:pPr>
        <w:pStyle w:val="1166"/>
        <w:jc w:val="left"/>
        <w:spacing w:line="440" w:lineRule="exact"/>
        <w:rPr>
          <w:b/>
          <w:bCs/>
          <w:color w:val="000000"/>
          <w:sz w:val="72"/>
          <w:szCs w:val="72"/>
          <w:highlight w:val="none"/>
        </w:rPr>
      </w:pPr>
      <w:r>
        <w:rPr>
          <w:b/>
          <w:bCs/>
          <w:color w:val="000000"/>
          <w:sz w:val="72"/>
          <w:szCs w:val="72"/>
          <w:highlight w:val="none"/>
        </w:rPr>
      </w:r>
      <w:r/>
    </w:p>
    <w:p>
      <w:pPr>
        <w:pStyle w:val="1166"/>
        <w:jc w:val="center"/>
        <w:spacing w:line="440" w:lineRule="exact"/>
        <w:rPr>
          <w:b/>
          <w:bCs/>
          <w:color w:val="000000"/>
          <w:sz w:val="72"/>
          <w:szCs w:val="72"/>
          <w:highlight w:val="none"/>
        </w:rPr>
      </w:pPr>
      <w:r>
        <w:rPr>
          <w:b/>
          <w:bCs/>
          <w:color w:val="000000"/>
          <w:sz w:val="72"/>
          <w:szCs w:val="72"/>
          <w:highlight w:val="none"/>
        </w:rPr>
      </w:r>
      <w:r/>
    </w:p>
    <w:p>
      <w:pPr>
        <w:pStyle w:val="1166"/>
        <w:spacing w:line="360" w:lineRule="auto"/>
        <w:rPr>
          <w:b/>
          <w:bCs/>
          <w:color w:val="000000"/>
          <w:sz w:val="72"/>
          <w:szCs w:val="72"/>
          <w:highlight w:val="none"/>
        </w:rPr>
      </w:pPr>
      <w:r>
        <w:rPr>
          <w:b/>
          <w:bCs/>
          <w:color w:val="000000"/>
          <w:sz w:val="72"/>
          <w:szCs w:val="72"/>
          <w:highlight w:val="none"/>
        </w:rPr>
      </w:r>
      <w:r/>
    </w:p>
    <w:p>
      <w:pPr>
        <w:pStyle w:val="1182"/>
        <w:rPr>
          <w:rFonts w:ascii="Times New Roman"/>
          <w:color w:val="000000"/>
          <w:highlight w:val="none"/>
        </w:rPr>
      </w:pPr>
      <w:r>
        <w:rPr>
          <w:rFonts w:ascii="Times New Roman"/>
          <w:color w:val="000000"/>
          <w:highlight w:val="none"/>
        </w:rPr>
      </w:r>
      <w:r/>
    </w:p>
    <w:p>
      <w:pPr>
        <w:pStyle w:val="1166"/>
        <w:jc w:val="center"/>
        <w:spacing w:line="360" w:lineRule="auto"/>
        <w:rPr>
          <w:b/>
          <w:bCs/>
          <w:color w:val="000000"/>
          <w:sz w:val="32"/>
          <w:szCs w:val="32"/>
          <w:highlight w:val="none"/>
        </w:rPr>
      </w:pPr>
      <w:r>
        <w:rPr>
          <w:b/>
          <w:bCs/>
          <w:color w:val="000000"/>
          <w:sz w:val="32"/>
          <w:szCs w:val="32"/>
          <w:highlight w:val="none"/>
        </w:rPr>
        <w:t xml:space="preserve">采购代理机构：江苏苏美达仪器设备有限公司</w:t>
      </w:r>
      <w:r>
        <w:rPr>
          <w:b/>
          <w:bCs/>
          <w:color w:val="000000"/>
          <w:sz w:val="32"/>
          <w:szCs w:val="32"/>
          <w:highlight w:val="none"/>
        </w:rPr>
      </w:r>
      <w:r/>
    </w:p>
    <w:p>
      <w:pPr>
        <w:pStyle w:val="1166"/>
        <w:jc w:val="center"/>
        <w:spacing w:line="360" w:lineRule="auto"/>
        <w:rPr>
          <w:b/>
          <w:color w:val="000000"/>
          <w:sz w:val="32"/>
          <w:szCs w:val="22"/>
          <w:highlight w:val="none"/>
        </w:rPr>
      </w:pPr>
      <w:r>
        <w:rPr>
          <w:b/>
          <w:bCs/>
          <w:color w:val="000000"/>
          <w:sz w:val="32"/>
          <w:szCs w:val="32"/>
          <w:highlight w:val="none"/>
        </w:rPr>
        <w:t xml:space="preserve">2026年</w:t>
      </w:r>
      <w:r>
        <w:rPr>
          <w:rFonts w:hint="eastAsia"/>
          <w:b/>
          <w:bCs/>
          <w:color w:val="000000"/>
          <w:sz w:val="32"/>
          <w:szCs w:val="32"/>
          <w:highlight w:val="none"/>
          <w:lang w:val="en-US" w:eastAsia="zh-CN"/>
        </w:rPr>
        <w:t xml:space="preserve">8</w:t>
      </w:r>
      <w:r>
        <w:rPr>
          <w:b/>
          <w:bCs/>
          <w:color w:val="000000"/>
          <w:sz w:val="32"/>
          <w:szCs w:val="32"/>
          <w:highlight w:val="none"/>
        </w:rPr>
        <w:t xml:space="preserve">月</w:t>
      </w:r>
      <w:r>
        <w:rPr>
          <w:b/>
          <w:color w:val="000000"/>
          <w:sz w:val="32"/>
          <w:szCs w:val="22"/>
          <w:highlight w:val="none"/>
        </w:rPr>
      </w:r>
      <w:r/>
    </w:p>
    <w:p>
      <w:pPr>
        <w:pStyle w:val="1166"/>
        <w:jc w:val="center"/>
        <w:spacing w:line="360" w:lineRule="auto"/>
        <w:rPr>
          <w:b/>
          <w:color w:val="000000"/>
          <w:sz w:val="32"/>
          <w:szCs w:val="22"/>
          <w:highlight w:val="none"/>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1701" w:equalWidth="1"/>
          <w:docGrid w:linePitch="360"/>
        </w:sectPr>
      </w:pPr>
      <w:r>
        <w:rPr>
          <w:b/>
          <w:color w:val="000000"/>
          <w:sz w:val="32"/>
          <w:szCs w:val="22"/>
          <w:highlight w:val="none"/>
        </w:rPr>
      </w:r>
      <w:r/>
    </w:p>
    <w:p>
      <w:pPr>
        <w:pStyle w:val="1166"/>
        <w:jc w:val="center"/>
        <w:spacing w:line="440" w:lineRule="exact"/>
        <w:rPr>
          <w:b/>
          <w:color w:val="000000"/>
          <w:sz w:val="32"/>
          <w:highlight w:val="none"/>
        </w:rPr>
      </w:pPr>
      <w:r>
        <w:rPr>
          <w:b/>
          <w:color w:val="000000"/>
          <w:sz w:val="32"/>
          <w:highlight w:val="none"/>
        </w:rPr>
        <w:t xml:space="preserve">目   录</w:t>
      </w:r>
      <w:r>
        <w:rPr>
          <w:b/>
          <w:color w:val="000000"/>
          <w:sz w:val="32"/>
          <w:highlight w:val="none"/>
        </w:rPr>
      </w:r>
      <w:r/>
    </w:p>
    <w:p>
      <w:pPr>
        <w:pStyle w:val="1201"/>
        <w:tabs>
          <w:tab w:val="right" w:pos="9638" w:leader="dot"/>
        </w:tabs>
      </w:pPr>
      <w:r>
        <w:rPr>
          <w:bCs/>
          <w:color w:val="000000"/>
          <w:sz w:val="24"/>
          <w:highlight w:val="none"/>
        </w:rPr>
        <w:fldChar w:fldCharType="begin"/>
      </w:r>
      <w:r>
        <w:rPr>
          <w:bCs/>
          <w:color w:val="000000"/>
          <w:sz w:val="24"/>
          <w:highlight w:val="none"/>
        </w:rPr>
        <w:instrText xml:space="preserve">TOC \o "1-3" \h \u </w:instrText>
      </w:r>
      <w:r>
        <w:rPr>
          <w:bCs/>
          <w:color w:val="000000"/>
          <w:sz w:val="24"/>
          <w:highlight w:val="none"/>
        </w:rPr>
        <w:fldChar w:fldCharType="separate"/>
      </w:r>
      <w:r>
        <w:rPr>
          <w:bCs/>
          <w:color w:val="000000"/>
          <w:highlight w:val="none"/>
        </w:rPr>
        <w:fldChar w:fldCharType="begin"/>
      </w:r>
      <w:r>
        <w:rPr>
          <w:bCs/>
          <w:highlight w:val="none"/>
        </w:rPr>
        <w:instrText xml:space="preserve"> HYPERLINK \l _Toc11566 </w:instrText>
      </w:r>
      <w:r>
        <w:rPr>
          <w:bCs/>
          <w:highlight w:val="none"/>
        </w:rPr>
        <w:fldChar w:fldCharType="separate"/>
      </w:r>
      <w:r>
        <w:rPr>
          <w:szCs w:val="28"/>
        </w:rPr>
        <w:t xml:space="preserve">第一章 </w:t>
      </w:r>
      <w:r>
        <w:rPr>
          <w:szCs w:val="28"/>
          <w:highlight w:val="none"/>
        </w:rPr>
        <w:t xml:space="preserve">招标公告</w:t>
      </w:r>
      <w:r>
        <w:tab/>
      </w:r>
      <w:r>
        <w:fldChar w:fldCharType="begin"/>
      </w:r>
      <w:r>
        <w:instrText xml:space="preserve"> PAGEREF _Toc11566 \h </w:instrText>
      </w:r>
      <w:r>
        <w:fldChar w:fldCharType="separate"/>
      </w:r>
      <w:r>
        <w:t xml:space="preserve">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_Toc16062 </w:instrText>
      </w:r>
      <w:r>
        <w:rPr>
          <w:bCs/>
          <w:highlight w:val="none"/>
        </w:rPr>
        <w:fldChar w:fldCharType="separate"/>
      </w:r>
      <w:r>
        <w:rPr>
          <w:rFonts w:ascii="Times New Roman" w:hAnsi="Times New Roman" w:eastAsia="宋体"/>
          <w:szCs w:val="21"/>
          <w:highlight w:val="none"/>
        </w:rPr>
        <w:t xml:space="preserve">一、项目基本情况</w:t>
      </w:r>
      <w:r>
        <w:tab/>
      </w:r>
      <w:r>
        <w:fldChar w:fldCharType="begin"/>
      </w:r>
      <w:r>
        <w:instrText xml:space="preserve"> PAGEREF _Toc16062 \h </w:instrText>
      </w:r>
      <w:r>
        <w:fldChar w:fldCharType="separate"/>
      </w:r>
      <w:r>
        <w:t xml:space="preserve">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_Toc7479 </w:instrText>
      </w:r>
      <w:r>
        <w:rPr>
          <w:bCs/>
          <w:highlight w:val="none"/>
        </w:rPr>
        <w:fldChar w:fldCharType="separate"/>
      </w:r>
      <w:r>
        <w:rPr>
          <w:rFonts w:ascii="Times New Roman" w:hAnsi="Times New Roman" w:eastAsia="宋体"/>
          <w:szCs w:val="21"/>
          <w:highlight w:val="none"/>
        </w:rPr>
        <w:t xml:space="preserve">二、申请人的资格要求：</w:t>
      </w:r>
      <w:r>
        <w:tab/>
      </w:r>
      <w:r>
        <w:fldChar w:fldCharType="begin"/>
      </w:r>
      <w:r>
        <w:instrText xml:space="preserve"> PAGEREF _Toc7479 \h </w:instrText>
      </w:r>
      <w:r>
        <w:fldChar w:fldCharType="separate"/>
      </w:r>
      <w:r>
        <w:t xml:space="preserve">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_Toc32122 </w:instrText>
      </w:r>
      <w:r>
        <w:rPr>
          <w:bCs/>
          <w:highlight w:val="none"/>
        </w:rPr>
        <w:fldChar w:fldCharType="separate"/>
      </w:r>
      <w:r>
        <w:rPr>
          <w:rFonts w:ascii="Times New Roman" w:hAnsi="Times New Roman" w:eastAsia="宋体"/>
          <w:szCs w:val="21"/>
          <w:highlight w:val="none"/>
        </w:rPr>
        <w:t xml:space="preserve">三、获取招标文件</w:t>
      </w:r>
      <w:r>
        <w:tab/>
      </w:r>
      <w:r>
        <w:fldChar w:fldCharType="begin"/>
      </w:r>
      <w:r>
        <w:instrText xml:space="preserve"> PAGEREF _Toc32122 \h </w:instrText>
      </w:r>
      <w:r>
        <w:fldChar w:fldCharType="separate"/>
      </w:r>
      <w:r>
        <w:t xml:space="preserve">3</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_Toc2586 </w:instrText>
      </w:r>
      <w:r>
        <w:rPr>
          <w:bCs/>
          <w:highlight w:val="none"/>
        </w:rPr>
        <w:fldChar w:fldCharType="separate"/>
      </w:r>
      <w:r>
        <w:rPr>
          <w:rFonts w:ascii="Times New Roman" w:hAnsi="Times New Roman" w:eastAsia="宋体"/>
          <w:szCs w:val="21"/>
          <w:highlight w:val="none"/>
        </w:rPr>
        <w:t xml:space="preserve">四、提交投标文件截止时间、开标时间和地点</w:t>
      </w:r>
      <w:r>
        <w:tab/>
      </w:r>
      <w:r>
        <w:fldChar w:fldCharType="begin"/>
      </w:r>
      <w:r>
        <w:instrText xml:space="preserve"> PAGEREF _Toc2586 \h </w:instrText>
      </w:r>
      <w:r>
        <w:fldChar w:fldCharType="separate"/>
      </w:r>
      <w:r>
        <w:t xml:space="preserve">3</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_Toc15025 </w:instrText>
      </w:r>
      <w:r>
        <w:rPr>
          <w:bCs/>
          <w:highlight w:val="none"/>
        </w:rPr>
        <w:fldChar w:fldCharType="separate"/>
      </w:r>
      <w:r>
        <w:rPr>
          <w:rFonts w:ascii="Times New Roman" w:hAnsi="Times New Roman" w:eastAsia="宋体"/>
          <w:szCs w:val="21"/>
          <w:highlight w:val="none"/>
        </w:rPr>
        <w:t xml:space="preserve">五、公告期限</w:t>
      </w:r>
      <w:r>
        <w:tab/>
      </w:r>
      <w:r>
        <w:fldChar w:fldCharType="begin"/>
      </w:r>
      <w:r>
        <w:instrText xml:space="preserve"> PAGEREF _Toc15025 \h </w:instrText>
      </w:r>
      <w:r>
        <w:fldChar w:fldCharType="separate"/>
      </w:r>
      <w:r>
        <w:t xml:space="preserve">3</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_Toc18804 </w:instrText>
      </w:r>
      <w:r>
        <w:rPr>
          <w:bCs/>
          <w:highlight w:val="none"/>
        </w:rPr>
        <w:fldChar w:fldCharType="separate"/>
      </w:r>
      <w:r>
        <w:rPr>
          <w:rFonts w:ascii="Times New Roman" w:hAnsi="Times New Roman" w:eastAsia="宋体"/>
          <w:szCs w:val="21"/>
          <w:highlight w:val="none"/>
        </w:rPr>
        <w:t xml:space="preserve">六、其他补充事宜</w:t>
      </w:r>
      <w:r>
        <w:tab/>
      </w:r>
      <w:r>
        <w:fldChar w:fldCharType="begin"/>
      </w:r>
      <w:r>
        <w:instrText xml:space="preserve"> PAGEREF _Toc18804 \h </w:instrText>
      </w:r>
      <w:r>
        <w:fldChar w:fldCharType="separate"/>
      </w:r>
      <w:r>
        <w:t xml:space="preserve">3</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_Toc4039 </w:instrText>
      </w:r>
      <w:r>
        <w:rPr>
          <w:bCs/>
          <w:highlight w:val="none"/>
        </w:rPr>
        <w:fldChar w:fldCharType="separate"/>
      </w:r>
      <w:r>
        <w:rPr>
          <w:rFonts w:ascii="Times New Roman" w:hAnsi="Times New Roman" w:eastAsia="宋体"/>
          <w:szCs w:val="21"/>
          <w:highlight w:val="none"/>
        </w:rPr>
        <w:t xml:space="preserve">七、对本次招标提出询问，请按以下方式联系。</w:t>
      </w:r>
      <w:r>
        <w:tab/>
      </w:r>
      <w:r>
        <w:fldChar w:fldCharType="begin"/>
      </w:r>
      <w:r>
        <w:instrText xml:space="preserve"> PAGEREF _Toc4039 \h </w:instrText>
      </w:r>
      <w:r>
        <w:fldChar w:fldCharType="separate"/>
      </w:r>
      <w:r>
        <w:t xml:space="preserve">5</w:t>
      </w:r>
      <w:r>
        <w:fldChar w:fldCharType="end"/>
      </w:r>
      <w:r>
        <w:rPr>
          <w:bCs/>
          <w:color w:val="000000"/>
          <w:highlight w:val="none"/>
        </w:rPr>
        <w:fldChar w:fldCharType="end"/>
      </w:r>
      <w:r/>
    </w:p>
    <w:p>
      <w:pPr>
        <w:pStyle w:val="1201"/>
        <w:tabs>
          <w:tab w:val="right" w:pos="9638" w:leader="dot"/>
        </w:tabs>
      </w:pPr>
      <w:r>
        <w:rPr>
          <w:bCs/>
          <w:color w:val="000000"/>
          <w:highlight w:val="none"/>
        </w:rPr>
        <w:fldChar w:fldCharType="begin"/>
      </w:r>
      <w:r>
        <w:rPr>
          <w:bCs/>
          <w:highlight w:val="none"/>
        </w:rPr>
        <w:instrText xml:space="preserve"> HYPERLINK \l _Toc10351 </w:instrText>
      </w:r>
      <w:r>
        <w:rPr>
          <w:bCs/>
          <w:highlight w:val="none"/>
        </w:rPr>
        <w:fldChar w:fldCharType="separate"/>
      </w:r>
      <w:r>
        <w:rPr>
          <w:szCs w:val="28"/>
          <w:highlight w:val="none"/>
        </w:rPr>
        <w:t xml:space="preserve">第二章 投标人须知</w:t>
      </w:r>
      <w:r>
        <w:tab/>
      </w:r>
      <w:r>
        <w:fldChar w:fldCharType="begin"/>
      </w:r>
      <w:r>
        <w:instrText xml:space="preserve"> PAGEREF _Toc10351 \h </w:instrText>
      </w:r>
      <w:r>
        <w:fldChar w:fldCharType="separate"/>
      </w:r>
      <w:r>
        <w:t xml:space="preserve">6</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_Toc4418 </w:instrText>
      </w:r>
      <w:r>
        <w:rPr>
          <w:bCs/>
          <w:highlight w:val="none"/>
        </w:rPr>
        <w:fldChar w:fldCharType="separate"/>
      </w:r>
      <w:r>
        <w:rPr>
          <w:bCs/>
          <w:highlight w:val="none"/>
        </w:rPr>
        <w:t xml:space="preserve">一、总 则</w:t>
      </w:r>
      <w:r>
        <w:tab/>
      </w:r>
      <w:r>
        <w:fldChar w:fldCharType="begin"/>
      </w:r>
      <w:r>
        <w:instrText xml:space="preserve"> PAGEREF _Toc4418 \h </w:instrText>
      </w:r>
      <w:r>
        <w:fldChar w:fldCharType="separate"/>
      </w:r>
      <w:r>
        <w:t xml:space="preserve">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_Toc7511 </w:instrText>
      </w:r>
      <w:r>
        <w:rPr>
          <w:bCs/>
          <w:highlight w:val="none"/>
        </w:rPr>
        <w:fldChar w:fldCharType="separate"/>
      </w:r>
      <w:r>
        <w:rPr>
          <w:bCs/>
          <w:szCs w:val="21"/>
          <w:highlight w:val="none"/>
          <w:lang w:val="zh-CN"/>
        </w:rPr>
        <w:t xml:space="preserve">1.</w:t>
      </w:r>
      <w:r>
        <w:rPr>
          <w:szCs w:val="21"/>
          <w:highlight w:val="none"/>
          <w:lang w:val="zh-CN"/>
        </w:rPr>
        <w:t xml:space="preserve">适用法律</w:t>
      </w:r>
      <w:r>
        <w:tab/>
      </w:r>
      <w:r>
        <w:fldChar w:fldCharType="begin"/>
      </w:r>
      <w:r>
        <w:instrText xml:space="preserve"> PAGEREF _Toc7511 \h </w:instrText>
      </w:r>
      <w:r>
        <w:fldChar w:fldCharType="separate"/>
      </w:r>
      <w:r>
        <w:t xml:space="preserve">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_Toc18587 </w:instrText>
      </w:r>
      <w:r>
        <w:rPr>
          <w:bCs/>
          <w:highlight w:val="none"/>
        </w:rPr>
        <w:fldChar w:fldCharType="separate"/>
      </w:r>
      <w:r>
        <w:rPr>
          <w:bCs/>
          <w:szCs w:val="21"/>
          <w:highlight w:val="none"/>
          <w:lang w:val="zh-CN"/>
        </w:rPr>
        <w:t xml:space="preserve">2.</w:t>
      </w:r>
      <w:r>
        <w:rPr>
          <w:szCs w:val="21"/>
          <w:highlight w:val="none"/>
          <w:lang w:val="zh-CN"/>
        </w:rPr>
        <w:t xml:space="preserve">定义</w:t>
      </w:r>
      <w:r>
        <w:tab/>
      </w:r>
      <w:r>
        <w:fldChar w:fldCharType="begin"/>
      </w:r>
      <w:r>
        <w:instrText xml:space="preserve"> PAGEREF _Toc18587 \h </w:instrText>
      </w:r>
      <w:r>
        <w:fldChar w:fldCharType="separate"/>
      </w:r>
      <w:r>
        <w:t xml:space="preserve">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_Toc11958 </w:instrText>
      </w:r>
      <w:r>
        <w:rPr>
          <w:bCs/>
          <w:highlight w:val="none"/>
        </w:rPr>
        <w:fldChar w:fldCharType="separate"/>
      </w:r>
      <w:r>
        <w:rPr>
          <w:highlight w:val="none"/>
        </w:rPr>
        <w:t xml:space="preserve">3.政策功能</w:t>
      </w:r>
      <w:r>
        <w:tab/>
      </w:r>
      <w:r>
        <w:fldChar w:fldCharType="begin"/>
      </w:r>
      <w:r>
        <w:instrText xml:space="preserve"> PAGEREF _Toc11958 \h </w:instrText>
      </w:r>
      <w:r>
        <w:fldChar w:fldCharType="separate"/>
      </w:r>
      <w:r>
        <w:t xml:space="preserve">9</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_Toc351 </w:instrText>
      </w:r>
      <w:r>
        <w:rPr>
          <w:bCs/>
          <w:highlight w:val="none"/>
        </w:rPr>
        <w:fldChar w:fldCharType="separate"/>
      </w:r>
      <w:r>
        <w:rPr>
          <w:bCs/>
          <w:szCs w:val="21"/>
          <w:highlight w:val="none"/>
          <w:lang w:val="zh-CN"/>
        </w:rPr>
        <w:t xml:space="preserve">4.</w:t>
      </w:r>
      <w:r>
        <w:rPr>
          <w:szCs w:val="21"/>
          <w:highlight w:val="none"/>
          <w:lang w:val="zh-CN"/>
        </w:rPr>
        <w:t xml:space="preserve">投标费用</w:t>
      </w:r>
      <w:r>
        <w:tab/>
      </w:r>
      <w:r>
        <w:fldChar w:fldCharType="begin"/>
      </w:r>
      <w:r>
        <w:instrText xml:space="preserve"> PAGEREF _Toc351 \h </w:instrText>
      </w:r>
      <w:r>
        <w:fldChar w:fldCharType="separate"/>
      </w:r>
      <w:r>
        <w:t xml:space="preserve">11</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_Toc1128 </w:instrText>
      </w:r>
      <w:r>
        <w:rPr>
          <w:bCs/>
          <w:highlight w:val="none"/>
        </w:rPr>
        <w:fldChar w:fldCharType="separate"/>
      </w:r>
      <w:r>
        <w:rPr>
          <w:bCs/>
          <w:szCs w:val="21"/>
          <w:highlight w:val="none"/>
          <w:lang w:val="zh-CN"/>
        </w:rPr>
        <w:t xml:space="preserve">5.</w:t>
      </w:r>
      <w:r>
        <w:rPr>
          <w:szCs w:val="21"/>
          <w:highlight w:val="none"/>
          <w:lang w:val="zh-CN"/>
        </w:rPr>
        <w:t xml:space="preserve">招标文件的约束力</w:t>
      </w:r>
      <w:r>
        <w:tab/>
      </w:r>
      <w:r>
        <w:fldChar w:fldCharType="begin"/>
      </w:r>
      <w:r>
        <w:instrText xml:space="preserve"> PAGEREF _Toc1128 \h </w:instrText>
      </w:r>
      <w:r>
        <w:fldChar w:fldCharType="separate"/>
      </w:r>
      <w:r>
        <w:t xml:space="preserve">11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_Toc11379 </w:instrText>
      </w:r>
      <w:r>
        <w:rPr>
          <w:bCs/>
          <w:highlight w:val="none"/>
        </w:rPr>
        <w:fldChar w:fldCharType="separate"/>
      </w:r>
      <w:r>
        <w:rPr>
          <w:bCs/>
          <w:highlight w:val="none"/>
        </w:rPr>
        <w:t xml:space="preserve">二、招标文件</w:t>
      </w:r>
      <w:r>
        <w:tab/>
      </w:r>
      <w:r>
        <w:fldChar w:fldCharType="begin"/>
      </w:r>
      <w:r>
        <w:instrText xml:space="preserve"> PAGEREF _Toc11379 \h </w:instrText>
      </w:r>
      <w:r>
        <w:fldChar w:fldCharType="separate"/>
      </w:r>
      <w:r>
        <w:t xml:space="preserve">11</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_Toc31307 </w:instrText>
      </w:r>
      <w:r>
        <w:rPr>
          <w:bCs/>
          <w:highlight w:val="none"/>
        </w:rPr>
        <w:fldChar w:fldCharType="separate"/>
      </w:r>
      <w:r>
        <w:rPr>
          <w:bCs/>
          <w:szCs w:val="21"/>
          <w:highlight w:val="none"/>
          <w:lang w:val="zh-CN"/>
        </w:rPr>
        <w:t xml:space="preserve">6.</w:t>
      </w:r>
      <w:r>
        <w:rPr>
          <w:szCs w:val="21"/>
          <w:highlight w:val="none"/>
          <w:lang w:val="zh-CN"/>
        </w:rPr>
        <w:t xml:space="preserve">招标文件构成</w:t>
      </w:r>
      <w:r>
        <w:tab/>
      </w:r>
      <w:r>
        <w:fldChar w:fldCharType="begin"/>
      </w:r>
      <w:r>
        <w:instrText xml:space="preserve"> PAGEREF _Toc31307 \h </w:instrText>
      </w:r>
      <w:r>
        <w:fldChar w:fldCharType="separate"/>
      </w:r>
      <w:r>
        <w:t xml:space="preserve">11</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_Toc29319 </w:instrText>
      </w:r>
      <w:r>
        <w:rPr>
          <w:bCs/>
          <w:highlight w:val="none"/>
        </w:rPr>
        <w:fldChar w:fldCharType="separate"/>
      </w:r>
      <w:r>
        <w:rPr>
          <w:rFonts w:ascii="Times New Roman" w:eastAsia="宋体"/>
          <w:bCs/>
          <w:szCs w:val="21"/>
          <w:highlight w:val="none"/>
        </w:rPr>
        <w:t xml:space="preserve">7.招标文件的澄清、补充或修改</w:t>
      </w:r>
      <w:r>
        <w:tab/>
      </w:r>
      <w:r>
        <w:fldChar w:fldCharType="begin"/>
      </w:r>
      <w:r>
        <w:instrText xml:space="preserve"> PAGEREF _Toc29319 \h </w:instrText>
      </w:r>
      <w:r>
        <w:fldChar w:fldCharType="separate"/>
      </w:r>
      <w:r>
        <w:t xml:space="preserve">11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_Toc2423 </w:instrText>
      </w:r>
      <w:r>
        <w:rPr>
          <w:bCs/>
          <w:highlight w:val="none"/>
        </w:rPr>
        <w:fldChar w:fldCharType="separate"/>
      </w:r>
      <w:r>
        <w:rPr>
          <w:bCs/>
          <w:highlight w:val="none"/>
        </w:rPr>
        <w:t xml:space="preserve">三、投标文件的编制</w:t>
      </w:r>
      <w:r>
        <w:tab/>
      </w:r>
      <w:r>
        <w:fldChar w:fldCharType="begin"/>
      </w:r>
      <w:r>
        <w:instrText xml:space="preserve"> PAGEREF _Toc2423 \h </w:instrText>
      </w:r>
      <w:r>
        <w:fldChar w:fldCharType="separate"/>
      </w:r>
      <w:r>
        <w:t xml:space="preserve">12</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_Toc5872 </w:instrText>
      </w:r>
      <w:r>
        <w:rPr>
          <w:bCs/>
          <w:highlight w:val="none"/>
        </w:rPr>
        <w:fldChar w:fldCharType="separate"/>
      </w:r>
      <w:r>
        <w:rPr>
          <w:rFonts w:ascii="Times New Roman" w:eastAsia="宋体"/>
          <w:bCs/>
          <w:szCs w:val="21"/>
          <w:highlight w:val="none"/>
        </w:rPr>
        <w:t xml:space="preserve">8.投标文件的语言、计量单位、货币</w:t>
      </w:r>
      <w:r>
        <w:tab/>
      </w:r>
      <w:r>
        <w:fldChar w:fldCharType="begin"/>
      </w:r>
      <w:r>
        <w:instrText xml:space="preserve"> PAGEREF _Toc5872 \h </w:instrText>
      </w:r>
      <w:r>
        <w:fldChar w:fldCharType="separate"/>
      </w:r>
      <w:r>
        <w:t xml:space="preserve">12</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_Toc17436 </w:instrText>
      </w:r>
      <w:r>
        <w:rPr>
          <w:bCs/>
          <w:highlight w:val="none"/>
        </w:rPr>
        <w:fldChar w:fldCharType="separate"/>
      </w:r>
      <w:r>
        <w:rPr>
          <w:bCs/>
          <w:szCs w:val="21"/>
          <w:highlight w:val="none"/>
        </w:rPr>
        <w:t xml:space="preserve">9.</w:t>
      </w:r>
      <w:r>
        <w:rPr>
          <w:szCs w:val="21"/>
          <w:highlight w:val="none"/>
          <w:lang w:val="zh-CN"/>
        </w:rPr>
        <w:t xml:space="preserve">联合体（根据采购项目是否接受联合体投标而定）</w:t>
      </w:r>
      <w:r>
        <w:tab/>
      </w:r>
      <w:r>
        <w:fldChar w:fldCharType="begin"/>
      </w:r>
      <w:r>
        <w:instrText xml:space="preserve"> PAGEREF _Toc17436 \h </w:instrText>
      </w:r>
      <w:r>
        <w:fldChar w:fldCharType="separate"/>
      </w:r>
      <w:r>
        <w:t xml:space="preserve">12</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_Toc5761 </w:instrText>
      </w:r>
      <w:r>
        <w:rPr>
          <w:bCs/>
          <w:highlight w:val="none"/>
        </w:rPr>
        <w:fldChar w:fldCharType="separate"/>
      </w:r>
      <w:r>
        <w:rPr>
          <w:rFonts w:ascii="Times New Roman" w:eastAsia="宋体"/>
          <w:bCs/>
          <w:szCs w:val="21"/>
          <w:highlight w:val="none"/>
        </w:rPr>
        <w:t xml:space="preserve">10.投标文件的组成</w:t>
      </w:r>
      <w:r>
        <w:tab/>
      </w:r>
      <w:r>
        <w:fldChar w:fldCharType="begin"/>
      </w:r>
      <w:r>
        <w:instrText xml:space="preserve"> PAGEREF _Toc5761 \h </w:instrText>
      </w:r>
      <w:r>
        <w:fldChar w:fldCharType="separate"/>
      </w:r>
      <w:r>
        <w:t xml:space="preserve">12</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_Toc16768 </w:instrText>
      </w:r>
      <w:r>
        <w:rPr>
          <w:bCs/>
          <w:highlight w:val="none"/>
        </w:rPr>
        <w:fldChar w:fldCharType="separate"/>
      </w:r>
      <w:r>
        <w:rPr>
          <w:rFonts w:ascii="Times New Roman" w:eastAsia="宋体"/>
          <w:bCs/>
          <w:szCs w:val="21"/>
          <w:highlight w:val="none"/>
        </w:rPr>
        <w:t xml:space="preserve">11.投标保证金</w:t>
      </w:r>
      <w:r>
        <w:tab/>
      </w:r>
      <w:r>
        <w:fldChar w:fldCharType="begin"/>
      </w:r>
      <w:r>
        <w:instrText xml:space="preserve"> PAGEREF _Toc16768 \h </w:instrText>
      </w:r>
      <w:r>
        <w:fldChar w:fldCharType="separate"/>
      </w:r>
      <w:r>
        <w:t xml:space="preserve">13</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_Toc2601 </w:instrText>
      </w:r>
      <w:r>
        <w:rPr>
          <w:bCs/>
          <w:highlight w:val="none"/>
        </w:rPr>
        <w:fldChar w:fldCharType="separate"/>
      </w:r>
      <w:r>
        <w:rPr>
          <w:rFonts w:ascii="Times New Roman" w:eastAsia="宋体"/>
          <w:bCs/>
          <w:szCs w:val="21"/>
          <w:highlight w:val="none"/>
        </w:rPr>
        <w:t xml:space="preserve">12.投标文件的有效期</w:t>
      </w:r>
      <w:r>
        <w:tab/>
      </w:r>
      <w:r>
        <w:fldChar w:fldCharType="begin"/>
      </w:r>
      <w:r>
        <w:instrText xml:space="preserve"> PAGEREF _Toc2601 \h </w:instrText>
      </w:r>
      <w:r>
        <w:fldChar w:fldCharType="separate"/>
      </w:r>
      <w:r>
        <w:t xml:space="preserve">14</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_Toc686 </w:instrText>
      </w:r>
      <w:r>
        <w:rPr>
          <w:bCs/>
          <w:highlight w:val="none"/>
        </w:rPr>
        <w:fldChar w:fldCharType="separate"/>
      </w:r>
      <w:r>
        <w:rPr>
          <w:rFonts w:ascii="Times New Roman" w:eastAsia="宋体"/>
          <w:bCs/>
          <w:szCs w:val="21"/>
          <w:highlight w:val="none"/>
        </w:rPr>
        <w:t xml:space="preserve">13.投标文件的签署及其形式</w:t>
      </w:r>
      <w:r>
        <w:tab/>
      </w:r>
      <w:r>
        <w:fldChar w:fldCharType="begin"/>
      </w:r>
      <w:r>
        <w:instrText xml:space="preserve"> PAGEREF _Toc686 \h </w:instrText>
      </w:r>
      <w:r>
        <w:fldChar w:fldCharType="separate"/>
      </w:r>
      <w:r>
        <w:t xml:space="preserve">14</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_Toc21327 </w:instrText>
      </w:r>
      <w:r>
        <w:rPr>
          <w:bCs/>
          <w:highlight w:val="none"/>
        </w:rPr>
        <w:fldChar w:fldCharType="separate"/>
      </w:r>
      <w:r>
        <w:rPr>
          <w:bCs/>
          <w:highlight w:val="none"/>
        </w:rPr>
        <w:t xml:space="preserve">四、投标文件的递交</w:t>
      </w:r>
      <w:r>
        <w:tab/>
      </w:r>
      <w:r>
        <w:fldChar w:fldCharType="begin"/>
      </w:r>
      <w:r>
        <w:instrText xml:space="preserve"> PAGEREF _Toc21327 \h </w:instrText>
      </w:r>
      <w:r>
        <w:fldChar w:fldCharType="separate"/>
      </w:r>
      <w:r>
        <w:t xml:space="preserve">14</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_Toc24018 </w:instrText>
      </w:r>
      <w:r>
        <w:rPr>
          <w:bCs/>
          <w:highlight w:val="none"/>
        </w:rPr>
        <w:fldChar w:fldCharType="separate"/>
      </w:r>
      <w:r>
        <w:rPr>
          <w:rFonts w:ascii="Times New Roman" w:eastAsia="宋体"/>
          <w:bCs/>
          <w:szCs w:val="21"/>
          <w:highlight w:val="none"/>
        </w:rPr>
        <w:t xml:space="preserve">14.投标文件的密封及标记</w:t>
      </w:r>
      <w:r>
        <w:tab/>
      </w:r>
      <w:r>
        <w:fldChar w:fldCharType="begin"/>
      </w:r>
      <w:r>
        <w:instrText xml:space="preserve"> PAGEREF _Toc24018 \h </w:instrText>
      </w:r>
      <w:r>
        <w:fldChar w:fldCharType="separate"/>
      </w:r>
      <w:r>
        <w:t xml:space="preserve">14</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_Toc2118 </w:instrText>
      </w:r>
      <w:r>
        <w:rPr>
          <w:bCs/>
          <w:highlight w:val="none"/>
        </w:rPr>
        <w:fldChar w:fldCharType="separate"/>
      </w:r>
      <w:r>
        <w:rPr>
          <w:rFonts w:ascii="Times New Roman" w:eastAsia="宋体"/>
          <w:bCs/>
          <w:szCs w:val="21"/>
          <w:highlight w:val="none"/>
        </w:rPr>
        <w:t xml:space="preserve">15.投标的截止日期</w:t>
      </w:r>
      <w:r>
        <w:tab/>
      </w:r>
      <w:r>
        <w:fldChar w:fldCharType="begin"/>
      </w:r>
      <w:r>
        <w:instrText xml:space="preserve"> PAGEREF _Toc2118 \h </w:instrText>
      </w:r>
      <w:r>
        <w:fldChar w:fldCharType="separate"/>
      </w:r>
      <w:r>
        <w:t xml:space="preserve">15</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_Toc11617 </w:instrText>
      </w:r>
      <w:r>
        <w:rPr>
          <w:bCs/>
          <w:highlight w:val="none"/>
        </w:rPr>
        <w:fldChar w:fldCharType="separate"/>
      </w:r>
      <w:r>
        <w:rPr>
          <w:rFonts w:ascii="Times New Roman" w:eastAsia="宋体"/>
          <w:bCs/>
          <w:szCs w:val="21"/>
          <w:highlight w:val="none"/>
        </w:rPr>
        <w:t xml:space="preserve">16.投标文件的拒收</w:t>
      </w:r>
      <w:r>
        <w:tab/>
      </w:r>
      <w:r>
        <w:fldChar w:fldCharType="begin"/>
      </w:r>
      <w:r>
        <w:instrText xml:space="preserve"> PAGEREF _Toc11617 \h </w:instrText>
      </w:r>
      <w:r>
        <w:fldChar w:fldCharType="separate"/>
      </w:r>
      <w:r>
        <w:t xml:space="preserve">15</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_Toc2398 </w:instrText>
      </w:r>
      <w:r>
        <w:rPr>
          <w:bCs/>
          <w:highlight w:val="none"/>
        </w:rPr>
        <w:fldChar w:fldCharType="separate"/>
      </w:r>
      <w:r>
        <w:rPr>
          <w:rFonts w:ascii="Times New Roman" w:eastAsia="宋体"/>
          <w:bCs/>
          <w:szCs w:val="21"/>
          <w:highlight w:val="none"/>
        </w:rPr>
        <w:t xml:space="preserve">17.投标文件的修改或撤回</w:t>
      </w:r>
      <w:r>
        <w:tab/>
      </w:r>
      <w:r>
        <w:fldChar w:fldCharType="begin"/>
      </w:r>
      <w:r>
        <w:instrText xml:space="preserve"> PAGEREF _Toc2398 \h </w:instrText>
      </w:r>
      <w:r>
        <w:fldChar w:fldCharType="separate"/>
      </w:r>
      <w:r>
        <w:t xml:space="preserve">15</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_Toc10608 </w:instrText>
      </w:r>
      <w:r>
        <w:rPr>
          <w:bCs/>
          <w:highlight w:val="none"/>
        </w:rPr>
        <w:fldChar w:fldCharType="separate"/>
      </w:r>
      <w:r>
        <w:rPr>
          <w:bCs/>
          <w:highlight w:val="none"/>
        </w:rPr>
        <w:t xml:space="preserve">五、开标与评标</w:t>
      </w:r>
      <w:r>
        <w:tab/>
      </w:r>
      <w:r>
        <w:fldChar w:fldCharType="begin"/>
      </w:r>
      <w:r>
        <w:instrText xml:space="preserve"> PAGEREF _Toc10608 \h </w:instrText>
      </w:r>
      <w:r>
        <w:fldChar w:fldCharType="separate"/>
      </w:r>
      <w:r>
        <w:t xml:space="preserve">15</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_Toc11083 </w:instrText>
      </w:r>
      <w:r>
        <w:rPr>
          <w:bCs/>
          <w:highlight w:val="none"/>
        </w:rPr>
        <w:fldChar w:fldCharType="separate"/>
      </w:r>
      <w:r>
        <w:rPr>
          <w:rFonts w:ascii="Times New Roman" w:eastAsia="宋体"/>
          <w:bCs/>
          <w:szCs w:val="21"/>
          <w:highlight w:val="none"/>
        </w:rPr>
        <w:t xml:space="preserve">18.开标</w:t>
      </w:r>
      <w:r>
        <w:tab/>
      </w:r>
      <w:r>
        <w:fldChar w:fldCharType="begin"/>
      </w:r>
      <w:r>
        <w:instrText xml:space="preserve"> PAGEREF _Toc11083 \h </w:instrText>
      </w:r>
      <w:r>
        <w:fldChar w:fldCharType="separate"/>
      </w:r>
      <w:r>
        <w:t xml:space="preserve">15</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_Toc17652 </w:instrText>
      </w:r>
      <w:r>
        <w:rPr>
          <w:bCs/>
          <w:highlight w:val="none"/>
        </w:rPr>
        <w:fldChar w:fldCharType="separate"/>
      </w:r>
      <w:r>
        <w:rPr>
          <w:rFonts w:ascii="Times New Roman" w:eastAsia="宋体"/>
          <w:bCs/>
          <w:szCs w:val="21"/>
          <w:highlight w:val="none"/>
        </w:rPr>
        <w:t xml:space="preserve">19.评标组织</w:t>
      </w:r>
      <w:r>
        <w:tab/>
      </w:r>
      <w:r>
        <w:fldChar w:fldCharType="begin"/>
      </w:r>
      <w:r>
        <w:instrText xml:space="preserve"> PAGEREF _Toc17652 \h </w:instrText>
      </w:r>
      <w:r>
        <w:fldChar w:fldCharType="separate"/>
      </w:r>
      <w:r>
        <w:t xml:space="preserve">16</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_Toc2559 </w:instrText>
      </w:r>
      <w:r>
        <w:rPr>
          <w:bCs/>
          <w:highlight w:val="none"/>
        </w:rPr>
        <w:fldChar w:fldCharType="separate"/>
      </w:r>
      <w:r>
        <w:rPr>
          <w:rFonts w:ascii="Times New Roman" w:eastAsia="宋体"/>
          <w:bCs/>
          <w:szCs w:val="21"/>
          <w:highlight w:val="none"/>
        </w:rPr>
        <w:t xml:space="preserve">20.对投标文件的资格性审查和符合性审查</w:t>
      </w:r>
      <w:r>
        <w:tab/>
      </w:r>
      <w:r>
        <w:fldChar w:fldCharType="begin"/>
      </w:r>
      <w:r>
        <w:instrText xml:space="preserve"> PAGEREF _Toc2559 \h </w:instrText>
      </w:r>
      <w:r>
        <w:fldChar w:fldCharType="separate"/>
      </w:r>
      <w:r>
        <w:t xml:space="preserve">16</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_Toc30136 </w:instrText>
      </w:r>
      <w:r>
        <w:rPr>
          <w:bCs/>
          <w:highlight w:val="none"/>
        </w:rPr>
        <w:fldChar w:fldCharType="separate"/>
      </w:r>
      <w:r>
        <w:rPr>
          <w:rFonts w:ascii="Times New Roman" w:eastAsia="宋体"/>
          <w:bCs/>
          <w:szCs w:val="21"/>
          <w:highlight w:val="none"/>
        </w:rPr>
        <w:t xml:space="preserve">21.投标文件的澄清</w:t>
      </w:r>
      <w:r>
        <w:tab/>
      </w:r>
      <w:r>
        <w:fldChar w:fldCharType="begin"/>
      </w:r>
      <w:r>
        <w:instrText xml:space="preserve"> PAGEREF _Toc30136 \h </w:instrText>
      </w:r>
      <w:r>
        <w:fldChar w:fldCharType="separate"/>
      </w:r>
      <w:r>
        <w:t xml:space="preserve">18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_Toc28465 </w:instrText>
      </w:r>
      <w:r>
        <w:rPr>
          <w:bCs/>
          <w:highlight w:val="none"/>
        </w:rPr>
        <w:fldChar w:fldCharType="separate"/>
      </w:r>
      <w:r>
        <w:rPr>
          <w:rFonts w:ascii="Times New Roman" w:eastAsia="宋体"/>
          <w:bCs/>
          <w:szCs w:val="21"/>
          <w:highlight w:val="none"/>
        </w:rPr>
        <w:t xml:space="preserve">22.对投标文件的详细评审</w:t>
      </w:r>
      <w:r>
        <w:tab/>
      </w:r>
      <w:r>
        <w:fldChar w:fldCharType="begin"/>
      </w:r>
      <w:r>
        <w:instrText xml:space="preserve"> PAGEREF _Toc28465 \h </w:instrText>
      </w:r>
      <w:r>
        <w:fldChar w:fldCharType="separate"/>
      </w:r>
      <w:r>
        <w:t xml:space="preserve">18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_Toc17739 </w:instrText>
      </w:r>
      <w:r>
        <w:rPr>
          <w:bCs/>
          <w:highlight w:val="none"/>
        </w:rPr>
        <w:fldChar w:fldCharType="separate"/>
      </w:r>
      <w:r>
        <w:rPr>
          <w:rFonts w:ascii="Times New Roman" w:eastAsia="宋体"/>
          <w:bCs/>
          <w:szCs w:val="21"/>
          <w:highlight w:val="none"/>
        </w:rPr>
        <w:t xml:space="preserve">23.评标过程的保密与公正</w:t>
      </w:r>
      <w:r>
        <w:tab/>
      </w:r>
      <w:r>
        <w:fldChar w:fldCharType="begin"/>
      </w:r>
      <w:r>
        <w:instrText xml:space="preserve"> PAGEREF _Toc17739 \h </w:instrText>
      </w:r>
      <w:r>
        <w:fldChar w:fldCharType="separate"/>
      </w:r>
      <w:r>
        <w:t xml:space="preserve">18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_Toc21019 </w:instrText>
      </w:r>
      <w:r>
        <w:rPr>
          <w:bCs/>
          <w:highlight w:val="none"/>
        </w:rPr>
        <w:fldChar w:fldCharType="separate"/>
      </w:r>
      <w:r>
        <w:rPr>
          <w:rFonts w:ascii="Times New Roman" w:eastAsia="宋体"/>
          <w:bCs/>
          <w:szCs w:val="21"/>
          <w:highlight w:val="none"/>
        </w:rPr>
        <w:t xml:space="preserve">24.无效投标条款和废标条款</w:t>
      </w:r>
      <w:r>
        <w:tab/>
      </w:r>
      <w:r>
        <w:fldChar w:fldCharType="begin"/>
      </w:r>
      <w:r>
        <w:instrText xml:space="preserve"> PAGEREF _Toc21019 \h </w:instrText>
      </w:r>
      <w:r>
        <w:fldChar w:fldCharType="separate"/>
      </w:r>
      <w:r>
        <w:t xml:space="preserve">19</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_Toc14914 </w:instrText>
      </w:r>
      <w:r>
        <w:rPr>
          <w:bCs/>
          <w:highlight w:val="none"/>
        </w:rPr>
        <w:fldChar w:fldCharType="separate"/>
      </w:r>
      <w:r>
        <w:rPr>
          <w:rFonts w:ascii="Times New Roman" w:eastAsia="宋体"/>
          <w:bCs/>
          <w:szCs w:val="21"/>
          <w:highlight w:val="none"/>
        </w:rPr>
        <w:t xml:space="preserve">25.投标截止时间结束参加投标的供应商不足三家的处理</w:t>
      </w:r>
      <w:r>
        <w:tab/>
      </w:r>
      <w:r>
        <w:fldChar w:fldCharType="begin"/>
      </w:r>
      <w:r>
        <w:instrText xml:space="preserve"> PAGEREF _Toc14914 \h </w:instrText>
      </w:r>
      <w:r>
        <w:fldChar w:fldCharType="separate"/>
      </w:r>
      <w:r>
        <w:t xml:space="preserve">19</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_Toc25147 </w:instrText>
      </w:r>
      <w:r>
        <w:rPr>
          <w:bCs/>
          <w:highlight w:val="none"/>
        </w:rPr>
        <w:fldChar w:fldCharType="separate"/>
      </w:r>
      <w:r>
        <w:rPr>
          <w:bCs/>
          <w:highlight w:val="none"/>
        </w:rPr>
        <w:t xml:space="preserve">六、授标</w:t>
      </w:r>
      <w:r>
        <w:tab/>
      </w:r>
      <w:r>
        <w:fldChar w:fldCharType="begin"/>
      </w:r>
      <w:r>
        <w:instrText xml:space="preserve"> PAGEREF _Toc25147 \h </w:instrText>
      </w:r>
      <w:r>
        <w:fldChar w:fldCharType="separate"/>
      </w:r>
      <w:r>
        <w:t xml:space="preserve">20</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_Toc25712 </w:instrText>
      </w:r>
      <w:r>
        <w:rPr>
          <w:bCs/>
          <w:highlight w:val="none"/>
        </w:rPr>
        <w:fldChar w:fldCharType="separate"/>
      </w:r>
      <w:r>
        <w:rPr>
          <w:rFonts w:ascii="Times New Roman" w:eastAsia="宋体"/>
          <w:bCs/>
          <w:szCs w:val="21"/>
          <w:highlight w:val="none"/>
        </w:rPr>
        <w:t xml:space="preserve">26.确定中标供应商</w:t>
      </w:r>
      <w:r>
        <w:tab/>
      </w:r>
      <w:r>
        <w:fldChar w:fldCharType="begin"/>
      </w:r>
      <w:r>
        <w:instrText xml:space="preserve"> PAGEREF _Toc25712 \h </w:instrText>
      </w:r>
      <w:r>
        <w:fldChar w:fldCharType="separate"/>
      </w:r>
      <w:r>
        <w:t xml:space="preserve">20</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_Toc23841 </w:instrText>
      </w:r>
      <w:r>
        <w:rPr>
          <w:bCs/>
          <w:highlight w:val="none"/>
        </w:rPr>
        <w:fldChar w:fldCharType="separate"/>
      </w:r>
      <w:r>
        <w:rPr>
          <w:rFonts w:ascii="Times New Roman" w:eastAsia="宋体"/>
          <w:bCs/>
          <w:szCs w:val="21"/>
          <w:highlight w:val="none"/>
        </w:rPr>
        <w:t xml:space="preserve">27.中标的通知</w:t>
      </w:r>
      <w:r>
        <w:tab/>
      </w:r>
      <w:r>
        <w:fldChar w:fldCharType="begin"/>
      </w:r>
      <w:r>
        <w:instrText xml:space="preserve"> PAGEREF _Toc23841 \h </w:instrText>
      </w:r>
      <w:r>
        <w:fldChar w:fldCharType="separate"/>
      </w:r>
      <w:r>
        <w:t xml:space="preserve">20</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_Toc27659 </w:instrText>
      </w:r>
      <w:r>
        <w:rPr>
          <w:bCs/>
          <w:highlight w:val="none"/>
        </w:rPr>
        <w:fldChar w:fldCharType="separate"/>
      </w:r>
      <w:r>
        <w:rPr>
          <w:rFonts w:ascii="Times New Roman" w:eastAsia="宋体"/>
          <w:bCs/>
          <w:szCs w:val="21"/>
          <w:highlight w:val="none"/>
        </w:rPr>
        <w:t xml:space="preserve">28.签订合同</w:t>
      </w:r>
      <w:r>
        <w:tab/>
      </w:r>
      <w:r>
        <w:fldChar w:fldCharType="begin"/>
      </w:r>
      <w:r>
        <w:instrText xml:space="preserve"> PAGEREF _Toc27659 \h </w:instrText>
      </w:r>
      <w:r>
        <w:fldChar w:fldCharType="separate"/>
      </w:r>
      <w:r>
        <w:t xml:space="preserve">20</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_Toc12167 </w:instrText>
      </w:r>
      <w:r>
        <w:rPr>
          <w:bCs/>
          <w:highlight w:val="none"/>
        </w:rPr>
        <w:fldChar w:fldCharType="separate"/>
      </w:r>
      <w:r>
        <w:rPr>
          <w:rFonts w:ascii="Times New Roman" w:eastAsia="宋体"/>
          <w:bCs/>
          <w:szCs w:val="21"/>
          <w:highlight w:val="none"/>
        </w:rPr>
        <w:t xml:space="preserve">29.招标代理服务费</w:t>
      </w:r>
      <w:r>
        <w:tab/>
      </w:r>
      <w:r>
        <w:fldChar w:fldCharType="begin"/>
      </w:r>
      <w:r>
        <w:instrText xml:space="preserve"> PAGEREF _Toc12167 \h </w:instrText>
      </w:r>
      <w:r>
        <w:fldChar w:fldCharType="separate"/>
      </w:r>
      <w:r>
        <w:t xml:space="preserve">21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_Toc17113 </w:instrText>
      </w:r>
      <w:r>
        <w:rPr>
          <w:bCs/>
          <w:highlight w:val="none"/>
        </w:rPr>
        <w:fldChar w:fldCharType="separate"/>
      </w:r>
      <w:r>
        <w:rPr>
          <w:bCs/>
          <w:highlight w:val="none"/>
        </w:rPr>
        <w:t xml:space="preserve">七、质疑</w:t>
      </w:r>
      <w:r>
        <w:tab/>
      </w:r>
      <w:r>
        <w:fldChar w:fldCharType="begin"/>
      </w:r>
      <w:r>
        <w:instrText xml:space="preserve"> PAGEREF _Toc17113 \h </w:instrText>
      </w:r>
      <w:r>
        <w:fldChar w:fldCharType="separate"/>
      </w:r>
      <w:r>
        <w:t xml:space="preserve">21</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_Toc9284 </w:instrText>
      </w:r>
      <w:r>
        <w:rPr>
          <w:bCs/>
          <w:highlight w:val="none"/>
        </w:rPr>
        <w:fldChar w:fldCharType="separate"/>
      </w:r>
      <w:r>
        <w:rPr>
          <w:rFonts w:ascii="Times New Roman" w:eastAsia="宋体"/>
          <w:bCs/>
          <w:szCs w:val="21"/>
          <w:highlight w:val="none"/>
        </w:rPr>
        <w:t xml:space="preserve">30、质疑</w:t>
      </w:r>
      <w:r>
        <w:tab/>
      </w:r>
      <w:r>
        <w:fldChar w:fldCharType="begin"/>
      </w:r>
      <w:r>
        <w:instrText xml:space="preserve"> PAGEREF _Toc9284 \h </w:instrText>
      </w:r>
      <w:r>
        <w:fldChar w:fldCharType="separate"/>
      </w:r>
      <w:r>
        <w:t xml:space="preserve">21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_Toc20435 </w:instrText>
      </w:r>
      <w:r>
        <w:rPr>
          <w:bCs/>
          <w:highlight w:val="none"/>
        </w:rPr>
        <w:fldChar w:fldCharType="separate"/>
      </w:r>
      <w:r>
        <w:rPr>
          <w:bCs/>
          <w:highlight w:val="none"/>
        </w:rPr>
        <w:t xml:space="preserve">八、政府采购履约资金扶持政策</w:t>
      </w:r>
      <w:r>
        <w:tab/>
      </w:r>
      <w:r>
        <w:fldChar w:fldCharType="begin"/>
      </w:r>
      <w:r>
        <w:instrText xml:space="preserve"> PAGEREF _Toc20435 \h </w:instrText>
      </w:r>
      <w:r>
        <w:fldChar w:fldCharType="separate"/>
      </w:r>
      <w:r>
        <w:t xml:space="preserve">22</w:t>
      </w:r>
      <w:r>
        <w:fldChar w:fldCharType="end"/>
      </w:r>
      <w:r>
        <w:rPr>
          <w:bCs/>
          <w:color w:val="000000"/>
          <w:highlight w:val="none"/>
        </w:rPr>
        <w:fldChar w:fldCharType="end"/>
      </w:r>
      <w:r/>
    </w:p>
    <w:p>
      <w:pPr>
        <w:pStyle w:val="1201"/>
        <w:tabs>
          <w:tab w:val="right" w:pos="9638" w:leader="dot"/>
        </w:tabs>
      </w:pPr>
      <w:r>
        <w:rPr>
          <w:bCs/>
          <w:color w:val="000000"/>
          <w:highlight w:val="none"/>
        </w:rPr>
        <w:fldChar w:fldCharType="begin"/>
      </w:r>
      <w:r>
        <w:rPr>
          <w:bCs/>
          <w:highlight w:val="none"/>
        </w:rPr>
        <w:instrText xml:space="preserve"> HYPERLINK \l _Toc14308 </w:instrText>
      </w:r>
      <w:r>
        <w:rPr>
          <w:bCs/>
          <w:highlight w:val="none"/>
        </w:rPr>
        <w:fldChar w:fldCharType="separate"/>
      </w:r>
      <w:r>
        <w:rPr>
          <w:szCs w:val="28"/>
          <w:highlight w:val="none"/>
        </w:rPr>
        <w:t xml:space="preserve">第三章 评标标准</w:t>
      </w:r>
      <w:r>
        <w:tab/>
      </w:r>
      <w:r>
        <w:fldChar w:fldCharType="begin"/>
      </w:r>
      <w:r>
        <w:instrText xml:space="preserve"> PAGEREF _Toc14308 \h </w:instrText>
      </w:r>
      <w:r>
        <w:fldChar w:fldCharType="separate"/>
      </w:r>
      <w:r>
        <w:t xml:space="preserve">23</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_Toc28905 </w:instrText>
      </w:r>
      <w:r>
        <w:rPr>
          <w:bCs/>
          <w:highlight w:val="none"/>
        </w:rPr>
        <w:fldChar w:fldCharType="separate"/>
      </w:r>
      <w:r>
        <w:rPr>
          <w:rFonts w:hint="eastAsia"/>
          <w:szCs w:val="21"/>
          <w:highlight w:val="none"/>
        </w:rPr>
        <w:t xml:space="preserve">分包1：</w:t>
      </w:r>
      <w:r>
        <w:tab/>
      </w:r>
      <w:r>
        <w:fldChar w:fldCharType="begin"/>
      </w:r>
      <w:r>
        <w:instrText xml:space="preserve"> PAGEREF _Toc28905 \h </w:instrText>
      </w:r>
      <w:r>
        <w:fldChar w:fldCharType="separate"/>
      </w:r>
      <w:r>
        <w:t xml:space="preserve">24</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_Toc7652 </w:instrText>
      </w:r>
      <w:r>
        <w:rPr>
          <w:bCs/>
          <w:highlight w:val="none"/>
        </w:rPr>
        <w:fldChar w:fldCharType="separate"/>
      </w:r>
      <w:r>
        <w:rPr>
          <w:rFonts w:hint="eastAsia"/>
          <w:szCs w:val="21"/>
          <w:highlight w:val="none"/>
        </w:rPr>
        <w:t xml:space="preserve">分包2：</w:t>
      </w:r>
      <w:r>
        <w:tab/>
      </w:r>
      <w:r>
        <w:fldChar w:fldCharType="begin"/>
      </w:r>
      <w:r>
        <w:instrText xml:space="preserve"> PAGEREF _Toc7652 \h </w:instrText>
      </w:r>
      <w:r>
        <w:fldChar w:fldCharType="separate"/>
      </w:r>
      <w:r>
        <w:t xml:space="preserve">26</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_Toc19395 </w:instrText>
      </w:r>
      <w:r>
        <w:rPr>
          <w:bCs/>
          <w:highlight w:val="none"/>
        </w:rPr>
        <w:fldChar w:fldCharType="separate"/>
      </w:r>
      <w:r>
        <w:rPr>
          <w:rFonts w:hint="eastAsia"/>
          <w:szCs w:val="21"/>
          <w:highlight w:val="none"/>
        </w:rPr>
        <w:t xml:space="preserve">分包3：</w:t>
      </w:r>
      <w:r>
        <w:tab/>
      </w:r>
      <w:r>
        <w:fldChar w:fldCharType="begin"/>
      </w:r>
      <w:r>
        <w:instrText xml:space="preserve"> PAGEREF _Toc19395 \h </w:instrText>
      </w:r>
      <w:r>
        <w:fldChar w:fldCharType="separate"/>
      </w:r>
      <w:r>
        <w:t xml:space="preserve">28</w:t>
      </w:r>
      <w:r>
        <w:fldChar w:fldCharType="end"/>
      </w:r>
      <w:r>
        <w:rPr>
          <w:bCs/>
          <w:color w:val="000000"/>
          <w:highlight w:val="none"/>
        </w:rPr>
        <w:fldChar w:fldCharType="end"/>
      </w:r>
      <w:r/>
    </w:p>
    <w:p>
      <w:pPr>
        <w:pStyle w:val="1201"/>
        <w:tabs>
          <w:tab w:val="right" w:pos="9638" w:leader="dot"/>
        </w:tabs>
      </w:pPr>
      <w:r>
        <w:rPr>
          <w:bCs/>
          <w:color w:val="000000"/>
          <w:highlight w:val="none"/>
        </w:rPr>
        <w:fldChar w:fldCharType="begin"/>
      </w:r>
      <w:r>
        <w:rPr>
          <w:bCs/>
          <w:highlight w:val="none"/>
        </w:rPr>
        <w:instrText xml:space="preserve"> HYPERLINK \l _Toc11491 </w:instrText>
      </w:r>
      <w:r>
        <w:rPr>
          <w:bCs/>
          <w:highlight w:val="none"/>
        </w:rPr>
        <w:fldChar w:fldCharType="separate"/>
      </w:r>
      <w:r>
        <w:rPr>
          <w:szCs w:val="28"/>
          <w:highlight w:val="none"/>
        </w:rPr>
        <w:t xml:space="preserve">第四章 招标技术规格及要求</w:t>
      </w:r>
      <w:r>
        <w:tab/>
      </w:r>
      <w:r>
        <w:fldChar w:fldCharType="begin"/>
      </w:r>
      <w:r>
        <w:instrText xml:space="preserve"> PAGEREF _Toc11491 \h </w:instrText>
      </w:r>
      <w:r>
        <w:fldChar w:fldCharType="separate"/>
      </w:r>
      <w:r>
        <w:t xml:space="preserve">31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_Toc28088 </w:instrText>
      </w:r>
      <w:r>
        <w:rPr>
          <w:bCs/>
          <w:highlight w:val="none"/>
        </w:rPr>
        <w:fldChar w:fldCharType="separate"/>
      </w:r>
      <w:r>
        <w:rPr>
          <w:bCs/>
          <w:szCs w:val="21"/>
          <w:highlight w:val="none"/>
        </w:rPr>
        <w:t xml:space="preserve">分包1：</w:t>
      </w:r>
      <w:r>
        <w:rPr>
          <w:rFonts w:hint="eastAsia"/>
          <w:bCs/>
          <w:szCs w:val="21"/>
          <w:highlight w:val="none"/>
        </w:rPr>
        <w:t xml:space="preserve">大型拓展采血车</w:t>
      </w:r>
      <w:r>
        <w:tab/>
      </w:r>
      <w:r>
        <w:fldChar w:fldCharType="begin"/>
      </w:r>
      <w:r>
        <w:instrText xml:space="preserve"> PAGEREF _Toc28088 \h </w:instrText>
      </w:r>
      <w:r>
        <w:fldChar w:fldCharType="separate"/>
      </w:r>
      <w:r>
        <w:t xml:space="preserve">31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_Toc20809 </w:instrText>
      </w:r>
      <w:r>
        <w:rPr>
          <w:bCs/>
          <w:highlight w:val="none"/>
        </w:rPr>
        <w:fldChar w:fldCharType="separate"/>
      </w:r>
      <w:r>
        <w:rPr>
          <w:bCs/>
          <w:szCs w:val="21"/>
          <w:highlight w:val="none"/>
        </w:rPr>
        <w:t xml:space="preserve">分包2：</w:t>
      </w:r>
      <w:r>
        <w:rPr>
          <w:rFonts w:hint="eastAsia"/>
          <w:bCs/>
          <w:szCs w:val="21"/>
          <w:highlight w:val="none"/>
        </w:rPr>
        <w:t xml:space="preserve">小型专用采血车</w:t>
      </w:r>
      <w:r>
        <w:tab/>
      </w:r>
      <w:r>
        <w:fldChar w:fldCharType="begin"/>
      </w:r>
      <w:r>
        <w:instrText xml:space="preserve"> PAGEREF _Toc20809 \h </w:instrText>
      </w:r>
      <w:r>
        <w:fldChar w:fldCharType="separate"/>
      </w:r>
      <w:r>
        <w:t xml:space="preserve">40</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_Toc31827 </w:instrText>
      </w:r>
      <w:r>
        <w:rPr>
          <w:bCs/>
          <w:highlight w:val="none"/>
        </w:rPr>
        <w:fldChar w:fldCharType="separate"/>
      </w:r>
      <w:r>
        <w:rPr>
          <w:bCs/>
          <w:szCs w:val="21"/>
          <w:highlight w:val="none"/>
        </w:rPr>
        <w:t xml:space="preserve">分包3：</w:t>
      </w:r>
      <w:r>
        <w:rPr>
          <w:rFonts w:hint="eastAsia"/>
          <w:bCs/>
          <w:szCs w:val="21"/>
          <w:highlight w:val="none"/>
        </w:rPr>
        <w:t xml:space="preserve">运血冷藏车</w:t>
      </w:r>
      <w:r>
        <w:tab/>
      </w:r>
      <w:r>
        <w:fldChar w:fldCharType="begin"/>
      </w:r>
      <w:r>
        <w:instrText xml:space="preserve"> PAGEREF _Toc31827 \h </w:instrText>
      </w:r>
      <w:r>
        <w:fldChar w:fldCharType="separate"/>
      </w:r>
      <w:r>
        <w:t xml:space="preserve">45</w:t>
      </w:r>
      <w:r>
        <w:fldChar w:fldCharType="end"/>
      </w:r>
      <w:r>
        <w:rPr>
          <w:bCs/>
          <w:color w:val="000000"/>
          <w:highlight w:val="none"/>
        </w:rPr>
        <w:fldChar w:fldCharType="end"/>
      </w:r>
      <w:r/>
    </w:p>
    <w:p>
      <w:pPr>
        <w:pStyle w:val="1201"/>
        <w:tabs>
          <w:tab w:val="right" w:pos="9638" w:leader="dot"/>
        </w:tabs>
      </w:pPr>
      <w:r>
        <w:rPr>
          <w:bCs/>
          <w:color w:val="000000"/>
          <w:highlight w:val="none"/>
        </w:rPr>
        <w:fldChar w:fldCharType="begin"/>
      </w:r>
      <w:r>
        <w:rPr>
          <w:bCs/>
          <w:highlight w:val="none"/>
        </w:rPr>
        <w:instrText xml:space="preserve"> HYPERLINK \l _Toc25137 </w:instrText>
      </w:r>
      <w:r>
        <w:rPr>
          <w:bCs/>
          <w:highlight w:val="none"/>
        </w:rPr>
        <w:fldChar w:fldCharType="separate"/>
      </w:r>
      <w:r>
        <w:rPr>
          <w:szCs w:val="28"/>
          <w:highlight w:val="none"/>
        </w:rPr>
        <w:t xml:space="preserve">第五章 拟签订的合同文本</w:t>
      </w:r>
      <w:r>
        <w:tab/>
      </w:r>
      <w:r>
        <w:fldChar w:fldCharType="begin"/>
      </w:r>
      <w:r>
        <w:instrText xml:space="preserve"> PAGEREF _Toc25137 \h </w:instrText>
      </w:r>
      <w:r>
        <w:fldChar w:fldCharType="separate"/>
      </w:r>
      <w:r>
        <w:t xml:space="preserve">52</w:t>
      </w:r>
      <w:r>
        <w:fldChar w:fldCharType="end"/>
      </w:r>
      <w:r>
        <w:rPr>
          <w:bCs/>
          <w:color w:val="000000"/>
          <w:highlight w:val="none"/>
        </w:rPr>
        <w:fldChar w:fldCharType="end"/>
      </w:r>
      <w:r/>
    </w:p>
    <w:p>
      <w:pPr>
        <w:pStyle w:val="1201"/>
        <w:tabs>
          <w:tab w:val="right" w:pos="9638" w:leader="dot"/>
        </w:tabs>
      </w:pPr>
      <w:r>
        <w:rPr>
          <w:bCs/>
          <w:color w:val="000000"/>
          <w:highlight w:val="none"/>
        </w:rPr>
        <w:fldChar w:fldCharType="begin"/>
      </w:r>
      <w:r>
        <w:rPr>
          <w:bCs/>
          <w:highlight w:val="none"/>
        </w:rPr>
        <w:instrText xml:space="preserve"> HYPERLINK \l _Toc791 </w:instrText>
      </w:r>
      <w:r>
        <w:rPr>
          <w:bCs/>
          <w:highlight w:val="none"/>
        </w:rPr>
        <w:fldChar w:fldCharType="separate"/>
      </w:r>
      <w:r>
        <w:rPr>
          <w:szCs w:val="28"/>
          <w:highlight w:val="none"/>
        </w:rPr>
        <w:t xml:space="preserve">第六章 投标文件格式及附件</w:t>
      </w:r>
      <w:r>
        <w:tab/>
      </w:r>
      <w:r>
        <w:fldChar w:fldCharType="begin"/>
      </w:r>
      <w:r>
        <w:instrText xml:space="preserve"> PAGEREF _Toc791 \h </w:instrText>
      </w:r>
      <w:r>
        <w:fldChar w:fldCharType="separate"/>
      </w:r>
      <w:r>
        <w:t xml:space="preserve">62</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_Toc21143 </w:instrText>
      </w:r>
      <w:r>
        <w:rPr>
          <w:bCs/>
          <w:highlight w:val="none"/>
        </w:rPr>
        <w:fldChar w:fldCharType="separate"/>
      </w:r>
      <w:r>
        <w:rPr>
          <w:rFonts w:ascii="Times New Roman" w:hAnsi="Times New Roman" w:eastAsia="宋体"/>
          <w:szCs w:val="24"/>
          <w:highlight w:val="none"/>
        </w:rPr>
        <w:t xml:space="preserve">资格审查索引表</w:t>
      </w:r>
      <w:r>
        <w:tab/>
      </w:r>
      <w:r>
        <w:fldChar w:fldCharType="begin"/>
      </w:r>
      <w:r>
        <w:instrText xml:space="preserve"> PAGEREF _Toc21143 \h </w:instrText>
      </w:r>
      <w:r>
        <w:fldChar w:fldCharType="separate"/>
      </w:r>
      <w:r>
        <w:t xml:space="preserve">63</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_Toc4203 </w:instrText>
      </w:r>
      <w:r>
        <w:rPr>
          <w:bCs/>
          <w:highlight w:val="none"/>
        </w:rPr>
        <w:fldChar w:fldCharType="separate"/>
      </w:r>
      <w:r>
        <w:rPr>
          <w:rFonts w:ascii="Times New Roman" w:hAnsi="Times New Roman" w:eastAsia="宋体"/>
          <w:szCs w:val="24"/>
          <w:highlight w:val="none"/>
        </w:rPr>
        <w:t xml:space="preserve">评审索引表</w:t>
      </w:r>
      <w:r>
        <w:tab/>
      </w:r>
      <w:r>
        <w:fldChar w:fldCharType="begin"/>
      </w:r>
      <w:r>
        <w:instrText xml:space="preserve"> PAGEREF _Toc4203 \h </w:instrText>
      </w:r>
      <w:r>
        <w:fldChar w:fldCharType="separate"/>
      </w:r>
      <w:r>
        <w:t xml:space="preserve">64</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_Toc18723 </w:instrText>
      </w:r>
      <w:r>
        <w:rPr>
          <w:bCs/>
          <w:highlight w:val="none"/>
        </w:rPr>
        <w:fldChar w:fldCharType="separate"/>
      </w:r>
      <w:r>
        <w:rPr>
          <w:bCs/>
          <w:highlight w:val="none"/>
        </w:rPr>
        <w:t xml:space="preserve">附件一 投标函格式</w:t>
      </w:r>
      <w:r>
        <w:tab/>
      </w:r>
      <w:r>
        <w:fldChar w:fldCharType="begin"/>
      </w:r>
      <w:r>
        <w:instrText xml:space="preserve"> PAGEREF _Toc18723 \h </w:instrText>
      </w:r>
      <w:r>
        <w:fldChar w:fldCharType="separate"/>
      </w:r>
      <w:r>
        <w:t xml:space="preserve">65</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_Toc8911 </w:instrText>
      </w:r>
      <w:r>
        <w:rPr>
          <w:bCs/>
          <w:highlight w:val="none"/>
        </w:rPr>
        <w:fldChar w:fldCharType="separate"/>
      </w:r>
      <w:r>
        <w:rPr>
          <w:bCs/>
          <w:szCs w:val="22"/>
          <w:highlight w:val="none"/>
        </w:rPr>
        <w:t xml:space="preserve">附件二 开标一览表</w:t>
      </w:r>
      <w:r>
        <w:tab/>
      </w:r>
      <w:r>
        <w:fldChar w:fldCharType="begin"/>
      </w:r>
      <w:r>
        <w:instrText xml:space="preserve"> PAGEREF _Toc8911 \h </w:instrText>
      </w:r>
      <w:r>
        <w:fldChar w:fldCharType="separate"/>
      </w:r>
      <w:r>
        <w:t xml:space="preserve">66</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_Toc15102 </w:instrText>
      </w:r>
      <w:r>
        <w:rPr>
          <w:bCs/>
          <w:highlight w:val="none"/>
        </w:rPr>
        <w:fldChar w:fldCharType="separate"/>
      </w:r>
      <w:r>
        <w:rPr>
          <w:bCs/>
          <w:szCs w:val="22"/>
          <w:highlight w:val="none"/>
        </w:rPr>
        <w:t xml:space="preserve">附件三 分项报价表</w:t>
      </w:r>
      <w:r>
        <w:tab/>
      </w:r>
      <w:r>
        <w:fldChar w:fldCharType="begin"/>
      </w:r>
      <w:r>
        <w:instrText xml:space="preserve"> PAGEREF _Toc15102 \h </w:instrText>
      </w:r>
      <w:r>
        <w:fldChar w:fldCharType="separate"/>
      </w:r>
      <w:r>
        <w:t xml:space="preserve">67</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_Toc12488 </w:instrText>
      </w:r>
      <w:r>
        <w:rPr>
          <w:bCs/>
          <w:highlight w:val="none"/>
        </w:rPr>
        <w:fldChar w:fldCharType="separate"/>
      </w:r>
      <w:r>
        <w:rPr>
          <w:bCs/>
          <w:szCs w:val="22"/>
          <w:highlight w:val="none"/>
        </w:rPr>
        <w:t xml:space="preserve">附件四 商务条款偏离表</w:t>
      </w:r>
      <w:r>
        <w:tab/>
      </w:r>
      <w:r>
        <w:fldChar w:fldCharType="begin"/>
      </w:r>
      <w:r>
        <w:instrText xml:space="preserve"> PAGEREF _Toc12488 \h </w:instrText>
      </w:r>
      <w:r>
        <w:fldChar w:fldCharType="separate"/>
      </w:r>
      <w:r>
        <w:t xml:space="preserve">68</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_Toc19091 </w:instrText>
      </w:r>
      <w:r>
        <w:rPr>
          <w:bCs/>
          <w:highlight w:val="none"/>
        </w:rPr>
        <w:fldChar w:fldCharType="separate"/>
      </w:r>
      <w:r>
        <w:rPr>
          <w:bCs/>
          <w:szCs w:val="22"/>
          <w:highlight w:val="none"/>
        </w:rPr>
        <w:t xml:space="preserve">附件</w:t>
      </w:r>
      <w:r>
        <w:rPr>
          <w:rFonts w:hint="eastAsia"/>
          <w:bCs/>
          <w:szCs w:val="22"/>
          <w:highlight w:val="none"/>
        </w:rPr>
        <w:t xml:space="preserve">五</w:t>
      </w:r>
      <w:r>
        <w:rPr>
          <w:bCs/>
          <w:szCs w:val="22"/>
          <w:highlight w:val="none"/>
        </w:rPr>
        <w:t xml:space="preserve"> 技术条款偏离表</w:t>
      </w:r>
      <w:r>
        <w:tab/>
      </w:r>
      <w:r>
        <w:fldChar w:fldCharType="begin"/>
      </w:r>
      <w:r>
        <w:instrText xml:space="preserve"> PAGEREF _Toc19091 \h </w:instrText>
      </w:r>
      <w:r>
        <w:fldChar w:fldCharType="separate"/>
      </w:r>
      <w:r>
        <w:t xml:space="preserve">69</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_Toc10538 </w:instrText>
      </w:r>
      <w:r>
        <w:rPr>
          <w:bCs/>
          <w:highlight w:val="none"/>
        </w:rPr>
        <w:fldChar w:fldCharType="separate"/>
      </w:r>
      <w:r>
        <w:rPr>
          <w:bCs/>
          <w:szCs w:val="22"/>
          <w:highlight w:val="none"/>
        </w:rPr>
        <w:t xml:space="preserve">附件</w:t>
      </w:r>
      <w:r>
        <w:rPr>
          <w:rFonts w:hint="eastAsia"/>
          <w:bCs/>
          <w:szCs w:val="22"/>
          <w:highlight w:val="none"/>
        </w:rPr>
        <w:t xml:space="preserve">六</w:t>
      </w:r>
      <w:r>
        <w:rPr>
          <w:bCs/>
          <w:szCs w:val="22"/>
          <w:highlight w:val="none"/>
        </w:rPr>
        <w:t xml:space="preserve"> 政府采购政策</w:t>
      </w:r>
      <w:r>
        <w:tab/>
      </w:r>
      <w:r>
        <w:fldChar w:fldCharType="begin"/>
      </w:r>
      <w:r>
        <w:instrText xml:space="preserve"> PAGEREF _Toc10538 \h </w:instrText>
      </w:r>
      <w:r>
        <w:fldChar w:fldCharType="separate"/>
      </w:r>
      <w:r>
        <w:t xml:space="preserve">70</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_Toc28978 </w:instrText>
      </w:r>
      <w:r>
        <w:rPr>
          <w:bCs/>
          <w:highlight w:val="none"/>
        </w:rPr>
        <w:fldChar w:fldCharType="separate"/>
      </w:r>
      <w:r>
        <w:rPr>
          <w:rFonts w:hint="eastAsia"/>
          <w:szCs w:val="30"/>
          <w:lang w:bidi="ar"/>
        </w:rPr>
        <w:t xml:space="preserve">（一） </w:t>
      </w:r>
      <w:r>
        <w:rPr>
          <w:bCs/>
          <w:szCs w:val="21"/>
          <w:highlight w:val="none"/>
        </w:rPr>
        <w:t xml:space="preserve">《中小企业声明函》</w:t>
      </w:r>
      <w:r>
        <w:tab/>
      </w:r>
      <w:r>
        <w:fldChar w:fldCharType="begin"/>
      </w:r>
      <w:r>
        <w:instrText xml:space="preserve"> PAGEREF _Toc28978 \h </w:instrText>
      </w:r>
      <w:r>
        <w:fldChar w:fldCharType="separate"/>
      </w:r>
      <w:r>
        <w:t xml:space="preserve">70</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_Toc30370 </w:instrText>
      </w:r>
      <w:r>
        <w:rPr>
          <w:bCs/>
          <w:highlight w:val="none"/>
        </w:rPr>
        <w:fldChar w:fldCharType="separate"/>
      </w:r>
      <w:r>
        <w:rPr>
          <w:bCs/>
          <w:szCs w:val="21"/>
          <w:highlight w:val="none"/>
        </w:rPr>
        <w:t xml:space="preserve">（二）残疾人福利性单位声明函</w:t>
      </w:r>
      <w:r>
        <w:tab/>
      </w:r>
      <w:r>
        <w:fldChar w:fldCharType="begin"/>
      </w:r>
      <w:r>
        <w:instrText xml:space="preserve"> PAGEREF _Toc30370 \h </w:instrText>
      </w:r>
      <w:r>
        <w:fldChar w:fldCharType="separate"/>
      </w:r>
      <w:r>
        <w:t xml:space="preserve">72</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_Toc29419 </w:instrText>
      </w:r>
      <w:r>
        <w:rPr>
          <w:bCs/>
          <w:highlight w:val="none"/>
        </w:rPr>
        <w:fldChar w:fldCharType="separate"/>
      </w:r>
      <w:r>
        <w:rPr>
          <w:bCs/>
          <w:szCs w:val="21"/>
          <w:highlight w:val="none"/>
        </w:rPr>
        <w:t xml:space="preserve">（三）采购本国产品的支持政策</w:t>
      </w:r>
      <w:r>
        <w:tab/>
      </w:r>
      <w:r>
        <w:fldChar w:fldCharType="begin"/>
      </w:r>
      <w:r>
        <w:instrText xml:space="preserve"> PAGEREF _Toc29419 \h </w:instrText>
      </w:r>
      <w:r>
        <w:fldChar w:fldCharType="separate"/>
      </w:r>
      <w:r>
        <w:t xml:space="preserve">73</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_Toc10421 </w:instrText>
      </w:r>
      <w:r>
        <w:rPr>
          <w:bCs/>
          <w:highlight w:val="none"/>
        </w:rPr>
        <w:fldChar w:fldCharType="separate"/>
      </w:r>
      <w:r>
        <w:rPr>
          <w:bCs/>
          <w:szCs w:val="22"/>
          <w:highlight w:val="none"/>
          <w:lang w:val="zh-CN"/>
        </w:rPr>
        <w:t xml:space="preserve">附件</w:t>
      </w:r>
      <w:r>
        <w:rPr>
          <w:rFonts w:hint="eastAsia"/>
          <w:bCs/>
          <w:szCs w:val="22"/>
          <w:highlight w:val="none"/>
        </w:rPr>
        <w:t xml:space="preserve">七</w:t>
      </w:r>
      <w:r>
        <w:rPr>
          <w:bCs/>
          <w:szCs w:val="22"/>
          <w:highlight w:val="none"/>
        </w:rPr>
        <w:t xml:space="preserve"> </w:t>
      </w:r>
      <w:r>
        <w:rPr>
          <w:bCs/>
          <w:szCs w:val="22"/>
          <w:highlight w:val="none"/>
          <w:lang w:val="zh-CN"/>
        </w:rPr>
        <w:t xml:space="preserve">供应商基本情况表</w:t>
      </w:r>
      <w:r>
        <w:tab/>
      </w:r>
      <w:r>
        <w:fldChar w:fldCharType="begin"/>
      </w:r>
      <w:r>
        <w:instrText xml:space="preserve"> PAGEREF _Toc10421 \h </w:instrText>
      </w:r>
      <w:r>
        <w:fldChar w:fldCharType="separate"/>
      </w:r>
      <w:r>
        <w:t xml:space="preserve">74</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_Toc22043 </w:instrText>
      </w:r>
      <w:r>
        <w:rPr>
          <w:bCs/>
          <w:highlight w:val="none"/>
        </w:rPr>
        <w:fldChar w:fldCharType="separate"/>
      </w:r>
      <w:r>
        <w:rPr>
          <w:bCs/>
          <w:szCs w:val="22"/>
          <w:highlight w:val="none"/>
          <w:lang w:val="zh-CN"/>
        </w:rPr>
        <w:t xml:space="preserve">附件</w:t>
      </w:r>
      <w:r>
        <w:rPr>
          <w:rFonts w:hint="eastAsia"/>
          <w:bCs/>
          <w:szCs w:val="22"/>
          <w:highlight w:val="none"/>
        </w:rPr>
        <w:t xml:space="preserve">七</w:t>
      </w:r>
      <w:r>
        <w:rPr>
          <w:bCs/>
          <w:szCs w:val="22"/>
          <w:highlight w:val="none"/>
        </w:rPr>
        <w:t xml:space="preserve"> </w:t>
      </w:r>
      <w:r>
        <w:rPr>
          <w:bCs/>
          <w:szCs w:val="22"/>
          <w:highlight w:val="none"/>
          <w:lang w:val="zh-CN"/>
        </w:rPr>
        <w:t xml:space="preserve">供应商情况告知表</w:t>
      </w:r>
      <w:r>
        <w:rPr>
          <w:bCs/>
          <w:szCs w:val="22"/>
          <w:highlight w:val="none"/>
        </w:rPr>
        <w:t xml:space="preserve">—附表</w:t>
      </w:r>
      <w:r>
        <w:tab/>
      </w:r>
      <w:r>
        <w:fldChar w:fldCharType="begin"/>
      </w:r>
      <w:r>
        <w:instrText xml:space="preserve"> PAGEREF _Toc22043 \h </w:instrText>
      </w:r>
      <w:r>
        <w:fldChar w:fldCharType="separate"/>
      </w:r>
      <w:r>
        <w:t xml:space="preserve">75</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_Toc13708 </w:instrText>
      </w:r>
      <w:r>
        <w:rPr>
          <w:bCs/>
          <w:highlight w:val="none"/>
        </w:rPr>
        <w:fldChar w:fldCharType="separate"/>
      </w:r>
      <w:r>
        <w:rPr>
          <w:bCs/>
          <w:szCs w:val="22"/>
          <w:highlight w:val="none"/>
          <w:lang w:val="zh-CN"/>
        </w:rPr>
        <w:t xml:space="preserve">附件</w:t>
      </w:r>
      <w:r>
        <w:rPr>
          <w:rFonts w:hint="eastAsia"/>
          <w:bCs/>
          <w:szCs w:val="22"/>
          <w:highlight w:val="none"/>
        </w:rPr>
        <w:t xml:space="preserve">八</w:t>
      </w:r>
      <w:r>
        <w:rPr>
          <w:bCs/>
          <w:szCs w:val="22"/>
          <w:highlight w:val="none"/>
          <w:lang w:val="zh-CN"/>
        </w:rPr>
        <w:t xml:space="preserve"> 资格证明文件</w:t>
      </w:r>
      <w:r>
        <w:tab/>
      </w:r>
      <w:r>
        <w:fldChar w:fldCharType="begin"/>
      </w:r>
      <w:r>
        <w:instrText xml:space="preserve"> PAGEREF _Toc13708 \h </w:instrText>
      </w:r>
      <w:r>
        <w:fldChar w:fldCharType="separate"/>
      </w:r>
      <w:r>
        <w:t xml:space="preserve">78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_Toc9343 </w:instrText>
      </w:r>
      <w:r>
        <w:rPr>
          <w:bCs/>
          <w:highlight w:val="none"/>
        </w:rPr>
        <w:fldChar w:fldCharType="separate"/>
      </w:r>
      <w:r>
        <w:rPr>
          <w:bCs/>
          <w:szCs w:val="21"/>
          <w:highlight w:val="none"/>
          <w:lang w:val="zh-CN"/>
        </w:rPr>
        <w:t xml:space="preserve">1、法人或其他组织的营业执照等证明文件（复印件加盖公章）</w:t>
      </w:r>
      <w:r>
        <w:tab/>
      </w:r>
      <w:r>
        <w:fldChar w:fldCharType="begin"/>
      </w:r>
      <w:r>
        <w:instrText xml:space="preserve"> PAGEREF _Toc9343 \h </w:instrText>
      </w:r>
      <w:r>
        <w:fldChar w:fldCharType="separate"/>
      </w:r>
      <w:r>
        <w:t xml:space="preserve">78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_Toc9027 </w:instrText>
      </w:r>
      <w:r>
        <w:rPr>
          <w:bCs/>
          <w:highlight w:val="none"/>
        </w:rPr>
        <w:fldChar w:fldCharType="separate"/>
      </w:r>
      <w:r>
        <w:rPr>
          <w:bCs/>
          <w:szCs w:val="21"/>
          <w:highlight w:val="none"/>
          <w:lang w:val="zh-CN"/>
        </w:rPr>
        <w:t xml:space="preserve">2、法人代表授权书</w:t>
      </w:r>
      <w:r>
        <w:tab/>
      </w:r>
      <w:r>
        <w:fldChar w:fldCharType="begin"/>
      </w:r>
      <w:r>
        <w:instrText xml:space="preserve"> PAGEREF _Toc9027 \h </w:instrText>
      </w:r>
      <w:r>
        <w:fldChar w:fldCharType="separate"/>
      </w:r>
      <w:r>
        <w:t xml:space="preserve">79</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_Toc10701 </w:instrText>
      </w:r>
      <w:r>
        <w:rPr>
          <w:bCs/>
          <w:highlight w:val="none"/>
        </w:rPr>
        <w:fldChar w:fldCharType="separate"/>
      </w:r>
      <w:r>
        <w:rPr>
          <w:bCs/>
          <w:szCs w:val="21"/>
          <w:highlight w:val="none"/>
        </w:rPr>
        <w:t xml:space="preserve">3</w:t>
      </w:r>
      <w:r>
        <w:rPr>
          <w:bCs/>
          <w:szCs w:val="21"/>
          <w:highlight w:val="none"/>
          <w:lang w:val="zh-CN"/>
        </w:rPr>
        <w:t xml:space="preserve">、制造商授权书（如需）</w:t>
      </w:r>
      <w:r>
        <w:tab/>
      </w:r>
      <w:r>
        <w:fldChar w:fldCharType="begin"/>
      </w:r>
      <w:r>
        <w:instrText xml:space="preserve"> PAGEREF _Toc10701 \h </w:instrText>
      </w:r>
      <w:r>
        <w:fldChar w:fldCharType="separate"/>
      </w:r>
      <w:r>
        <w:t xml:space="preserve">80</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_Toc7323 </w:instrText>
      </w:r>
      <w:r>
        <w:rPr>
          <w:bCs/>
          <w:highlight w:val="none"/>
        </w:rPr>
        <w:fldChar w:fldCharType="separate"/>
      </w:r>
      <w:r>
        <w:rPr>
          <w:bCs/>
          <w:szCs w:val="21"/>
          <w:highlight w:val="none"/>
        </w:rPr>
        <w:t xml:space="preserve">4</w:t>
      </w:r>
      <w:r>
        <w:rPr>
          <w:bCs/>
          <w:szCs w:val="21"/>
          <w:highlight w:val="none"/>
          <w:lang w:val="zh-CN"/>
        </w:rPr>
        <w:t xml:space="preserve">、具有良好的商业信誉和健全的财务会计制度</w:t>
      </w:r>
      <w:r>
        <w:tab/>
      </w:r>
      <w:r>
        <w:fldChar w:fldCharType="begin"/>
      </w:r>
      <w:r>
        <w:instrText xml:space="preserve"> PAGEREF _Toc7323 \h </w:instrText>
      </w:r>
      <w:r>
        <w:fldChar w:fldCharType="separate"/>
      </w:r>
      <w:r>
        <w:t xml:space="preserve">81</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_Toc17440 </w:instrText>
      </w:r>
      <w:r>
        <w:rPr>
          <w:bCs/>
          <w:highlight w:val="none"/>
        </w:rPr>
        <w:fldChar w:fldCharType="separate"/>
      </w:r>
      <w:r>
        <w:rPr>
          <w:bCs/>
          <w:szCs w:val="21"/>
          <w:highlight w:val="none"/>
        </w:rPr>
        <w:t xml:space="preserve">5、</w:t>
      </w:r>
      <w:r>
        <w:rPr>
          <w:bCs/>
          <w:szCs w:val="21"/>
          <w:highlight w:val="none"/>
          <w:lang w:val="zh-CN"/>
        </w:rPr>
        <w:t xml:space="preserve">具有履行合同所必需的设备和专业技术能力</w:t>
      </w:r>
      <w:r>
        <w:tab/>
      </w:r>
      <w:r>
        <w:fldChar w:fldCharType="begin"/>
      </w:r>
      <w:r>
        <w:instrText xml:space="preserve"> PAGEREF _Toc17440 \h </w:instrText>
      </w:r>
      <w:r>
        <w:fldChar w:fldCharType="separate"/>
      </w:r>
      <w:r>
        <w:t xml:space="preserve">82</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_Toc21557 </w:instrText>
      </w:r>
      <w:r>
        <w:rPr>
          <w:bCs/>
          <w:highlight w:val="none"/>
        </w:rPr>
        <w:fldChar w:fldCharType="separate"/>
      </w:r>
      <w:r>
        <w:rPr>
          <w:bCs/>
          <w:szCs w:val="21"/>
          <w:highlight w:val="none"/>
        </w:rPr>
        <w:t xml:space="preserve">6、参加政府采购活动近三年内（成立时间不足三年的、自成立时间起），在经营活动中没有重大违法记录</w:t>
      </w:r>
      <w:r>
        <w:tab/>
      </w:r>
      <w:r>
        <w:fldChar w:fldCharType="begin"/>
      </w:r>
      <w:r>
        <w:instrText xml:space="preserve"> PAGEREF _Toc21557 \h </w:instrText>
      </w:r>
      <w:r>
        <w:fldChar w:fldCharType="separate"/>
      </w:r>
      <w:r>
        <w:t xml:space="preserve">83</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_Toc15546 </w:instrText>
      </w:r>
      <w:r>
        <w:rPr>
          <w:bCs/>
          <w:highlight w:val="none"/>
        </w:rPr>
        <w:fldChar w:fldCharType="separate"/>
      </w:r>
      <w:r>
        <w:rPr>
          <w:bCs/>
          <w:szCs w:val="21"/>
          <w:highlight w:val="none"/>
        </w:rPr>
        <w:t xml:space="preserve">7、依法缴纳税收的记录</w:t>
      </w:r>
      <w:r>
        <w:tab/>
      </w:r>
      <w:r>
        <w:fldChar w:fldCharType="begin"/>
      </w:r>
      <w:r>
        <w:instrText xml:space="preserve"> PAGEREF _Toc15546 \h </w:instrText>
      </w:r>
      <w:r>
        <w:fldChar w:fldCharType="separate"/>
      </w:r>
      <w:r>
        <w:t xml:space="preserve">84</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_Toc29386 </w:instrText>
      </w:r>
      <w:r>
        <w:rPr>
          <w:bCs/>
          <w:highlight w:val="none"/>
        </w:rPr>
        <w:fldChar w:fldCharType="separate"/>
      </w:r>
      <w:r>
        <w:rPr>
          <w:bCs/>
          <w:szCs w:val="21"/>
          <w:highlight w:val="none"/>
        </w:rPr>
        <w:t xml:space="preserve">8、依法缴纳社会保障资金的记录</w:t>
      </w:r>
      <w:r>
        <w:tab/>
      </w:r>
      <w:r>
        <w:fldChar w:fldCharType="begin"/>
      </w:r>
      <w:r>
        <w:instrText xml:space="preserve"> PAGEREF _Toc29386 \h </w:instrText>
      </w:r>
      <w:r>
        <w:fldChar w:fldCharType="separate"/>
      </w:r>
      <w:r>
        <w:t xml:space="preserve">85</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_Toc5101 </w:instrText>
      </w:r>
      <w:r>
        <w:rPr>
          <w:bCs/>
          <w:highlight w:val="none"/>
        </w:rPr>
        <w:fldChar w:fldCharType="separate"/>
      </w:r>
      <w:r>
        <w:rPr>
          <w:bCs/>
          <w:szCs w:val="21"/>
          <w:highlight w:val="none"/>
        </w:rPr>
        <w:t xml:space="preserve">9、本项目不接受联合体投标，中标后不允许分包、转包。</w:t>
      </w:r>
      <w:r>
        <w:tab/>
      </w:r>
      <w:r>
        <w:fldChar w:fldCharType="begin"/>
      </w:r>
      <w:r>
        <w:instrText xml:space="preserve"> PAGEREF _Toc5101 \h </w:instrText>
      </w:r>
      <w:r>
        <w:fldChar w:fldCharType="separate"/>
      </w:r>
      <w:r>
        <w:t xml:space="preserve">86</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_Toc28665 </w:instrText>
      </w:r>
      <w:r>
        <w:rPr>
          <w:bCs/>
          <w:highlight w:val="none"/>
        </w:rPr>
        <w:fldChar w:fldCharType="separate"/>
      </w:r>
      <w:r>
        <w:rPr>
          <w:bCs/>
          <w:szCs w:val="21"/>
          <w:highlight w:val="none"/>
        </w:rPr>
        <w:t xml:space="preserve">10、1）投标人为医疗器械经营企业的，须根据投标产品的类别，提供投标人的《医疗器械经营许可证》或者《二类医疗器械经营备案凭证》（复印件加盖公章）；</w:t>
      </w:r>
      <w:r>
        <w:tab/>
      </w:r>
      <w:r>
        <w:fldChar w:fldCharType="begin"/>
      </w:r>
      <w:r>
        <w:instrText xml:space="preserve"> PAGEREF _Toc28665 \h </w:instrText>
      </w:r>
      <w:r>
        <w:fldChar w:fldCharType="separate"/>
      </w:r>
      <w:r>
        <w:t xml:space="preserve">87</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_Toc16678 </w:instrText>
      </w:r>
      <w:r>
        <w:rPr>
          <w:bCs/>
          <w:highlight w:val="none"/>
        </w:rPr>
        <w:fldChar w:fldCharType="separate"/>
      </w:r>
      <w:r>
        <w:rPr>
          <w:bCs/>
          <w:szCs w:val="21"/>
          <w:highlight w:val="none"/>
        </w:rPr>
        <w:t xml:space="preserve">2）医疗器械生产企业投标本企业产品的，须提供《医疗器械生产许可证》（复印件加盖公章）</w:t>
      </w:r>
      <w:r>
        <w:tab/>
      </w:r>
      <w:r>
        <w:fldChar w:fldCharType="begin"/>
      </w:r>
      <w:r>
        <w:instrText xml:space="preserve"> PAGEREF _Toc16678 \h </w:instrText>
      </w:r>
      <w:r>
        <w:fldChar w:fldCharType="separate"/>
      </w:r>
      <w:r>
        <w:t xml:space="preserve">87</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_Toc29341 </w:instrText>
      </w:r>
      <w:r>
        <w:rPr>
          <w:bCs/>
          <w:highlight w:val="none"/>
        </w:rPr>
        <w:fldChar w:fldCharType="separate"/>
      </w:r>
      <w:r>
        <w:rPr>
          <w:bCs/>
          <w:szCs w:val="21"/>
          <w:highlight w:val="none"/>
        </w:rPr>
        <w:t xml:space="preserve">11、</w:t>
      </w:r>
      <w:r>
        <w:rPr>
          <w:szCs w:val="21"/>
          <w:highlight w:val="none"/>
        </w:rPr>
        <w:t xml:space="preserve">提供产品医疗器械注册证复印件加盖公章。</w:t>
      </w:r>
      <w:r>
        <w:tab/>
      </w:r>
      <w:r>
        <w:fldChar w:fldCharType="begin"/>
      </w:r>
      <w:r>
        <w:instrText xml:space="preserve"> PAGEREF _Toc29341 \h </w:instrText>
      </w:r>
      <w:r>
        <w:fldChar w:fldCharType="separate"/>
      </w:r>
      <w:r>
        <w:t xml:space="preserve">88</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_Toc12397 </w:instrText>
      </w:r>
      <w:r>
        <w:rPr>
          <w:bCs/>
          <w:highlight w:val="none"/>
        </w:rPr>
        <w:fldChar w:fldCharType="separate"/>
      </w:r>
      <w:r>
        <w:rPr>
          <w:bCs/>
          <w:szCs w:val="21"/>
          <w:highlight w:val="none"/>
        </w:rPr>
        <w:t xml:space="preserve">12、符合招标文件第一章“拒绝下述供应商参加本次采购活动的情形”中第 1）条的声明或证明材料（加盖单位公章）</w:t>
      </w:r>
      <w:r>
        <w:tab/>
      </w:r>
      <w:r>
        <w:fldChar w:fldCharType="begin"/>
      </w:r>
      <w:r>
        <w:instrText xml:space="preserve"> PAGEREF _Toc12397 \h </w:instrText>
      </w:r>
      <w:r>
        <w:fldChar w:fldCharType="separate"/>
      </w:r>
      <w:r>
        <w:t xml:space="preserve">89</w:t>
      </w:r>
      <w:r>
        <w:fldChar w:fldCharType="end"/>
      </w:r>
      <w:r>
        <w:rPr>
          <w:bCs/>
          <w:color w:val="000000"/>
          <w:highlight w:val="none"/>
        </w:rPr>
        <w:fldChar w:fldCharType="end"/>
      </w:r>
      <w:r/>
    </w:p>
    <w:p>
      <w:pPr>
        <w:pStyle w:val="1188"/>
        <w:tabs>
          <w:tab w:val="right" w:pos="9638" w:leader="dot"/>
        </w:tabs>
      </w:pPr>
      <w:r>
        <w:rPr>
          <w:bCs/>
          <w:color w:val="000000"/>
          <w:highlight w:val="none"/>
        </w:rPr>
        <w:fldChar w:fldCharType="begin"/>
      </w:r>
      <w:r>
        <w:rPr>
          <w:bCs/>
          <w:highlight w:val="none"/>
        </w:rPr>
        <w:instrText xml:space="preserve"> HYPERLINK \l _Toc31953 </w:instrText>
      </w:r>
      <w:r>
        <w:rPr>
          <w:bCs/>
          <w:highlight w:val="none"/>
        </w:rPr>
        <w:fldChar w:fldCharType="separate"/>
      </w:r>
      <w:r>
        <w:rPr>
          <w:bCs/>
          <w:szCs w:val="21"/>
          <w:highlight w:val="none"/>
        </w:rPr>
        <w:t xml:space="preserve">13、符合招标文件第一章“拒绝下述供应商参加本次采购活动的情形”中第 2）条的声明（加盖单位公章）</w:t>
      </w:r>
      <w:r>
        <w:tab/>
      </w:r>
      <w:r>
        <w:fldChar w:fldCharType="begin"/>
      </w:r>
      <w:r>
        <w:instrText xml:space="preserve"> PAGEREF _Toc31953 \h </w:instrText>
      </w:r>
      <w:r>
        <w:fldChar w:fldCharType="separate"/>
      </w:r>
      <w:r>
        <w:t xml:space="preserve">90</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_Toc20700 </w:instrText>
      </w:r>
      <w:r>
        <w:rPr>
          <w:bCs/>
          <w:highlight w:val="none"/>
        </w:rPr>
        <w:fldChar w:fldCharType="separate"/>
      </w:r>
      <w:r>
        <w:rPr>
          <w:bCs/>
          <w:szCs w:val="21"/>
          <w:highlight w:val="none"/>
          <w:lang w:bidi="ar"/>
        </w:rPr>
        <w:t xml:space="preserve">附件：</w:t>
      </w:r>
      <w:r>
        <w:rPr>
          <w:szCs w:val="22"/>
          <w:highlight w:val="none"/>
        </w:rPr>
        <w:t xml:space="preserve">《南京市政府采购供应商信用记录表暨信用承诺书》</w:t>
      </w:r>
      <w:r>
        <w:tab/>
      </w:r>
      <w:r>
        <w:fldChar w:fldCharType="begin"/>
      </w:r>
      <w:r>
        <w:instrText xml:space="preserve"> PAGEREF _Toc20700 \h </w:instrText>
      </w:r>
      <w:r>
        <w:fldChar w:fldCharType="separate"/>
      </w:r>
      <w:r>
        <w:t xml:space="preserve">91</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_Toc2309 </w:instrText>
      </w:r>
      <w:r>
        <w:rPr>
          <w:bCs/>
          <w:highlight w:val="none"/>
        </w:rPr>
        <w:fldChar w:fldCharType="separate"/>
      </w:r>
      <w:r>
        <w:rPr>
          <w:highlight w:val="none"/>
        </w:rPr>
        <w:t xml:space="preserve">附件</w:t>
      </w:r>
      <w:r>
        <w:rPr>
          <w:rFonts w:hint="eastAsia"/>
          <w:highlight w:val="none"/>
        </w:rPr>
        <w:t xml:space="preserve">九</w:t>
      </w:r>
      <w:r>
        <w:rPr>
          <w:highlight w:val="none"/>
        </w:rPr>
        <w:t xml:space="preserve"> 其他相关文件</w:t>
      </w:r>
      <w:r>
        <w:tab/>
      </w:r>
      <w:r>
        <w:fldChar w:fldCharType="begin"/>
      </w:r>
      <w:r>
        <w:instrText xml:space="preserve"> PAGEREF _Toc2309 \h </w:instrText>
      </w:r>
      <w:r>
        <w:fldChar w:fldCharType="separate"/>
      </w:r>
      <w:r>
        <w:t xml:space="preserve">94</w:t>
      </w:r>
      <w:r>
        <w:fldChar w:fldCharType="end"/>
      </w:r>
      <w:r>
        <w:rPr>
          <w:bCs/>
          <w:color w:val="000000"/>
          <w:highlight w:val="none"/>
        </w:rPr>
        <w:fldChar w:fldCharType="end"/>
      </w:r>
      <w:r/>
    </w:p>
    <w:p>
      <w:pPr>
        <w:pStyle w:val="1205"/>
        <w:tabs>
          <w:tab w:val="right" w:pos="9638" w:leader="dot"/>
        </w:tabs>
      </w:pPr>
      <w:r>
        <w:rPr>
          <w:bCs/>
          <w:color w:val="000000"/>
          <w:highlight w:val="none"/>
        </w:rPr>
        <w:fldChar w:fldCharType="begin"/>
      </w:r>
      <w:r>
        <w:rPr>
          <w:bCs/>
          <w:highlight w:val="none"/>
        </w:rPr>
        <w:instrText xml:space="preserve"> HYPERLINK \l _Toc25563 </w:instrText>
      </w:r>
      <w:r>
        <w:rPr>
          <w:bCs/>
          <w:highlight w:val="none"/>
        </w:rPr>
        <w:fldChar w:fldCharType="separate"/>
      </w:r>
      <w:r>
        <w:rPr>
          <w:bCs/>
          <w:highlight w:val="none"/>
          <w:lang w:val="zh-CN"/>
        </w:rPr>
        <w:t xml:space="preserve">附件</w:t>
      </w:r>
      <w:r>
        <w:rPr>
          <w:rFonts w:hint="eastAsia"/>
          <w:bCs/>
          <w:highlight w:val="none"/>
        </w:rPr>
        <w:t xml:space="preserve">十</w:t>
      </w:r>
      <w:r>
        <w:rPr>
          <w:bCs/>
          <w:highlight w:val="none"/>
          <w:lang w:val="zh-CN"/>
        </w:rPr>
        <w:t xml:space="preserve">  投标货物报告</w:t>
      </w:r>
      <w:r>
        <w:tab/>
      </w:r>
      <w:r>
        <w:fldChar w:fldCharType="begin"/>
      </w:r>
      <w:r>
        <w:instrText xml:space="preserve"> PAGEREF _Toc25563 \h </w:instrText>
      </w:r>
      <w:r>
        <w:fldChar w:fldCharType="separate"/>
      </w:r>
      <w:r>
        <w:t xml:space="preserve">95</w:t>
      </w:r>
      <w:r>
        <w:fldChar w:fldCharType="end"/>
      </w:r>
      <w:r>
        <w:rPr>
          <w:bCs/>
          <w:color w:val="000000"/>
          <w:highlight w:val="none"/>
        </w:rPr>
        <w:fldChar w:fldCharType="end"/>
      </w:r>
      <w:r/>
    </w:p>
    <w:p>
      <w:pPr>
        <w:pStyle w:val="1166"/>
        <w:spacing w:line="440" w:lineRule="exact"/>
        <w:rPr>
          <w:color w:val="000000"/>
          <w:sz w:val="28"/>
          <w:szCs w:val="28"/>
          <w:highlight w:val="none"/>
        </w:rPr>
      </w:pPr>
      <w:r>
        <w:rPr>
          <w:bCs/>
          <w:color w:val="000000"/>
          <w:highlight w:val="none"/>
        </w:rPr>
        <w:fldChar w:fldCharType="end"/>
      </w:r>
      <w:r>
        <w:rPr>
          <w:color w:val="000000"/>
          <w:sz w:val="28"/>
          <w:szCs w:val="28"/>
          <w:highlight w:val="none"/>
        </w:rPr>
      </w:r>
      <w:r/>
    </w:p>
    <w:p>
      <w:pPr>
        <w:pStyle w:val="1166"/>
        <w:rPr>
          <w:color w:val="000000"/>
          <w:sz w:val="28"/>
          <w:szCs w:val="28"/>
          <w:highlight w:val="none"/>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color w:val="000000"/>
          <w:sz w:val="28"/>
          <w:szCs w:val="28"/>
          <w:highlight w:val="none"/>
        </w:rPr>
      </w:r>
      <w:r/>
    </w:p>
    <w:p>
      <w:pPr>
        <w:pStyle w:val="1166"/>
        <w:numPr>
          <w:ilvl w:val="0"/>
          <w:numId w:val="2"/>
        </w:numPr>
        <w:jc w:val="center"/>
        <w:spacing w:line="440" w:lineRule="exact"/>
        <w:rPr>
          <w:b/>
          <w:color w:val="000000"/>
          <w:sz w:val="28"/>
          <w:szCs w:val="28"/>
          <w:highlight w:val="none"/>
        </w:rPr>
        <w:outlineLvl w:val="0"/>
      </w:pPr>
      <w:r>
        <w:rPr>
          <w:b/>
          <w:color w:val="000000"/>
          <w:sz w:val="28"/>
          <w:szCs w:val="28"/>
          <w:highlight w:val="none"/>
        </w:rPr>
        <w:t xml:space="preserve"> </w:t>
      </w:r>
      <w:bookmarkStart w:id="0" w:name="_Toc11566"/>
      <w:r/>
      <w:bookmarkStart w:id="1" w:name="_Toc7767"/>
      <w:r>
        <w:rPr>
          <w:b/>
          <w:color w:val="000000"/>
          <w:sz w:val="28"/>
          <w:szCs w:val="28"/>
          <w:highlight w:val="none"/>
        </w:rPr>
        <w:t xml:space="preserve">招标公告</w:t>
      </w:r>
      <w:bookmarkEnd w:id="0"/>
      <w:r/>
      <w:bookmarkEnd w:id="1"/>
      <w:r>
        <w:rPr>
          <w:b/>
          <w:color w:val="000000"/>
          <w:sz w:val="28"/>
          <w:szCs w:val="28"/>
          <w:highlight w:val="none"/>
        </w:rPr>
      </w:r>
      <w:r/>
    </w:p>
    <w:p>
      <w:pPr>
        <w:pStyle w:val="1166"/>
        <w:ind w:firstLine="420"/>
        <w:spacing w:line="360" w:lineRule="auto"/>
        <w:rPr>
          <w:color w:val="000000"/>
          <w:szCs w:val="21"/>
          <w:highlight w:val="none"/>
        </w:rPr>
        <w:pBdr>
          <w:top w:val="single" w:color="000000" w:sz="4" w:space="1"/>
          <w:left w:val="single" w:color="000000" w:sz="4" w:space="4"/>
          <w:bottom w:val="single" w:color="000000" w:sz="4" w:space="1"/>
          <w:right w:val="single" w:color="000000" w:sz="4" w:space="4"/>
        </w:pBdr>
      </w:pPr>
      <w:r>
        <w:rPr>
          <w:color w:val="000000"/>
          <w:szCs w:val="21"/>
          <w:highlight w:val="none"/>
        </w:rPr>
        <w:t xml:space="preserve">项目概况</w:t>
      </w:r>
      <w:r>
        <w:rPr>
          <w:color w:val="000000"/>
          <w:szCs w:val="21"/>
          <w:highlight w:val="none"/>
        </w:rPr>
      </w:r>
      <w:r/>
    </w:p>
    <w:p>
      <w:pPr>
        <w:pStyle w:val="1166"/>
        <w:ind w:firstLine="420"/>
        <w:spacing w:line="360" w:lineRule="auto"/>
        <w:rPr>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bCs/>
          <w:color w:val="000000"/>
          <w:szCs w:val="21"/>
          <w:highlight w:val="none"/>
          <w:u w:val="single"/>
          <w:lang w:eastAsia="zh-CN"/>
        </w:rPr>
        <w:t xml:space="preserve">南京红十字血液中心采血车</w:t>
      </w:r>
      <w:r>
        <w:rPr>
          <w:rFonts w:hint="eastAsia"/>
          <w:bCs/>
          <w:color w:val="000000"/>
          <w:szCs w:val="21"/>
          <w:highlight w:val="none"/>
          <w:u w:val="single"/>
          <w:lang w:eastAsia="zh-CN"/>
        </w:rPr>
        <w:t xml:space="preserve">采购项目</w:t>
      </w:r>
      <w:r>
        <w:rPr>
          <w:bCs/>
          <w:color w:val="000000"/>
          <w:szCs w:val="21"/>
          <w:highlight w:val="none"/>
        </w:rPr>
        <w:t xml:space="preserve">招标项目的潜在投标人</w:t>
      </w:r>
      <w:r>
        <w:rPr>
          <w:color w:val="000000"/>
          <w:szCs w:val="21"/>
          <w:highlight w:val="none"/>
        </w:rPr>
        <w:t xml:space="preserve">应在</w:t>
      </w:r>
      <w:r>
        <w:rPr>
          <w:color w:val="000000"/>
          <w:szCs w:val="21"/>
          <w:highlight w:val="none"/>
          <w:u w:val="single"/>
        </w:rPr>
        <w:t xml:space="preserve">“苏采云”系统内免费下载</w:t>
      </w:r>
      <w:r>
        <w:rPr>
          <w:color w:val="000000"/>
          <w:szCs w:val="21"/>
          <w:highlight w:val="none"/>
        </w:rPr>
        <w:t xml:space="preserve">招标文件</w:t>
      </w:r>
      <w:r>
        <w:rPr>
          <w:bCs/>
          <w:color w:val="000000"/>
          <w:szCs w:val="21"/>
          <w:highlight w:val="none"/>
        </w:rPr>
        <w:t xml:space="preserve">，并于</w:t>
      </w:r>
      <w:r>
        <w:rPr>
          <w:color w:val="000000"/>
          <w:szCs w:val="21"/>
          <w:highlight w:val="none"/>
          <w:u w:val="single"/>
        </w:rPr>
        <w:t xml:space="preserve">202</w:t>
      </w:r>
      <w:r>
        <w:rPr>
          <w:rFonts w:hint="eastAsia"/>
          <w:color w:val="000000"/>
          <w:szCs w:val="21"/>
          <w:highlight w:val="none"/>
          <w:u w:val="single"/>
        </w:rPr>
        <w:t xml:space="preserve">6</w:t>
      </w:r>
      <w:r>
        <w:rPr>
          <w:bCs/>
          <w:color w:val="000000"/>
          <w:szCs w:val="21"/>
          <w:highlight w:val="none"/>
          <w:u w:val="single"/>
        </w:rPr>
        <w:t xml:space="preserve">年</w:t>
      </w:r>
      <w:r>
        <w:rPr>
          <w:rFonts w:hint="eastAsia"/>
          <w:bCs/>
          <w:color w:val="000000"/>
          <w:szCs w:val="21"/>
          <w:highlight w:val="none"/>
          <w:u w:val="single"/>
          <w:lang w:val="en-US" w:eastAsia="zh-CN"/>
        </w:rPr>
        <w:t xml:space="preserve">9</w:t>
      </w:r>
      <w:r>
        <w:rPr>
          <w:bCs/>
          <w:color w:val="000000"/>
          <w:szCs w:val="21"/>
          <w:highlight w:val="none"/>
          <w:u w:val="single"/>
        </w:rPr>
        <w:t xml:space="preserve">月</w:t>
      </w:r>
      <w:r>
        <w:rPr>
          <w:rFonts w:hint="eastAsia"/>
          <w:bCs/>
          <w:color w:val="000000"/>
          <w:szCs w:val="21"/>
          <w:highlight w:val="none"/>
          <w:u w:val="single"/>
          <w:lang w:val="en-US" w:eastAsia="zh-CN"/>
        </w:rPr>
        <w:t xml:space="preserve">15</w:t>
      </w:r>
      <w:r>
        <w:rPr>
          <w:bCs/>
          <w:color w:val="000000"/>
          <w:szCs w:val="21"/>
          <w:highlight w:val="none"/>
          <w:u w:val="single"/>
        </w:rPr>
        <w:t xml:space="preserve">日</w:t>
      </w:r>
      <w:r>
        <w:rPr>
          <w:rFonts w:hint="eastAsia"/>
          <w:bCs/>
          <w:color w:val="000000"/>
          <w:szCs w:val="21"/>
          <w:highlight w:val="none"/>
          <w:u w:val="single"/>
          <w:lang w:val="en-US" w:eastAsia="zh-CN"/>
        </w:rPr>
        <w:t xml:space="preserve">14</w:t>
      </w:r>
      <w:r>
        <w:rPr>
          <w:bCs/>
          <w:color w:val="000000"/>
          <w:szCs w:val="21"/>
          <w:highlight w:val="none"/>
          <w:u w:val="single"/>
        </w:rPr>
        <w:t xml:space="preserve">点</w:t>
      </w:r>
      <w:r>
        <w:rPr>
          <w:rFonts w:hint="eastAsia"/>
          <w:bCs/>
          <w:color w:val="000000"/>
          <w:szCs w:val="21"/>
          <w:highlight w:val="none"/>
          <w:u w:val="single"/>
          <w:lang w:val="en-US" w:eastAsia="zh-CN"/>
        </w:rPr>
        <w:t xml:space="preserve">0</w:t>
      </w:r>
      <w:r>
        <w:rPr>
          <w:bCs/>
          <w:color w:val="000000"/>
          <w:szCs w:val="21"/>
          <w:highlight w:val="none"/>
          <w:u w:val="single"/>
        </w:rPr>
        <w:t xml:space="preserve">0分</w:t>
      </w:r>
      <w:r>
        <w:rPr>
          <w:bCs/>
          <w:color w:val="000000"/>
          <w:szCs w:val="21"/>
          <w:highlight w:val="none"/>
        </w:rPr>
        <w:t xml:space="preserve">（北京</w:t>
      </w:r>
      <w:r>
        <w:rPr>
          <w:bCs/>
          <w:color w:val="000000"/>
          <w:szCs w:val="21"/>
          <w:highlight w:val="none"/>
        </w:rPr>
        <w:t xml:space="preserve">时间）前递交投标文件。</w:t>
      </w:r>
      <w:r>
        <w:rPr>
          <w:bCs/>
          <w:color w:val="000000"/>
          <w:szCs w:val="21"/>
          <w:highlight w:val="none"/>
        </w:rPr>
      </w:r>
      <w:r/>
    </w:p>
    <w:p>
      <w:pPr>
        <w:pStyle w:val="1168"/>
        <w:spacing w:before="0" w:after="0" w:line="360" w:lineRule="auto"/>
        <w:rPr>
          <w:rFonts w:ascii="Times New Roman" w:hAnsi="Times New Roman" w:eastAsia="宋体"/>
          <w:color w:val="000000"/>
          <w:sz w:val="21"/>
          <w:szCs w:val="21"/>
          <w:highlight w:val="none"/>
        </w:rPr>
      </w:pPr>
      <w:r/>
      <w:bookmarkStart w:id="2" w:name="_Toc28359079"/>
      <w:r/>
      <w:bookmarkStart w:id="3" w:name="_Toc28359002"/>
      <w:r/>
      <w:bookmarkStart w:id="4" w:name="_Toc35393790"/>
      <w:r/>
      <w:bookmarkStart w:id="5" w:name="_Toc35393621"/>
      <w:r/>
      <w:bookmarkStart w:id="6" w:name="_Toc27101"/>
      <w:r/>
      <w:bookmarkStart w:id="7" w:name="_Toc16062"/>
      <w:r/>
      <w:bookmarkStart w:id="8" w:name="_Hlk24379207"/>
      <w:r>
        <w:rPr>
          <w:rFonts w:ascii="Times New Roman" w:hAnsi="Times New Roman" w:eastAsia="宋体"/>
          <w:color w:val="000000"/>
          <w:sz w:val="21"/>
          <w:szCs w:val="21"/>
          <w:highlight w:val="none"/>
        </w:rPr>
        <w:t xml:space="preserve">一、项目基本情况</w:t>
      </w:r>
      <w:bookmarkEnd w:id="2"/>
      <w:r/>
      <w:bookmarkEnd w:id="3"/>
      <w:r/>
      <w:bookmarkEnd w:id="4"/>
      <w:r/>
      <w:bookmarkEnd w:id="5"/>
      <w:r/>
      <w:bookmarkEnd w:id="6"/>
      <w:r/>
      <w:bookmarkEnd w:id="7"/>
      <w:r>
        <w:rPr>
          <w:rFonts w:ascii="Times New Roman" w:hAnsi="Times New Roman" w:eastAsia="宋体"/>
          <w:color w:val="000000"/>
          <w:sz w:val="21"/>
          <w:szCs w:val="21"/>
          <w:highlight w:val="none"/>
        </w:rPr>
      </w:r>
      <w:r/>
    </w:p>
    <w:p>
      <w:pPr>
        <w:pStyle w:val="1166"/>
        <w:ind w:firstLine="420"/>
        <w:spacing w:line="360" w:lineRule="auto"/>
        <w:rPr>
          <w:color w:val="000000"/>
          <w:szCs w:val="21"/>
          <w:highlight w:val="none"/>
        </w:rPr>
      </w:pPr>
      <w:r>
        <w:rPr>
          <w:color w:val="000000"/>
          <w:szCs w:val="21"/>
          <w:highlight w:val="none"/>
        </w:rPr>
        <w:t xml:space="preserve">1.项目编号：</w:t>
      </w:r>
      <w:r>
        <w:rPr>
          <w:rFonts w:hint="eastAsia"/>
          <w:color w:val="000000"/>
          <w:szCs w:val="21"/>
          <w:highlight w:val="none"/>
          <w:lang w:eastAsia="zh-CN"/>
        </w:rPr>
        <w:t xml:space="preserve">JSZC-320100-SMDY-G2026-0071</w:t>
      </w:r>
      <w:r>
        <w:rPr>
          <w:color w:val="000000"/>
          <w:szCs w:val="21"/>
          <w:highlight w:val="none"/>
        </w:rPr>
        <w:t xml:space="preserve">（</w:t>
      </w:r>
      <w:r>
        <w:rPr>
          <w:rFonts w:hint="eastAsia"/>
          <w:color w:val="000000"/>
          <w:szCs w:val="21"/>
          <w:highlight w:val="none"/>
          <w:lang w:eastAsia="zh-CN"/>
        </w:rPr>
        <w:t xml:space="preserve">2640SUMEC/ZWHD2149</w:t>
      </w:r>
      <w:r>
        <w:rPr>
          <w:color w:val="000000"/>
          <w:szCs w:val="21"/>
          <w:highlight w:val="none"/>
        </w:rPr>
        <w:t xml:space="preserve">）</w:t>
      </w:r>
      <w:r>
        <w:rPr>
          <w:color w:val="000000"/>
          <w:szCs w:val="21"/>
          <w:highlight w:val="none"/>
        </w:rPr>
      </w:r>
      <w:r/>
    </w:p>
    <w:p>
      <w:pPr>
        <w:pStyle w:val="1166"/>
        <w:ind w:firstLine="420"/>
        <w:spacing w:line="360" w:lineRule="auto"/>
        <w:rPr>
          <w:rFonts w:hint="eastAsia" w:eastAsia="宋体"/>
          <w:color w:val="000000"/>
          <w:szCs w:val="21"/>
          <w:highlight w:val="none"/>
          <w:lang w:eastAsia="zh-CN"/>
        </w:rPr>
      </w:pPr>
      <w:r>
        <w:rPr>
          <w:color w:val="000000"/>
          <w:szCs w:val="21"/>
          <w:highlight w:val="none"/>
        </w:rPr>
        <w:t xml:space="preserve">2.项目名称：</w:t>
      </w:r>
      <w:r>
        <w:rPr>
          <w:rFonts w:hint="eastAsia"/>
          <w:color w:val="000000"/>
          <w:szCs w:val="21"/>
          <w:highlight w:val="none"/>
          <w:lang w:eastAsia="zh-CN"/>
        </w:rPr>
        <w:t xml:space="preserve">南京红十字血液中心采血车采购项目</w:t>
      </w:r>
      <w:r>
        <w:rPr>
          <w:rFonts w:hint="eastAsia" w:eastAsia="宋体"/>
          <w:color w:val="000000"/>
          <w:szCs w:val="21"/>
          <w:highlight w:val="none"/>
          <w:lang w:eastAsia="zh-CN"/>
        </w:rPr>
      </w:r>
      <w:r/>
    </w:p>
    <w:p>
      <w:pPr>
        <w:pStyle w:val="1166"/>
        <w:ind w:firstLine="420"/>
        <w:spacing w:line="360" w:lineRule="auto"/>
        <w:rPr>
          <w:rFonts w:hint="eastAsia" w:eastAsia="宋体"/>
          <w:color w:val="000000"/>
          <w:szCs w:val="21"/>
          <w:highlight w:val="none"/>
          <w:lang w:val="en-US" w:eastAsia="zh-CN"/>
        </w:rPr>
      </w:pPr>
      <w:r>
        <w:rPr>
          <w:color w:val="000000"/>
          <w:szCs w:val="21"/>
          <w:highlight w:val="none"/>
        </w:rPr>
        <w:t xml:space="preserve">3.预算金额：人民币3</w:t>
      </w:r>
      <w:r>
        <w:rPr>
          <w:rFonts w:hint="eastAsia"/>
          <w:color w:val="000000"/>
          <w:szCs w:val="21"/>
          <w:highlight w:val="none"/>
          <w:lang w:val="en-US" w:eastAsia="zh-CN"/>
        </w:rPr>
        <w:t xml:space="preserve">15</w:t>
      </w:r>
      <w:r>
        <w:rPr>
          <w:color w:val="000000"/>
          <w:szCs w:val="21"/>
          <w:highlight w:val="none"/>
        </w:rPr>
        <w:t xml:space="preserve">万元，超过对应的预算金额作无效投标处理。</w:t>
      </w:r>
      <w:r>
        <w:rPr>
          <w:rFonts w:hint="eastAsia"/>
          <w:color w:val="000000"/>
          <w:szCs w:val="21"/>
          <w:highlight w:val="none"/>
          <w:lang w:val="en-US" w:eastAsia="zh-CN"/>
        </w:rPr>
        <w:t xml:space="preserve"> </w:t>
      </w:r>
      <w:r>
        <w:rPr>
          <w:rFonts w:hint="eastAsia" w:eastAsia="宋体"/>
          <w:color w:val="000000"/>
          <w:szCs w:val="21"/>
          <w:highlight w:val="none"/>
          <w:lang w:val="en-US" w:eastAsia="zh-CN"/>
        </w:rPr>
      </w:r>
      <w:r/>
    </w:p>
    <w:p>
      <w:pPr>
        <w:pStyle w:val="1166"/>
        <w:ind w:firstLine="420"/>
        <w:spacing w:line="360" w:lineRule="auto"/>
        <w:rPr>
          <w:color w:val="000000"/>
          <w:szCs w:val="21"/>
          <w:highlight w:val="none"/>
        </w:rPr>
      </w:pPr>
      <w:r>
        <w:rPr>
          <w:color w:val="000000"/>
          <w:szCs w:val="21"/>
          <w:highlight w:val="none"/>
        </w:rPr>
        <w:t xml:space="preserve">4.最高限价：/</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5.采购需求：具体详见招标文件第四章招标技术规格及要求。</w:t>
      </w:r>
      <w:r>
        <w:rPr>
          <w:color w:val="000000"/>
          <w:szCs w:val="21"/>
          <w:highlight w:val="none"/>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070"/>
        <w:gridCol w:w="1454"/>
        <w:gridCol w:w="3301"/>
        <w:gridCol w:w="2026"/>
      </w:tblGrid>
      <w:tr>
        <w:trPr>
          <w:trHeight w:val="600"/>
        </w:trPr>
        <w:tc>
          <w:tcPr>
            <w:tcW w:w="371" w:type="dxa"/>
            <w:vAlign w:val="center"/>
            <w:textDirection w:val="lrTb"/>
            <w:noWrap w:val="false"/>
          </w:tcPr>
          <w:p>
            <w:pPr>
              <w:pStyle w:val="1166"/>
              <w:ind w:right="-107"/>
              <w:jc w:val="center"/>
              <w:spacing w:line="460" w:lineRule="exact"/>
              <w:tabs>
                <w:tab w:val="left" w:pos="4788" w:leader="none"/>
              </w:tabs>
              <w:rPr>
                <w:b/>
                <w:color w:val="000000"/>
                <w:szCs w:val="21"/>
                <w:highlight w:val="none"/>
              </w:rPr>
            </w:pPr>
            <w:r/>
            <w:bookmarkEnd w:id="8"/>
            <w:r>
              <w:rPr>
                <w:b/>
                <w:color w:val="000000"/>
                <w:szCs w:val="21"/>
                <w:highlight w:val="none"/>
              </w:rPr>
              <w:t xml:space="preserve">包号</w:t>
            </w:r>
            <w:r>
              <w:rPr>
                <w:b/>
                <w:color w:val="000000"/>
                <w:szCs w:val="21"/>
                <w:highlight w:val="none"/>
              </w:rPr>
            </w:r>
            <w:r/>
          </w:p>
        </w:tc>
        <w:tc>
          <w:tcPr>
            <w:tcW w:w="1082" w:type="dxa"/>
            <w:vAlign w:val="center"/>
            <w:textDirection w:val="lrTb"/>
            <w:noWrap w:val="false"/>
          </w:tcPr>
          <w:p>
            <w:pPr>
              <w:pStyle w:val="1166"/>
              <w:ind w:right="-107"/>
              <w:jc w:val="center"/>
              <w:spacing w:line="460" w:lineRule="exact"/>
              <w:tabs>
                <w:tab w:val="left" w:pos="4788" w:leader="none"/>
              </w:tabs>
              <w:rPr>
                <w:b/>
                <w:color w:val="000000"/>
                <w:szCs w:val="21"/>
                <w:highlight w:val="none"/>
              </w:rPr>
            </w:pPr>
            <w:r>
              <w:rPr>
                <w:b/>
                <w:color w:val="000000"/>
                <w:szCs w:val="21"/>
                <w:highlight w:val="none"/>
              </w:rPr>
              <w:t xml:space="preserve">产品名称</w:t>
            </w:r>
            <w:r>
              <w:rPr>
                <w:b/>
                <w:color w:val="000000"/>
                <w:szCs w:val="21"/>
                <w:highlight w:val="none"/>
              </w:rPr>
            </w:r>
            <w:r/>
          </w:p>
        </w:tc>
        <w:tc>
          <w:tcPr>
            <w:tcW w:w="760" w:type="dxa"/>
            <w:vAlign w:val="center"/>
            <w:textDirection w:val="lrTb"/>
            <w:noWrap w:val="false"/>
          </w:tcPr>
          <w:p>
            <w:pPr>
              <w:pStyle w:val="1166"/>
              <w:ind w:right="-107"/>
              <w:jc w:val="center"/>
              <w:spacing w:line="460" w:lineRule="exact"/>
              <w:tabs>
                <w:tab w:val="left" w:pos="4788" w:leader="none"/>
              </w:tabs>
              <w:rPr>
                <w:b/>
                <w:color w:val="000000"/>
                <w:szCs w:val="21"/>
                <w:highlight w:val="none"/>
              </w:rPr>
            </w:pPr>
            <w:r>
              <w:rPr>
                <w:b/>
                <w:color w:val="000000"/>
                <w:szCs w:val="21"/>
                <w:highlight w:val="none"/>
              </w:rPr>
              <w:t xml:space="preserve">数量（</w:t>
            </w:r>
            <w:r>
              <w:rPr>
                <w:rFonts w:hint="eastAsia"/>
                <w:b/>
                <w:color w:val="000000"/>
                <w:szCs w:val="21"/>
                <w:highlight w:val="none"/>
                <w:lang w:val="en-US" w:eastAsia="zh-CN"/>
              </w:rPr>
              <w:t xml:space="preserve">辆</w:t>
            </w:r>
            <w:r>
              <w:rPr>
                <w:b/>
                <w:color w:val="000000"/>
                <w:szCs w:val="21"/>
                <w:highlight w:val="none"/>
              </w:rPr>
              <w:t xml:space="preserve">）</w:t>
            </w:r>
            <w:r>
              <w:rPr>
                <w:b/>
                <w:color w:val="000000"/>
                <w:szCs w:val="21"/>
                <w:highlight w:val="none"/>
              </w:rPr>
            </w:r>
            <w:r/>
          </w:p>
        </w:tc>
        <w:tc>
          <w:tcPr>
            <w:tcW w:w="1725" w:type="dxa"/>
            <w:vAlign w:val="center"/>
            <w:textDirection w:val="lrTb"/>
            <w:noWrap w:val="false"/>
          </w:tcPr>
          <w:p>
            <w:pPr>
              <w:pStyle w:val="1166"/>
              <w:jc w:val="center"/>
              <w:spacing w:line="460" w:lineRule="exact"/>
              <w:tabs>
                <w:tab w:val="left" w:pos="4788" w:leader="none"/>
              </w:tabs>
              <w:rPr>
                <w:b/>
                <w:color w:val="000000"/>
                <w:szCs w:val="21"/>
                <w:highlight w:val="none"/>
              </w:rPr>
            </w:pPr>
            <w:r>
              <w:rPr>
                <w:b/>
                <w:color w:val="000000"/>
                <w:szCs w:val="21"/>
                <w:highlight w:val="none"/>
              </w:rPr>
              <w:t xml:space="preserve">项目预算金额（万元/人民币）</w:t>
            </w:r>
            <w:r>
              <w:rPr>
                <w:b/>
                <w:color w:val="000000"/>
                <w:szCs w:val="21"/>
                <w:highlight w:val="none"/>
              </w:rPr>
            </w:r>
            <w:r/>
          </w:p>
        </w:tc>
        <w:tc>
          <w:tcPr>
            <w:tcW w:w="1059" w:type="dxa"/>
            <w:vAlign w:val="center"/>
            <w:textDirection w:val="lrTb"/>
            <w:noWrap w:val="false"/>
          </w:tcPr>
          <w:p>
            <w:pPr>
              <w:pStyle w:val="1166"/>
              <w:jc w:val="center"/>
              <w:spacing w:line="460" w:lineRule="exact"/>
              <w:tabs>
                <w:tab w:val="left" w:pos="4788" w:leader="none"/>
              </w:tabs>
              <w:rPr>
                <w:b/>
                <w:color w:val="000000"/>
                <w:szCs w:val="21"/>
                <w:highlight w:val="none"/>
              </w:rPr>
            </w:pPr>
            <w:r>
              <w:rPr>
                <w:b/>
                <w:color w:val="000000"/>
                <w:szCs w:val="21"/>
                <w:highlight w:val="none"/>
              </w:rPr>
              <w:t xml:space="preserve">是否接受进口产品</w:t>
            </w:r>
            <w:r>
              <w:rPr>
                <w:b/>
                <w:color w:val="000000"/>
                <w:szCs w:val="21"/>
                <w:highlight w:val="none"/>
              </w:rPr>
            </w:r>
            <w:r/>
          </w:p>
        </w:tc>
      </w:tr>
      <w:tr>
        <w:trPr>
          <w:trHeight w:val="687"/>
        </w:trPr>
        <w:tc>
          <w:tcPr>
            <w:tcW w:w="371" w:type="dxa"/>
            <w:vAlign w:val="center"/>
            <w:textDirection w:val="lrTb"/>
            <w:noWrap w:val="false"/>
          </w:tcPr>
          <w:p>
            <w:pPr>
              <w:pStyle w:val="1166"/>
              <w:jc w:val="center"/>
              <w:rPr>
                <w:color w:val="000000"/>
                <w:szCs w:val="21"/>
                <w:highlight w:val="none"/>
              </w:rPr>
            </w:pPr>
            <w:r>
              <w:rPr>
                <w:color w:val="000000"/>
                <w:szCs w:val="21"/>
                <w:highlight w:val="none"/>
              </w:rPr>
              <w:t xml:space="preserve">1</w:t>
            </w:r>
            <w:r>
              <w:rPr>
                <w:color w:val="000000"/>
                <w:szCs w:val="21"/>
                <w:highlight w:val="none"/>
              </w:rPr>
            </w:r>
            <w:r/>
          </w:p>
        </w:tc>
        <w:tc>
          <w:tcPr>
            <w:tcW w:w="1082" w:type="dxa"/>
            <w:vAlign w:val="center"/>
            <w:textDirection w:val="lrTb"/>
            <w:noWrap w:val="false"/>
          </w:tcPr>
          <w:p>
            <w:pPr>
              <w:pStyle w:val="1166"/>
              <w:jc w:val="center"/>
              <w:tabs>
                <w:tab w:val="left" w:pos="4788" w:leader="none"/>
              </w:tabs>
              <w:rPr>
                <w:rFonts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大型拓展采血车</w:t>
            </w:r>
            <w:r>
              <w:rPr>
                <w:rFonts w:ascii="Times New Roman" w:hAnsi="Times New Roman" w:eastAsia="宋体" w:cs="Times New Roman"/>
                <w:color w:val="000000"/>
                <w:szCs w:val="21"/>
                <w:highlight w:val="none"/>
                <w:lang w:val="zh-CN"/>
              </w:rPr>
            </w:r>
            <w:r/>
          </w:p>
        </w:tc>
        <w:tc>
          <w:tcPr>
            <w:tcW w:w="760" w:type="dxa"/>
            <w:vAlign w:val="center"/>
            <w:textDirection w:val="lrTb"/>
            <w:noWrap w:val="false"/>
          </w:tcPr>
          <w:p>
            <w:pPr>
              <w:pStyle w:val="1166"/>
              <w:jc w:val="center"/>
              <w:tabs>
                <w:tab w:val="left" w:pos="4788" w:leader="none"/>
              </w:tabs>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1725" w:type="dxa"/>
            <w:vAlign w:val="center"/>
            <w:textDirection w:val="lrTb"/>
            <w:noWrap w:val="false"/>
          </w:tcPr>
          <w:p>
            <w:pPr>
              <w:pStyle w:val="1166"/>
              <w:jc w:val="center"/>
              <w:widowControl/>
              <w:rPr>
                <w:rFonts w:eastAsia="宋体"/>
                <w:color w:val="000000"/>
                <w:szCs w:val="21"/>
                <w:highlight w:val="none"/>
                <w:lang w:val="en-US" w:eastAsia="zh-CN"/>
              </w:rPr>
            </w:pPr>
            <w:r>
              <w:rPr>
                <w:rFonts w:hint="eastAsia"/>
                <w:color w:val="000000"/>
                <w:szCs w:val="21"/>
                <w:highlight w:val="none"/>
                <w:lang w:val="en-US" w:eastAsia="zh-CN"/>
              </w:rPr>
              <w:t xml:space="preserve">200</w:t>
            </w:r>
            <w:r>
              <w:rPr>
                <w:rFonts w:eastAsia="宋体"/>
                <w:color w:val="000000"/>
                <w:szCs w:val="21"/>
                <w:highlight w:val="none"/>
                <w:lang w:val="en-US" w:eastAsia="zh-CN"/>
              </w:rPr>
            </w:r>
            <w:r/>
          </w:p>
        </w:tc>
        <w:tc>
          <w:tcPr>
            <w:tcW w:w="1059" w:type="dxa"/>
            <w:vAlign w:val="center"/>
            <w:textDirection w:val="lrTb"/>
            <w:noWrap w:val="false"/>
          </w:tcPr>
          <w:p>
            <w:pPr>
              <w:pStyle w:val="1166"/>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r>
      <w:tr>
        <w:trPr>
          <w:trHeight w:val="687"/>
        </w:trPr>
        <w:tc>
          <w:tcPr>
            <w:tcW w:w="371" w:type="dxa"/>
            <w:vAlign w:val="center"/>
            <w:textDirection w:val="lrTb"/>
            <w:noWrap w:val="false"/>
          </w:tcPr>
          <w:p>
            <w:pPr>
              <w:pStyle w:val="1166"/>
              <w:jc w:val="center"/>
              <w:rPr>
                <w:color w:val="000000"/>
                <w:szCs w:val="21"/>
                <w:highlight w:val="none"/>
              </w:rPr>
            </w:pPr>
            <w:r>
              <w:rPr>
                <w:color w:val="000000"/>
                <w:szCs w:val="21"/>
                <w:highlight w:val="none"/>
              </w:rPr>
              <w:t xml:space="preserve">2</w:t>
            </w:r>
            <w:r>
              <w:rPr>
                <w:color w:val="000000"/>
                <w:szCs w:val="21"/>
                <w:highlight w:val="none"/>
              </w:rPr>
            </w:r>
            <w:r/>
          </w:p>
        </w:tc>
        <w:tc>
          <w:tcPr>
            <w:tcW w:w="1082" w:type="dxa"/>
            <w:vAlign w:val="center"/>
            <w:textDirection w:val="lrTb"/>
            <w:noWrap w:val="false"/>
          </w:tcPr>
          <w:p>
            <w:pPr>
              <w:pStyle w:val="1166"/>
              <w:jc w:val="center"/>
              <w:tabs>
                <w:tab w:val="left" w:pos="4788" w:leader="none"/>
              </w:tabs>
              <w:rPr>
                <w:rFonts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小型专用采血车</w:t>
            </w:r>
            <w:r>
              <w:rPr>
                <w:rFonts w:ascii="Times New Roman" w:hAnsi="Times New Roman" w:eastAsia="宋体" w:cs="Times New Roman"/>
                <w:color w:val="000000"/>
                <w:szCs w:val="21"/>
                <w:highlight w:val="none"/>
                <w:lang w:val="zh-CN"/>
              </w:rPr>
            </w:r>
            <w:r/>
          </w:p>
        </w:tc>
        <w:tc>
          <w:tcPr>
            <w:tcW w:w="760" w:type="dxa"/>
            <w:vAlign w:val="center"/>
            <w:textDirection w:val="lrTb"/>
            <w:noWrap w:val="false"/>
          </w:tcPr>
          <w:p>
            <w:pPr>
              <w:pStyle w:val="1166"/>
              <w:jc w:val="center"/>
              <w:tabs>
                <w:tab w:val="left" w:pos="4788" w:leader="none"/>
              </w:tabs>
              <w:rPr>
                <w:rFonts w:hint="eastAsia" w:eastAsia="宋体"/>
                <w:color w:val="000000"/>
                <w:szCs w:val="21"/>
                <w:highlight w:val="none"/>
                <w:lang w:val="zh-CN" w:eastAsia="zh-CN"/>
              </w:rPr>
            </w:pPr>
            <w:r>
              <w:rPr>
                <w:rFonts w:hint="eastAsia"/>
                <w:color w:val="000000"/>
                <w:szCs w:val="21"/>
                <w:highlight w:val="none"/>
                <w:lang w:val="en-US" w:eastAsia="zh-CN"/>
              </w:rPr>
              <w:t xml:space="preserve">1</w:t>
            </w:r>
            <w:r>
              <w:rPr>
                <w:rFonts w:hint="eastAsia" w:eastAsia="宋体"/>
                <w:color w:val="000000"/>
                <w:szCs w:val="21"/>
                <w:highlight w:val="none"/>
                <w:lang w:val="zh-CN" w:eastAsia="zh-CN"/>
              </w:rPr>
            </w:r>
            <w:r/>
          </w:p>
        </w:tc>
        <w:tc>
          <w:tcPr>
            <w:tcW w:w="1725" w:type="dxa"/>
            <w:vAlign w:val="center"/>
            <w:textDirection w:val="lrTb"/>
            <w:noWrap w:val="false"/>
          </w:tcPr>
          <w:p>
            <w:pPr>
              <w:pStyle w:val="1166"/>
              <w:jc w:val="center"/>
              <w:widowControl/>
              <w:rPr>
                <w:rFonts w:eastAsia="宋体"/>
                <w:color w:val="000000"/>
                <w:szCs w:val="21"/>
                <w:highlight w:val="none"/>
                <w:lang w:val="en-US" w:eastAsia="zh-CN"/>
              </w:rPr>
            </w:pPr>
            <w:r>
              <w:rPr>
                <w:rFonts w:hint="eastAsia"/>
                <w:color w:val="000000"/>
                <w:szCs w:val="21"/>
                <w:highlight w:val="none"/>
                <w:lang w:val="en-US" w:eastAsia="zh-CN"/>
              </w:rPr>
              <w:t xml:space="preserve">75</w:t>
            </w:r>
            <w:r>
              <w:rPr>
                <w:rFonts w:eastAsia="宋体"/>
                <w:color w:val="000000"/>
                <w:szCs w:val="21"/>
                <w:highlight w:val="none"/>
                <w:lang w:val="en-US" w:eastAsia="zh-CN"/>
              </w:rPr>
            </w:r>
            <w:r/>
          </w:p>
        </w:tc>
        <w:tc>
          <w:tcPr>
            <w:tcW w:w="1059" w:type="dxa"/>
            <w:vAlign w:val="center"/>
            <w:textDirection w:val="lrTb"/>
            <w:noWrap w:val="false"/>
          </w:tcPr>
          <w:p>
            <w:pPr>
              <w:pStyle w:val="1166"/>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r>
      <w:tr>
        <w:trPr>
          <w:trHeight w:val="687"/>
        </w:trPr>
        <w:tc>
          <w:tcPr>
            <w:tcW w:w="371" w:type="dxa"/>
            <w:vAlign w:val="center"/>
            <w:textDirection w:val="lrTb"/>
            <w:noWrap w:val="false"/>
          </w:tcPr>
          <w:p>
            <w:pPr>
              <w:pStyle w:val="1166"/>
              <w:jc w:val="center"/>
              <w:rPr>
                <w:color w:val="000000"/>
                <w:szCs w:val="21"/>
                <w:highlight w:val="none"/>
              </w:rPr>
            </w:pPr>
            <w:r>
              <w:rPr>
                <w:color w:val="000000"/>
                <w:szCs w:val="21"/>
                <w:highlight w:val="none"/>
              </w:rPr>
              <w:t xml:space="preserve">3</w:t>
            </w:r>
            <w:r>
              <w:rPr>
                <w:color w:val="000000"/>
                <w:szCs w:val="21"/>
                <w:highlight w:val="none"/>
              </w:rPr>
            </w:r>
            <w:r/>
          </w:p>
        </w:tc>
        <w:tc>
          <w:tcPr>
            <w:tcW w:w="1082" w:type="dxa"/>
            <w:vAlign w:val="center"/>
            <w:textDirection w:val="lrTb"/>
            <w:noWrap w:val="false"/>
          </w:tcPr>
          <w:p>
            <w:pPr>
              <w:pStyle w:val="1166"/>
              <w:jc w:val="center"/>
              <w:tabs>
                <w:tab w:val="left" w:pos="4788" w:leader="none"/>
              </w:tabs>
              <w:rPr>
                <w:rFonts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运血冷藏车</w:t>
            </w:r>
            <w:r>
              <w:rPr>
                <w:rFonts w:ascii="Times New Roman" w:hAnsi="Times New Roman" w:eastAsia="宋体" w:cs="Times New Roman"/>
                <w:color w:val="000000"/>
                <w:szCs w:val="21"/>
                <w:highlight w:val="none"/>
                <w:lang w:val="zh-CN"/>
              </w:rPr>
            </w:r>
            <w:r/>
          </w:p>
        </w:tc>
        <w:tc>
          <w:tcPr>
            <w:tcW w:w="760" w:type="dxa"/>
            <w:vAlign w:val="center"/>
            <w:textDirection w:val="lrTb"/>
            <w:noWrap w:val="false"/>
          </w:tcPr>
          <w:p>
            <w:pPr>
              <w:pStyle w:val="1166"/>
              <w:jc w:val="center"/>
              <w:tabs>
                <w:tab w:val="left" w:pos="4788" w:leader="none"/>
              </w:tabs>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1725" w:type="dxa"/>
            <w:vAlign w:val="center"/>
            <w:textDirection w:val="lrTb"/>
            <w:noWrap w:val="false"/>
          </w:tcPr>
          <w:p>
            <w:pPr>
              <w:pStyle w:val="1166"/>
              <w:jc w:val="center"/>
              <w:widowControl/>
              <w:rPr>
                <w:rFonts w:eastAsia="宋体"/>
                <w:color w:val="000000"/>
                <w:szCs w:val="21"/>
                <w:highlight w:val="none"/>
                <w:lang w:val="en-US" w:eastAsia="zh-CN"/>
              </w:rPr>
            </w:pPr>
            <w:r>
              <w:rPr>
                <w:rFonts w:hint="eastAsia"/>
                <w:color w:val="000000"/>
                <w:szCs w:val="21"/>
                <w:highlight w:val="none"/>
                <w:lang w:val="en-US" w:eastAsia="zh-CN"/>
              </w:rPr>
              <w:t xml:space="preserve">40</w:t>
            </w:r>
            <w:r>
              <w:rPr>
                <w:rFonts w:eastAsia="宋体"/>
                <w:color w:val="000000"/>
                <w:szCs w:val="21"/>
                <w:highlight w:val="none"/>
                <w:lang w:val="en-US" w:eastAsia="zh-CN"/>
              </w:rPr>
            </w:r>
            <w:r/>
          </w:p>
        </w:tc>
        <w:tc>
          <w:tcPr>
            <w:tcW w:w="1059" w:type="dxa"/>
            <w:vAlign w:val="center"/>
            <w:textDirection w:val="lrTb"/>
            <w:noWrap w:val="false"/>
          </w:tcPr>
          <w:p>
            <w:pPr>
              <w:pStyle w:val="1166"/>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r>
    </w:tbl>
    <w:p>
      <w:pPr>
        <w:pStyle w:val="1166"/>
        <w:ind w:firstLine="420"/>
        <w:spacing w:line="360" w:lineRule="auto"/>
        <w:rPr>
          <w:color w:val="000000"/>
          <w:szCs w:val="21"/>
          <w:highlight w:val="none"/>
        </w:rPr>
      </w:pPr>
      <w:r>
        <w:rPr>
          <w:color w:val="000000"/>
          <w:szCs w:val="21"/>
          <w:highlight w:val="none"/>
        </w:rPr>
        <w:t xml:space="preserve">6.合同履行期限：</w:t>
      </w:r>
      <w:r>
        <w:rPr>
          <w:b/>
          <w:bCs/>
          <w:color w:val="000000"/>
          <w:szCs w:val="21"/>
          <w:highlight w:val="none"/>
          <w:lang w:val="zh-CN"/>
        </w:rPr>
        <w:t xml:space="preserve">合同生效后</w:t>
      </w:r>
      <w:r>
        <w:rPr>
          <w:rFonts w:hint="eastAsia"/>
          <w:b/>
          <w:bCs/>
          <w:color w:val="000000"/>
          <w:szCs w:val="21"/>
          <w:highlight w:val="none"/>
          <w:lang w:val="en-US" w:eastAsia="zh-CN"/>
        </w:rPr>
        <w:t xml:space="preserve">6</w:t>
      </w:r>
      <w:r>
        <w:rPr>
          <w:rFonts w:hint="eastAsia"/>
          <w:b/>
          <w:bCs/>
          <w:color w:val="000000"/>
          <w:szCs w:val="21"/>
          <w:highlight w:val="none"/>
          <w:lang w:val="en-US" w:eastAsia="zh-CN"/>
        </w:rPr>
        <w:t xml:space="preserve">0</w:t>
      </w:r>
      <w:r>
        <w:rPr>
          <w:rFonts w:hint="eastAsia"/>
          <w:b/>
          <w:bCs/>
          <w:color w:val="000000"/>
          <w:szCs w:val="21"/>
          <w:highlight w:val="none"/>
        </w:rPr>
        <w:t xml:space="preserve">天</w:t>
      </w:r>
      <w:r>
        <w:rPr>
          <w:b/>
          <w:bCs/>
          <w:color w:val="000000"/>
          <w:szCs w:val="21"/>
          <w:highlight w:val="none"/>
          <w:lang w:val="zh-CN"/>
        </w:rPr>
        <w:t xml:space="preserve">内</w:t>
      </w:r>
      <w:r>
        <w:rPr>
          <w:rFonts w:hint="eastAsia"/>
          <w:b/>
          <w:bCs/>
          <w:color w:val="000000"/>
          <w:szCs w:val="21"/>
          <w:highlight w:val="none"/>
        </w:rPr>
        <w:t xml:space="preserve">供货并安装完毕</w:t>
      </w:r>
      <w:r>
        <w:rPr>
          <w:color w:val="000000"/>
          <w:szCs w:val="21"/>
          <w:highlight w:val="none"/>
        </w:rPr>
        <w:t xml:space="preserve">。</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7.本项目（是/否）接受联合体投标：否。</w:t>
      </w:r>
      <w:r>
        <w:rPr>
          <w:color w:val="000000"/>
          <w:szCs w:val="21"/>
          <w:highlight w:val="none"/>
        </w:rPr>
      </w:r>
      <w:r/>
    </w:p>
    <w:p>
      <w:pPr>
        <w:pStyle w:val="1168"/>
        <w:spacing w:before="0" w:after="0" w:line="360" w:lineRule="auto"/>
        <w:rPr>
          <w:rFonts w:ascii="Times New Roman" w:hAnsi="Times New Roman" w:eastAsia="宋体"/>
          <w:color w:val="000000"/>
          <w:sz w:val="21"/>
          <w:szCs w:val="21"/>
          <w:highlight w:val="none"/>
        </w:rPr>
      </w:pPr>
      <w:r/>
      <w:bookmarkStart w:id="9" w:name="_Toc7946"/>
      <w:r/>
      <w:bookmarkStart w:id="10" w:name="_Toc7479"/>
      <w:r/>
      <w:bookmarkStart w:id="11" w:name="_Toc35393791"/>
      <w:r/>
      <w:bookmarkStart w:id="12" w:name="_Toc28359003"/>
      <w:r/>
      <w:bookmarkStart w:id="13" w:name="_Toc28359080"/>
      <w:r/>
      <w:bookmarkStart w:id="14" w:name="_Toc35393622"/>
      <w:r>
        <w:rPr>
          <w:rFonts w:ascii="Times New Roman" w:hAnsi="Times New Roman" w:eastAsia="宋体"/>
          <w:color w:val="000000"/>
          <w:sz w:val="21"/>
          <w:szCs w:val="21"/>
          <w:highlight w:val="none"/>
        </w:rPr>
        <w:t xml:space="preserve">二、申请人的资格要求：</w:t>
      </w:r>
      <w:bookmarkEnd w:id="9"/>
      <w:r/>
      <w:bookmarkEnd w:id="10"/>
      <w:r/>
      <w:bookmarkEnd w:id="11"/>
      <w:r/>
      <w:bookmarkEnd w:id="12"/>
      <w:r/>
      <w:bookmarkEnd w:id="13"/>
      <w:r/>
      <w:bookmarkEnd w:id="14"/>
      <w:r>
        <w:rPr>
          <w:rFonts w:ascii="Times New Roman" w:hAnsi="Times New Roman" w:eastAsia="宋体"/>
          <w:color w:val="000000"/>
          <w:sz w:val="21"/>
          <w:szCs w:val="21"/>
          <w:highlight w:val="none"/>
        </w:rPr>
      </w:r>
      <w:r/>
    </w:p>
    <w:p>
      <w:pPr>
        <w:pStyle w:val="1166"/>
        <w:ind w:firstLine="420"/>
        <w:spacing w:line="360" w:lineRule="auto"/>
        <w:rPr>
          <w:color w:val="000000"/>
          <w:szCs w:val="21"/>
          <w:highlight w:val="none"/>
        </w:rPr>
      </w:pPr>
      <w:r>
        <w:rPr>
          <w:color w:val="000000"/>
          <w:szCs w:val="21"/>
          <w:highlight w:val="none"/>
        </w:rPr>
        <w:t xml:space="preserve">1.满足《中华人民共和国政府采购法》第二十二条规定；</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（1）具有独立承担民事责任的能力，提供法人或其他组织的营业执照等证明文件，复印件加盖公章；</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（2）法人代表授权书（原件）及法定代表人、授权代表身份证复印件（如果是法定代表人直接参与投标的可以不提供授权书）；</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（3）具有良好的商业信誉和健全的财务会计制度，提供距开标时间六个月内任意一月份的财务状况报告（</w:t>
      </w:r>
      <w:r>
        <w:rPr>
          <w:b/>
          <w:bCs/>
          <w:color w:val="000000"/>
          <w:szCs w:val="21"/>
          <w:highlight w:val="none"/>
        </w:rPr>
        <w:t xml:space="preserve">至少包括资产负债表和利润表</w:t>
      </w:r>
      <w:r>
        <w:rPr>
          <w:color w:val="000000"/>
          <w:szCs w:val="21"/>
          <w:highlight w:val="none"/>
        </w:rPr>
        <w:t xml:space="preserve">）（法人或者其他组织成立未满三个月的可以不提供），或其银行出具的资信证书（复印件）（开标前六个月内），或其上一年度</w:t>
      </w:r>
      <w:r>
        <w:rPr>
          <w:rFonts w:hint="eastAsia"/>
          <w:color w:val="000000"/>
          <w:szCs w:val="21"/>
          <w:highlight w:val="none"/>
        </w:rPr>
        <w:t xml:space="preserve">（2024或2025年）</w:t>
      </w:r>
      <w:r>
        <w:rPr>
          <w:color w:val="000000"/>
          <w:szCs w:val="21"/>
          <w:highlight w:val="none"/>
        </w:rPr>
        <w:t xml:space="preserve">经审计的财务报告复印件加盖公章；</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（4）具有履行合同所必需的设备和专业技术能力（根据项目需求提供履行合同所必需的设备和专业技术能力的证明材料或相关加盖公章的承诺函，承诺函自行编写）；</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5）参加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（6）有依法缴纳税收的良好记录，提供距开标时间六个月内任意一月份的纳税（企业代缴的个人所得税除外）凭据复印件加盖公章（依法免税的应提供相应文件说明）；</w:t>
      </w:r>
      <w:r>
        <w:rPr>
          <w:color w:val="000000"/>
          <w:szCs w:val="21"/>
          <w:highlight w:val="none"/>
        </w:rPr>
      </w:r>
      <w:r/>
    </w:p>
    <w:p>
      <w:pPr>
        <w:pStyle w:val="1166"/>
        <w:ind w:firstLine="420"/>
        <w:spacing w:line="360" w:lineRule="auto"/>
        <w:shd w:val="clear" w:color="auto" w:fill="ffffff"/>
        <w:widowControl/>
        <w:rPr>
          <w:color w:val="000000"/>
          <w:szCs w:val="22"/>
          <w:highlight w:val="none"/>
        </w:rPr>
      </w:pPr>
      <w:r>
        <w:rPr>
          <w:color w:val="000000"/>
          <w:szCs w:val="21"/>
          <w:highlight w:val="none"/>
        </w:rPr>
        <w:t xml:space="preserve">（7）有依法缴纳社会保障资金的良好记录，提供距开标时间六个月内任意一月份的依法缴纳社会保障资金的凭据复印件加盖公章</w:t>
      </w:r>
      <w:r>
        <w:rPr>
          <w:color w:val="000000"/>
          <w:szCs w:val="22"/>
          <w:highlight w:val="none"/>
        </w:rPr>
        <w:t xml:space="preserve">；</w:t>
      </w:r>
      <w:r>
        <w:rPr>
          <w:color w:val="000000"/>
          <w:szCs w:val="22"/>
          <w:highlight w:val="none"/>
        </w:rPr>
      </w:r>
      <w:r/>
    </w:p>
    <w:p>
      <w:pPr>
        <w:pStyle w:val="1166"/>
        <w:ind w:firstLine="420"/>
        <w:spacing w:line="360" w:lineRule="auto"/>
        <w:shd w:val="clear" w:color="auto" w:fill="ffffff"/>
        <w:widowControl/>
        <w:rPr>
          <w:rFonts w:hint="eastAsia"/>
          <w:color w:val="000000"/>
          <w:szCs w:val="21"/>
          <w:highlight w:val="none"/>
        </w:rPr>
      </w:pPr>
      <w:r>
        <w:rPr>
          <w:color w:val="000000"/>
          <w:szCs w:val="22"/>
          <w:highlight w:val="none"/>
        </w:rPr>
        <w:t xml:space="preserve">（8）</w:t>
      </w:r>
      <w:bookmarkStart w:id="15" w:name="_Hlk228366085"/>
      <w:r>
        <w:rPr>
          <w:b/>
          <w:bCs/>
          <w:color w:val="000000"/>
          <w:szCs w:val="21"/>
          <w:highlight w:val="none"/>
        </w:rPr>
        <w:t xml:space="preserve">本项目</w:t>
      </w:r>
      <w:r>
        <w:rPr>
          <w:rFonts w:hint="eastAsia"/>
          <w:b/>
          <w:bCs/>
          <w:color w:val="000000"/>
          <w:szCs w:val="21"/>
          <w:highlight w:val="none"/>
          <w:lang w:val="en-US" w:eastAsia="zh-CN"/>
        </w:rPr>
        <w:t xml:space="preserve">不</w:t>
      </w:r>
      <w:r>
        <w:rPr>
          <w:b/>
          <w:bCs/>
          <w:color w:val="000000"/>
          <w:szCs w:val="21"/>
          <w:highlight w:val="none"/>
        </w:rPr>
        <w:t xml:space="preserve">接受进口产品投标</w:t>
      </w:r>
      <w:r>
        <w:rPr>
          <w:color w:val="000000"/>
          <w:szCs w:val="21"/>
          <w:highlight w:val="none"/>
        </w:rPr>
        <w:t xml:space="preserve">（注：指产品而非构成产品的零部件或者原材料，本文件所称进口产品是指通过中国海关报关验放进入中国境内且产自关境外的产品）</w:t>
      </w:r>
      <w:r>
        <w:rPr>
          <w:rFonts w:hint="eastAsia"/>
          <w:color w:val="000000"/>
          <w:szCs w:val="21"/>
          <w:highlight w:val="none"/>
        </w:rPr>
        <w:t xml:space="preserve">；</w:t>
      </w:r>
      <w:r>
        <w:rPr>
          <w:rFonts w:hint="eastAsia"/>
          <w:color w:val="000000"/>
          <w:szCs w:val="21"/>
          <w:highlight w:val="none"/>
        </w:rPr>
      </w:r>
      <w:r/>
    </w:p>
    <w:p>
      <w:pPr>
        <w:pStyle w:val="1166"/>
        <w:ind w:firstLine="420"/>
        <w:spacing w:line="360" w:lineRule="auto"/>
        <w:rPr>
          <w:color w:val="000000"/>
          <w:szCs w:val="21"/>
          <w:highlight w:val="none"/>
        </w:rPr>
      </w:pPr>
      <w:r/>
      <w:bookmarkEnd w:id="15"/>
      <w:r/>
      <w:bookmarkStart w:id="16" w:name="_Toc28359004"/>
      <w:r/>
      <w:bookmarkStart w:id="17" w:name="_Toc28359081"/>
      <w:r>
        <w:rPr>
          <w:color w:val="000000"/>
          <w:szCs w:val="21"/>
          <w:highlight w:val="none"/>
        </w:rPr>
        <w:t xml:space="preserve">注：根据《关于在政府采购活动中推行信用承诺制的通知》（宁财购通[2021]5号）的规定，以上涉及的证明材料，投标人可以在投标文件中一次性提交，也可以在投标文件中提供满足相应条件的书面承诺书（详见投标文件格式及附件），不再需要提供上述涉及的证明材料。</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供应商投标文件中仅提供信用承诺书而未提供涉及的证明材料的，须在中标后，另行提供上述由信用承诺书替代的证明材料（一式三份），材料须加盖公章并胶装提交采购代理机构核验。经核验无误后，由采购代理机构发出中标通知书。</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供应商涉及以下情形的，不适用信用承诺，仍须提供上述证明材料：</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（1）供应商被列入严重失信主体名单；</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（2）被相关监管部门作出行政处罚且尚在处罚有效期内；</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（3）其他法律、行政法规规定的不适用信用承诺的情形。</w:t>
      </w:r>
      <w:r>
        <w:rPr>
          <w:color w:val="000000"/>
          <w:szCs w:val="21"/>
          <w:highlight w:val="none"/>
        </w:rPr>
      </w:r>
      <w:r/>
    </w:p>
    <w:p>
      <w:pPr>
        <w:pStyle w:val="1166"/>
        <w:ind w:firstLine="420"/>
        <w:spacing w:line="360" w:lineRule="auto"/>
        <w:shd w:val="clear" w:color="auto" w:fill="ffffff"/>
        <w:widowControl/>
        <w:rPr>
          <w:color w:val="000000"/>
          <w:szCs w:val="21"/>
          <w:highlight w:val="none"/>
        </w:rPr>
      </w:pPr>
      <w:r>
        <w:rPr>
          <w:color w:val="000000"/>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color w:val="000000"/>
          <w:szCs w:val="21"/>
          <w:highlight w:val="none"/>
        </w:rPr>
      </w:r>
      <w:r/>
    </w:p>
    <w:p>
      <w:pPr>
        <w:pStyle w:val="1166"/>
        <w:ind w:firstLine="420"/>
        <w:spacing w:line="360" w:lineRule="auto"/>
        <w:shd w:val="clear" w:color="auto" w:fill="ffffff"/>
        <w:widowControl/>
        <w:rPr>
          <w:color w:val="000000"/>
          <w:szCs w:val="22"/>
          <w:highlight w:val="none"/>
        </w:rPr>
      </w:pPr>
      <w:r>
        <w:rPr>
          <w:color w:val="000000"/>
          <w:szCs w:val="22"/>
          <w:highlight w:val="none"/>
        </w:rPr>
        <w:t xml:space="preserve">2.落实政府采购政策需满足的资格要求：</w:t>
      </w:r>
      <w:r>
        <w:rPr>
          <w:color w:val="000000"/>
          <w:szCs w:val="21"/>
          <w:highlight w:val="none"/>
        </w:rPr>
        <w:t xml:space="preserve">无（本项目不属于专门面向中小企业采购的项目）。</w:t>
      </w:r>
      <w:r>
        <w:rPr>
          <w:color w:val="000000"/>
          <w:szCs w:val="22"/>
          <w:highlight w:val="none"/>
        </w:rPr>
      </w:r>
      <w:r/>
    </w:p>
    <w:p>
      <w:pPr>
        <w:pStyle w:val="1166"/>
        <w:ind w:firstLine="420"/>
        <w:spacing w:line="360" w:lineRule="auto"/>
        <w:rPr>
          <w:color w:val="000000"/>
          <w:szCs w:val="21"/>
          <w:highlight w:val="none"/>
        </w:rPr>
      </w:pPr>
      <w:r>
        <w:rPr>
          <w:color w:val="000000"/>
          <w:szCs w:val="21"/>
          <w:highlight w:val="none"/>
        </w:rPr>
        <w:t xml:space="preserve">3.本项目的特定资格要求：</w:t>
      </w:r>
      <w:r>
        <w:rPr>
          <w:color w:val="000000"/>
          <w:szCs w:val="21"/>
          <w:highlight w:val="none"/>
        </w:rPr>
      </w:r>
      <w:r/>
    </w:p>
    <w:p>
      <w:pPr>
        <w:pStyle w:val="1166"/>
        <w:ind w:firstLine="284"/>
        <w:spacing w:line="360" w:lineRule="auto"/>
        <w:widowControl/>
        <w:rPr>
          <w:b/>
          <w:bCs/>
          <w:color w:val="000000"/>
          <w:highlight w:val="none"/>
        </w:rPr>
      </w:pPr>
      <w:r>
        <w:rPr>
          <w:rFonts w:hint="eastAsia"/>
          <w:color w:val="000000"/>
          <w:szCs w:val="22"/>
          <w:highlight w:val="none"/>
          <w:lang w:eastAsia="zh-CN"/>
        </w:rPr>
        <w:t xml:space="preserve">（</w:t>
      </w:r>
      <w:r>
        <w:rPr>
          <w:rFonts w:hint="eastAsia"/>
          <w:color w:val="000000"/>
          <w:szCs w:val="22"/>
          <w:highlight w:val="none"/>
          <w:lang w:val="en-US" w:eastAsia="zh-CN"/>
        </w:rPr>
        <w:t xml:space="preserve">1</w:t>
      </w:r>
      <w:r>
        <w:rPr>
          <w:rFonts w:hint="eastAsia"/>
          <w:color w:val="000000"/>
          <w:szCs w:val="22"/>
          <w:highlight w:val="none"/>
          <w:lang w:eastAsia="zh-CN"/>
        </w:rPr>
        <w:t xml:space="preserve">）</w:t>
      </w:r>
      <w:r>
        <w:rPr>
          <w:b/>
          <w:bCs/>
          <w:color w:val="000000"/>
          <w:highlight w:val="none"/>
        </w:rPr>
        <w:t xml:space="preserve">如根据国家相关政策规定，属于医疗器械监督管理的设备，需具备以下特定资格：</w:t>
      </w:r>
      <w:r>
        <w:rPr>
          <w:b/>
          <w:bCs/>
          <w:color w:val="000000"/>
          <w:highlight w:val="none"/>
        </w:rPr>
      </w:r>
      <w:r/>
    </w:p>
    <w:p>
      <w:pPr>
        <w:pStyle w:val="1166"/>
        <w:ind w:firstLine="284"/>
        <w:spacing w:line="360" w:lineRule="auto"/>
        <w:widowControl/>
        <w:rPr>
          <w:b/>
          <w:bCs/>
          <w:color w:val="000000"/>
          <w:highlight w:val="none"/>
        </w:rPr>
      </w:pPr>
      <w:r>
        <w:rPr>
          <w:b/>
          <w:bCs/>
          <w:color w:val="000000"/>
          <w:highlight w:val="none"/>
        </w:rPr>
        <w:t xml:space="preserve">①投标人须提供有效的医疗器械产品注册证或产品备案凭证，投标时需提供复印件加盖公章；</w:t>
      </w:r>
      <w:r>
        <w:rPr>
          <w:b/>
          <w:bCs/>
          <w:color w:val="000000"/>
          <w:highlight w:val="none"/>
        </w:rPr>
      </w:r>
      <w:r/>
    </w:p>
    <w:p>
      <w:pPr>
        <w:pStyle w:val="1166"/>
        <w:ind w:firstLine="284"/>
        <w:spacing w:line="360" w:lineRule="auto"/>
        <w:widowControl/>
        <w:rPr>
          <w:b/>
          <w:bCs/>
          <w:color w:val="000000"/>
          <w:highlight w:val="none"/>
        </w:rPr>
      </w:pPr>
      <w:r>
        <w:rPr>
          <w:b/>
          <w:bCs/>
          <w:color w:val="000000"/>
          <w:highlight w:val="none"/>
        </w:rPr>
        <w:t xml:space="preserve">②若投标供应商为代理商，须具有有效的《医疗器械经营许可证》或医疗器械经营备案凭证，投标时需提供复印件加盖公章；</w:t>
      </w:r>
      <w:r>
        <w:rPr>
          <w:b/>
          <w:bCs/>
          <w:color w:val="000000"/>
          <w:highlight w:val="none"/>
        </w:rPr>
      </w:r>
      <w:r/>
    </w:p>
    <w:p>
      <w:pPr>
        <w:pStyle w:val="1166"/>
        <w:ind w:firstLine="422"/>
        <w:spacing w:line="360" w:lineRule="auto"/>
        <w:rPr>
          <w:color w:val="000000"/>
          <w:szCs w:val="22"/>
          <w:highlight w:val="none"/>
        </w:rPr>
      </w:pPr>
      <w:r>
        <w:rPr>
          <w:b/>
          <w:bCs/>
          <w:color w:val="000000"/>
          <w:highlight w:val="none"/>
        </w:rPr>
        <w:t xml:space="preserve">③若投标供应商为生产商，须具有有效的《医疗器械生产许可证》或生产备案凭证（医疗器械生产许可证如有医疗器械生产产品登记表的须一并提供），投标时需提供复印件加盖公章。</w:t>
      </w:r>
      <w:r>
        <w:rPr>
          <w:color w:val="000000"/>
          <w:szCs w:val="22"/>
          <w:highlight w:val="none"/>
        </w:rPr>
      </w:r>
      <w:r/>
    </w:p>
    <w:p>
      <w:pPr>
        <w:pStyle w:val="1166"/>
        <w:ind w:firstLine="420"/>
        <w:spacing w:line="360" w:lineRule="auto"/>
        <w:shd w:val="clear" w:color="auto" w:fill="ffffff"/>
        <w:widowControl/>
        <w:rPr>
          <w:color w:val="000000"/>
          <w:szCs w:val="22"/>
          <w:highlight w:val="none"/>
        </w:rPr>
      </w:pPr>
      <w:r>
        <w:rPr>
          <w:color w:val="000000"/>
          <w:szCs w:val="22"/>
          <w:highlight w:val="none"/>
        </w:rPr>
        <w:t xml:space="preserve">4.中标后不允许转包、分包。</w:t>
      </w:r>
      <w:r>
        <w:rPr>
          <w:color w:val="000000"/>
          <w:szCs w:val="22"/>
          <w:highlight w:val="none"/>
        </w:rPr>
      </w:r>
      <w:r/>
    </w:p>
    <w:p>
      <w:pPr>
        <w:pStyle w:val="1223"/>
        <w:rPr>
          <w:color w:val="000000"/>
          <w:highlight w:val="none"/>
        </w:rPr>
      </w:pPr>
      <w:r>
        <w:rPr>
          <w:color w:val="000000"/>
          <w:szCs w:val="21"/>
          <w:highlight w:val="none"/>
        </w:rPr>
        <w:t xml:space="preserve">5.</w:t>
      </w:r>
      <w:r>
        <w:rPr>
          <w:color w:val="000000"/>
          <w:highlight w:val="none"/>
        </w:rPr>
        <w:t xml:space="preserve">拒绝下述投标人参加本次采购活动的情形：（1）投标人单位负责人为同一人或者存在直接控股、管理关系的不同投标人，不得参加同一合同项下的政府采购活动。（2）凡为采购项目提供整体设计、规范编制或者项目管理、监理、检测等服务的投标人，不得再参加本项目的采购活动。（3）拒绝列入失信被执行人、重大税收违法案件当事人名单、政府采购严重违法失信行为记录名单的投标人参与政府采购活动。</w:t>
      </w:r>
      <w:r>
        <w:rPr>
          <w:bCs/>
          <w:color w:val="000000"/>
          <w:highlight w:val="none"/>
        </w:rPr>
        <w:t xml:space="preserve">采购代理机构在评标时</w:t>
      </w:r>
      <w:r>
        <w:rPr>
          <w:color w:val="000000"/>
          <w:highlight w:val="none"/>
        </w:rPr>
        <w:t xml:space="preserve">通过“信用中国”网站(www.creditchina.gov.cn)、中国政府采购网(www.ccgp.gov.cn)等渠道查询投标人在</w:t>
      </w:r>
      <w:r>
        <w:rPr>
          <w:b/>
          <w:bCs/>
          <w:color w:val="000000"/>
          <w:highlight w:val="none"/>
        </w:rPr>
        <w:t xml:space="preserve">递交投标文件截止之日24时前</w:t>
      </w:r>
      <w:r>
        <w:rPr>
          <w:color w:val="000000"/>
          <w:highlight w:val="none"/>
        </w:rPr>
        <w:t xml:space="preserve">的信用记录并保存。</w:t>
      </w:r>
      <w:r>
        <w:rPr>
          <w:color w:val="000000"/>
          <w:highlight w:val="none"/>
        </w:rPr>
      </w:r>
      <w:r/>
    </w:p>
    <w:p>
      <w:pPr>
        <w:pStyle w:val="1168"/>
        <w:spacing w:before="0" w:after="0" w:line="360" w:lineRule="auto"/>
        <w:rPr>
          <w:rFonts w:ascii="Times New Roman" w:hAnsi="Times New Roman" w:eastAsia="宋体"/>
          <w:color w:val="000000"/>
          <w:sz w:val="21"/>
          <w:szCs w:val="21"/>
          <w:highlight w:val="none"/>
        </w:rPr>
      </w:pPr>
      <w:r/>
      <w:bookmarkStart w:id="18" w:name="_Toc35393623"/>
      <w:r/>
      <w:bookmarkStart w:id="19" w:name="_Toc32122"/>
      <w:r/>
      <w:bookmarkStart w:id="20" w:name="_Toc35393792"/>
      <w:r/>
      <w:bookmarkStart w:id="21" w:name="_Toc31913"/>
      <w:r>
        <w:rPr>
          <w:rFonts w:ascii="Times New Roman" w:hAnsi="Times New Roman" w:eastAsia="宋体"/>
          <w:color w:val="000000"/>
          <w:sz w:val="21"/>
          <w:szCs w:val="21"/>
          <w:highlight w:val="none"/>
        </w:rPr>
        <w:t xml:space="preserve">三、获取招标文件</w:t>
      </w:r>
      <w:bookmarkEnd w:id="16"/>
      <w:r/>
      <w:bookmarkEnd w:id="17"/>
      <w:r/>
      <w:bookmarkEnd w:id="18"/>
      <w:r/>
      <w:bookmarkEnd w:id="19"/>
      <w:r/>
      <w:bookmarkEnd w:id="20"/>
      <w:r/>
      <w:bookmarkEnd w:id="21"/>
      <w:r>
        <w:rPr>
          <w:rFonts w:ascii="Times New Roman" w:hAnsi="Times New Roman" w:eastAsia="宋体"/>
          <w:color w:val="000000"/>
          <w:sz w:val="21"/>
          <w:szCs w:val="21"/>
          <w:highlight w:val="none"/>
        </w:rPr>
      </w:r>
      <w:r/>
    </w:p>
    <w:p>
      <w:pPr>
        <w:pStyle w:val="1166"/>
        <w:ind w:firstLine="540"/>
        <w:spacing w:line="360" w:lineRule="auto"/>
        <w:rPr>
          <w:color w:val="000000"/>
          <w:szCs w:val="21"/>
          <w:highlight w:val="none"/>
        </w:rPr>
      </w:pPr>
      <w:r>
        <w:rPr>
          <w:color w:val="000000"/>
          <w:szCs w:val="21"/>
          <w:highlight w:val="none"/>
        </w:rPr>
        <w:t xml:space="preserve">1.截止时间：</w:t>
      </w:r>
      <w:r>
        <w:rPr>
          <w:rFonts w:hint="eastAsia"/>
          <w:color w:val="000000"/>
          <w:szCs w:val="21"/>
          <w:highlight w:val="none"/>
          <w:lang w:val="en-US" w:eastAsia="zh-CN"/>
        </w:rPr>
        <w:t xml:space="preserve">同提交投标文件截止时间</w:t>
      </w:r>
      <w:r>
        <w:rPr>
          <w:color w:val="000000"/>
          <w:szCs w:val="21"/>
          <w:highlight w:val="none"/>
        </w:rPr>
        <w:t xml:space="preserve">。</w:t>
      </w:r>
      <w:r>
        <w:rPr>
          <w:color w:val="000000"/>
          <w:szCs w:val="21"/>
          <w:highlight w:val="none"/>
        </w:rPr>
      </w:r>
      <w:r/>
    </w:p>
    <w:p>
      <w:pPr>
        <w:pStyle w:val="1166"/>
        <w:ind w:firstLine="540"/>
        <w:spacing w:line="360" w:lineRule="auto"/>
        <w:rPr>
          <w:color w:val="000000"/>
          <w:szCs w:val="21"/>
          <w:highlight w:val="none"/>
          <w:u w:val="single"/>
        </w:rPr>
      </w:pPr>
      <w:r>
        <w:rPr>
          <w:color w:val="000000"/>
          <w:szCs w:val="21"/>
          <w:highlight w:val="none"/>
        </w:rPr>
        <w:t xml:space="preserve">2.地点：“苏采云”系统内免费下载（投标人必须在苏采云系统中获取采购文件，方能参与政府采购项目）</w:t>
      </w:r>
      <w:r>
        <w:rPr>
          <w:color w:val="000000"/>
          <w:szCs w:val="21"/>
          <w:highlight w:val="none"/>
          <w:u w:val="single"/>
        </w:rPr>
      </w:r>
      <w:r/>
    </w:p>
    <w:p>
      <w:pPr>
        <w:pStyle w:val="1166"/>
        <w:ind w:firstLine="540"/>
        <w:spacing w:line="360" w:lineRule="auto"/>
        <w:rPr>
          <w:color w:val="000000"/>
          <w:szCs w:val="21"/>
          <w:highlight w:val="none"/>
          <w:u w:val="single"/>
        </w:rPr>
      </w:pPr>
      <w:r>
        <w:rPr>
          <w:color w:val="000000"/>
          <w:szCs w:val="21"/>
          <w:highlight w:val="none"/>
        </w:rPr>
        <w:t xml:space="preserve">3.方式：苏采云系统注册登记成功后系统内免费下载</w:t>
      </w:r>
      <w:r>
        <w:rPr>
          <w:color w:val="000000"/>
          <w:szCs w:val="21"/>
          <w:highlight w:val="none"/>
          <w:u w:val="single"/>
        </w:rPr>
      </w:r>
      <w:r/>
    </w:p>
    <w:p>
      <w:pPr>
        <w:pStyle w:val="1166"/>
        <w:ind w:firstLine="540"/>
        <w:spacing w:line="360" w:lineRule="auto"/>
        <w:rPr>
          <w:color w:val="000000"/>
          <w:szCs w:val="21"/>
          <w:highlight w:val="none"/>
        </w:rPr>
      </w:pPr>
      <w:r>
        <w:rPr>
          <w:color w:val="000000"/>
          <w:szCs w:val="21"/>
          <w:highlight w:val="none"/>
        </w:rPr>
        <w:t xml:space="preserve">4.文件售价：0元。</w:t>
      </w:r>
      <w:r>
        <w:rPr>
          <w:color w:val="000000"/>
          <w:szCs w:val="21"/>
          <w:highlight w:val="none"/>
        </w:rPr>
      </w:r>
      <w:r/>
    </w:p>
    <w:p>
      <w:pPr>
        <w:pStyle w:val="1168"/>
        <w:spacing w:before="0" w:after="0" w:line="360" w:lineRule="auto"/>
        <w:rPr>
          <w:rFonts w:ascii="Times New Roman" w:hAnsi="Times New Roman" w:eastAsia="宋体"/>
          <w:color w:val="000000"/>
          <w:sz w:val="21"/>
          <w:szCs w:val="21"/>
          <w:highlight w:val="none"/>
        </w:rPr>
      </w:pPr>
      <w:r/>
      <w:bookmarkStart w:id="22" w:name="_Toc28359082"/>
      <w:r/>
      <w:bookmarkStart w:id="23" w:name="_Toc28359005"/>
      <w:r/>
      <w:bookmarkStart w:id="24" w:name="_Toc35393793"/>
      <w:r/>
      <w:bookmarkStart w:id="25" w:name="_Toc35393624"/>
      <w:r/>
      <w:bookmarkStart w:id="26" w:name="_Toc5128"/>
      <w:r/>
      <w:bookmarkStart w:id="27" w:name="_Toc2586"/>
      <w:r>
        <w:rPr>
          <w:rFonts w:ascii="Times New Roman" w:hAnsi="Times New Roman" w:eastAsia="宋体"/>
          <w:color w:val="000000"/>
          <w:sz w:val="21"/>
          <w:szCs w:val="21"/>
          <w:highlight w:val="none"/>
        </w:rPr>
        <w:t xml:space="preserve">四、提交投标文件</w:t>
      </w:r>
      <w:bookmarkEnd w:id="22"/>
      <w:r/>
      <w:bookmarkEnd w:id="23"/>
      <w:r>
        <w:rPr>
          <w:rFonts w:ascii="Times New Roman" w:hAnsi="Times New Roman" w:eastAsia="宋体"/>
          <w:color w:val="000000"/>
          <w:sz w:val="21"/>
          <w:szCs w:val="21"/>
          <w:highlight w:val="none"/>
        </w:rPr>
        <w:t xml:space="preserve">截止时</w:t>
      </w:r>
      <w:r>
        <w:rPr>
          <w:rFonts w:ascii="Times New Roman" w:hAnsi="Times New Roman" w:eastAsia="宋体"/>
          <w:color w:val="000000"/>
          <w:sz w:val="21"/>
          <w:szCs w:val="21"/>
          <w:highlight w:val="none"/>
        </w:rPr>
        <w:t xml:space="preserve">间、开标时间和地点</w:t>
      </w:r>
      <w:bookmarkEnd w:id="24"/>
      <w:r/>
      <w:bookmarkEnd w:id="25"/>
      <w:r/>
      <w:bookmarkEnd w:id="26"/>
      <w:r/>
      <w:bookmarkEnd w:id="27"/>
      <w:r>
        <w:rPr>
          <w:rFonts w:ascii="Times New Roman" w:hAnsi="Times New Roman" w:eastAsia="宋体"/>
          <w:color w:val="000000"/>
          <w:sz w:val="21"/>
          <w:szCs w:val="21"/>
          <w:highlight w:val="none"/>
        </w:rPr>
      </w:r>
      <w:r/>
    </w:p>
    <w:p>
      <w:pPr>
        <w:pStyle w:val="1166"/>
        <w:ind w:firstLine="420"/>
        <w:spacing w:line="360" w:lineRule="auto"/>
        <w:rPr>
          <w:color w:val="000000"/>
          <w:szCs w:val="21"/>
          <w:highlight w:val="none"/>
        </w:rPr>
      </w:pPr>
      <w:r>
        <w:rPr>
          <w:color w:val="000000"/>
          <w:highlight w:val="none"/>
        </w:rPr>
        <w:t xml:space="preserve">提交投标文件开始时间：</w:t>
      </w:r>
      <w:r>
        <w:rPr>
          <w:color w:val="000000"/>
          <w:szCs w:val="21"/>
          <w:highlight w:val="none"/>
        </w:rPr>
        <w:t xml:space="preserve">202</w:t>
      </w:r>
      <w:r>
        <w:rPr>
          <w:rFonts w:hint="eastAsia"/>
          <w:color w:val="000000"/>
          <w:szCs w:val="21"/>
          <w:highlight w:val="none"/>
        </w:rPr>
        <w:t xml:space="preserve">6</w:t>
      </w:r>
      <w:r>
        <w:rPr>
          <w:color w:val="000000"/>
          <w:szCs w:val="21"/>
          <w:highlight w:val="none"/>
        </w:rPr>
        <w:t xml:space="preserve">年</w:t>
      </w:r>
      <w:r>
        <w:rPr>
          <w:rFonts w:hint="eastAsia"/>
          <w:color w:val="000000"/>
          <w:szCs w:val="21"/>
          <w:highlight w:val="none"/>
          <w:lang w:val="en-US" w:eastAsia="zh-CN"/>
        </w:rPr>
        <w:t xml:space="preserve">9</w:t>
      </w:r>
      <w:r>
        <w:rPr>
          <w:color w:val="000000"/>
          <w:szCs w:val="21"/>
          <w:highlight w:val="none"/>
        </w:rPr>
        <w:t xml:space="preserve">月</w:t>
      </w:r>
      <w:r>
        <w:rPr>
          <w:rFonts w:hint="eastAsia"/>
          <w:color w:val="000000"/>
          <w:szCs w:val="21"/>
          <w:highlight w:val="none"/>
          <w:lang w:val="en-US" w:eastAsia="zh-CN"/>
        </w:rPr>
        <w:t xml:space="preserve">15</w:t>
      </w:r>
      <w:r>
        <w:rPr>
          <w:color w:val="000000"/>
          <w:szCs w:val="21"/>
          <w:highlight w:val="none"/>
        </w:rPr>
        <w:t xml:space="preserve">日</w:t>
      </w:r>
      <w:r>
        <w:rPr>
          <w:rFonts w:hint="eastAsia"/>
          <w:color w:val="000000"/>
          <w:szCs w:val="21"/>
          <w:highlight w:val="none"/>
          <w:lang w:val="en-US" w:eastAsia="zh-CN"/>
        </w:rPr>
        <w:t xml:space="preserve">13</w:t>
      </w:r>
      <w:r>
        <w:rPr>
          <w:color w:val="000000"/>
          <w:szCs w:val="21"/>
          <w:highlight w:val="none"/>
        </w:rPr>
        <w:t xml:space="preserve">点</w:t>
      </w:r>
      <w:r>
        <w:rPr>
          <w:rFonts w:hint="eastAsia"/>
          <w:color w:val="000000"/>
          <w:szCs w:val="21"/>
          <w:highlight w:val="none"/>
          <w:lang w:val="en-US" w:eastAsia="zh-CN"/>
        </w:rPr>
        <w:t xml:space="preserve">3</w:t>
      </w:r>
      <w:r>
        <w:rPr>
          <w:color w:val="000000"/>
          <w:szCs w:val="21"/>
          <w:highlight w:val="none"/>
        </w:rPr>
        <w:t xml:space="preserve">0分（北京时间）</w:t>
      </w:r>
      <w:r>
        <w:rPr>
          <w:color w:val="000000"/>
          <w:szCs w:val="21"/>
          <w:highlight w:val="none"/>
        </w:rPr>
      </w:r>
      <w:r/>
    </w:p>
    <w:p>
      <w:pPr>
        <w:pStyle w:val="1166"/>
        <w:ind w:firstLine="420"/>
        <w:spacing w:line="360" w:lineRule="auto"/>
        <w:rPr>
          <w:color w:val="000000"/>
          <w:highlight w:val="none"/>
        </w:rPr>
      </w:pPr>
      <w:r>
        <w:rPr>
          <w:color w:val="000000"/>
          <w:szCs w:val="21"/>
          <w:highlight w:val="none"/>
        </w:rPr>
        <w:t xml:space="preserve">提交投标文件截止时间、开标时间：202</w:t>
      </w:r>
      <w:r>
        <w:rPr>
          <w:rFonts w:hint="eastAsia"/>
          <w:color w:val="000000"/>
          <w:szCs w:val="21"/>
          <w:highlight w:val="none"/>
        </w:rPr>
        <w:t xml:space="preserve">6</w:t>
      </w:r>
      <w:r>
        <w:rPr>
          <w:color w:val="000000"/>
          <w:szCs w:val="21"/>
          <w:highlight w:val="none"/>
        </w:rPr>
        <w:t xml:space="preserve">年</w:t>
      </w:r>
      <w:r>
        <w:rPr>
          <w:rFonts w:hint="eastAsia"/>
          <w:color w:val="000000"/>
          <w:szCs w:val="21"/>
          <w:highlight w:val="none"/>
          <w:lang w:val="en-US" w:eastAsia="zh-CN"/>
        </w:rPr>
        <w:t xml:space="preserve">9</w:t>
      </w:r>
      <w:r>
        <w:rPr>
          <w:color w:val="000000"/>
          <w:szCs w:val="21"/>
          <w:highlight w:val="none"/>
        </w:rPr>
        <w:t xml:space="preserve">月</w:t>
      </w:r>
      <w:r>
        <w:rPr>
          <w:rFonts w:hint="eastAsia"/>
          <w:color w:val="000000"/>
          <w:szCs w:val="21"/>
          <w:highlight w:val="none"/>
          <w:lang w:val="en-US" w:eastAsia="zh-CN"/>
        </w:rPr>
        <w:t xml:space="preserve">15</w:t>
      </w:r>
      <w:r>
        <w:rPr>
          <w:color w:val="000000"/>
          <w:szCs w:val="21"/>
          <w:highlight w:val="none"/>
        </w:rPr>
        <w:t xml:space="preserve">日</w:t>
      </w:r>
      <w:r>
        <w:rPr>
          <w:rFonts w:hint="eastAsia"/>
          <w:color w:val="000000"/>
          <w:szCs w:val="21"/>
          <w:highlight w:val="none"/>
          <w:lang w:val="en-US" w:eastAsia="zh-CN"/>
        </w:rPr>
        <w:t xml:space="preserve">14</w:t>
      </w:r>
      <w:r>
        <w:rPr>
          <w:color w:val="000000"/>
          <w:szCs w:val="21"/>
          <w:highlight w:val="none"/>
        </w:rPr>
        <w:t xml:space="preserve">点</w:t>
      </w:r>
      <w:r>
        <w:rPr>
          <w:rFonts w:hint="eastAsia"/>
          <w:color w:val="000000"/>
          <w:szCs w:val="21"/>
          <w:highlight w:val="none"/>
          <w:lang w:val="en-US" w:eastAsia="zh-CN"/>
        </w:rPr>
        <w:t xml:space="preserve">0</w:t>
      </w:r>
      <w:r>
        <w:rPr>
          <w:color w:val="000000"/>
          <w:szCs w:val="21"/>
          <w:highlight w:val="none"/>
        </w:rPr>
        <w:t xml:space="preserve">0分</w:t>
      </w:r>
      <w:r>
        <w:rPr>
          <w:color w:val="000000"/>
          <w:highlight w:val="none"/>
        </w:rPr>
        <w:t xml:space="preserve">（北京时间）</w:t>
      </w:r>
      <w:r>
        <w:rPr>
          <w:color w:val="000000"/>
          <w:highlight w:val="none"/>
        </w:rPr>
      </w:r>
      <w:r/>
    </w:p>
    <w:p>
      <w:pPr>
        <w:pStyle w:val="1166"/>
        <w:ind w:firstLine="420"/>
        <w:spacing w:line="360" w:lineRule="auto"/>
        <w:rPr>
          <w:color w:val="000000"/>
          <w:highlight w:val="none"/>
        </w:rPr>
      </w:pPr>
      <w:r/>
      <w:bookmarkStart w:id="28" w:name="_Toc28359084"/>
      <w:r/>
      <w:bookmarkStart w:id="29" w:name="_Toc35393625"/>
      <w:r/>
      <w:bookmarkStart w:id="30" w:name="_Toc1571"/>
      <w:r/>
      <w:bookmarkStart w:id="31" w:name="_Toc28359007"/>
      <w:r/>
      <w:bookmarkStart w:id="32" w:name="_Toc35393794"/>
      <w:r>
        <w:rPr>
          <w:color w:val="000000"/>
          <w:highlight w:val="none"/>
        </w:rPr>
        <w:t xml:space="preserve">地点：“苏采云”系统（网址： http://jszfcg.jsczt.cn/）“开标大厅”</w:t>
      </w:r>
      <w:r>
        <w:rPr>
          <w:color w:val="000000"/>
          <w:highlight w:val="none"/>
        </w:rPr>
      </w:r>
      <w:r/>
    </w:p>
    <w:p>
      <w:pPr>
        <w:pStyle w:val="1168"/>
        <w:spacing w:before="0" w:after="0" w:line="360" w:lineRule="auto"/>
        <w:rPr>
          <w:rFonts w:ascii="Times New Roman" w:hAnsi="Times New Roman" w:eastAsia="宋体"/>
          <w:color w:val="000000"/>
          <w:sz w:val="21"/>
          <w:szCs w:val="21"/>
          <w:highlight w:val="none"/>
        </w:rPr>
      </w:pPr>
      <w:r/>
      <w:bookmarkStart w:id="33" w:name="_Toc15025"/>
      <w:r>
        <w:rPr>
          <w:rFonts w:ascii="Times New Roman" w:hAnsi="Times New Roman" w:eastAsia="宋体"/>
          <w:color w:val="000000"/>
          <w:sz w:val="21"/>
          <w:szCs w:val="21"/>
          <w:highlight w:val="none"/>
        </w:rPr>
        <w:t xml:space="preserve">五、公告期限</w:t>
      </w:r>
      <w:bookmarkEnd w:id="28"/>
      <w:r/>
      <w:bookmarkEnd w:id="29"/>
      <w:r/>
      <w:bookmarkEnd w:id="30"/>
      <w:r/>
      <w:bookmarkEnd w:id="31"/>
      <w:r/>
      <w:bookmarkEnd w:id="32"/>
      <w:r/>
      <w:bookmarkEnd w:id="33"/>
      <w:r>
        <w:rPr>
          <w:rFonts w:ascii="Times New Roman" w:hAnsi="Times New Roman" w:eastAsia="宋体"/>
          <w:color w:val="000000"/>
          <w:sz w:val="21"/>
          <w:szCs w:val="21"/>
          <w:highlight w:val="none"/>
        </w:rPr>
      </w:r>
      <w:r/>
    </w:p>
    <w:p>
      <w:pPr>
        <w:pStyle w:val="1166"/>
        <w:ind w:firstLine="420"/>
        <w:spacing w:line="360" w:lineRule="auto"/>
        <w:rPr>
          <w:color w:val="000000"/>
          <w:szCs w:val="21"/>
          <w:highlight w:val="none"/>
        </w:rPr>
      </w:pPr>
      <w:r>
        <w:rPr>
          <w:color w:val="000000"/>
          <w:szCs w:val="21"/>
          <w:highlight w:val="none"/>
        </w:rPr>
        <w:t xml:space="preserve">自本公告发布之日起5个工作日。</w:t>
      </w:r>
      <w:r>
        <w:rPr>
          <w:color w:val="000000"/>
          <w:szCs w:val="21"/>
          <w:highlight w:val="none"/>
        </w:rPr>
      </w:r>
      <w:r/>
    </w:p>
    <w:p>
      <w:pPr>
        <w:pStyle w:val="1168"/>
        <w:spacing w:before="0" w:after="0" w:line="360" w:lineRule="auto"/>
        <w:rPr>
          <w:rFonts w:ascii="Times New Roman" w:hAnsi="Times New Roman" w:eastAsia="宋体"/>
          <w:color w:val="000000"/>
          <w:sz w:val="21"/>
          <w:szCs w:val="21"/>
          <w:highlight w:val="none"/>
        </w:rPr>
      </w:pPr>
      <w:r/>
      <w:bookmarkStart w:id="34" w:name="_Toc18804"/>
      <w:r/>
      <w:bookmarkStart w:id="35" w:name="_Toc27738"/>
      <w:r/>
      <w:bookmarkStart w:id="36" w:name="_Toc35393626"/>
      <w:r/>
      <w:bookmarkStart w:id="37" w:name="_Toc35393795"/>
      <w:r>
        <w:rPr>
          <w:rFonts w:ascii="Times New Roman" w:hAnsi="Times New Roman" w:eastAsia="宋体"/>
          <w:color w:val="000000"/>
          <w:sz w:val="21"/>
          <w:szCs w:val="21"/>
          <w:highlight w:val="none"/>
        </w:rPr>
        <w:t xml:space="preserve">六、其他补充事宜</w:t>
      </w:r>
      <w:bookmarkEnd w:id="34"/>
      <w:r/>
      <w:bookmarkEnd w:id="35"/>
      <w:r/>
      <w:bookmarkEnd w:id="36"/>
      <w:r/>
      <w:bookmarkEnd w:id="37"/>
      <w:r>
        <w:rPr>
          <w:rFonts w:ascii="Times New Roman" w:hAnsi="Times New Roman" w:eastAsia="宋体"/>
          <w:color w:val="000000"/>
          <w:sz w:val="21"/>
          <w:szCs w:val="21"/>
          <w:highlight w:val="none"/>
        </w:rPr>
      </w:r>
      <w:r/>
    </w:p>
    <w:p>
      <w:pPr>
        <w:pStyle w:val="1166"/>
        <w:ind w:firstLine="420"/>
        <w:spacing w:line="360" w:lineRule="auto"/>
        <w:rPr>
          <w:color w:val="000000"/>
          <w:szCs w:val="22"/>
          <w:highlight w:val="none"/>
        </w:rPr>
      </w:pPr>
      <w:r/>
      <w:bookmarkStart w:id="38" w:name="_Toc28359085"/>
      <w:r/>
      <w:bookmarkStart w:id="39" w:name="_Toc28359008"/>
      <w:r/>
      <w:bookmarkStart w:id="40" w:name="_Toc35393796"/>
      <w:r/>
      <w:bookmarkStart w:id="41" w:name="_Toc35393627"/>
      <w:r>
        <w:rPr>
          <w:color w:val="000000"/>
          <w:szCs w:val="22"/>
          <w:highlight w:val="none"/>
        </w:rPr>
        <w:t xml:space="preserve">1.</w:t>
      </w:r>
      <w:r>
        <w:rPr>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color w:val="000000"/>
          <w:szCs w:val="22"/>
          <w:highlight w:val="none"/>
        </w:rPr>
        <w:t xml:space="preserve">。</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2.潜在供应商访问电子招标响应交易平台的网络地址和方法：</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3.潜在供应商访问“苏采云”系统的网络地址和方法：“苏采云”系统的网址：http://jszfcg.jsczt.cn/。</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4.“CA数字证书”的获取：</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响应供应商需办理“CA 数字证书”，CA办理指南及“苏采云”操作手册可至江苏省政府采购网―办事指南-资料下载中心下载。</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通过苏采云系统首页（http://jszfcg.jscz.gov.cn/）的“苏采云控件驱动下载”，选择“政务CA、方正签章控件驱动安装包及安装说明”下载安装，具体安装方法详见下载文件内的《安装说明》。</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5.采购文件（后缀名为“.kedt”）、供应商操作手册及政府采购客户端工具可通过“苏采云”系统--已报名项目--报名详情页面内相应链接进行下载。</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6.采购人或采购代理机构将数据电文形式的采购文件加载至“苏采云”系统，供潜在供应商下载或者查阅。</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7.请潜在供应商提前安装相应的控件（详见《江苏省政府采购管理交易系统（苏采云）供应商操作手册》）并使用谷歌浏览器登录“苏采云”系统参与不见面开评标。</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注：如潜在供应商未按上述要求操作，将自行承担所产生的风险。</w:t>
      </w:r>
      <w:r>
        <w:rPr>
          <w:color w:val="000000"/>
          <w:szCs w:val="22"/>
          <w:highlight w:val="none"/>
        </w:rPr>
      </w:r>
      <w:r/>
    </w:p>
    <w:p>
      <w:pPr>
        <w:pStyle w:val="1166"/>
        <w:ind w:firstLine="540"/>
        <w:spacing w:line="360" w:lineRule="auto"/>
        <w:rPr>
          <w:color w:val="000000"/>
          <w:szCs w:val="22"/>
          <w:highlight w:val="none"/>
        </w:rPr>
      </w:pPr>
      <w:r>
        <w:rPr>
          <w:color w:val="000000"/>
          <w:szCs w:val="22"/>
          <w:highlight w:val="none"/>
        </w:rPr>
        <w:t xml:space="preserve">8.项目开标活动模式：不见面远程开标模式，供应商在各自地点通过不见面交易系统参加开标会。</w:t>
      </w:r>
      <w:r>
        <w:rPr>
          <w:color w:val="000000"/>
          <w:szCs w:val="22"/>
          <w:highlight w:val="none"/>
        </w:rPr>
      </w:r>
      <w:r/>
    </w:p>
    <w:p>
      <w:pPr>
        <w:pStyle w:val="1166"/>
        <w:ind w:firstLine="540"/>
        <w:spacing w:line="360" w:lineRule="auto"/>
        <w:rPr>
          <w:color w:val="000000"/>
          <w:highlight w:val="none"/>
        </w:rPr>
      </w:pPr>
      <w:r>
        <w:rPr>
          <w:color w:val="000000"/>
          <w:szCs w:val="22"/>
          <w:highlight w:val="none"/>
        </w:rPr>
        <w:t xml:space="preserve">9.投标文件的解密：开标当天各供应商及时登录不见面开标大厅，投标文件递交截止时间后，采购人将在系统内公布供应商名单，然后</w:t>
      </w:r>
      <w:r>
        <w:rPr>
          <w:color w:val="000000"/>
          <w:szCs w:val="22"/>
          <w:highlight w:val="none"/>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color w:val="000000"/>
          <w:highlight w:val="none"/>
        </w:rPr>
        <w:t xml:space="preserve">。</w:t>
      </w:r>
      <w:r>
        <w:rPr>
          <w:color w:val="000000"/>
          <w:highlight w:val="none"/>
        </w:rPr>
      </w:r>
      <w:r/>
    </w:p>
    <w:p>
      <w:pPr>
        <w:pStyle w:val="1166"/>
        <w:ind w:firstLine="420"/>
        <w:spacing w:line="360" w:lineRule="auto"/>
        <w:rPr>
          <w:color w:val="000000"/>
          <w:szCs w:val="21"/>
          <w:highlight w:val="none"/>
        </w:rPr>
      </w:pPr>
      <w:r>
        <w:rPr>
          <w:rFonts w:hint="eastAsia"/>
          <w:color w:val="000000"/>
          <w:szCs w:val="21"/>
          <w:highlight w:val="none"/>
        </w:rPr>
        <w:t xml:space="preserve">10.</w:t>
      </w:r>
      <w:r>
        <w:rPr>
          <w:color w:val="000000"/>
          <w:szCs w:val="21"/>
          <w:highlight w:val="none"/>
        </w:rPr>
        <w:t xml:space="preserve">供应商诚信档案管理</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 供应商申请网上注册的，应当按以下程序进行： </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   （1）登陆“信用南京”或“南京公共采购信息网”网站，点击“政府采购供应商诚信档案”图标，在弹出的用户登录界面，点击“新用户注册”；</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color w:val="000000"/>
          <w:szCs w:val="21"/>
          <w:highlight w:val="none"/>
        </w:rPr>
      </w:r>
      <w:r/>
    </w:p>
    <w:p>
      <w:pPr>
        <w:pStyle w:val="1166"/>
        <w:ind w:firstLine="540"/>
        <w:spacing w:line="360" w:lineRule="auto"/>
        <w:rPr>
          <w:color w:val="000000"/>
          <w:szCs w:val="22"/>
          <w:highlight w:val="none"/>
        </w:rPr>
      </w:pPr>
      <w:r>
        <w:rPr>
          <w:color w:val="000000"/>
          <w:szCs w:val="21"/>
          <w:highlight w:val="none"/>
        </w:rPr>
        <w:t xml:space="preserve">南京市政府采购供应商诚信档案管理系统客服电话：025-52718366；供应商可就用户注册与打印“南京市政府采购供应商信用记录表”等事宜进行咨询。</w:t>
      </w:r>
      <w:r>
        <w:rPr>
          <w:color w:val="000000"/>
          <w:szCs w:val="22"/>
          <w:highlight w:val="none"/>
        </w:rPr>
      </w:r>
      <w:r/>
    </w:p>
    <w:p>
      <w:pPr>
        <w:pStyle w:val="1168"/>
        <w:spacing w:before="0" w:after="0" w:line="360" w:lineRule="auto"/>
        <w:rPr>
          <w:rFonts w:ascii="Times New Roman" w:hAnsi="Times New Roman" w:eastAsia="宋体"/>
          <w:color w:val="000000"/>
          <w:sz w:val="21"/>
          <w:szCs w:val="21"/>
          <w:highlight w:val="none"/>
        </w:rPr>
      </w:pPr>
      <w:r/>
      <w:bookmarkStart w:id="42" w:name="_Toc5258"/>
      <w:r/>
      <w:bookmarkStart w:id="43" w:name="_Toc4039"/>
      <w:r>
        <w:rPr>
          <w:rFonts w:ascii="Times New Roman" w:hAnsi="Times New Roman" w:eastAsia="宋体"/>
          <w:color w:val="000000"/>
          <w:sz w:val="21"/>
          <w:szCs w:val="21"/>
          <w:highlight w:val="none"/>
        </w:rPr>
        <w:t xml:space="preserve">七、对本次招标提出询问，请按以下方式联系。</w:t>
      </w:r>
      <w:bookmarkEnd w:id="38"/>
      <w:r/>
      <w:bookmarkEnd w:id="39"/>
      <w:r/>
      <w:bookmarkEnd w:id="40"/>
      <w:r/>
      <w:bookmarkEnd w:id="41"/>
      <w:r/>
      <w:bookmarkEnd w:id="42"/>
      <w:r/>
      <w:bookmarkEnd w:id="43"/>
      <w:r>
        <w:rPr>
          <w:rFonts w:ascii="Times New Roman" w:hAnsi="Times New Roman" w:eastAsia="宋体"/>
          <w:color w:val="000000"/>
          <w:sz w:val="21"/>
          <w:szCs w:val="21"/>
          <w:highlight w:val="none"/>
        </w:rPr>
      </w:r>
      <w:r/>
    </w:p>
    <w:p>
      <w:pPr>
        <w:pStyle w:val="1166"/>
        <w:jc w:val="left"/>
        <w:spacing w:line="360" w:lineRule="auto"/>
        <w:widowControl/>
        <w:rPr>
          <w:color w:val="000000"/>
          <w:szCs w:val="21"/>
          <w:highlight w:val="none"/>
        </w:rPr>
      </w:pPr>
      <w:r>
        <w:rPr>
          <w:color w:val="000000"/>
          <w:szCs w:val="21"/>
          <w:highlight w:val="none"/>
        </w:rPr>
        <w:t xml:space="preserve">　　　1.采购人信息</w:t>
      </w:r>
      <w:r>
        <w:rPr>
          <w:color w:val="000000"/>
          <w:szCs w:val="21"/>
          <w:highlight w:val="none"/>
        </w:rPr>
      </w:r>
      <w:r/>
    </w:p>
    <w:p>
      <w:pPr>
        <w:pStyle w:val="1166"/>
        <w:ind w:left="1041" w:hanging="262"/>
        <w:jc w:val="left"/>
        <w:spacing w:line="360" w:lineRule="auto"/>
        <w:rPr>
          <w:color w:val="000000"/>
          <w:szCs w:val="21"/>
          <w:highlight w:val="none"/>
        </w:rPr>
      </w:pPr>
      <w:r>
        <w:rPr>
          <w:color w:val="000000"/>
          <w:szCs w:val="21"/>
          <w:highlight w:val="none"/>
        </w:rPr>
        <w:t xml:space="preserve">名 称：南京红十字血液中心</w:t>
      </w:r>
      <w:r>
        <w:rPr>
          <w:color w:val="000000"/>
          <w:szCs w:val="21"/>
          <w:highlight w:val="none"/>
        </w:rPr>
      </w:r>
      <w:r/>
    </w:p>
    <w:p>
      <w:pPr>
        <w:pStyle w:val="1166"/>
        <w:ind w:left="1041" w:hanging="262"/>
        <w:jc w:val="left"/>
        <w:spacing w:line="360" w:lineRule="auto"/>
        <w:rPr>
          <w:color w:val="000000"/>
          <w:szCs w:val="21"/>
          <w:highlight w:val="none"/>
        </w:rPr>
      </w:pPr>
      <w:r>
        <w:rPr>
          <w:color w:val="000000"/>
          <w:szCs w:val="21"/>
          <w:highlight w:val="none"/>
        </w:rPr>
        <w:t xml:space="preserve">地址：南京市鼓楼区紫竹林3号</w:t>
      </w:r>
      <w:r>
        <w:rPr>
          <w:color w:val="000000"/>
          <w:szCs w:val="21"/>
          <w:highlight w:val="none"/>
        </w:rPr>
      </w:r>
      <w:r/>
    </w:p>
    <w:p>
      <w:pPr>
        <w:pStyle w:val="1166"/>
        <w:ind w:left="1041" w:hanging="262"/>
        <w:jc w:val="left"/>
        <w:spacing w:line="360" w:lineRule="auto"/>
        <w:rPr>
          <w:rFonts w:hint="eastAsia" w:eastAsia="宋体"/>
          <w:color w:val="000000"/>
          <w:highlight w:val="none"/>
          <w:lang w:eastAsia="zh-CN"/>
        </w:rPr>
      </w:pPr>
      <w:r>
        <w:rPr>
          <w:color w:val="000000"/>
          <w:szCs w:val="21"/>
          <w:highlight w:val="none"/>
        </w:rPr>
        <w:t xml:space="preserve">联系方式：</w:t>
      </w:r>
      <w:bookmarkStart w:id="44" w:name="_Toc28359086"/>
      <w:r/>
      <w:bookmarkStart w:id="45" w:name="_Toc28359009"/>
      <w:r>
        <w:rPr>
          <w:rFonts w:hint="eastAsia"/>
          <w:color w:val="000000"/>
          <w:szCs w:val="21"/>
          <w:highlight w:val="none"/>
          <w:lang w:val="en-US" w:eastAsia="zh-CN"/>
        </w:rPr>
        <w:t xml:space="preserve">浦</w:t>
      </w:r>
      <w:r>
        <w:rPr>
          <w:color w:val="000000"/>
          <w:szCs w:val="21"/>
          <w:highlight w:val="none"/>
        </w:rPr>
        <w:t xml:space="preserve">老师025-</w:t>
      </w:r>
      <w:r>
        <w:rPr>
          <w:rFonts w:hint="eastAsia"/>
          <w:color w:val="000000"/>
          <w:szCs w:val="21"/>
          <w:highlight w:val="none"/>
        </w:rPr>
        <w:t xml:space="preserve">83479906</w:t>
      </w:r>
      <w:r>
        <w:rPr>
          <w:rFonts w:hint="eastAsia"/>
          <w:color w:val="000000"/>
          <w:szCs w:val="21"/>
          <w:highlight w:val="none"/>
          <w:lang w:val="en-US" w:eastAsia="zh-CN"/>
        </w:rPr>
        <w:t xml:space="preserve"> </w:t>
      </w:r>
      <w:r>
        <w:rPr>
          <w:rFonts w:hint="eastAsia" w:eastAsia="宋体"/>
          <w:color w:val="000000"/>
          <w:highlight w:val="none"/>
          <w:lang w:eastAsia="zh-CN"/>
        </w:rPr>
      </w:r>
      <w:r/>
    </w:p>
    <w:p>
      <w:pPr>
        <w:pStyle w:val="1166"/>
        <w:ind w:firstLine="630"/>
        <w:jc w:val="left"/>
        <w:spacing w:line="360" w:lineRule="auto"/>
        <w:rPr>
          <w:color w:val="000000"/>
          <w:szCs w:val="21"/>
          <w:highlight w:val="none"/>
        </w:rPr>
      </w:pPr>
      <w:r>
        <w:rPr>
          <w:color w:val="000000"/>
          <w:szCs w:val="21"/>
          <w:highlight w:val="none"/>
        </w:rPr>
        <w:t xml:space="preserve">2.采购代理机构信息</w:t>
      </w:r>
      <w:bookmarkEnd w:id="44"/>
      <w:r/>
      <w:bookmarkEnd w:id="45"/>
      <w:r>
        <w:rPr>
          <w:color w:val="000000"/>
          <w:szCs w:val="21"/>
          <w:highlight w:val="none"/>
        </w:rPr>
      </w:r>
      <w:r/>
    </w:p>
    <w:p>
      <w:pPr>
        <w:pStyle w:val="1166"/>
        <w:ind w:firstLine="840"/>
        <w:spacing w:line="360" w:lineRule="auto"/>
        <w:rPr>
          <w:color w:val="000000"/>
          <w:szCs w:val="21"/>
          <w:highlight w:val="none"/>
        </w:rPr>
      </w:pPr>
      <w:r>
        <w:rPr>
          <w:color w:val="000000"/>
          <w:szCs w:val="21"/>
          <w:highlight w:val="none"/>
        </w:rPr>
        <w:t xml:space="preserve">名 称：江苏苏美达仪器设备有限公司</w:t>
      </w:r>
      <w:r>
        <w:rPr>
          <w:color w:val="000000"/>
          <w:szCs w:val="21"/>
          <w:highlight w:val="none"/>
        </w:rPr>
      </w:r>
      <w:r/>
    </w:p>
    <w:p>
      <w:pPr>
        <w:pStyle w:val="1166"/>
        <w:ind w:firstLine="840"/>
        <w:spacing w:line="360" w:lineRule="auto"/>
        <w:rPr>
          <w:color w:val="000000"/>
          <w:szCs w:val="21"/>
          <w:highlight w:val="none"/>
        </w:rPr>
      </w:pPr>
      <w:r>
        <w:rPr>
          <w:color w:val="000000"/>
          <w:szCs w:val="21"/>
          <w:highlight w:val="none"/>
        </w:rPr>
        <w:t xml:space="preserve">地　址：南京市长江路198号</w:t>
      </w:r>
      <w:r>
        <w:rPr>
          <w:color w:val="000000"/>
          <w:szCs w:val="21"/>
          <w:highlight w:val="none"/>
        </w:rPr>
      </w:r>
      <w:r/>
    </w:p>
    <w:p>
      <w:pPr>
        <w:pStyle w:val="1166"/>
        <w:ind w:firstLine="840"/>
        <w:spacing w:line="360" w:lineRule="auto"/>
        <w:rPr>
          <w:color w:val="000000"/>
          <w:szCs w:val="21"/>
          <w:highlight w:val="none"/>
        </w:rPr>
      </w:pPr>
      <w:r>
        <w:rPr>
          <w:color w:val="000000"/>
          <w:szCs w:val="21"/>
          <w:highlight w:val="none"/>
        </w:rPr>
        <w:t xml:space="preserve">联系方式：</w:t>
      </w:r>
      <w:bookmarkStart w:id="46" w:name="_Toc28359087"/>
      <w:r/>
      <w:bookmarkStart w:id="47" w:name="_Toc28359010"/>
      <w:r>
        <w:rPr>
          <w:b/>
          <w:bCs/>
          <w:color w:val="000000"/>
          <w:szCs w:val="21"/>
          <w:highlight w:val="none"/>
        </w:rPr>
        <w:t xml:space="preserve">文件发售：</w:t>
      </w:r>
      <w:r>
        <w:rPr>
          <w:color w:val="000000"/>
          <w:szCs w:val="21"/>
          <w:highlight w:val="none"/>
        </w:rPr>
        <w:t xml:space="preserve">李婧怡025-84532580，</w:t>
      </w:r>
      <w:r>
        <w:rPr>
          <w:b/>
          <w:bCs/>
          <w:color w:val="000000"/>
          <w:szCs w:val="21"/>
          <w:highlight w:val="none"/>
        </w:rPr>
        <w:t xml:space="preserve">技术咨询：</w:t>
      </w:r>
      <w:r>
        <w:rPr>
          <w:color w:val="000000"/>
          <w:szCs w:val="21"/>
          <w:highlight w:val="none"/>
        </w:rPr>
        <w:t xml:space="preserve">朱琳025-84532546、黄丹025-84531274</w:t>
      </w:r>
      <w:r>
        <w:rPr>
          <w:color w:val="000000"/>
          <w:szCs w:val="21"/>
          <w:highlight w:val="none"/>
        </w:rPr>
      </w:r>
      <w:r/>
    </w:p>
    <w:p>
      <w:pPr>
        <w:pStyle w:val="1166"/>
        <w:ind w:firstLine="630"/>
        <w:spacing w:line="360" w:lineRule="auto"/>
        <w:rPr>
          <w:color w:val="000000"/>
          <w:szCs w:val="21"/>
          <w:highlight w:val="none"/>
          <w:u w:val="single"/>
        </w:rPr>
      </w:pPr>
      <w:r>
        <w:rPr>
          <w:color w:val="000000"/>
          <w:szCs w:val="21"/>
          <w:highlight w:val="none"/>
        </w:rPr>
        <w:t xml:space="preserve">3.项目联系方式</w:t>
      </w:r>
      <w:bookmarkEnd w:id="46"/>
      <w:r/>
      <w:bookmarkEnd w:id="47"/>
      <w:r>
        <w:rPr>
          <w:color w:val="000000"/>
          <w:szCs w:val="21"/>
          <w:highlight w:val="none"/>
          <w:u w:val="single"/>
        </w:rPr>
      </w:r>
      <w:r/>
    </w:p>
    <w:p>
      <w:pPr>
        <w:pStyle w:val="1189"/>
        <w:ind w:firstLine="84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项目联系人：朱琳</w:t>
      </w:r>
      <w:r>
        <w:rPr>
          <w:rFonts w:ascii="Times New Roman" w:hAnsi="Times New Roman"/>
          <w:color w:val="000000"/>
          <w:szCs w:val="21"/>
          <w:highlight w:val="none"/>
        </w:rPr>
      </w:r>
      <w:r/>
    </w:p>
    <w:p>
      <w:pPr>
        <w:pStyle w:val="1166"/>
        <w:spacing w:line="440" w:lineRule="exact"/>
        <w:rPr>
          <w:color w:val="000000"/>
          <w:szCs w:val="21"/>
          <w:highlight w:val="none"/>
        </w:rPr>
      </w:pPr>
      <w:r>
        <w:rPr>
          <w:color w:val="000000"/>
          <w:szCs w:val="21"/>
          <w:highlight w:val="none"/>
        </w:rPr>
        <w:t xml:space="preserve">        电　话：025-84532546</w:t>
      </w:r>
      <w:r>
        <w:rPr>
          <w:color w:val="000000"/>
          <w:szCs w:val="21"/>
          <w:highlight w:val="none"/>
        </w:rPr>
      </w:r>
      <w:r/>
    </w:p>
    <w:p>
      <w:pPr>
        <w:pStyle w:val="1182"/>
        <w:rPr>
          <w:rFonts w:ascii="Times New Roman"/>
          <w:color w:val="000000"/>
          <w:szCs w:val="21"/>
          <w:highlight w:val="none"/>
        </w:rPr>
      </w:pPr>
      <w:r>
        <w:rPr>
          <w:rFonts w:ascii="Times New Roman"/>
          <w:color w:val="000000"/>
          <w:szCs w:val="21"/>
          <w:highlight w:val="none"/>
        </w:rPr>
      </w:r>
      <w:r/>
    </w:p>
    <w:p>
      <w:pPr>
        <w:pStyle w:val="1166"/>
        <w:rPr>
          <w:color w:val="000000"/>
          <w:highlight w:val="none"/>
        </w:rPr>
        <w:sectPr>
          <w:footerReference w:type="default" r:id="rId14"/>
          <w:footnotePr/>
          <w:endnotePr/>
          <w:type w:val="nextPage"/>
          <w:pgSz w:w="11906" w:h="16838" w:orient="portrait"/>
          <w:pgMar w:top="1440" w:right="1274" w:bottom="1118" w:left="1276" w:header="851" w:footer="992" w:gutter="0"/>
          <w:pgNumType w:start="1"/>
          <w:cols w:num="1" w:sep="0" w:space="1701" w:equalWidth="1"/>
          <w:docGrid w:linePitch="360"/>
        </w:sectPr>
      </w:pPr>
      <w:r>
        <w:rPr>
          <w:color w:val="000000"/>
          <w:highlight w:val="none"/>
        </w:rPr>
      </w:r>
      <w:r/>
    </w:p>
    <w:p>
      <w:pPr>
        <w:pStyle w:val="1166"/>
        <w:jc w:val="center"/>
        <w:spacing w:line="440" w:lineRule="exact"/>
        <w:rPr>
          <w:b/>
          <w:color w:val="000000"/>
          <w:sz w:val="28"/>
          <w:szCs w:val="28"/>
          <w:highlight w:val="none"/>
        </w:rPr>
        <w:outlineLvl w:val="0"/>
      </w:pPr>
      <w:r/>
      <w:bookmarkStart w:id="48" w:name="_Toc10351"/>
      <w:r/>
      <w:bookmarkStart w:id="49" w:name="_Toc28996"/>
      <w:r/>
      <w:bookmarkStart w:id="50" w:name="_Toc4696385"/>
      <w:r>
        <w:rPr>
          <w:b/>
          <w:color w:val="000000"/>
          <w:sz w:val="28"/>
          <w:szCs w:val="28"/>
          <w:highlight w:val="none"/>
        </w:rPr>
        <w:t xml:space="preserve">第二章 投标人须知</w:t>
      </w:r>
      <w:bookmarkEnd w:id="48"/>
      <w:r/>
      <w:bookmarkEnd w:id="49"/>
      <w:r/>
      <w:bookmarkEnd w:id="50"/>
      <w:r>
        <w:rPr>
          <w:b/>
          <w:color w:val="000000"/>
          <w:sz w:val="28"/>
          <w:szCs w:val="28"/>
          <w:highlight w:val="none"/>
        </w:rPr>
      </w:r>
      <w:r/>
    </w:p>
    <w:p>
      <w:pPr>
        <w:pStyle w:val="1166"/>
        <w:spacing w:line="440" w:lineRule="exact"/>
        <w:shd w:val="clear" w:color="auto" w:fill="ffffff"/>
        <w:widowControl/>
        <w:rPr>
          <w:b/>
          <w:bCs/>
          <w:color w:val="000000"/>
          <w:sz w:val="24"/>
          <w:highlight w:val="none"/>
        </w:rPr>
      </w:pPr>
      <w:r>
        <w:rPr>
          <w:b/>
          <w:bCs/>
          <w:color w:val="000000"/>
          <w:sz w:val="24"/>
          <w:highlight w:val="none"/>
        </w:rPr>
        <w:t xml:space="preserve">投标人须知前附表</w:t>
      </w:r>
      <w:r>
        <w:rPr>
          <w:b/>
          <w:bCs/>
          <w:color w:val="000000"/>
          <w:sz w:val="24"/>
          <w:highlight w:val="none"/>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1166"/>
              <w:jc w:val="center"/>
              <w:spacing w:line="440" w:lineRule="exact"/>
              <w:rPr>
                <w:b/>
                <w:color w:val="000000"/>
                <w:sz w:val="24"/>
                <w:highlight w:val="none"/>
              </w:rPr>
            </w:pPr>
            <w:r>
              <w:rPr>
                <w:b/>
                <w:color w:val="000000"/>
                <w:sz w:val="24"/>
                <w:highlight w:val="none"/>
              </w:rPr>
              <w:t xml:space="preserve">序号</w:t>
            </w:r>
            <w:r>
              <w:rPr>
                <w:b/>
                <w:color w:val="000000"/>
                <w:sz w:val="24"/>
                <w:highlight w:val="none"/>
              </w:rPr>
            </w:r>
            <w:r/>
          </w:p>
        </w:tc>
        <w:tc>
          <w:tcPr>
            <w:tcW w:w="8928" w:type="dxa"/>
            <w:vAlign w:val="center"/>
            <w:textDirection w:val="lrTb"/>
            <w:noWrap w:val="false"/>
          </w:tcPr>
          <w:p>
            <w:pPr>
              <w:pStyle w:val="1166"/>
              <w:jc w:val="center"/>
              <w:spacing w:line="440" w:lineRule="exact"/>
              <w:rPr>
                <w:b/>
                <w:color w:val="000000"/>
                <w:sz w:val="24"/>
                <w:highlight w:val="none"/>
              </w:rPr>
            </w:pPr>
            <w:r>
              <w:rPr>
                <w:b/>
                <w:color w:val="000000"/>
                <w:sz w:val="24"/>
                <w:highlight w:val="none"/>
              </w:rPr>
              <w:t xml:space="preserve">主要内容</w:t>
            </w:r>
            <w:r>
              <w:rPr>
                <w:b/>
                <w:color w:val="000000"/>
                <w:sz w:val="24"/>
                <w:highlight w:val="none"/>
              </w:rPr>
            </w:r>
            <w:r/>
          </w:p>
        </w:tc>
      </w:tr>
      <w:tr>
        <w:trPr>
          <w:trHeight w:val="240"/>
        </w:trPr>
        <w:tc>
          <w:tcPr>
            <w:tcW w:w="819" w:type="dxa"/>
            <w:vAlign w:val="center"/>
            <w:textDirection w:val="lrTb"/>
            <w:noWrap w:val="false"/>
          </w:tcPr>
          <w:p>
            <w:pPr>
              <w:pStyle w:val="1166"/>
              <w:jc w:val="center"/>
              <w:spacing w:line="440" w:lineRule="exact"/>
              <w:rPr>
                <w:b/>
                <w:color w:val="000000"/>
                <w:sz w:val="24"/>
                <w:highlight w:val="none"/>
              </w:rPr>
            </w:pPr>
            <w:r>
              <w:rPr>
                <w:b/>
                <w:color w:val="000000"/>
                <w:sz w:val="24"/>
                <w:highlight w:val="none"/>
              </w:rPr>
              <w:t xml:space="preserve">1</w:t>
            </w:r>
            <w:r>
              <w:rPr>
                <w:b/>
                <w:color w:val="000000"/>
                <w:sz w:val="24"/>
                <w:highlight w:val="none"/>
              </w:rPr>
            </w:r>
            <w:r/>
          </w:p>
        </w:tc>
        <w:tc>
          <w:tcPr>
            <w:tcW w:w="8928" w:type="dxa"/>
            <w:vAlign w:val="center"/>
            <w:textDirection w:val="lrTb"/>
            <w:noWrap w:val="false"/>
          </w:tcPr>
          <w:p>
            <w:pPr>
              <w:pStyle w:val="1208"/>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采购人：南京红十字血液中心</w:t>
            </w:r>
            <w:r>
              <w:rPr>
                <w:rFonts w:ascii="Times New Roman" w:hAnsi="Times New Roman" w:eastAsia="宋体"/>
                <w:color w:val="000000"/>
                <w:sz w:val="21"/>
                <w:szCs w:val="21"/>
                <w:highlight w:val="none"/>
              </w:rPr>
            </w:r>
            <w:r/>
          </w:p>
          <w:p>
            <w:pPr>
              <w:pStyle w:val="1208"/>
              <w:spacing w:before="0" w:beforeAutospacing="0" w:after="0" w:afterAutospacing="0" w:line="360" w:lineRule="auto"/>
              <w:rPr>
                <w:rFonts w:hint="eastAsia"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rPr>
              <w:t xml:space="preserve">联系人：</w:t>
            </w:r>
            <w:r>
              <w:rPr>
                <w:rFonts w:hint="eastAsia" w:ascii="Times New Roman" w:hAnsi="Times New Roman" w:eastAsia="宋体"/>
                <w:color w:val="000000"/>
                <w:sz w:val="21"/>
                <w:szCs w:val="21"/>
                <w:highlight w:val="none"/>
              </w:rPr>
              <w:t xml:space="preserve">浦老师025-83479906</w:t>
            </w:r>
            <w:r>
              <w:rPr>
                <w:rFonts w:hint="eastAsia" w:ascii="Times New Roman" w:hAnsi="Times New Roman" w:eastAsia="宋体"/>
                <w:color w:val="000000"/>
                <w:sz w:val="21"/>
                <w:szCs w:val="21"/>
                <w:highlight w:val="none"/>
                <w:lang w:eastAsia="zh-CN"/>
              </w:rPr>
            </w:r>
            <w:r/>
          </w:p>
          <w:p>
            <w:pPr>
              <w:pStyle w:val="1208"/>
              <w:spacing w:before="0" w:beforeAutospacing="0" w:after="0" w:afterAutospacing="0" w:line="360" w:lineRule="auto"/>
              <w:rPr>
                <w:rFonts w:ascii="Times New Roman" w:hAnsi="Times New Roman" w:eastAsia="宋体"/>
                <w:b/>
                <w:color w:val="000000"/>
                <w:highlight w:val="none"/>
              </w:rPr>
            </w:pPr>
            <w:r>
              <w:rPr>
                <w:rFonts w:ascii="Times New Roman" w:hAnsi="Times New Roman" w:eastAsia="宋体"/>
                <w:color w:val="000000"/>
                <w:sz w:val="21"/>
                <w:szCs w:val="21"/>
                <w:highlight w:val="none"/>
              </w:rPr>
              <w:t xml:space="preserve">地址：南京市鼓楼区紫竹林3号</w:t>
            </w:r>
            <w:r>
              <w:rPr>
                <w:rFonts w:ascii="Times New Roman" w:hAnsi="Times New Roman" w:eastAsia="宋体"/>
                <w:b/>
                <w:color w:val="000000"/>
                <w:highlight w:val="none"/>
              </w:rPr>
            </w:r>
            <w:r/>
          </w:p>
        </w:tc>
      </w:tr>
      <w:tr>
        <w:trPr>
          <w:trHeight w:val="240"/>
        </w:trPr>
        <w:tc>
          <w:tcPr>
            <w:tcW w:w="819" w:type="dxa"/>
            <w:vAlign w:val="center"/>
            <w:textDirection w:val="lrTb"/>
            <w:noWrap w:val="false"/>
          </w:tcPr>
          <w:p>
            <w:pPr>
              <w:pStyle w:val="1166"/>
              <w:jc w:val="center"/>
              <w:spacing w:line="440" w:lineRule="exact"/>
              <w:rPr>
                <w:b/>
                <w:color w:val="000000"/>
                <w:sz w:val="24"/>
                <w:highlight w:val="none"/>
              </w:rPr>
            </w:pPr>
            <w:r>
              <w:rPr>
                <w:b/>
                <w:color w:val="000000"/>
                <w:sz w:val="24"/>
                <w:highlight w:val="none"/>
              </w:rPr>
              <w:t xml:space="preserve">2</w:t>
            </w:r>
            <w:r>
              <w:rPr>
                <w:b/>
                <w:color w:val="000000"/>
                <w:sz w:val="24"/>
                <w:highlight w:val="none"/>
              </w:rPr>
            </w:r>
            <w:r/>
          </w:p>
        </w:tc>
        <w:tc>
          <w:tcPr>
            <w:tcW w:w="8928" w:type="dxa"/>
            <w:vAlign w:val="center"/>
            <w:textDirection w:val="lrTb"/>
            <w:noWrap w:val="false"/>
          </w:tcPr>
          <w:p>
            <w:pPr>
              <w:pStyle w:val="1166"/>
              <w:spacing w:line="440" w:lineRule="exact"/>
              <w:shd w:val="clear" w:color="auto" w:fill="ffffff"/>
              <w:widowControl/>
              <w:rPr>
                <w:color w:val="000000"/>
                <w:szCs w:val="21"/>
                <w:highlight w:val="none"/>
              </w:rPr>
            </w:pPr>
            <w:r>
              <w:rPr>
                <w:color w:val="000000"/>
                <w:szCs w:val="21"/>
                <w:highlight w:val="none"/>
              </w:rPr>
              <w:t xml:space="preserve">采购代理机构：江苏苏美达仪器设备有限公司</w:t>
            </w:r>
            <w:r>
              <w:rPr>
                <w:color w:val="000000"/>
                <w:szCs w:val="21"/>
                <w:highlight w:val="none"/>
              </w:rPr>
            </w:r>
            <w:r/>
          </w:p>
          <w:p>
            <w:pPr>
              <w:pStyle w:val="1166"/>
              <w:spacing w:line="440" w:lineRule="exact"/>
              <w:shd w:val="clear" w:color="auto" w:fill="ffffff"/>
              <w:widowControl/>
              <w:rPr>
                <w:color w:val="000000"/>
                <w:szCs w:val="21"/>
                <w:highlight w:val="none"/>
              </w:rPr>
            </w:pPr>
            <w:r>
              <w:rPr>
                <w:b/>
                <w:bCs/>
                <w:color w:val="000000"/>
                <w:szCs w:val="21"/>
                <w:highlight w:val="none"/>
              </w:rPr>
              <w:t xml:space="preserve">文件发售</w:t>
            </w:r>
            <w:r>
              <w:rPr>
                <w:color w:val="000000"/>
                <w:szCs w:val="21"/>
                <w:highlight w:val="none"/>
              </w:rPr>
              <w:t xml:space="preserve">联系人：李婧怡025-84532580 lijingyi@sumec.com.cn</w:t>
            </w:r>
            <w:r>
              <w:rPr>
                <w:color w:val="000000"/>
                <w:szCs w:val="21"/>
                <w:highlight w:val="none"/>
              </w:rPr>
            </w:r>
            <w:r/>
          </w:p>
          <w:p>
            <w:pPr>
              <w:pStyle w:val="1166"/>
              <w:spacing w:line="440" w:lineRule="exact"/>
              <w:shd w:val="clear" w:color="auto" w:fill="ffffff"/>
              <w:widowControl/>
              <w:rPr>
                <w:color w:val="000000"/>
                <w:szCs w:val="21"/>
                <w:highlight w:val="none"/>
              </w:rPr>
            </w:pPr>
            <w:r>
              <w:rPr>
                <w:b/>
                <w:bCs/>
                <w:color w:val="000000"/>
                <w:szCs w:val="21"/>
                <w:highlight w:val="none"/>
              </w:rPr>
              <w:t xml:space="preserve">技术咨询</w:t>
            </w:r>
            <w:r>
              <w:rPr>
                <w:color w:val="000000"/>
                <w:szCs w:val="21"/>
                <w:highlight w:val="none"/>
              </w:rPr>
              <w:t xml:space="preserve">联系人：朱琳025-84532546、黄丹025-84531274</w:t>
            </w:r>
            <w:r>
              <w:rPr>
                <w:color w:val="000000"/>
                <w:szCs w:val="21"/>
                <w:highlight w:val="none"/>
              </w:rPr>
            </w:r>
            <w:r/>
          </w:p>
          <w:p>
            <w:pPr>
              <w:pStyle w:val="1166"/>
              <w:spacing w:line="440" w:lineRule="exact"/>
              <w:shd w:val="clear" w:color="auto" w:fill="ffffff"/>
              <w:widowControl/>
              <w:rPr>
                <w:color w:val="000000"/>
                <w:szCs w:val="21"/>
                <w:highlight w:val="none"/>
              </w:rPr>
            </w:pPr>
            <w:r>
              <w:rPr>
                <w:color w:val="000000"/>
                <w:szCs w:val="21"/>
                <w:highlight w:val="none"/>
              </w:rPr>
              <w:t xml:space="preserve">传真电话：025-84408841</w:t>
            </w:r>
            <w:r>
              <w:rPr>
                <w:color w:val="000000"/>
                <w:szCs w:val="21"/>
                <w:highlight w:val="none"/>
              </w:rPr>
            </w:r>
            <w:r/>
          </w:p>
          <w:p>
            <w:pPr>
              <w:pStyle w:val="1166"/>
              <w:spacing w:line="440" w:lineRule="exact"/>
              <w:shd w:val="clear" w:color="auto" w:fill="ffffff"/>
              <w:widowControl/>
              <w:rPr>
                <w:color w:val="000000"/>
                <w:szCs w:val="21"/>
                <w:highlight w:val="none"/>
              </w:rPr>
            </w:pPr>
            <w:r>
              <w:rPr>
                <w:color w:val="000000"/>
                <w:szCs w:val="21"/>
                <w:highlight w:val="none"/>
              </w:rPr>
              <w:t xml:space="preserve">联系地址：南京市长江路198号</w:t>
            </w:r>
            <w:r>
              <w:rPr>
                <w:color w:val="000000"/>
                <w:szCs w:val="21"/>
                <w:highlight w:val="none"/>
              </w:rPr>
            </w:r>
            <w:r/>
          </w:p>
          <w:p>
            <w:pPr>
              <w:pStyle w:val="1166"/>
              <w:spacing w:line="440" w:lineRule="exact"/>
              <w:shd w:val="clear" w:color="auto" w:fill="ffffff"/>
              <w:widowControl/>
              <w:rPr>
                <w:color w:val="000000"/>
                <w:szCs w:val="21"/>
                <w:highlight w:val="none"/>
              </w:rPr>
            </w:pPr>
            <w:r>
              <w:rPr>
                <w:color w:val="000000"/>
                <w:szCs w:val="21"/>
                <w:highlight w:val="none"/>
              </w:rPr>
              <w:t xml:space="preserve">邮政编码：210018</w:t>
            </w:r>
            <w:r>
              <w:rPr>
                <w:color w:val="000000"/>
                <w:szCs w:val="21"/>
                <w:highlight w:val="none"/>
              </w:rPr>
            </w:r>
            <w:r/>
          </w:p>
        </w:tc>
      </w:tr>
      <w:tr>
        <w:trPr>
          <w:trHeight w:val="240"/>
        </w:trPr>
        <w:tc>
          <w:tcPr>
            <w:tcW w:w="819" w:type="dxa"/>
            <w:vAlign w:val="center"/>
            <w:textDirection w:val="lrTb"/>
            <w:noWrap w:val="false"/>
          </w:tcPr>
          <w:p>
            <w:pPr>
              <w:pStyle w:val="1166"/>
              <w:jc w:val="center"/>
              <w:spacing w:line="440" w:lineRule="exact"/>
              <w:rPr>
                <w:b/>
                <w:color w:val="000000"/>
                <w:szCs w:val="21"/>
                <w:highlight w:val="none"/>
              </w:rPr>
            </w:pPr>
            <w:r>
              <w:rPr>
                <w:b/>
                <w:color w:val="000000"/>
                <w:szCs w:val="21"/>
                <w:highlight w:val="none"/>
              </w:rPr>
              <w:t xml:space="preserve">3</w:t>
            </w:r>
            <w:r>
              <w:rPr>
                <w:b/>
                <w:color w:val="000000"/>
                <w:szCs w:val="21"/>
                <w:highlight w:val="none"/>
              </w:rPr>
            </w:r>
            <w:r/>
          </w:p>
        </w:tc>
        <w:tc>
          <w:tcPr>
            <w:tcW w:w="8928" w:type="dxa"/>
            <w:vAlign w:val="center"/>
            <w:textDirection w:val="lrTb"/>
            <w:noWrap w:val="false"/>
          </w:tcPr>
          <w:p>
            <w:pPr>
              <w:pStyle w:val="1166"/>
              <w:spacing w:line="440" w:lineRule="exact"/>
              <w:shd w:val="clear" w:color="auto" w:fill="ffffff"/>
              <w:widowControl/>
              <w:rPr>
                <w:rFonts w:hint="eastAsia" w:eastAsia="宋体"/>
                <w:color w:val="000000"/>
                <w:szCs w:val="21"/>
                <w:highlight w:val="none"/>
                <w:lang w:eastAsia="zh-CN"/>
              </w:rPr>
            </w:pPr>
            <w:r>
              <w:rPr>
                <w:color w:val="000000"/>
                <w:szCs w:val="21"/>
                <w:highlight w:val="none"/>
              </w:rPr>
              <w:t xml:space="preserve">项目名称：</w:t>
            </w:r>
            <w:r>
              <w:rPr>
                <w:rFonts w:hint="eastAsia"/>
                <w:color w:val="000000"/>
                <w:szCs w:val="21"/>
                <w:highlight w:val="none"/>
                <w:lang w:eastAsia="zh-CN"/>
              </w:rPr>
              <w:t xml:space="preserve">南京红十字血液中心采血车采购项目</w:t>
            </w:r>
            <w:r>
              <w:rPr>
                <w:rFonts w:hint="eastAsia" w:eastAsia="宋体"/>
                <w:color w:val="000000"/>
                <w:szCs w:val="21"/>
                <w:highlight w:val="none"/>
                <w:lang w:eastAsia="zh-CN"/>
              </w:rPr>
            </w:r>
            <w:r/>
          </w:p>
          <w:p>
            <w:pPr>
              <w:pStyle w:val="1166"/>
              <w:spacing w:line="440" w:lineRule="exact"/>
              <w:shd w:val="clear" w:color="auto" w:fill="ffffff"/>
              <w:widowControl/>
              <w:rPr>
                <w:b/>
                <w:color w:val="000000"/>
                <w:szCs w:val="21"/>
                <w:highlight w:val="none"/>
              </w:rPr>
            </w:pPr>
            <w:r>
              <w:rPr>
                <w:color w:val="000000"/>
                <w:szCs w:val="21"/>
                <w:highlight w:val="none"/>
              </w:rPr>
              <w:t xml:space="preserve">项目编号：</w:t>
            </w:r>
            <w:r>
              <w:rPr>
                <w:rFonts w:hint="eastAsia"/>
                <w:color w:val="000000"/>
                <w:szCs w:val="21"/>
                <w:highlight w:val="none"/>
                <w:lang w:eastAsia="zh-CN"/>
              </w:rPr>
              <w:t xml:space="preserve">JSZC-320100-SMDY-G2026-0071</w:t>
            </w:r>
            <w:r>
              <w:rPr>
                <w:color w:val="000000"/>
                <w:szCs w:val="21"/>
                <w:highlight w:val="none"/>
              </w:rPr>
              <w:t xml:space="preserve">（</w:t>
            </w:r>
            <w:r>
              <w:rPr>
                <w:rFonts w:hint="eastAsia"/>
                <w:color w:val="000000"/>
                <w:szCs w:val="21"/>
                <w:highlight w:val="none"/>
                <w:lang w:eastAsia="zh-CN"/>
              </w:rPr>
              <w:t xml:space="preserve">2640SUMEC/ZWHD2149</w:t>
            </w:r>
            <w:r>
              <w:rPr>
                <w:color w:val="000000"/>
                <w:szCs w:val="21"/>
                <w:highlight w:val="none"/>
              </w:rPr>
              <w:t xml:space="preserve">）</w:t>
            </w:r>
            <w:r>
              <w:rPr>
                <w:b/>
                <w:color w:val="000000"/>
                <w:szCs w:val="21"/>
                <w:highlight w:val="none"/>
              </w:rPr>
            </w:r>
            <w:r/>
          </w:p>
        </w:tc>
      </w:tr>
      <w:tr>
        <w:trPr>
          <w:trHeight w:val="240"/>
        </w:trPr>
        <w:tc>
          <w:tcPr>
            <w:tcW w:w="819" w:type="dxa"/>
            <w:vAlign w:val="center"/>
            <w:textDirection w:val="lrTb"/>
            <w:noWrap w:val="false"/>
          </w:tcPr>
          <w:p>
            <w:pPr>
              <w:pStyle w:val="1166"/>
              <w:jc w:val="center"/>
              <w:spacing w:line="440" w:lineRule="exact"/>
              <w:rPr>
                <w:b/>
                <w:color w:val="000000"/>
                <w:szCs w:val="21"/>
                <w:highlight w:val="none"/>
              </w:rPr>
            </w:pPr>
            <w:r>
              <w:rPr>
                <w:b/>
                <w:color w:val="000000"/>
                <w:szCs w:val="21"/>
                <w:highlight w:val="none"/>
              </w:rPr>
              <w:t xml:space="preserve">4</w:t>
            </w:r>
            <w:r>
              <w:rPr>
                <w:b/>
                <w:color w:val="000000"/>
                <w:szCs w:val="21"/>
                <w:highlight w:val="none"/>
              </w:rPr>
            </w:r>
            <w:r/>
          </w:p>
        </w:tc>
        <w:tc>
          <w:tcPr>
            <w:tcW w:w="8928" w:type="dxa"/>
            <w:vAlign w:val="center"/>
            <w:textDirection w:val="lrTb"/>
            <w:noWrap w:val="false"/>
          </w:tcPr>
          <w:p>
            <w:pPr>
              <w:pStyle w:val="1166"/>
              <w:spacing w:line="440" w:lineRule="exact"/>
              <w:shd w:val="clear" w:color="auto" w:fill="ffffff"/>
              <w:widowControl/>
              <w:rPr>
                <w:color w:val="000000"/>
                <w:szCs w:val="21"/>
                <w:highlight w:val="none"/>
              </w:rPr>
            </w:pPr>
            <w:r>
              <w:rPr>
                <w:color w:val="000000"/>
                <w:szCs w:val="21"/>
                <w:highlight w:val="none"/>
              </w:rPr>
              <w:t xml:space="preserve">采购方式：</w:t>
            </w:r>
            <w:r>
              <w:rPr>
                <w:b/>
                <w:bCs/>
                <w:color w:val="000000"/>
                <w:szCs w:val="21"/>
                <w:highlight w:val="none"/>
              </w:rPr>
              <w:t xml:space="preserve">公开招标</w:t>
            </w:r>
            <w:r>
              <w:rPr>
                <w:color w:val="000000"/>
                <w:szCs w:val="21"/>
                <w:highlight w:val="none"/>
              </w:rPr>
            </w:r>
            <w:r/>
          </w:p>
        </w:tc>
      </w:tr>
      <w:tr>
        <w:trPr>
          <w:trHeight w:val="240"/>
        </w:trPr>
        <w:tc>
          <w:tcPr>
            <w:tcW w:w="819" w:type="dxa"/>
            <w:vAlign w:val="center"/>
            <w:textDirection w:val="lrTb"/>
            <w:noWrap w:val="false"/>
          </w:tcPr>
          <w:p>
            <w:pPr>
              <w:pStyle w:val="1166"/>
              <w:jc w:val="center"/>
              <w:spacing w:line="440" w:lineRule="exact"/>
              <w:rPr>
                <w:b/>
                <w:color w:val="000000"/>
                <w:szCs w:val="21"/>
                <w:highlight w:val="none"/>
              </w:rPr>
            </w:pPr>
            <w:r>
              <w:rPr>
                <w:b/>
                <w:color w:val="000000"/>
                <w:szCs w:val="21"/>
                <w:highlight w:val="none"/>
              </w:rPr>
              <w:t xml:space="preserve">5</w:t>
            </w:r>
            <w:r>
              <w:rPr>
                <w:b/>
                <w:color w:val="000000"/>
                <w:szCs w:val="21"/>
                <w:highlight w:val="none"/>
              </w:rPr>
            </w:r>
            <w:r/>
          </w:p>
        </w:tc>
        <w:tc>
          <w:tcPr>
            <w:tcW w:w="8928" w:type="dxa"/>
            <w:vAlign w:val="center"/>
            <w:textDirection w:val="lrTb"/>
            <w:noWrap w:val="false"/>
          </w:tcPr>
          <w:p>
            <w:pPr>
              <w:pStyle w:val="1166"/>
              <w:spacing w:line="440" w:lineRule="exact"/>
              <w:shd w:val="clear" w:color="auto" w:fill="ffffff"/>
              <w:widowControl/>
              <w:rPr>
                <w:color w:val="000000"/>
                <w:szCs w:val="21"/>
                <w:highlight w:val="none"/>
              </w:rPr>
            </w:pPr>
            <w:r>
              <w:rPr>
                <w:b/>
                <w:bCs/>
                <w:color w:val="000000"/>
                <w:szCs w:val="21"/>
                <w:highlight w:val="none"/>
              </w:rPr>
              <w:t xml:space="preserve">投标有效期</w:t>
            </w:r>
            <w:r>
              <w:rPr>
                <w:color w:val="000000"/>
                <w:szCs w:val="21"/>
                <w:highlight w:val="none"/>
              </w:rPr>
              <w:t xml:space="preserve">：开标之日起90天 </w:t>
            </w:r>
            <w:r>
              <w:rPr>
                <w:color w:val="000000"/>
                <w:szCs w:val="21"/>
                <w:highlight w:val="none"/>
              </w:rPr>
            </w:r>
            <w:r/>
          </w:p>
        </w:tc>
      </w:tr>
      <w:tr>
        <w:trPr>
          <w:trHeight w:val="559"/>
        </w:trPr>
        <w:tc>
          <w:tcPr>
            <w:tcW w:w="819" w:type="dxa"/>
            <w:vAlign w:val="center"/>
            <w:textDirection w:val="lrTb"/>
            <w:noWrap w:val="false"/>
          </w:tcPr>
          <w:p>
            <w:pPr>
              <w:pStyle w:val="1166"/>
              <w:jc w:val="center"/>
              <w:spacing w:line="440" w:lineRule="exact"/>
              <w:rPr>
                <w:b/>
                <w:color w:val="000000"/>
                <w:szCs w:val="21"/>
                <w:highlight w:val="none"/>
              </w:rPr>
            </w:pPr>
            <w:r>
              <w:rPr>
                <w:b/>
                <w:color w:val="000000"/>
                <w:szCs w:val="21"/>
                <w:highlight w:val="none"/>
              </w:rPr>
              <w:t xml:space="preserve">6</w:t>
            </w:r>
            <w:r>
              <w:rPr>
                <w:b/>
                <w:color w:val="000000"/>
                <w:szCs w:val="21"/>
                <w:highlight w:val="none"/>
              </w:rPr>
            </w:r>
            <w:r/>
          </w:p>
        </w:tc>
        <w:tc>
          <w:tcPr>
            <w:tcW w:w="8928" w:type="dxa"/>
            <w:vAlign w:val="center"/>
            <w:textDirection w:val="lrTb"/>
            <w:noWrap w:val="false"/>
          </w:tcPr>
          <w:p>
            <w:pPr>
              <w:pStyle w:val="1166"/>
              <w:spacing w:line="440" w:lineRule="exact"/>
              <w:shd w:val="clear" w:color="auto" w:fill="ffffff"/>
              <w:widowControl/>
              <w:rPr>
                <w:b/>
                <w:color w:val="000000"/>
                <w:szCs w:val="21"/>
                <w:highlight w:val="none"/>
              </w:rPr>
            </w:pPr>
            <w:r>
              <w:rPr>
                <w:b/>
                <w:bCs/>
                <w:color w:val="000000"/>
                <w:szCs w:val="21"/>
                <w:highlight w:val="none"/>
              </w:rPr>
              <w:t xml:space="preserve">投标保证金：本次采购不收取</w:t>
            </w:r>
            <w:r>
              <w:rPr>
                <w:b/>
                <w:color w:val="000000"/>
                <w:szCs w:val="21"/>
                <w:highlight w:val="none"/>
              </w:rPr>
            </w:r>
            <w:r/>
          </w:p>
        </w:tc>
      </w:tr>
      <w:tr>
        <w:trPr>
          <w:trHeight w:val="559"/>
        </w:trPr>
        <w:tc>
          <w:tcPr>
            <w:tcW w:w="819" w:type="dxa"/>
            <w:vAlign w:val="center"/>
            <w:textDirection w:val="lrTb"/>
            <w:noWrap w:val="false"/>
          </w:tcPr>
          <w:p>
            <w:pPr>
              <w:pStyle w:val="1166"/>
              <w:jc w:val="center"/>
              <w:spacing w:line="440" w:lineRule="exact"/>
              <w:rPr>
                <w:b/>
                <w:color w:val="000000"/>
                <w:szCs w:val="21"/>
                <w:highlight w:val="none"/>
              </w:rPr>
            </w:pPr>
            <w:r>
              <w:rPr>
                <w:b/>
                <w:color w:val="000000"/>
                <w:szCs w:val="21"/>
                <w:highlight w:val="none"/>
              </w:rPr>
              <w:t xml:space="preserve">7</w:t>
            </w:r>
            <w:r>
              <w:rPr>
                <w:b/>
                <w:color w:val="000000"/>
                <w:szCs w:val="21"/>
                <w:highlight w:val="none"/>
              </w:rPr>
            </w:r>
            <w:r/>
          </w:p>
        </w:tc>
        <w:tc>
          <w:tcPr>
            <w:tcW w:w="8928" w:type="dxa"/>
            <w:vAlign w:val="center"/>
            <w:textDirection w:val="lrTb"/>
            <w:noWrap w:val="false"/>
          </w:tcPr>
          <w:p>
            <w:pPr>
              <w:pStyle w:val="1166"/>
              <w:jc w:val="left"/>
              <w:spacing w:line="360" w:lineRule="auto"/>
              <w:rPr>
                <w:color w:val="000000"/>
                <w:szCs w:val="21"/>
                <w:highlight w:val="none"/>
              </w:rPr>
            </w:pPr>
            <w:r>
              <w:rPr>
                <w:color w:val="000000"/>
                <w:szCs w:val="21"/>
                <w:highlight w:val="none"/>
              </w:rPr>
              <w:t xml:space="preserve">投标文件开始接收时间：</w:t>
            </w:r>
            <w:r>
              <w:rPr>
                <w:color w:val="000000"/>
                <w:szCs w:val="21"/>
                <w:highlight w:val="none"/>
              </w:rPr>
              <w:t xml:space="preserve">详见招标公告</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投标文件接收截止时间：</w:t>
            </w:r>
            <w:r>
              <w:rPr>
                <w:color w:val="000000"/>
                <w:szCs w:val="21"/>
                <w:highlight w:val="none"/>
              </w:rPr>
              <w:t xml:space="preserve">详见招标公告</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投标文件接收地点：</w:t>
            </w:r>
            <w:r>
              <w:rPr>
                <w:color w:val="000000"/>
                <w:szCs w:val="21"/>
                <w:highlight w:val="none"/>
              </w:rPr>
              <w:t xml:space="preserve">详见招标公告</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开标时间：同投标文件接收截止时间</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地点：同投标文件接收地点</w:t>
            </w:r>
            <w:r>
              <w:rPr>
                <w:color w:val="000000"/>
                <w:szCs w:val="21"/>
                <w:highlight w:val="none"/>
              </w:rPr>
            </w:r>
            <w:r/>
          </w:p>
        </w:tc>
      </w:tr>
      <w:tr>
        <w:trPr>
          <w:trHeight w:val="390"/>
        </w:trPr>
        <w:tc>
          <w:tcPr>
            <w:tcW w:w="819" w:type="dxa"/>
            <w:vAlign w:val="center"/>
            <w:textDirection w:val="lrTb"/>
            <w:noWrap w:val="false"/>
          </w:tcPr>
          <w:p>
            <w:pPr>
              <w:pStyle w:val="1166"/>
              <w:jc w:val="center"/>
              <w:spacing w:line="440" w:lineRule="exact"/>
              <w:rPr>
                <w:b/>
                <w:color w:val="000000"/>
                <w:szCs w:val="21"/>
                <w:highlight w:val="none"/>
              </w:rPr>
            </w:pPr>
            <w:r>
              <w:rPr>
                <w:b/>
                <w:color w:val="000000"/>
                <w:szCs w:val="21"/>
                <w:highlight w:val="none"/>
              </w:rPr>
              <w:t xml:space="preserve">8</w:t>
            </w:r>
            <w:r>
              <w:rPr>
                <w:b/>
                <w:color w:val="000000"/>
                <w:szCs w:val="21"/>
                <w:highlight w:val="none"/>
              </w:rPr>
            </w:r>
            <w:r/>
          </w:p>
        </w:tc>
        <w:tc>
          <w:tcPr>
            <w:tcW w:w="8928" w:type="dxa"/>
            <w:vAlign w:val="center"/>
            <w:textDirection w:val="lrTb"/>
            <w:noWrap w:val="false"/>
          </w:tcPr>
          <w:p>
            <w:pPr>
              <w:pStyle w:val="1166"/>
              <w:spacing w:line="440" w:lineRule="exact"/>
              <w:rPr>
                <w:b/>
                <w:bCs/>
                <w:color w:val="000000"/>
                <w:szCs w:val="21"/>
                <w:highlight w:val="none"/>
              </w:rPr>
            </w:pPr>
            <w:r>
              <w:rPr>
                <w:b/>
                <w:bCs/>
                <w:color w:val="000000"/>
                <w:szCs w:val="21"/>
                <w:highlight w:val="none"/>
              </w:rPr>
              <w:t xml:space="preserve">投标报价：</w:t>
            </w:r>
            <w:r>
              <w:rPr>
                <w:b/>
                <w:bCs/>
                <w:color w:val="000000"/>
                <w:szCs w:val="21"/>
                <w:highlight w:val="none"/>
              </w:rPr>
            </w:r>
            <w:r/>
          </w:p>
          <w:p>
            <w:pPr>
              <w:pStyle w:val="1166"/>
              <w:spacing w:line="460" w:lineRule="exact"/>
              <w:rPr>
                <w:color w:val="000000"/>
                <w:szCs w:val="21"/>
                <w:highlight w:val="none"/>
              </w:rPr>
            </w:pPr>
            <w:r>
              <w:rPr>
                <w:color w:val="000000"/>
                <w:highlight w:val="none"/>
              </w:rPr>
              <w:t xml:space="preserve">所有投标响应均以人民币报价。供应商的投标响应报价应遵守“中华人民共和国价格法”。该报价为到采购人现场的全部费用，含相关税费，运输费，保险费，安装费及相关服务费等一切可能发生的费用。</w:t>
            </w:r>
            <w:r>
              <w:rPr>
                <w:color w:val="000000"/>
                <w:szCs w:val="21"/>
                <w:highlight w:val="none"/>
              </w:rPr>
            </w:r>
            <w:r/>
          </w:p>
        </w:tc>
      </w:tr>
      <w:tr>
        <w:trPr>
          <w:trHeight w:val="1179"/>
        </w:trPr>
        <w:tc>
          <w:tcPr>
            <w:tcW w:w="819" w:type="dxa"/>
            <w:vAlign w:val="center"/>
            <w:textDirection w:val="lrTb"/>
            <w:noWrap w:val="false"/>
          </w:tcPr>
          <w:p>
            <w:pPr>
              <w:pStyle w:val="1166"/>
              <w:jc w:val="center"/>
              <w:spacing w:line="440" w:lineRule="exact"/>
              <w:rPr>
                <w:b/>
                <w:color w:val="000000"/>
                <w:szCs w:val="21"/>
                <w:highlight w:val="none"/>
              </w:rPr>
            </w:pPr>
            <w:r>
              <w:rPr>
                <w:b/>
                <w:color w:val="000000"/>
                <w:szCs w:val="21"/>
                <w:highlight w:val="none"/>
              </w:rPr>
              <w:t xml:space="preserve">9</w:t>
            </w:r>
            <w:r>
              <w:rPr>
                <w:b/>
                <w:color w:val="000000"/>
                <w:szCs w:val="21"/>
                <w:highlight w:val="none"/>
              </w:rPr>
            </w:r>
            <w:r/>
          </w:p>
        </w:tc>
        <w:tc>
          <w:tcPr>
            <w:tcW w:w="8928" w:type="dxa"/>
            <w:vAlign w:val="center"/>
            <w:textDirection w:val="lrTb"/>
            <w:noWrap w:val="false"/>
          </w:tcPr>
          <w:p>
            <w:pPr>
              <w:pStyle w:val="1208"/>
              <w:spacing w:before="0" w:beforeAutospacing="0" w:after="0" w:afterAutospacing="0" w:line="440" w:lineRule="exact"/>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现场勘查要求：</w:t>
            </w:r>
            <w:r>
              <w:rPr>
                <w:rFonts w:ascii="Times New Roman" w:hAnsi="Times New Roman" w:eastAsia="宋体"/>
                <w:b/>
                <w:bCs/>
                <w:color w:val="000000"/>
                <w:sz w:val="21"/>
                <w:szCs w:val="21"/>
                <w:highlight w:val="none"/>
              </w:rPr>
            </w:r>
            <w:r/>
          </w:p>
          <w:p>
            <w:pPr>
              <w:pStyle w:val="1166"/>
              <w:ind w:firstLine="15"/>
              <w:spacing w:line="360" w:lineRule="auto"/>
              <w:rPr>
                <w:color w:val="000000"/>
                <w:highlight w:val="none"/>
              </w:rPr>
            </w:pPr>
            <w:r>
              <w:rPr>
                <w:b/>
                <w:bCs/>
                <w:color w:val="000000"/>
                <w:szCs w:val="21"/>
                <w:highlight w:val="none"/>
              </w:rPr>
              <w:t xml:space="preserve">本项目不组织。</w:t>
            </w:r>
            <w:r>
              <w:rPr>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w:t>
            </w:r>
            <w:r>
              <w:rPr>
                <w:color w:val="000000"/>
                <w:highlight w:val="none"/>
              </w:rPr>
            </w:r>
            <w:r/>
          </w:p>
        </w:tc>
      </w:tr>
      <w:tr>
        <w:trPr>
          <w:trHeight w:val="564"/>
        </w:trPr>
        <w:tc>
          <w:tcPr>
            <w:tcW w:w="819" w:type="dxa"/>
            <w:vAlign w:val="center"/>
            <w:textDirection w:val="lrTb"/>
            <w:noWrap w:val="false"/>
          </w:tcPr>
          <w:p>
            <w:pPr>
              <w:pStyle w:val="1166"/>
              <w:jc w:val="center"/>
              <w:spacing w:line="440" w:lineRule="exact"/>
              <w:shd w:val="clear" w:color="auto" w:fill="ffffff"/>
              <w:widowControl/>
              <w:rPr>
                <w:color w:val="000000"/>
                <w:szCs w:val="21"/>
                <w:highlight w:val="none"/>
              </w:rPr>
            </w:pPr>
            <w:r>
              <w:rPr>
                <w:color w:val="000000"/>
                <w:szCs w:val="21"/>
                <w:highlight w:val="none"/>
              </w:rPr>
              <w:t xml:space="preserve">10</w:t>
            </w:r>
            <w:r>
              <w:rPr>
                <w:color w:val="000000"/>
                <w:szCs w:val="21"/>
                <w:highlight w:val="none"/>
              </w:rPr>
            </w:r>
            <w:r/>
          </w:p>
        </w:tc>
        <w:tc>
          <w:tcPr>
            <w:tcW w:w="8928" w:type="dxa"/>
            <w:vAlign w:val="center"/>
            <w:textDirection w:val="lrTb"/>
            <w:noWrap w:val="false"/>
          </w:tcPr>
          <w:p>
            <w:pPr>
              <w:pStyle w:val="1166"/>
              <w:spacing w:line="440" w:lineRule="exact"/>
              <w:shd w:val="clear" w:color="auto" w:fill="ffffff"/>
              <w:widowControl/>
              <w:rPr>
                <w:b/>
                <w:bCs/>
                <w:color w:val="000000"/>
                <w:szCs w:val="21"/>
                <w:highlight w:val="none"/>
              </w:rPr>
            </w:pPr>
            <w:r>
              <w:rPr>
                <w:b/>
                <w:bCs/>
                <w:color w:val="000000"/>
                <w:szCs w:val="21"/>
                <w:highlight w:val="none"/>
              </w:rPr>
              <w:t xml:space="preserve">信用信息：</w:t>
            </w:r>
            <w:r>
              <w:rPr>
                <w:b/>
                <w:bCs/>
                <w:color w:val="000000"/>
                <w:szCs w:val="21"/>
                <w:highlight w:val="none"/>
              </w:rPr>
            </w:r>
            <w:r/>
          </w:p>
          <w:p>
            <w:pPr>
              <w:pStyle w:val="1166"/>
              <w:spacing w:line="440" w:lineRule="exact"/>
              <w:shd w:val="clear" w:color="auto" w:fill="ffffff"/>
              <w:widowControl/>
              <w:rPr>
                <w:color w:val="000000"/>
                <w:szCs w:val="21"/>
                <w:highlight w:val="none"/>
              </w:rPr>
            </w:pPr>
            <w:r>
              <w:rPr>
                <w:color w:val="000000"/>
                <w:szCs w:val="21"/>
                <w:highlight w:val="none"/>
              </w:rPr>
              <w:t xml:space="preserve">1）信用信息查询渠道：</w:t>
            </w:r>
            <w:r>
              <w:rPr>
                <w:color w:val="000000"/>
                <w:highlight w:val="none"/>
              </w:rPr>
              <w:t xml:space="preserve">“信用中国”网站(www.creditchina.gov.cn)、中国政府采购网(www.ccgp.gov.cn)等</w:t>
            </w:r>
            <w:r>
              <w:rPr>
                <w:color w:val="000000"/>
                <w:szCs w:val="21"/>
                <w:highlight w:val="none"/>
              </w:rPr>
              <w:t xml:space="preserve">。</w:t>
            </w:r>
            <w:r>
              <w:rPr>
                <w:color w:val="000000"/>
                <w:szCs w:val="21"/>
                <w:highlight w:val="none"/>
              </w:rPr>
            </w:r>
            <w:r/>
          </w:p>
          <w:p>
            <w:pPr>
              <w:pStyle w:val="1166"/>
              <w:spacing w:line="440" w:lineRule="exact"/>
              <w:shd w:val="clear" w:color="auto" w:fill="ffffff"/>
              <w:widowControl/>
              <w:rPr>
                <w:color w:val="000000"/>
                <w:szCs w:val="21"/>
                <w:highlight w:val="none"/>
              </w:rPr>
            </w:pPr>
            <w:r>
              <w:rPr>
                <w:color w:val="000000"/>
                <w:szCs w:val="21"/>
                <w:highlight w:val="none"/>
              </w:rPr>
              <w:t xml:space="preserve">2）信用信息查询截止时点：</w:t>
            </w:r>
            <w:r>
              <w:rPr>
                <w:b/>
                <w:bCs/>
                <w:color w:val="000000"/>
                <w:highlight w:val="none"/>
              </w:rPr>
              <w:t xml:space="preserve">递交投标文件截止之日24时前</w:t>
            </w:r>
            <w:r>
              <w:rPr>
                <w:color w:val="000000"/>
                <w:szCs w:val="21"/>
                <w:highlight w:val="none"/>
              </w:rPr>
              <w:t xml:space="preserve">。</w:t>
            </w:r>
            <w:r>
              <w:rPr>
                <w:color w:val="000000"/>
                <w:szCs w:val="21"/>
                <w:highlight w:val="none"/>
              </w:rPr>
            </w:r>
            <w:r/>
          </w:p>
          <w:p>
            <w:pPr>
              <w:pStyle w:val="1166"/>
              <w:spacing w:line="440" w:lineRule="exact"/>
              <w:shd w:val="clear" w:color="auto" w:fill="ffffff"/>
              <w:widowControl/>
              <w:rPr>
                <w:color w:val="000000"/>
                <w:szCs w:val="21"/>
                <w:highlight w:val="none"/>
              </w:rPr>
            </w:pPr>
            <w:r>
              <w:rPr>
                <w:color w:val="000000"/>
                <w:szCs w:val="21"/>
                <w:highlight w:val="none"/>
              </w:rPr>
              <w:t xml:space="preserve">3）信用信息查询记录和证据留存的具体方式：信用信息查询记录将以网站截图打印稿形式与其他采购文件一并保存。</w:t>
            </w:r>
            <w:r>
              <w:rPr>
                <w:color w:val="000000"/>
                <w:szCs w:val="21"/>
                <w:highlight w:val="none"/>
              </w:rPr>
            </w:r>
            <w:r/>
          </w:p>
          <w:p>
            <w:pPr>
              <w:pStyle w:val="1166"/>
              <w:spacing w:line="440" w:lineRule="exact"/>
              <w:shd w:val="clear" w:color="auto" w:fill="ffffff"/>
              <w:widowControl/>
              <w:rPr>
                <w:color w:val="000000"/>
                <w:szCs w:val="21"/>
                <w:highlight w:val="none"/>
              </w:rPr>
            </w:pPr>
            <w:r>
              <w:rPr>
                <w:color w:val="000000"/>
                <w:szCs w:val="21"/>
                <w:highlight w:val="none"/>
              </w:rPr>
              <w:t xml:space="preserve">4）信用信息的使用规则：</w:t>
            </w:r>
            <w:r>
              <w:rPr>
                <w:color w:val="000000"/>
                <w:highlight w:val="none"/>
              </w:rPr>
              <w:t xml:space="preserve">拒绝列入失信被执行人、重大税收违法案件当事人名单、政府采购严重违法失信行为记录名单的供应商参与政府采购活动</w:t>
            </w:r>
            <w:r>
              <w:rPr>
                <w:color w:val="000000"/>
                <w:szCs w:val="21"/>
                <w:highlight w:val="none"/>
              </w:rPr>
              <w:t xml:space="preserve">。</w:t>
            </w:r>
            <w:r>
              <w:rPr>
                <w:color w:val="000000"/>
                <w:highlight w:val="none"/>
              </w:rPr>
              <w:t xml:space="preserve">联合体成员存在不良信用记录的，视同联合体存在不良信用记录。</w:t>
            </w:r>
            <w:r>
              <w:rPr>
                <w:color w:val="000000"/>
                <w:szCs w:val="21"/>
                <w:highlight w:val="none"/>
              </w:rPr>
            </w:r>
            <w:r/>
          </w:p>
        </w:tc>
      </w:tr>
      <w:tr>
        <w:trPr>
          <w:trHeight w:val="564"/>
        </w:trPr>
        <w:tc>
          <w:tcPr>
            <w:tcW w:w="819" w:type="dxa"/>
            <w:vAlign w:val="center"/>
            <w:textDirection w:val="lrTb"/>
            <w:noWrap w:val="false"/>
          </w:tcPr>
          <w:p>
            <w:pPr>
              <w:pStyle w:val="1166"/>
              <w:jc w:val="center"/>
              <w:spacing w:line="440" w:lineRule="exact"/>
              <w:shd w:val="clear" w:color="auto" w:fill="ffffff"/>
              <w:widowControl/>
              <w:rPr>
                <w:color w:val="000000"/>
                <w:szCs w:val="21"/>
                <w:highlight w:val="none"/>
              </w:rPr>
            </w:pPr>
            <w:r>
              <w:rPr>
                <w:color w:val="000000"/>
                <w:szCs w:val="21"/>
                <w:highlight w:val="none"/>
              </w:rPr>
              <w:t xml:space="preserve">11</w:t>
            </w:r>
            <w:r>
              <w:rPr>
                <w:color w:val="000000"/>
                <w:szCs w:val="21"/>
                <w:highlight w:val="none"/>
              </w:rPr>
            </w:r>
            <w:r/>
          </w:p>
        </w:tc>
        <w:tc>
          <w:tcPr>
            <w:tcW w:w="8928" w:type="dxa"/>
            <w:vAlign w:val="center"/>
            <w:textDirection w:val="lrTb"/>
            <w:noWrap w:val="false"/>
          </w:tcPr>
          <w:p>
            <w:pPr>
              <w:pStyle w:val="1166"/>
              <w:jc w:val="left"/>
              <w:spacing w:line="440" w:lineRule="exact"/>
              <w:rPr>
                <w:b/>
                <w:bCs/>
                <w:color w:val="000000"/>
                <w:highlight w:val="none"/>
              </w:rPr>
            </w:pPr>
            <w:r>
              <w:rPr>
                <w:b/>
                <w:bCs/>
                <w:color w:val="000000"/>
                <w:highlight w:val="none"/>
              </w:rPr>
              <w:t xml:space="preserve">核心产品：</w:t>
            </w:r>
            <w:r>
              <w:rPr>
                <w:b/>
                <w:bCs/>
                <w:color w:val="000000"/>
                <w:highlight w:val="none"/>
              </w:rPr>
            </w:r>
            <w:r/>
          </w:p>
          <w:p>
            <w:pPr>
              <w:pStyle w:val="1166"/>
              <w:jc w:val="left"/>
              <w:spacing w:line="440" w:lineRule="exact"/>
              <w:rPr>
                <w:b/>
                <w:bCs/>
                <w:color w:val="000000"/>
                <w:highlight w:val="none"/>
              </w:rPr>
            </w:pPr>
            <w:r>
              <w:rPr>
                <w:b/>
                <w:bCs/>
                <w:color w:val="000000"/>
                <w:highlight w:val="none"/>
              </w:rPr>
              <w:t xml:space="preserve">本项目为单一产品采购项目，故不设置核心产品。</w:t>
            </w:r>
            <w:r>
              <w:rPr>
                <w:b/>
                <w:bCs/>
                <w:color w:val="000000"/>
                <w:highlight w:val="none"/>
              </w:rPr>
            </w:r>
            <w:r/>
          </w:p>
          <w:p>
            <w:pPr>
              <w:pStyle w:val="1166"/>
              <w:spacing w:line="440" w:lineRule="exact"/>
              <w:shd w:val="clear" w:color="auto" w:fill="ffffff"/>
              <w:widowControl/>
              <w:rPr>
                <w:color w:val="000000"/>
                <w:szCs w:val="21"/>
                <w:highlight w:val="none"/>
              </w:rPr>
            </w:pPr>
            <w:r>
              <w:rPr>
                <w:color w:val="000000"/>
                <w:highlight w:val="none"/>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bCs/>
                <w:color w:val="000000"/>
                <w:highlight w:val="none"/>
              </w:rPr>
              <w:t xml:space="preserve">取技术分最高者；均相同时，由</w:t>
            </w:r>
            <w:r>
              <w:rPr>
                <w:color w:val="000000"/>
                <w:highlight w:val="none"/>
              </w:rPr>
              <w:t xml:space="preserve">评标委员会</w:t>
            </w:r>
            <w:r>
              <w:rPr>
                <w:bCs/>
                <w:color w:val="000000"/>
                <w:highlight w:val="none"/>
              </w:rPr>
              <w:t xml:space="preserve">集体决定</w:t>
            </w:r>
            <w:r>
              <w:rPr>
                <w:color w:val="000000"/>
                <w:highlight w:val="none"/>
              </w:rPr>
              <w:t xml:space="preserve">一个供应商获得中标供应商推荐资格，或采取随机抽取方式确定，其他同品牌供应商不作为中标候选人。</w:t>
            </w:r>
            <w:r>
              <w:rPr>
                <w:color w:val="000000"/>
                <w:szCs w:val="21"/>
                <w:highlight w:val="none"/>
              </w:rPr>
            </w:r>
            <w:r/>
          </w:p>
        </w:tc>
      </w:tr>
      <w:tr>
        <w:trPr>
          <w:trHeight w:val="564"/>
        </w:trPr>
        <w:tc>
          <w:tcPr>
            <w:tcW w:w="819" w:type="dxa"/>
            <w:vAlign w:val="center"/>
            <w:textDirection w:val="lrTb"/>
            <w:noWrap w:val="false"/>
          </w:tcPr>
          <w:p>
            <w:pPr>
              <w:pStyle w:val="1166"/>
              <w:jc w:val="center"/>
              <w:spacing w:line="440" w:lineRule="exact"/>
              <w:shd w:val="clear" w:color="auto" w:fill="ffffff"/>
              <w:widowControl/>
              <w:rPr>
                <w:color w:val="000000"/>
                <w:szCs w:val="21"/>
                <w:highlight w:val="none"/>
              </w:rPr>
            </w:pPr>
            <w:r>
              <w:rPr>
                <w:color w:val="000000"/>
                <w:szCs w:val="21"/>
                <w:highlight w:val="none"/>
              </w:rPr>
              <w:t xml:space="preserve">12</w:t>
            </w:r>
            <w:r>
              <w:rPr>
                <w:color w:val="000000"/>
                <w:szCs w:val="21"/>
                <w:highlight w:val="none"/>
              </w:rPr>
            </w:r>
            <w:r/>
          </w:p>
        </w:tc>
        <w:tc>
          <w:tcPr>
            <w:tcW w:w="8928" w:type="dxa"/>
            <w:vAlign w:val="center"/>
            <w:textDirection w:val="lrTb"/>
            <w:noWrap w:val="false"/>
          </w:tcPr>
          <w:p>
            <w:pPr>
              <w:pStyle w:val="1166"/>
              <w:spacing w:line="440" w:lineRule="exact"/>
              <w:shd w:val="clear" w:color="auto" w:fill="ffffff"/>
              <w:widowControl/>
              <w:rPr>
                <w:color w:val="000000"/>
                <w:szCs w:val="21"/>
                <w:highlight w:val="none"/>
              </w:rPr>
            </w:pPr>
            <w:r>
              <w:rPr>
                <w:b/>
                <w:bCs/>
                <w:color w:val="000000"/>
                <w:szCs w:val="21"/>
                <w:highlight w:val="none"/>
              </w:rPr>
              <w:t xml:space="preserve">采购标的对应中小企业划分标准所属行业：工业（制造业）</w:t>
            </w:r>
            <w:r>
              <w:rPr>
                <w:color w:val="000000"/>
                <w:szCs w:val="21"/>
                <w:highlight w:val="none"/>
              </w:rPr>
            </w:r>
            <w:r/>
          </w:p>
        </w:tc>
      </w:tr>
      <w:tr>
        <w:trPr>
          <w:trHeight w:val="564"/>
        </w:trPr>
        <w:tc>
          <w:tcPr>
            <w:tcW w:w="819" w:type="dxa"/>
            <w:vAlign w:val="center"/>
            <w:textDirection w:val="lrTb"/>
            <w:noWrap w:val="false"/>
          </w:tcPr>
          <w:p>
            <w:pPr>
              <w:pStyle w:val="1166"/>
              <w:jc w:val="center"/>
              <w:spacing w:line="360" w:lineRule="auto"/>
              <w:shd w:val="clear" w:color="auto" w:fill="ffffff"/>
              <w:widowControl/>
              <w:rPr>
                <w:color w:val="000000"/>
                <w:szCs w:val="21"/>
                <w:highlight w:val="none"/>
              </w:rPr>
            </w:pPr>
            <w:r>
              <w:rPr>
                <w:color w:val="000000"/>
                <w:szCs w:val="21"/>
                <w:highlight w:val="none"/>
              </w:rPr>
              <w:t xml:space="preserve">13</w:t>
            </w:r>
            <w:r>
              <w:rPr>
                <w:color w:val="000000"/>
                <w:szCs w:val="21"/>
                <w:highlight w:val="none"/>
              </w:rPr>
            </w:r>
            <w:r/>
          </w:p>
        </w:tc>
        <w:tc>
          <w:tcPr>
            <w:tcW w:w="8928" w:type="dxa"/>
            <w:vAlign w:val="center"/>
            <w:textDirection w:val="lrTb"/>
            <w:noWrap w:val="false"/>
          </w:tcPr>
          <w:p>
            <w:pPr>
              <w:pStyle w:val="1166"/>
              <w:jc w:val="left"/>
              <w:spacing w:line="360" w:lineRule="auto"/>
              <w:rPr>
                <w:color w:val="000000"/>
                <w:szCs w:val="21"/>
                <w:highlight w:val="none"/>
              </w:rPr>
            </w:pPr>
            <w:r>
              <w:rPr>
                <w:color w:val="000000"/>
                <w:szCs w:val="21"/>
                <w:highlight w:val="none"/>
              </w:rPr>
              <w:t xml:space="preserve">招标代理服务费：</w:t>
            </w:r>
            <w:r>
              <w:rPr>
                <w:color w:val="000000"/>
                <w:szCs w:val="21"/>
                <w:highlight w:val="none"/>
              </w:rPr>
              <w:br w:type="textWrapping" w:clear="all"/>
            </w:r>
            <w:r>
              <w:rPr>
                <w:rFonts w:hint="eastAsia"/>
                <w:color w:val="000000"/>
                <w:szCs w:val="21"/>
                <w:highlight w:val="none"/>
              </w:rPr>
              <w:t xml:space="preserve">采购人</w:t>
            </w:r>
            <w:r>
              <w:rPr>
                <w:color w:val="000000"/>
                <w:szCs w:val="21"/>
                <w:highlight w:val="none"/>
              </w:rPr>
              <w:t xml:space="preserve">按照《国家计委关于印发&lt;招标代理服务收费管理暂行办法&gt;的通知》（计价格[2002] 1980号）文件规定的标准费率× 70 %</w:t>
            </w:r>
            <w:r>
              <w:rPr>
                <w:rFonts w:hint="eastAsia"/>
                <w:color w:val="000000"/>
                <w:highlight w:val="none"/>
              </w:rPr>
              <w:t xml:space="preserve">向招标代理支付代理服务费</w:t>
            </w:r>
            <w:r>
              <w:rPr>
                <w:color w:val="000000"/>
                <w:szCs w:val="21"/>
                <w:highlight w:val="none"/>
              </w:rPr>
              <w:t xml:space="preserve">，单个项目保底代理费为人民币贰仟</w:t>
            </w:r>
            <w:r>
              <w:rPr>
                <w:rFonts w:hint="eastAsia"/>
                <w:color w:val="000000"/>
                <w:szCs w:val="21"/>
                <w:highlight w:val="none"/>
              </w:rPr>
              <w:t xml:space="preserve">伍</w:t>
            </w:r>
            <w:r>
              <w:rPr>
                <w:color w:val="000000"/>
                <w:szCs w:val="21"/>
                <w:highlight w:val="none"/>
              </w:rPr>
              <w:t xml:space="preserve">佰元（¥2500.00），招标代理服务费一次付清</w:t>
            </w:r>
            <w:r>
              <w:rPr>
                <w:bCs/>
                <w:color w:val="000000"/>
                <w:highlight w:val="none"/>
              </w:rPr>
              <w:t xml:space="preserve">。</w:t>
            </w:r>
            <w:r>
              <w:rPr>
                <w:color w:val="000000"/>
                <w:szCs w:val="21"/>
                <w:highlight w:val="none"/>
              </w:rPr>
              <w:br w:type="textWrapping" w:clear="all"/>
            </w:r>
            <w:r>
              <w:rPr>
                <w:color w:val="000000"/>
                <w:szCs w:val="21"/>
                <w:highlight w:val="none"/>
              </w:rPr>
              <w:t xml:space="preserve">收款信息：</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户名：江苏苏美达仪器设备有限公司</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开户银行：农行南京广州路支行</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账户：10100301040003106</w:t>
            </w:r>
            <w:r>
              <w:rPr>
                <w:color w:val="000000"/>
                <w:szCs w:val="21"/>
                <w:highlight w:val="none"/>
              </w:rPr>
            </w:r>
            <w:r/>
          </w:p>
        </w:tc>
      </w:tr>
      <w:tr>
        <w:trPr>
          <w:trHeight w:val="564"/>
        </w:trPr>
        <w:tc>
          <w:tcPr>
            <w:tcW w:w="819" w:type="dxa"/>
            <w:vAlign w:val="center"/>
            <w:textDirection w:val="lrTb"/>
            <w:noWrap w:val="false"/>
          </w:tcPr>
          <w:p>
            <w:pPr>
              <w:pStyle w:val="1166"/>
              <w:jc w:val="center"/>
              <w:keepLines/>
              <w:spacing w:line="440" w:lineRule="exact"/>
              <w:shd w:val="clear" w:color="auto" w:fill="ffffff"/>
              <w:rPr>
                <w:color w:val="000000"/>
                <w:szCs w:val="21"/>
                <w:highlight w:val="none"/>
              </w:rPr>
            </w:pPr>
            <w:r>
              <w:rPr>
                <w:color w:val="000000"/>
                <w:szCs w:val="21"/>
                <w:highlight w:val="none"/>
              </w:rPr>
              <w:t xml:space="preserve">14</w:t>
            </w:r>
            <w:r>
              <w:rPr>
                <w:color w:val="000000"/>
                <w:szCs w:val="21"/>
                <w:highlight w:val="none"/>
              </w:rPr>
            </w:r>
            <w:r/>
          </w:p>
        </w:tc>
        <w:tc>
          <w:tcPr>
            <w:tcW w:w="8928" w:type="dxa"/>
            <w:vAlign w:val="center"/>
            <w:textDirection w:val="lrTb"/>
            <w:noWrap w:val="false"/>
          </w:tcPr>
          <w:p>
            <w:pPr>
              <w:pStyle w:val="1166"/>
              <w:keepLines/>
              <w:spacing w:line="440" w:lineRule="exact"/>
              <w:rPr>
                <w:bCs/>
                <w:color w:val="000000"/>
                <w:szCs w:val="21"/>
                <w:highlight w:val="none"/>
              </w:rPr>
            </w:pPr>
            <w:r>
              <w:rPr>
                <w:bCs/>
                <w:color w:val="000000"/>
                <w:szCs w:val="21"/>
                <w:highlight w:val="none"/>
              </w:rPr>
              <w:t xml:space="preserve">1、供应商对政府采购活动事项有疑问的，可以提出询问，</w:t>
            </w:r>
            <w:r>
              <w:rPr>
                <w:b/>
                <w:color w:val="000000"/>
                <w:szCs w:val="21"/>
                <w:highlight w:val="none"/>
              </w:rPr>
              <w:t xml:space="preserve">联系方式详见第一章技术咨询联系人</w:t>
            </w:r>
            <w:r>
              <w:rPr>
                <w:bCs/>
                <w:color w:val="000000"/>
                <w:szCs w:val="21"/>
                <w:highlight w:val="none"/>
              </w:rPr>
              <w:t xml:space="preserve">。</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2、供应商认为采购文件、采购过程、中标或者成交结果使自己的权益受到损害的，可以在知道或者应知权益受到损害之日起7个工作日内，提出质疑。</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（1）接收质疑函的方式：供应商应在法定质疑期内将质疑函以</w:t>
            </w:r>
            <w:r>
              <w:rPr>
                <w:b/>
                <w:color w:val="000000"/>
                <w:szCs w:val="21"/>
                <w:highlight w:val="none"/>
              </w:rPr>
              <w:t xml:space="preserve">书面形式（原件）</w:t>
            </w:r>
            <w:r>
              <w:rPr>
                <w:bCs/>
                <w:color w:val="000000"/>
                <w:szCs w:val="21"/>
                <w:highlight w:val="none"/>
              </w:rPr>
              <w:t xml:space="preserve">送达代理机构，</w:t>
            </w:r>
            <w:r>
              <w:rPr>
                <w:b/>
                <w:color w:val="000000"/>
                <w:szCs w:val="21"/>
                <w:highlight w:val="none"/>
              </w:rPr>
              <w:t xml:space="preserve">针对本项目同一采购程序环节</w:t>
            </w:r>
            <w:r>
              <w:rPr>
                <w:bCs/>
                <w:color w:val="000000"/>
                <w:szCs w:val="21"/>
                <w:highlight w:val="none"/>
              </w:rPr>
              <w:t xml:space="preserve">的质疑应</w:t>
            </w:r>
            <w:r>
              <w:rPr>
                <w:b/>
                <w:color w:val="000000"/>
                <w:szCs w:val="21"/>
                <w:highlight w:val="none"/>
              </w:rPr>
              <w:t xml:space="preserve">一次性提出</w:t>
            </w:r>
            <w:r>
              <w:rPr>
                <w:bCs/>
                <w:color w:val="000000"/>
                <w:szCs w:val="21"/>
                <w:highlight w:val="none"/>
              </w:rPr>
              <w:t xml:space="preserve">。</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①供应商的姓名或者名称、地址、邮编、联系人及联系电话；</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②质疑项目的名称、编号；</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③具体、明确的质疑事项和与质疑事项相关的请求；</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④事实依据；</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⑤必要的法律依据；</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⑥提出质疑的日期；</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（3）质疑供应商若对项目的某一分包进行质疑，质疑函中应列明具体分包号。</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1166"/>
              <w:keepLines/>
              <w:spacing w:line="440" w:lineRule="exact"/>
              <w:rPr>
                <w:bCs/>
                <w:color w:val="000000"/>
                <w:szCs w:val="21"/>
                <w:highlight w:val="none"/>
              </w:rPr>
            </w:pPr>
            <w:r>
              <w:rPr>
                <w:bCs/>
                <w:color w:val="000000"/>
                <w:szCs w:val="21"/>
                <w:highlight w:val="none"/>
              </w:rPr>
              <w:t xml:space="preserve">（7）本项目质疑函的联系部门、联系电话和通讯地址如下：</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联系部门：江苏苏美达仪器设备有限公司招标中心 黄经理</w:t>
            </w:r>
            <w:r>
              <w:rPr>
                <w:bCs/>
                <w:color w:val="000000"/>
                <w:szCs w:val="21"/>
                <w:highlight w:val="none"/>
              </w:rPr>
            </w:r>
            <w:r/>
          </w:p>
          <w:p>
            <w:pPr>
              <w:pStyle w:val="1166"/>
              <w:ind w:firstLine="210"/>
              <w:keepLines/>
              <w:spacing w:line="440" w:lineRule="exact"/>
              <w:rPr>
                <w:bCs/>
                <w:color w:val="000000"/>
                <w:szCs w:val="21"/>
                <w:highlight w:val="none"/>
              </w:rPr>
            </w:pPr>
            <w:r>
              <w:rPr>
                <w:bCs/>
                <w:color w:val="000000"/>
                <w:szCs w:val="21"/>
                <w:highlight w:val="none"/>
              </w:rPr>
              <w:t xml:space="preserve">联系电话：025-84531274</w:t>
            </w:r>
            <w:r>
              <w:rPr>
                <w:bCs/>
                <w:color w:val="000000"/>
                <w:szCs w:val="21"/>
                <w:highlight w:val="none"/>
              </w:rPr>
            </w:r>
            <w:r/>
          </w:p>
          <w:p>
            <w:pPr>
              <w:pStyle w:val="1166"/>
              <w:ind w:firstLine="210"/>
              <w:keepLines/>
              <w:spacing w:line="440" w:lineRule="exact"/>
              <w:rPr>
                <w:color w:val="000000"/>
                <w:szCs w:val="21"/>
                <w:highlight w:val="none"/>
              </w:rPr>
            </w:pPr>
            <w:r>
              <w:rPr>
                <w:bCs/>
                <w:color w:val="000000"/>
                <w:szCs w:val="21"/>
                <w:highlight w:val="none"/>
              </w:rPr>
              <w:t xml:space="preserve">通讯地址：</w:t>
            </w:r>
            <w:r>
              <w:rPr>
                <w:color w:val="000000"/>
                <w:szCs w:val="21"/>
                <w:highlight w:val="none"/>
              </w:rPr>
              <w:t xml:space="preserve">江苏省南京市长江路198号苏美达大厦14F</w:t>
            </w:r>
            <w:r>
              <w:rPr>
                <w:color w:val="000000"/>
                <w:szCs w:val="21"/>
                <w:highlight w:val="none"/>
              </w:rPr>
            </w:r>
            <w:r/>
          </w:p>
        </w:tc>
      </w:tr>
      <w:tr>
        <w:trPr>
          <w:trHeight w:val="1174"/>
        </w:trPr>
        <w:tc>
          <w:tcPr>
            <w:tcW w:w="819" w:type="dxa"/>
            <w:vAlign w:val="center"/>
            <w:textDirection w:val="lrTb"/>
            <w:noWrap w:val="false"/>
          </w:tcPr>
          <w:p>
            <w:pPr>
              <w:pStyle w:val="1166"/>
              <w:jc w:val="center"/>
              <w:spacing w:line="440" w:lineRule="exact"/>
              <w:shd w:val="clear" w:color="auto" w:fill="ffffff"/>
              <w:widowControl/>
              <w:rPr>
                <w:color w:val="000000"/>
                <w:szCs w:val="21"/>
                <w:highlight w:val="none"/>
              </w:rPr>
            </w:pPr>
            <w:r>
              <w:rPr>
                <w:color w:val="000000"/>
                <w:szCs w:val="21"/>
                <w:highlight w:val="none"/>
              </w:rPr>
              <w:t xml:space="preserve">15</w:t>
            </w:r>
            <w:r>
              <w:rPr>
                <w:color w:val="000000"/>
                <w:szCs w:val="21"/>
                <w:highlight w:val="none"/>
              </w:rPr>
            </w:r>
            <w:r/>
          </w:p>
        </w:tc>
        <w:tc>
          <w:tcPr>
            <w:tcW w:w="8928" w:type="dxa"/>
            <w:vAlign w:val="center"/>
            <w:textDirection w:val="lrTb"/>
            <w:noWrap w:val="false"/>
          </w:tcPr>
          <w:p>
            <w:pPr>
              <w:pStyle w:val="1166"/>
              <w:spacing w:line="440" w:lineRule="exact"/>
              <w:shd w:val="clear" w:color="auto" w:fill="ffffff"/>
              <w:widowControl/>
              <w:rPr>
                <w:color w:val="000000"/>
                <w:szCs w:val="21"/>
                <w:highlight w:val="none"/>
              </w:rPr>
            </w:pPr>
            <w:r>
              <w:rPr>
                <w:b/>
                <w:bCs/>
                <w:color w:val="000000"/>
                <w:szCs w:val="21"/>
                <w:highlight w:val="none"/>
              </w:rPr>
              <w:t xml:space="preserve">投标报价中的投标价不得超过招标公告、招标文件规定的预算价，超过规定的预算价的投标文件，按无效投标处理。 </w:t>
            </w:r>
            <w:r>
              <w:rPr>
                <w:color w:val="000000"/>
                <w:szCs w:val="21"/>
                <w:highlight w:val="none"/>
              </w:rPr>
            </w:r>
            <w:r/>
          </w:p>
        </w:tc>
      </w:tr>
    </w:tbl>
    <w:p>
      <w:pPr>
        <w:pStyle w:val="1166"/>
        <w:spacing w:line="440" w:lineRule="exact"/>
        <w:shd w:val="clear" w:color="auto" w:fill="ffffff"/>
        <w:widowControl/>
        <w:rPr>
          <w:color w:val="000000"/>
          <w:sz w:val="24"/>
          <w:highlight w:val="none"/>
        </w:rPr>
        <w:outlineLvl w:val="1"/>
      </w:pPr>
      <w:r/>
      <w:bookmarkStart w:id="51" w:name="_Toc4696386"/>
      <w:r/>
      <w:bookmarkStart w:id="52" w:name="_Toc19726"/>
      <w:r>
        <w:rPr>
          <w:b/>
          <w:bCs/>
          <w:color w:val="000000"/>
          <w:sz w:val="24"/>
          <w:highlight w:val="none"/>
        </w:rPr>
        <w:t xml:space="preserve"> </w:t>
      </w:r>
      <w:bookmarkStart w:id="53" w:name="_Toc4418"/>
      <w:r>
        <w:rPr>
          <w:b/>
          <w:bCs/>
          <w:color w:val="000000"/>
          <w:sz w:val="24"/>
          <w:highlight w:val="none"/>
        </w:rPr>
        <w:t xml:space="preserve">一、总 则</w:t>
      </w:r>
      <w:bookmarkEnd w:id="51"/>
      <w:r/>
      <w:bookmarkEnd w:id="52"/>
      <w:r/>
      <w:bookmarkEnd w:id="53"/>
      <w:r>
        <w:rPr>
          <w:color w:val="000000"/>
          <w:sz w:val="24"/>
          <w:highlight w:val="none"/>
        </w:rPr>
      </w:r>
      <w:r/>
    </w:p>
    <w:p>
      <w:pPr>
        <w:pStyle w:val="1166"/>
        <w:ind w:firstLine="420"/>
        <w:spacing w:line="360" w:lineRule="auto"/>
        <w:rPr>
          <w:b/>
          <w:color w:val="000000"/>
          <w:szCs w:val="21"/>
          <w:highlight w:val="none"/>
          <w:lang w:val="zh-CN"/>
        </w:rPr>
        <w:outlineLvl w:val="2"/>
      </w:pPr>
      <w:r/>
      <w:bookmarkStart w:id="54" w:name="_Toc7511"/>
      <w:r/>
      <w:bookmarkStart w:id="55" w:name="_Toc4696387"/>
      <w:r/>
      <w:bookmarkStart w:id="56" w:name="_Toc3951"/>
      <w:r/>
      <w:bookmarkStart w:id="57" w:name="_Toc16938520"/>
      <w:r/>
      <w:bookmarkStart w:id="58" w:name="_Toc24947"/>
      <w:r/>
      <w:bookmarkStart w:id="59" w:name="_Toc513029204"/>
      <w:r/>
      <w:bookmarkStart w:id="60" w:name="_Toc458694821"/>
      <w:r/>
      <w:bookmarkStart w:id="61" w:name="_Toc20823276"/>
      <w:r>
        <w:rPr>
          <w:b/>
          <w:bCs/>
          <w:color w:val="000000"/>
          <w:szCs w:val="21"/>
          <w:highlight w:val="none"/>
          <w:lang w:val="zh-CN"/>
        </w:rPr>
        <w:t xml:space="preserve">1.</w:t>
      </w:r>
      <w:r>
        <w:rPr>
          <w:b/>
          <w:color w:val="000000"/>
          <w:szCs w:val="21"/>
          <w:highlight w:val="none"/>
          <w:lang w:val="zh-CN"/>
        </w:rPr>
        <w:t xml:space="preserve">适用法律</w:t>
      </w:r>
      <w:bookmarkEnd w:id="54"/>
      <w:r/>
      <w:bookmarkEnd w:id="55"/>
      <w:r/>
      <w:bookmarkEnd w:id="56"/>
      <w:r>
        <w:rPr>
          <w:b/>
          <w:color w:val="000000"/>
          <w:szCs w:val="21"/>
          <w:highlight w:val="none"/>
          <w:lang w:val="zh-CN"/>
        </w:rPr>
      </w:r>
      <w:r/>
    </w:p>
    <w:p>
      <w:pPr>
        <w:pStyle w:val="1166"/>
        <w:ind w:firstLine="420"/>
        <w:spacing w:line="360" w:lineRule="auto"/>
        <w:rPr>
          <w:color w:val="000000"/>
          <w:szCs w:val="21"/>
          <w:highlight w:val="none"/>
          <w:lang w:val="zh-CN"/>
        </w:rPr>
      </w:pPr>
      <w:r>
        <w:rPr>
          <w:color w:val="000000"/>
          <w:szCs w:val="21"/>
          <w:highlight w:val="none"/>
          <w:lang w:val="zh-CN"/>
        </w:rPr>
        <w:t xml:space="preserve">1.1 《中华人民共和国政府采购法》《中华人民共和国政府采购法实施条例》《政府采购货物和服务招标投标管理办法》等有关法律、规章和规定等。</w:t>
      </w:r>
      <w:r>
        <w:rPr>
          <w:color w:val="000000"/>
          <w:szCs w:val="21"/>
          <w:highlight w:val="none"/>
          <w:lang w:val="zh-CN"/>
        </w:rPr>
      </w:r>
      <w:r/>
    </w:p>
    <w:p>
      <w:pPr>
        <w:pStyle w:val="1166"/>
        <w:ind w:firstLine="420"/>
        <w:spacing w:line="360" w:lineRule="auto"/>
        <w:rPr>
          <w:b/>
          <w:color w:val="000000"/>
          <w:szCs w:val="21"/>
          <w:highlight w:val="none"/>
          <w:lang w:val="zh-CN"/>
        </w:rPr>
        <w:outlineLvl w:val="2"/>
      </w:pPr>
      <w:r/>
      <w:bookmarkStart w:id="62" w:name="_Toc18587"/>
      <w:r/>
      <w:bookmarkStart w:id="63" w:name="_Toc4696388"/>
      <w:r/>
      <w:bookmarkStart w:id="64" w:name="_Toc10994"/>
      <w:r>
        <w:rPr>
          <w:b/>
          <w:bCs/>
          <w:color w:val="000000"/>
          <w:szCs w:val="21"/>
          <w:highlight w:val="none"/>
          <w:lang w:val="zh-CN"/>
        </w:rPr>
        <w:t xml:space="preserve">2.</w:t>
      </w:r>
      <w:r>
        <w:rPr>
          <w:b/>
          <w:color w:val="000000"/>
          <w:szCs w:val="21"/>
          <w:highlight w:val="none"/>
          <w:lang w:val="zh-CN"/>
        </w:rPr>
        <w:t xml:space="preserve">定义</w:t>
      </w:r>
      <w:bookmarkEnd w:id="62"/>
      <w:r/>
      <w:bookmarkEnd w:id="63"/>
      <w:r/>
      <w:bookmarkEnd w:id="64"/>
      <w:r>
        <w:rPr>
          <w:b/>
          <w:color w:val="000000"/>
          <w:szCs w:val="21"/>
          <w:highlight w:val="none"/>
          <w:lang w:val="zh-CN"/>
        </w:rPr>
      </w:r>
      <w:r/>
    </w:p>
    <w:p>
      <w:pPr>
        <w:pStyle w:val="1166"/>
        <w:ind w:firstLine="420"/>
        <w:spacing w:line="440" w:lineRule="exact"/>
        <w:rPr>
          <w:bCs/>
          <w:color w:val="000000"/>
          <w:highlight w:val="none"/>
        </w:rPr>
      </w:pPr>
      <w:r/>
      <w:bookmarkEnd w:id="57"/>
      <w:r/>
      <w:bookmarkEnd w:id="58"/>
      <w:r/>
      <w:bookmarkEnd w:id="59"/>
      <w:r/>
      <w:bookmarkEnd w:id="60"/>
      <w:r/>
      <w:bookmarkEnd w:id="61"/>
      <w:r>
        <w:rPr>
          <w:color w:val="000000"/>
          <w:szCs w:val="21"/>
          <w:highlight w:val="none"/>
        </w:rPr>
        <w:t xml:space="preserve">2.1本文件</w:t>
      </w:r>
      <w:r>
        <w:rPr>
          <w:bCs/>
          <w:color w:val="000000"/>
          <w:highlight w:val="none"/>
        </w:rPr>
        <w:t xml:space="preserve">中采购代理机构为 </w:t>
      </w:r>
      <w:r>
        <w:rPr>
          <w:b/>
          <w:color w:val="000000"/>
          <w:highlight w:val="none"/>
          <w:u w:val="single"/>
        </w:rPr>
        <w:t xml:space="preserve">江苏苏美达仪器设备有限公司</w:t>
      </w:r>
      <w:r>
        <w:rPr>
          <w:bCs/>
          <w:color w:val="000000"/>
          <w:highlight w:val="none"/>
        </w:rPr>
        <w:t xml:space="preserve">；采购人为</w:t>
      </w:r>
      <w:r>
        <w:rPr>
          <w:b/>
          <w:color w:val="000000"/>
          <w:highlight w:val="none"/>
          <w:u w:val="single"/>
        </w:rPr>
        <w:t xml:space="preserve">南京红十字血液中心</w:t>
      </w:r>
      <w:r>
        <w:rPr>
          <w:bCs/>
          <w:color w:val="000000"/>
          <w:highlight w:val="none"/>
        </w:rPr>
        <w:t xml:space="preserve">；投标人（亦称供应商）系指参加投标竞争并满足招标文件资格要求规定的法人、其他组织或者自然人。</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2.2“货物和服务”指本文件中所述产品及相关货物和服务。</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2.3“用户或使用单位”指使用</w:t>
      </w:r>
      <w:r>
        <w:rPr>
          <w:color w:val="000000"/>
          <w:szCs w:val="21"/>
          <w:highlight w:val="none"/>
          <w:lang w:val="zh-CN"/>
        </w:rPr>
        <w:t xml:space="preserve">货物、服务的</w:t>
      </w:r>
      <w:r>
        <w:rPr>
          <w:bCs/>
          <w:color w:val="000000"/>
          <w:highlight w:val="none"/>
        </w:rPr>
        <w:t xml:space="preserve">单位。</w:t>
      </w:r>
      <w:r>
        <w:rPr>
          <w:bCs/>
          <w:color w:val="000000"/>
          <w:highlight w:val="none"/>
        </w:rPr>
      </w:r>
      <w:r/>
    </w:p>
    <w:p>
      <w:pPr>
        <w:pStyle w:val="1166"/>
        <w:ind w:firstLine="422"/>
        <w:spacing w:line="360" w:lineRule="auto"/>
        <w:rPr>
          <w:b/>
          <w:color w:val="000000"/>
          <w:highlight w:val="none"/>
        </w:rPr>
        <w:outlineLvl w:val="2"/>
      </w:pPr>
      <w:r/>
      <w:bookmarkStart w:id="65" w:name="_Toc11958"/>
      <w:r>
        <w:rPr>
          <w:b/>
          <w:color w:val="000000"/>
          <w:highlight w:val="none"/>
        </w:rPr>
        <w:t xml:space="preserve">3.政策功能</w:t>
      </w:r>
      <w:bookmarkEnd w:id="65"/>
      <w:r>
        <w:rPr>
          <w:b/>
          <w:color w:val="000000"/>
          <w:highlight w:val="none"/>
        </w:rPr>
      </w:r>
      <w:r/>
    </w:p>
    <w:p>
      <w:pPr>
        <w:pStyle w:val="1166"/>
        <w:ind w:firstLine="420"/>
        <w:spacing w:line="360" w:lineRule="auto"/>
        <w:rPr>
          <w:bCs/>
          <w:color w:val="000000"/>
          <w:highlight w:val="none"/>
        </w:rPr>
      </w:pPr>
      <w:r>
        <w:rPr>
          <w:bCs/>
          <w:color w:val="000000"/>
          <w:highlight w:val="none"/>
        </w:rPr>
        <w:t xml:space="preserve">3.1促进中小企业发展政策：</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color w:val="000000"/>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3.2节能产品、环境标志产品政策</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（1）政府采购节能产品、环境标志产品实施品目清单管理。</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（2）拟采购产品属于节能产品、环境标志产品品目清单规定必须强制采购的，实行强制采购。</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（3）拟采购产品属于节能产品、环境标志产品品目清单规定优先采购的，在性能、技术、服务等指标同等条件下，实行优先采购，优先采购的评审标准详见本招标文件第三章。</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（4）参加政府采购活动的节能产品、环境标志产品供应商应当提供国家确定的认证机构出具的、处于有效期之内的节能产品、环境标志产品认证证书。</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3.4提供的产品属于信息安全产品的，供应商应当选择经国家认证的信息安全产品投标，并提供由中国信息安全认证中心按国家标准认证颁发的有效认证证书复印件。</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color w:val="000000"/>
          <w:highlight w:val="none"/>
        </w:rPr>
      </w:r>
      <w:r/>
    </w:p>
    <w:p>
      <w:pPr>
        <w:pStyle w:val="1166"/>
        <w:ind w:firstLine="420"/>
        <w:spacing w:line="360" w:lineRule="auto"/>
        <w:rPr>
          <w:bCs/>
          <w:color w:val="000000"/>
          <w:highlight w:val="none"/>
        </w:rPr>
      </w:pPr>
      <w:r>
        <w:rPr>
          <w:bCs/>
          <w:color w:val="000000"/>
          <w:highlight w:val="none"/>
        </w:rPr>
        <w:t xml:space="preserve">3.6为推进社会诚信体系建设，根据财政部等政策要求，在政府采购活动中查询、使用信用记录，推进政府采购领域联合惩戒工作。</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color w:val="000000"/>
          <w:highlight w:val="none"/>
        </w:rPr>
      </w:r>
      <w:r/>
    </w:p>
    <w:p>
      <w:pPr>
        <w:pStyle w:val="1166"/>
        <w:ind w:firstLine="420"/>
        <w:spacing w:line="440" w:lineRule="exact"/>
        <w:rPr>
          <w:color w:val="000000"/>
          <w:szCs w:val="21"/>
          <w:highlight w:val="none"/>
          <w:lang w:val="zh-CN"/>
        </w:rPr>
      </w:pPr>
      <w:r>
        <w:rPr>
          <w:color w:val="000000"/>
          <w:szCs w:val="21"/>
          <w:highlight w:val="none"/>
        </w:rPr>
        <w:t xml:space="preserve">3.7</w:t>
      </w:r>
      <w:r>
        <w:rPr>
          <w:color w:val="000000"/>
          <w:szCs w:val="21"/>
          <w:highlight w:val="none"/>
          <w:lang w:val="zh-CN"/>
        </w:rPr>
        <w:t xml:space="preserve">采购本国产品的支持政策：</w:t>
      </w:r>
      <w:r>
        <w:rPr>
          <w:color w:val="000000"/>
          <w:szCs w:val="21"/>
          <w:highlight w:val="none"/>
          <w:lang w:val="zh-CN"/>
        </w:rPr>
      </w:r>
      <w:r/>
    </w:p>
    <w:p>
      <w:pPr>
        <w:pStyle w:val="1166"/>
        <w:ind w:firstLine="420"/>
        <w:spacing w:line="440" w:lineRule="exact"/>
        <w:rPr>
          <w:color w:val="000000"/>
          <w:szCs w:val="21"/>
          <w:highlight w:val="none"/>
          <w:lang w:val="zh-CN"/>
        </w:rPr>
      </w:pPr>
      <w:r>
        <w:rPr>
          <w:color w:val="000000"/>
          <w:szCs w:val="21"/>
          <w:highlight w:val="none"/>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000000"/>
          <w:szCs w:val="21"/>
          <w:highlight w:val="none"/>
          <w:lang w:val="zh-CN"/>
        </w:rPr>
      </w:r>
      <w:r/>
    </w:p>
    <w:p>
      <w:pPr>
        <w:pStyle w:val="1166"/>
        <w:ind w:firstLine="420"/>
        <w:spacing w:line="440" w:lineRule="exact"/>
        <w:rPr>
          <w:color w:val="000000"/>
          <w:szCs w:val="21"/>
          <w:highlight w:val="none"/>
          <w:lang w:val="zh-CN"/>
        </w:rPr>
      </w:pPr>
      <w:r>
        <w:rPr>
          <w:color w:val="000000"/>
          <w:szCs w:val="21"/>
          <w:highlight w:val="none"/>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Cs w:val="21"/>
          <w:highlight w:val="none"/>
          <w:lang w:val="zh-CN"/>
        </w:rPr>
      </w:r>
      <w:r/>
    </w:p>
    <w:p>
      <w:pPr>
        <w:pStyle w:val="1166"/>
        <w:ind w:firstLine="420"/>
        <w:spacing w:line="440" w:lineRule="exact"/>
        <w:rPr>
          <w:color w:val="000000"/>
          <w:szCs w:val="21"/>
          <w:highlight w:val="none"/>
          <w:lang w:val="zh-CN"/>
        </w:rPr>
      </w:pPr>
      <w:r>
        <w:rPr>
          <w:color w:val="000000"/>
          <w:szCs w:val="21"/>
          <w:highlight w:val="none"/>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Cs w:val="21"/>
          <w:highlight w:val="none"/>
          <w:lang w:val="zh-CN"/>
        </w:rPr>
      </w:r>
      <w:r/>
    </w:p>
    <w:p>
      <w:pPr>
        <w:pStyle w:val="1166"/>
        <w:ind w:firstLine="420"/>
        <w:spacing w:line="360" w:lineRule="auto"/>
        <w:rPr>
          <w:bCs/>
          <w:color w:val="000000"/>
          <w:highlight w:val="none"/>
        </w:rPr>
      </w:pPr>
      <w:r>
        <w:rPr>
          <w:color w:val="000000"/>
          <w:szCs w:val="21"/>
          <w:highlight w:val="none"/>
          <w:lang w:val="zh-CN"/>
        </w:rPr>
        <w:t xml:space="preserve">具体内容详见第三章 评标标准。</w:t>
      </w:r>
      <w:r>
        <w:rPr>
          <w:bCs/>
          <w:color w:val="000000"/>
          <w:highlight w:val="none"/>
        </w:rPr>
      </w:r>
      <w:r/>
    </w:p>
    <w:p>
      <w:pPr>
        <w:pStyle w:val="1166"/>
        <w:ind w:firstLine="420"/>
        <w:spacing w:line="360" w:lineRule="auto"/>
        <w:rPr>
          <w:b/>
          <w:color w:val="000000"/>
          <w:szCs w:val="21"/>
          <w:highlight w:val="none"/>
          <w:lang w:val="zh-CN"/>
        </w:rPr>
        <w:outlineLvl w:val="2"/>
      </w:pPr>
      <w:r/>
      <w:bookmarkStart w:id="66" w:name="_Toc351"/>
      <w:r/>
      <w:bookmarkStart w:id="67" w:name="_Toc17711"/>
      <w:r/>
      <w:bookmarkStart w:id="68" w:name="_Toc20823279"/>
      <w:r/>
      <w:bookmarkStart w:id="69" w:name="_Toc513029207"/>
      <w:r/>
      <w:bookmarkStart w:id="70" w:name="_Toc462564067"/>
      <w:r/>
      <w:bookmarkStart w:id="71" w:name="_Toc4759"/>
      <w:r/>
      <w:bookmarkStart w:id="72" w:name="_Toc16938523"/>
      <w:r/>
      <w:bookmarkStart w:id="73" w:name="_Toc4696390"/>
      <w:r>
        <w:rPr>
          <w:b/>
          <w:bCs/>
          <w:color w:val="000000"/>
          <w:szCs w:val="21"/>
          <w:highlight w:val="none"/>
          <w:lang w:val="zh-CN"/>
        </w:rPr>
        <w:t xml:space="preserve">4.</w:t>
      </w:r>
      <w:r>
        <w:rPr>
          <w:b/>
          <w:color w:val="000000"/>
          <w:szCs w:val="21"/>
          <w:highlight w:val="none"/>
          <w:lang w:val="zh-CN"/>
        </w:rPr>
        <w:t xml:space="preserve">投标费用</w:t>
      </w:r>
      <w:bookmarkEnd w:id="66"/>
      <w:r/>
      <w:bookmarkEnd w:id="67"/>
      <w:r/>
      <w:bookmarkEnd w:id="68"/>
      <w:r/>
      <w:bookmarkEnd w:id="69"/>
      <w:r/>
      <w:bookmarkEnd w:id="70"/>
      <w:r/>
      <w:bookmarkEnd w:id="71"/>
      <w:r/>
      <w:bookmarkEnd w:id="72"/>
      <w:r/>
      <w:bookmarkEnd w:id="73"/>
      <w:r>
        <w:rPr>
          <w:b/>
          <w:color w:val="000000"/>
          <w:szCs w:val="21"/>
          <w:highlight w:val="none"/>
          <w:lang w:val="zh-CN"/>
        </w:rPr>
      </w:r>
      <w:r/>
    </w:p>
    <w:p>
      <w:pPr>
        <w:pStyle w:val="1166"/>
        <w:ind w:firstLine="420"/>
        <w:spacing w:line="440" w:lineRule="exact"/>
        <w:rPr>
          <w:color w:val="000000"/>
          <w:szCs w:val="21"/>
          <w:highlight w:val="none"/>
        </w:rPr>
      </w:pPr>
      <w:r>
        <w:rPr>
          <w:color w:val="000000"/>
          <w:szCs w:val="21"/>
          <w:highlight w:val="none"/>
        </w:rPr>
        <w:t xml:space="preserve">4.1 供应商应自行承担所有与参加投标有关的费用，无论采购结果如何，代理机构和采购人在任何情况下均无义务和责任承担这些费用。</w:t>
      </w:r>
      <w:r>
        <w:rPr>
          <w:color w:val="000000"/>
          <w:szCs w:val="21"/>
          <w:highlight w:val="none"/>
        </w:rPr>
      </w:r>
      <w:r/>
    </w:p>
    <w:p>
      <w:pPr>
        <w:pStyle w:val="1166"/>
        <w:ind w:firstLine="420"/>
        <w:spacing w:line="360" w:lineRule="auto"/>
        <w:rPr>
          <w:b/>
          <w:color w:val="000000"/>
          <w:szCs w:val="21"/>
          <w:highlight w:val="none"/>
          <w:lang w:val="zh-CN"/>
        </w:rPr>
        <w:outlineLvl w:val="2"/>
      </w:pPr>
      <w:r/>
      <w:bookmarkStart w:id="74" w:name="_Toc344"/>
      <w:r/>
      <w:bookmarkStart w:id="75" w:name="_Toc1128"/>
      <w:r/>
      <w:bookmarkStart w:id="76" w:name="_Toc4696391"/>
      <w:r>
        <w:rPr>
          <w:b/>
          <w:bCs/>
          <w:color w:val="000000"/>
          <w:szCs w:val="21"/>
          <w:highlight w:val="none"/>
          <w:lang w:val="zh-CN"/>
        </w:rPr>
        <w:t xml:space="preserve">5.</w:t>
      </w:r>
      <w:r>
        <w:rPr>
          <w:b/>
          <w:color w:val="000000"/>
          <w:szCs w:val="21"/>
          <w:highlight w:val="none"/>
          <w:lang w:val="zh-CN"/>
        </w:rPr>
        <w:t xml:space="preserve">招标文件的约束力</w:t>
      </w:r>
      <w:bookmarkEnd w:id="74"/>
      <w:r/>
      <w:bookmarkEnd w:id="75"/>
      <w:r/>
      <w:bookmarkEnd w:id="76"/>
      <w:r>
        <w:rPr>
          <w:b/>
          <w:color w:val="000000"/>
          <w:szCs w:val="21"/>
          <w:highlight w:val="none"/>
          <w:lang w:val="zh-CN"/>
        </w:rPr>
      </w:r>
      <w:r/>
    </w:p>
    <w:p>
      <w:pPr>
        <w:pStyle w:val="1166"/>
        <w:ind w:firstLine="420"/>
        <w:spacing w:line="440" w:lineRule="exact"/>
        <w:rPr>
          <w:color w:val="000000"/>
          <w:szCs w:val="21"/>
          <w:highlight w:val="none"/>
        </w:rPr>
      </w:pPr>
      <w:r>
        <w:rPr>
          <w:color w:val="000000"/>
          <w:szCs w:val="21"/>
          <w:highlight w:val="none"/>
        </w:rPr>
        <w:t xml:space="preserve">5.1 供应商一旦参加本项目采购活动，即被认为接受了本招标文件的规定和约束。</w:t>
      </w:r>
      <w:r>
        <w:rPr>
          <w:color w:val="000000"/>
          <w:szCs w:val="21"/>
          <w:highlight w:val="none"/>
        </w:rPr>
      </w:r>
      <w:r/>
    </w:p>
    <w:p>
      <w:pPr>
        <w:pStyle w:val="1166"/>
        <w:ind w:firstLine="420"/>
        <w:spacing w:line="440" w:lineRule="exact"/>
        <w:shd w:val="clear" w:color="auto" w:fill="ffffff"/>
        <w:widowControl/>
        <w:rPr>
          <w:b/>
          <w:bCs/>
          <w:color w:val="000000"/>
          <w:sz w:val="24"/>
          <w:highlight w:val="none"/>
        </w:rPr>
        <w:outlineLvl w:val="1"/>
      </w:pPr>
      <w:r/>
      <w:bookmarkStart w:id="77" w:name="_Toc120614215"/>
      <w:r/>
      <w:bookmarkStart w:id="78" w:name="_Toc15035"/>
      <w:r/>
      <w:bookmarkStart w:id="79" w:name="_Toc16938525"/>
      <w:r/>
      <w:bookmarkStart w:id="80" w:name="_Toc11379"/>
      <w:r/>
      <w:bookmarkStart w:id="81" w:name="_Toc20823281"/>
      <w:r/>
      <w:bookmarkStart w:id="82" w:name="_Toc513029209"/>
      <w:r/>
      <w:bookmarkStart w:id="83" w:name="_Toc4696392"/>
      <w:r>
        <w:rPr>
          <w:b/>
          <w:bCs/>
          <w:color w:val="000000"/>
          <w:sz w:val="24"/>
          <w:highlight w:val="none"/>
        </w:rPr>
        <w:t xml:space="preserve">二、招标文件</w:t>
      </w:r>
      <w:bookmarkEnd w:id="77"/>
      <w:r/>
      <w:bookmarkEnd w:id="78"/>
      <w:r/>
      <w:bookmarkEnd w:id="79"/>
      <w:r/>
      <w:bookmarkEnd w:id="80"/>
      <w:r/>
      <w:bookmarkEnd w:id="81"/>
      <w:r/>
      <w:bookmarkEnd w:id="82"/>
      <w:r/>
      <w:bookmarkEnd w:id="83"/>
      <w:r>
        <w:rPr>
          <w:b/>
          <w:bCs/>
          <w:color w:val="000000"/>
          <w:sz w:val="24"/>
          <w:highlight w:val="none"/>
        </w:rPr>
      </w:r>
      <w:r/>
    </w:p>
    <w:p>
      <w:pPr>
        <w:pStyle w:val="1166"/>
        <w:ind w:firstLine="420"/>
        <w:spacing w:line="360" w:lineRule="auto"/>
        <w:rPr>
          <w:b/>
          <w:color w:val="000000"/>
          <w:szCs w:val="21"/>
          <w:highlight w:val="none"/>
          <w:lang w:val="zh-CN"/>
        </w:rPr>
        <w:outlineLvl w:val="2"/>
      </w:pPr>
      <w:r/>
      <w:bookmarkStart w:id="84" w:name="_Toc20823282"/>
      <w:r/>
      <w:bookmarkStart w:id="85" w:name="_Toc31631"/>
      <w:r/>
      <w:bookmarkStart w:id="86" w:name="_Toc4696393"/>
      <w:r/>
      <w:bookmarkStart w:id="87" w:name="_Toc31307"/>
      <w:r/>
      <w:bookmarkStart w:id="88" w:name="_Toc16938526"/>
      <w:r/>
      <w:bookmarkStart w:id="89" w:name="_Toc513029210"/>
      <w:r>
        <w:rPr>
          <w:b/>
          <w:bCs/>
          <w:color w:val="000000"/>
          <w:szCs w:val="21"/>
          <w:highlight w:val="none"/>
          <w:lang w:val="zh-CN"/>
        </w:rPr>
        <w:t xml:space="preserve">6.</w:t>
      </w:r>
      <w:r>
        <w:rPr>
          <w:b/>
          <w:color w:val="000000"/>
          <w:szCs w:val="21"/>
          <w:highlight w:val="none"/>
          <w:lang w:val="zh-CN"/>
        </w:rPr>
        <w:t xml:space="preserve">招标文件构成</w:t>
      </w:r>
      <w:bookmarkEnd w:id="84"/>
      <w:r/>
      <w:bookmarkEnd w:id="85"/>
      <w:r/>
      <w:bookmarkEnd w:id="86"/>
      <w:r/>
      <w:bookmarkEnd w:id="87"/>
      <w:r/>
      <w:bookmarkEnd w:id="88"/>
      <w:r/>
      <w:bookmarkEnd w:id="89"/>
      <w:r>
        <w:rPr>
          <w:b/>
          <w:color w:val="000000"/>
          <w:szCs w:val="21"/>
          <w:highlight w:val="none"/>
          <w:lang w:val="zh-CN"/>
        </w:rPr>
      </w:r>
      <w:r/>
    </w:p>
    <w:p>
      <w:pPr>
        <w:pStyle w:val="1166"/>
        <w:ind w:firstLine="420"/>
        <w:spacing w:line="440" w:lineRule="exact"/>
        <w:rPr>
          <w:color w:val="000000"/>
          <w:szCs w:val="21"/>
          <w:highlight w:val="none"/>
        </w:rPr>
      </w:pPr>
      <w:r>
        <w:rPr>
          <w:color w:val="000000"/>
          <w:szCs w:val="21"/>
          <w:highlight w:val="none"/>
        </w:rPr>
        <w:t xml:space="preserve">6.1 招标文件由以下部分组成：</w:t>
      </w:r>
      <w:r>
        <w:rPr>
          <w:color w:val="000000"/>
          <w:szCs w:val="21"/>
          <w:highlight w:val="none"/>
        </w:rPr>
      </w:r>
      <w:r/>
    </w:p>
    <w:p>
      <w:pPr>
        <w:pStyle w:val="1166"/>
        <w:ind w:firstLine="840"/>
        <w:spacing w:line="440" w:lineRule="exact"/>
        <w:rPr>
          <w:color w:val="000000"/>
          <w:szCs w:val="21"/>
          <w:highlight w:val="none"/>
        </w:rPr>
      </w:pPr>
      <w:r>
        <w:rPr>
          <w:color w:val="000000"/>
          <w:szCs w:val="21"/>
          <w:highlight w:val="none"/>
        </w:rPr>
        <w:t xml:space="preserve">第一章  招标公告</w:t>
      </w:r>
      <w:r>
        <w:rPr>
          <w:color w:val="000000"/>
          <w:szCs w:val="21"/>
          <w:highlight w:val="none"/>
        </w:rPr>
      </w:r>
      <w:r/>
    </w:p>
    <w:p>
      <w:pPr>
        <w:pStyle w:val="1166"/>
        <w:ind w:firstLine="840"/>
        <w:spacing w:line="440" w:lineRule="exact"/>
        <w:rPr>
          <w:color w:val="000000"/>
          <w:szCs w:val="21"/>
          <w:highlight w:val="none"/>
        </w:rPr>
      </w:pPr>
      <w:r>
        <w:rPr>
          <w:color w:val="000000"/>
          <w:szCs w:val="21"/>
          <w:highlight w:val="none"/>
        </w:rPr>
        <w:t xml:space="preserve">第二章  投标人须知</w:t>
      </w:r>
      <w:r>
        <w:rPr>
          <w:color w:val="000000"/>
          <w:szCs w:val="21"/>
          <w:highlight w:val="none"/>
        </w:rPr>
      </w:r>
      <w:r/>
    </w:p>
    <w:p>
      <w:pPr>
        <w:pStyle w:val="1166"/>
        <w:ind w:firstLine="840"/>
        <w:spacing w:line="440" w:lineRule="exact"/>
        <w:rPr>
          <w:color w:val="000000"/>
          <w:szCs w:val="21"/>
          <w:highlight w:val="none"/>
        </w:rPr>
      </w:pPr>
      <w:r>
        <w:rPr>
          <w:color w:val="000000"/>
          <w:szCs w:val="21"/>
          <w:highlight w:val="none"/>
        </w:rPr>
        <w:t xml:space="preserve">第三章  评标标准</w:t>
      </w:r>
      <w:r>
        <w:rPr>
          <w:color w:val="000000"/>
          <w:szCs w:val="21"/>
          <w:highlight w:val="none"/>
        </w:rPr>
      </w:r>
      <w:r/>
    </w:p>
    <w:p>
      <w:pPr>
        <w:pStyle w:val="1166"/>
        <w:ind w:firstLine="840"/>
        <w:spacing w:line="440" w:lineRule="exact"/>
        <w:rPr>
          <w:color w:val="000000"/>
          <w:szCs w:val="21"/>
          <w:highlight w:val="none"/>
        </w:rPr>
      </w:pPr>
      <w:r>
        <w:rPr>
          <w:color w:val="000000"/>
          <w:szCs w:val="21"/>
          <w:highlight w:val="none"/>
        </w:rPr>
        <w:t xml:space="preserve">第四章  招标技术规格及要求</w:t>
      </w:r>
      <w:r>
        <w:rPr>
          <w:color w:val="000000"/>
          <w:szCs w:val="21"/>
          <w:highlight w:val="none"/>
        </w:rPr>
      </w:r>
      <w:r/>
    </w:p>
    <w:p>
      <w:pPr>
        <w:pStyle w:val="1166"/>
        <w:ind w:firstLine="840"/>
        <w:spacing w:line="440" w:lineRule="exact"/>
        <w:rPr>
          <w:color w:val="000000"/>
          <w:szCs w:val="21"/>
          <w:highlight w:val="none"/>
        </w:rPr>
      </w:pPr>
      <w:r>
        <w:rPr>
          <w:color w:val="000000"/>
          <w:szCs w:val="21"/>
          <w:highlight w:val="none"/>
        </w:rPr>
        <w:t xml:space="preserve">第五章  拟签订的合同文本</w:t>
      </w:r>
      <w:r>
        <w:rPr>
          <w:color w:val="000000"/>
          <w:szCs w:val="21"/>
          <w:highlight w:val="none"/>
        </w:rPr>
      </w:r>
      <w:r/>
    </w:p>
    <w:p>
      <w:pPr>
        <w:pStyle w:val="1166"/>
        <w:ind w:firstLine="840"/>
        <w:spacing w:line="440" w:lineRule="exact"/>
        <w:rPr>
          <w:color w:val="000000"/>
          <w:szCs w:val="21"/>
          <w:highlight w:val="none"/>
        </w:rPr>
      </w:pPr>
      <w:r>
        <w:rPr>
          <w:color w:val="000000"/>
          <w:szCs w:val="21"/>
          <w:highlight w:val="none"/>
        </w:rPr>
        <w:t xml:space="preserve">第六章  投标文件格式及附件</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6.2</w:t>
      </w:r>
      <w:r>
        <w:rPr>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color w:val="000000"/>
          <w:szCs w:val="21"/>
          <w:highlight w:val="none"/>
        </w:rPr>
        <w:t xml:space="preserve">。</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6.4供应商被视为充分熟悉本招标项目的各种情况以及与履行合同有关的一切其他情况。</w:t>
      </w:r>
      <w:r>
        <w:rPr>
          <w:color w:val="000000"/>
          <w:szCs w:val="21"/>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90" w:name="_Toc14415"/>
      <w:r/>
      <w:bookmarkStart w:id="91" w:name="_Toc29319"/>
      <w:r/>
      <w:bookmarkStart w:id="92" w:name="_Toc4696394"/>
      <w:r>
        <w:rPr>
          <w:rFonts w:ascii="Times New Roman" w:eastAsia="宋体"/>
          <w:b/>
          <w:bCs/>
          <w:color w:val="000000"/>
          <w:sz w:val="21"/>
          <w:szCs w:val="21"/>
          <w:highlight w:val="none"/>
        </w:rPr>
        <w:t xml:space="preserve">7.招标文件的澄清、补充或修改</w:t>
      </w:r>
      <w:bookmarkEnd w:id="90"/>
      <w:r/>
      <w:bookmarkEnd w:id="91"/>
      <w:r/>
      <w:bookmarkEnd w:id="92"/>
      <w:r>
        <w:rPr>
          <w:rFonts w:ascii="Times New Roman" w:eastAsia="宋体"/>
          <w:b/>
          <w:bCs/>
          <w:color w:val="000000"/>
          <w:sz w:val="21"/>
          <w:szCs w:val="21"/>
          <w:highlight w:val="none"/>
        </w:rPr>
      </w:r>
      <w:r/>
    </w:p>
    <w:p>
      <w:pPr>
        <w:pStyle w:val="1166"/>
        <w:ind w:firstLine="441"/>
        <w:spacing w:line="440" w:lineRule="exact"/>
        <w:rPr>
          <w:color w:val="000000"/>
          <w:highlight w:val="none"/>
        </w:rPr>
      </w:pPr>
      <w:r/>
      <w:bookmarkStart w:id="93" w:name="_Toc29128"/>
      <w:r>
        <w:rPr>
          <w:color w:val="000000"/>
          <w:szCs w:val="21"/>
          <w:highlight w:val="none"/>
        </w:rPr>
        <w:t xml:space="preserve">7.1</w:t>
      </w:r>
      <w:r>
        <w:rPr>
          <w:color w:val="000000"/>
          <w:highlight w:val="none"/>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color w:val="000000"/>
          <w:highlight w:val="none"/>
        </w:rPr>
      </w:r>
      <w:r/>
    </w:p>
    <w:p>
      <w:pPr>
        <w:pStyle w:val="1166"/>
        <w:ind w:firstLine="441"/>
        <w:spacing w:line="440" w:lineRule="exact"/>
        <w:rPr>
          <w:color w:val="000000"/>
          <w:highlight w:val="none"/>
        </w:rPr>
      </w:pPr>
      <w:r>
        <w:rPr>
          <w:color w:val="000000"/>
          <w:szCs w:val="21"/>
          <w:highlight w:val="none"/>
        </w:rPr>
        <w:t xml:space="preserve">7.2 </w:t>
      </w:r>
      <w:r>
        <w:rPr>
          <w:color w:val="000000"/>
          <w:highlight w:val="none"/>
        </w:rPr>
        <w:t xml:space="preserve">采购代理机构可对已发出的招标文件用更正公告的方式进行必要的澄清或者修改，并以书面形式通知所有获取文件的供应商。</w:t>
      </w:r>
      <w:r>
        <w:rPr>
          <w:color w:val="000000"/>
          <w:highlight w:val="none"/>
        </w:rPr>
      </w:r>
      <w:r/>
    </w:p>
    <w:p>
      <w:pPr>
        <w:pStyle w:val="1166"/>
        <w:ind w:firstLine="441"/>
        <w:spacing w:line="440" w:lineRule="exact"/>
        <w:rPr>
          <w:color w:val="000000"/>
          <w:highlight w:val="none"/>
        </w:rPr>
      </w:pPr>
      <w:r>
        <w:rPr>
          <w:color w:val="000000"/>
          <w:szCs w:val="21"/>
          <w:highlight w:val="none"/>
        </w:rPr>
        <w:t xml:space="preserve">7.3 </w:t>
      </w:r>
      <w:r>
        <w:rPr>
          <w:color w:val="000000"/>
          <w:highlight w:val="none"/>
        </w:rPr>
        <w:t xml:space="preserve">采购代理机构发出的以上</w:t>
      </w:r>
      <w:r>
        <w:rPr>
          <w:bCs/>
          <w:color w:val="000000"/>
          <w:highlight w:val="none"/>
        </w:rPr>
        <w:t xml:space="preserve">澄清或修改的内容</w:t>
      </w:r>
      <w:r>
        <w:rPr>
          <w:color w:val="000000"/>
          <w:highlight w:val="none"/>
        </w:rPr>
        <w:t xml:space="preserve">文件均作为招标文件的组成部分，与招标文件具有同等法律效力。供应商在收到上述通知后，应立即向采购代理机构回函确认。若无书面回函确认，视同已收到招标文件修改的通知，并受其约束。</w:t>
      </w:r>
      <w:r>
        <w:rPr>
          <w:color w:val="000000"/>
          <w:highlight w:val="none"/>
        </w:rPr>
      </w:r>
      <w:r/>
    </w:p>
    <w:p>
      <w:pPr>
        <w:pStyle w:val="1166"/>
        <w:ind w:firstLine="441"/>
        <w:spacing w:line="440" w:lineRule="exact"/>
        <w:rPr>
          <w:bCs/>
          <w:color w:val="000000"/>
          <w:highlight w:val="none"/>
        </w:rPr>
      </w:pPr>
      <w:r>
        <w:rPr>
          <w:bCs/>
          <w:color w:val="000000"/>
          <w:highlight w:val="none"/>
        </w:rPr>
        <w:t xml:space="preserve">7.4 当招标文件与以上澄清或修改公告的内容相互矛盾时，以采购代理机构最后发出的澄清或修改为准。 </w:t>
      </w:r>
      <w:r>
        <w:rPr>
          <w:bCs/>
          <w:color w:val="000000"/>
          <w:highlight w:val="none"/>
        </w:rPr>
      </w:r>
      <w:r/>
    </w:p>
    <w:p>
      <w:pPr>
        <w:pStyle w:val="1166"/>
        <w:ind w:firstLine="441"/>
        <w:spacing w:line="440" w:lineRule="exact"/>
        <w:rPr>
          <w:bCs/>
          <w:color w:val="000000"/>
          <w:highlight w:val="none"/>
        </w:rPr>
      </w:pPr>
      <w:r>
        <w:rPr>
          <w:color w:val="000000"/>
          <w:szCs w:val="21"/>
          <w:highlight w:val="none"/>
        </w:rPr>
        <w:t xml:space="preserve">7.5</w:t>
      </w:r>
      <w:r>
        <w:rPr>
          <w:bCs/>
          <w:color w:val="000000"/>
          <w:highlight w:val="none"/>
        </w:rPr>
        <w:t xml:space="preserve">为使供应商有足够的时间按招标文件的澄清或修改要求修正投标文件，</w:t>
      </w:r>
      <w:r>
        <w:rPr>
          <w:color w:val="000000"/>
          <w:highlight w:val="none"/>
        </w:rPr>
        <w:t xml:space="preserve">采购代理机构有权决定推迟投标截止时间和开标时间，并按7.2条规定的方式通知供应商。 </w:t>
      </w:r>
      <w:r>
        <w:rPr>
          <w:bCs/>
          <w:color w:val="000000"/>
          <w:highlight w:val="none"/>
        </w:rPr>
      </w:r>
      <w:r/>
    </w:p>
    <w:p>
      <w:pPr>
        <w:pStyle w:val="1166"/>
        <w:ind w:firstLine="420"/>
        <w:spacing w:line="440" w:lineRule="exact"/>
        <w:shd w:val="clear" w:color="auto" w:fill="ffffff"/>
        <w:widowControl/>
        <w:rPr>
          <w:b/>
          <w:bCs/>
          <w:color w:val="000000"/>
          <w:sz w:val="24"/>
          <w:highlight w:val="none"/>
        </w:rPr>
        <w:outlineLvl w:val="1"/>
      </w:pPr>
      <w:r/>
      <w:bookmarkStart w:id="94" w:name="_Toc4696395"/>
      <w:r/>
      <w:bookmarkStart w:id="95" w:name="_Toc2423"/>
      <w:r>
        <w:rPr>
          <w:b/>
          <w:bCs/>
          <w:color w:val="000000"/>
          <w:sz w:val="24"/>
          <w:highlight w:val="none"/>
        </w:rPr>
        <w:t xml:space="preserve">三、投标文件的编制</w:t>
      </w:r>
      <w:bookmarkEnd w:id="93"/>
      <w:r/>
      <w:bookmarkEnd w:id="94"/>
      <w:r/>
      <w:bookmarkEnd w:id="95"/>
      <w:r>
        <w:rPr>
          <w:b/>
          <w:bCs/>
          <w:color w:val="000000"/>
          <w:sz w:val="24"/>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96" w:name="_Toc28127"/>
      <w:r/>
      <w:bookmarkStart w:id="97" w:name="_Toc5872"/>
      <w:r/>
      <w:bookmarkStart w:id="98" w:name="_Toc4696396"/>
      <w:r>
        <w:rPr>
          <w:rFonts w:ascii="Times New Roman" w:eastAsia="宋体"/>
          <w:b/>
          <w:bCs/>
          <w:color w:val="000000"/>
          <w:sz w:val="21"/>
          <w:szCs w:val="21"/>
          <w:highlight w:val="none"/>
        </w:rPr>
        <w:t xml:space="preserve">8.</w:t>
      </w:r>
      <w:bookmarkEnd w:id="96"/>
      <w:r>
        <w:rPr>
          <w:rFonts w:ascii="Times New Roman" w:eastAsia="宋体"/>
          <w:b/>
          <w:bCs/>
          <w:color w:val="000000"/>
          <w:sz w:val="21"/>
          <w:szCs w:val="21"/>
          <w:highlight w:val="none"/>
        </w:rPr>
        <w:t xml:space="preserve">投标文件的语言、计量单位、货币</w:t>
      </w:r>
      <w:bookmarkEnd w:id="97"/>
      <w:r/>
      <w:bookmarkEnd w:id="98"/>
      <w:r>
        <w:rPr>
          <w:rFonts w:ascii="Times New Roman" w:eastAsia="宋体"/>
          <w:b/>
          <w:bCs/>
          <w:color w:val="000000"/>
          <w:sz w:val="21"/>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8.1 供应商提交的投标文件（包括技术文件和资料、图纸中的说明）以及供应商与采购代理机构之间就有关投标的所有来往函电均应以简体中文书写。</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rPr>
          <w:color w:val="000000"/>
          <w:szCs w:val="21"/>
          <w:highlight w:val="none"/>
        </w:rPr>
      </w:r>
      <w:r/>
    </w:p>
    <w:p>
      <w:pPr>
        <w:pStyle w:val="1166"/>
        <w:ind w:firstLine="420"/>
        <w:spacing w:line="440" w:lineRule="exact"/>
        <w:shd w:val="clear" w:color="auto" w:fill="ffffff"/>
        <w:widowControl/>
        <w:rPr>
          <w:color w:val="000000"/>
          <w:szCs w:val="21"/>
          <w:highlight w:val="none"/>
        </w:rPr>
      </w:pPr>
      <w:r/>
      <w:bookmarkStart w:id="99" w:name="_Toc19298"/>
      <w:r>
        <w:rPr>
          <w:color w:val="000000"/>
          <w:szCs w:val="21"/>
          <w:highlight w:val="none"/>
        </w:rPr>
        <w:t xml:space="preserve">8.3 除招标文件中有特殊要求外，招标文件中所使用的计量单位应为国家法定计量单位。</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8.4 本招标文件所表述的时间均为北京时间。</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8.5 </w:t>
      </w:r>
      <w:r>
        <w:rPr>
          <w:b/>
          <w:bCs/>
          <w:color w:val="000000"/>
          <w:highlight w:val="none"/>
        </w:rPr>
        <w:t xml:space="preserve">所有投标响应报价</w:t>
      </w:r>
      <w:r>
        <w:rPr>
          <w:b/>
          <w:bCs/>
          <w:color w:val="000000"/>
          <w:szCs w:val="22"/>
          <w:highlight w:val="none"/>
        </w:rPr>
        <w:t xml:space="preserve">具体详见投标人须知前附表。</w:t>
      </w:r>
      <w:r>
        <w:rPr>
          <w:color w:val="000000"/>
          <w:szCs w:val="21"/>
          <w:highlight w:val="none"/>
        </w:rPr>
      </w:r>
      <w:r/>
    </w:p>
    <w:p>
      <w:pPr>
        <w:pStyle w:val="1166"/>
        <w:ind w:firstLine="420"/>
        <w:spacing w:line="360" w:lineRule="auto"/>
        <w:rPr>
          <w:b/>
          <w:color w:val="000000"/>
          <w:szCs w:val="21"/>
          <w:highlight w:val="none"/>
          <w:lang w:val="zh-CN"/>
        </w:rPr>
        <w:outlineLvl w:val="2"/>
      </w:pPr>
      <w:r/>
      <w:bookmarkStart w:id="100" w:name="_Toc17436"/>
      <w:r/>
      <w:bookmarkStart w:id="101" w:name="_Toc30894"/>
      <w:r/>
      <w:bookmarkStart w:id="102" w:name="_Toc4696397"/>
      <w:r>
        <w:rPr>
          <w:b/>
          <w:bCs/>
          <w:color w:val="000000"/>
          <w:szCs w:val="21"/>
          <w:highlight w:val="none"/>
        </w:rPr>
        <w:t xml:space="preserve">9.</w:t>
      </w:r>
      <w:r>
        <w:rPr>
          <w:b/>
          <w:color w:val="000000"/>
          <w:szCs w:val="21"/>
          <w:highlight w:val="none"/>
          <w:lang w:val="zh-CN"/>
        </w:rPr>
        <w:t xml:space="preserve">联合体（根据采购项目是否接受联合体投标而定）</w:t>
      </w:r>
      <w:bookmarkEnd w:id="100"/>
      <w:r/>
      <w:bookmarkEnd w:id="101"/>
      <w:r/>
      <w:bookmarkEnd w:id="102"/>
      <w:r>
        <w:rPr>
          <w:b/>
          <w:color w:val="000000"/>
          <w:szCs w:val="21"/>
          <w:highlight w:val="none"/>
          <w:lang w:val="zh-CN"/>
        </w:rPr>
      </w:r>
      <w:r/>
    </w:p>
    <w:p>
      <w:pPr>
        <w:pStyle w:val="1166"/>
        <w:ind w:firstLine="420"/>
        <w:spacing w:line="360" w:lineRule="auto"/>
        <w:rPr>
          <w:color w:val="000000"/>
          <w:szCs w:val="21"/>
          <w:highlight w:val="none"/>
        </w:rPr>
      </w:pPr>
      <w:r>
        <w:rPr>
          <w:color w:val="000000"/>
          <w:szCs w:val="21"/>
          <w:highlight w:val="none"/>
        </w:rPr>
        <w:t xml:space="preserve">9.1</w:t>
      </w:r>
      <w:r>
        <w:rPr>
          <w:color w:val="000000"/>
          <w:szCs w:val="21"/>
          <w:highlight w:val="none"/>
        </w:rPr>
        <w:t xml:space="preserve">两个以上的自然人、法人或者其他组织可以组成一个联合体，以一个供应商的身份共同参加政府采购。</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9.2鼓励大中型企业和其他自然人、法人或者其他组织与小型、微型企业组成联合体共同参加非专门面向中小企业的政府采购活动。</w:t>
      </w:r>
      <w:r>
        <w:rPr>
          <w:color w:val="000000"/>
          <w:szCs w:val="21"/>
          <w:highlight w:val="none"/>
        </w:rPr>
      </w:r>
      <w:r/>
    </w:p>
    <w:p>
      <w:pPr>
        <w:pStyle w:val="1166"/>
        <w:ind w:firstLine="420"/>
        <w:spacing w:line="360" w:lineRule="auto"/>
        <w:rPr>
          <w:color w:val="000000"/>
          <w:highlight w:val="none"/>
        </w:rPr>
      </w:pPr>
      <w:r>
        <w:rPr>
          <w:color w:val="000000"/>
          <w:szCs w:val="21"/>
          <w:highlight w:val="none"/>
        </w:rPr>
        <w:t xml:space="preserve">9.3</w:t>
      </w:r>
      <w:r>
        <w:rPr>
          <w:color w:val="000000"/>
          <w:szCs w:val="21"/>
          <w:highlight w:val="none"/>
        </w:rPr>
        <w:t xml:space="preserve">以联合体形式参加采购的，</w:t>
      </w:r>
      <w:r>
        <w:rPr>
          <w:b/>
          <w:color w:val="000000"/>
          <w:szCs w:val="21"/>
          <w:highlight w:val="none"/>
        </w:rPr>
        <w:t xml:space="preserve">联合体各方均应当符合政府采购法第二十二条第一款规定的</w:t>
      </w:r>
      <w:r>
        <w:rPr>
          <w:b/>
          <w:color w:val="000000"/>
          <w:highlight w:val="none"/>
        </w:rPr>
        <w:t xml:space="preserve">条件；采购人根据采购项目的特殊要求规定供应商特定条件的，联合体各方中至少应当有一方符合采购人规定的特定条件</w:t>
      </w:r>
      <w:r>
        <w:rPr>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000000"/>
          <w:highlight w:val="none"/>
        </w:rPr>
      </w:r>
      <w:r/>
    </w:p>
    <w:p>
      <w:pPr>
        <w:pStyle w:val="1166"/>
        <w:ind w:firstLine="420"/>
        <w:spacing w:line="360" w:lineRule="auto"/>
        <w:rPr>
          <w:color w:val="000000"/>
          <w:highlight w:val="none"/>
        </w:rPr>
      </w:pPr>
      <w:r>
        <w:rPr>
          <w:color w:val="000000"/>
          <w:szCs w:val="21"/>
          <w:highlight w:val="none"/>
        </w:rPr>
        <w:t xml:space="preserve">9.4 </w:t>
      </w:r>
      <w:r>
        <w:rPr>
          <w:color w:val="000000"/>
          <w:highlight w:val="none"/>
        </w:rPr>
        <w:t xml:space="preserve">联合体各方之间应当签订联合体协议，明确约定联合体各方承担的工作和相应的责任，并将联合体协议连同响应文件一并提交。</w:t>
      </w:r>
      <w:r>
        <w:rPr>
          <w:color w:val="000000"/>
          <w:highlight w:val="none"/>
        </w:rPr>
      </w:r>
      <w:r/>
    </w:p>
    <w:p>
      <w:pPr>
        <w:pStyle w:val="1166"/>
        <w:ind w:firstLine="420"/>
        <w:spacing w:line="360" w:lineRule="auto"/>
        <w:shd w:val="clear" w:color="auto" w:fill="ffffff"/>
        <w:widowControl/>
        <w:rPr>
          <w:color w:val="000000"/>
          <w:highlight w:val="none"/>
        </w:rPr>
      </w:pPr>
      <w:r>
        <w:rPr>
          <w:color w:val="000000"/>
          <w:szCs w:val="21"/>
          <w:highlight w:val="none"/>
        </w:rPr>
        <w:t xml:space="preserve">9.5 </w:t>
      </w:r>
      <w:r>
        <w:rPr>
          <w:color w:val="000000"/>
          <w:highlight w:val="none"/>
        </w:rPr>
        <w:t xml:space="preserve">以联合体形式参加政府采购活动的，联合体各方不得再单独参加或者与其他供应商另外组成联合体参加同一合同项下的政府采购活动。</w:t>
      </w:r>
      <w:r>
        <w:rPr>
          <w:color w:val="000000"/>
          <w:highlight w:val="none"/>
        </w:rPr>
      </w:r>
      <w:r/>
    </w:p>
    <w:p>
      <w:pPr>
        <w:pStyle w:val="1169"/>
        <w:ind w:left="0" w:firstLine="422"/>
        <w:jc w:val="both"/>
        <w:spacing w:line="440" w:lineRule="exact"/>
        <w:tabs>
          <w:tab w:val="left" w:pos="480" w:leader="none"/>
        </w:tabs>
        <w:rPr>
          <w:rFonts w:ascii="Times New Roman" w:eastAsia="宋体"/>
          <w:color w:val="000000"/>
          <w:sz w:val="21"/>
          <w:szCs w:val="21"/>
          <w:highlight w:val="none"/>
        </w:rPr>
      </w:pPr>
      <w:r/>
      <w:bookmarkEnd w:id="99"/>
      <w:r/>
      <w:bookmarkStart w:id="103" w:name="_Toc22790"/>
      <w:r/>
      <w:bookmarkStart w:id="104" w:name="_Toc4696398"/>
      <w:r/>
      <w:bookmarkStart w:id="105" w:name="_Toc5761"/>
      <w:r/>
      <w:bookmarkStart w:id="106" w:name="_Toc12595"/>
      <w:r/>
      <w:bookmarkStart w:id="107" w:name="_Toc4696399"/>
      <w:r>
        <w:rPr>
          <w:rFonts w:ascii="Times New Roman" w:eastAsia="宋体"/>
          <w:b/>
          <w:bCs/>
          <w:color w:val="000000"/>
          <w:sz w:val="21"/>
          <w:szCs w:val="21"/>
          <w:highlight w:val="none"/>
        </w:rPr>
        <w:t xml:space="preserve">10.投标文件的</w:t>
      </w:r>
      <w:bookmarkEnd w:id="103"/>
      <w:r>
        <w:rPr>
          <w:rFonts w:ascii="Times New Roman" w:eastAsia="宋体"/>
          <w:b/>
          <w:bCs/>
          <w:color w:val="000000"/>
          <w:sz w:val="21"/>
          <w:szCs w:val="21"/>
          <w:highlight w:val="none"/>
        </w:rPr>
        <w:t xml:space="preserve">组成</w:t>
      </w:r>
      <w:bookmarkEnd w:id="104"/>
      <w:r/>
      <w:bookmarkEnd w:id="105"/>
      <w:r>
        <w:rPr>
          <w:rFonts w:ascii="Times New Roman" w:eastAsia="宋体"/>
          <w:color w:val="000000"/>
          <w:sz w:val="21"/>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若供应商未按招标文件的要求提供资料，或未对招标文件做出实质性响应，将导致投标文件被视为无效。</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10.2 投标文件由商务、技术、价格及其他部分组成，应包括但不限于下列文件，其中加※项目不得有缺失或无效：</w:t>
      </w:r>
      <w:r>
        <w:rPr>
          <w:color w:val="000000"/>
          <w:szCs w:val="21"/>
          <w:highlight w:val="none"/>
        </w:rPr>
      </w:r>
      <w:r/>
    </w:p>
    <w:p>
      <w:pPr>
        <w:pStyle w:val="1166"/>
        <w:ind w:firstLine="840"/>
        <w:spacing w:line="440" w:lineRule="exact"/>
        <w:shd w:val="clear" w:color="auto" w:fill="ffffff"/>
        <w:widowControl/>
        <w:rPr>
          <w:color w:val="000000"/>
          <w:szCs w:val="21"/>
          <w:highlight w:val="none"/>
        </w:rPr>
      </w:pPr>
      <w:r>
        <w:rPr>
          <w:color w:val="000000"/>
          <w:szCs w:val="21"/>
          <w:highlight w:val="none"/>
        </w:rPr>
        <w:t xml:space="preserve">（1）※ 投标函（投标申请及声明）</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    （2）※开标一览表 </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    （3）分项报价表</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    （4）《商务条款偏离表》</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    （5）※《技术条款偏离表》</w:t>
      </w:r>
      <w:r>
        <w:rPr>
          <w:color w:val="000000"/>
          <w:szCs w:val="21"/>
          <w:highlight w:val="none"/>
        </w:rPr>
      </w:r>
      <w:r/>
    </w:p>
    <w:p>
      <w:pPr>
        <w:pStyle w:val="1166"/>
        <w:ind w:firstLine="840"/>
        <w:spacing w:line="440" w:lineRule="exact"/>
        <w:shd w:val="clear" w:color="auto" w:fill="ffffff"/>
        <w:widowControl/>
        <w:rPr>
          <w:color w:val="000000"/>
          <w:szCs w:val="21"/>
          <w:highlight w:val="none"/>
        </w:rPr>
      </w:pPr>
      <w:r>
        <w:rPr>
          <w:color w:val="000000"/>
          <w:szCs w:val="21"/>
          <w:highlight w:val="none"/>
        </w:rPr>
        <w:t xml:space="preserve">（6）政府采购政策</w:t>
      </w:r>
      <w:r>
        <w:rPr>
          <w:color w:val="000000"/>
          <w:szCs w:val="21"/>
          <w:highlight w:val="none"/>
        </w:rPr>
      </w:r>
      <w:r/>
    </w:p>
    <w:p>
      <w:pPr>
        <w:pStyle w:val="1166"/>
        <w:ind w:firstLine="840"/>
        <w:spacing w:line="440" w:lineRule="exact"/>
        <w:shd w:val="clear" w:color="auto" w:fill="ffffff"/>
        <w:widowControl/>
        <w:rPr>
          <w:color w:val="000000"/>
          <w:szCs w:val="21"/>
          <w:highlight w:val="none"/>
        </w:rPr>
      </w:pPr>
      <w:r>
        <w:rPr>
          <w:color w:val="000000"/>
          <w:szCs w:val="21"/>
          <w:highlight w:val="none"/>
        </w:rPr>
        <w:t xml:space="preserve">（7）供应商基本情况表</w:t>
      </w:r>
      <w:r>
        <w:rPr>
          <w:color w:val="000000"/>
          <w:szCs w:val="21"/>
          <w:highlight w:val="none"/>
        </w:rPr>
      </w:r>
      <w:r/>
    </w:p>
    <w:p>
      <w:pPr>
        <w:pStyle w:val="1166"/>
        <w:ind w:firstLine="840"/>
        <w:spacing w:line="440" w:lineRule="exact"/>
        <w:shd w:val="clear" w:color="auto" w:fill="ffffff"/>
        <w:widowControl/>
        <w:rPr>
          <w:color w:val="000000"/>
          <w:szCs w:val="21"/>
          <w:highlight w:val="none"/>
        </w:rPr>
      </w:pPr>
      <w:r>
        <w:rPr>
          <w:color w:val="000000"/>
          <w:szCs w:val="21"/>
          <w:highlight w:val="none"/>
        </w:rPr>
        <w:t xml:space="preserve">（8）※资格证明文件</w:t>
      </w:r>
      <w:r>
        <w:rPr>
          <w:color w:val="000000"/>
          <w:szCs w:val="21"/>
          <w:highlight w:val="none"/>
        </w:rPr>
      </w:r>
      <w:r/>
    </w:p>
    <w:p>
      <w:pPr>
        <w:pStyle w:val="1166"/>
        <w:ind w:firstLine="840"/>
        <w:spacing w:line="440" w:lineRule="exact"/>
        <w:shd w:val="clear" w:color="auto" w:fill="ffffff"/>
        <w:widowControl/>
        <w:rPr>
          <w:color w:val="000000"/>
          <w:szCs w:val="21"/>
          <w:highlight w:val="none"/>
        </w:rPr>
      </w:pPr>
      <w:r>
        <w:rPr>
          <w:color w:val="000000"/>
          <w:szCs w:val="21"/>
          <w:highlight w:val="none"/>
        </w:rPr>
        <w:t xml:space="preserve">（9）供应商认为需要提供的其他资料</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10.3 投标文件的商务部分：是证明供应商有资格参加投标和中标后有能力履行合同的文件，这些文件应能满足招标的要求。</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 </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10.5 投标文件的价格部分：</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（1）价格部分是对投标价格构成的说明，招标文件如没有特别说明的话，对每一项产品/服务仅接受一个价格。</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（2）报价应包含完成本项目发生的所有含税费用、支付给员工的工资和国家强制缴纳的各种社会保障资金，以及供应商认为需要的其他费用等。</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（4）供应商的报价包括但不仅限于人员费用（工资、福利、培训、体检、社会保险、加班费）、服务所用设备工具购置及维修费用、服务所用材料消耗费用、管理费用、利润、税金等费用。</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10.6 投标文件的其他部分：</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其他部分由供应商根据编制投标文件需要提供的其他相关文件。</w:t>
      </w:r>
      <w:r>
        <w:rPr>
          <w:color w:val="000000"/>
          <w:szCs w:val="21"/>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08" w:name="_Toc16768"/>
      <w:r>
        <w:rPr>
          <w:rFonts w:ascii="Times New Roman" w:eastAsia="宋体"/>
          <w:b/>
          <w:bCs/>
          <w:color w:val="000000"/>
          <w:sz w:val="21"/>
          <w:szCs w:val="21"/>
          <w:highlight w:val="none"/>
        </w:rPr>
        <w:t xml:space="preserve">11.投标保证金</w:t>
      </w:r>
      <w:bookmarkEnd w:id="106"/>
      <w:r/>
      <w:bookmarkEnd w:id="107"/>
      <w:r/>
      <w:bookmarkEnd w:id="108"/>
      <w:r>
        <w:rPr>
          <w:rFonts w:ascii="Times New Roman" w:eastAsia="宋体"/>
          <w:b/>
          <w:bCs/>
          <w:color w:val="000000"/>
          <w:sz w:val="21"/>
          <w:szCs w:val="21"/>
          <w:highlight w:val="none"/>
        </w:rPr>
      </w:r>
      <w:r/>
    </w:p>
    <w:p>
      <w:pPr>
        <w:pStyle w:val="1166"/>
        <w:ind w:firstLine="420"/>
        <w:spacing w:line="440" w:lineRule="exact"/>
        <w:shd w:val="clear" w:color="auto" w:fill="ffffff"/>
        <w:widowControl/>
        <w:rPr>
          <w:color w:val="000000"/>
          <w:szCs w:val="21"/>
          <w:highlight w:val="none"/>
        </w:rPr>
      </w:pPr>
      <w:r/>
      <w:bookmarkStart w:id="109" w:name="_Toc31206"/>
      <w:r>
        <w:rPr>
          <w:color w:val="000000"/>
          <w:szCs w:val="21"/>
          <w:highlight w:val="none"/>
        </w:rPr>
        <w:t xml:space="preserve">11.1作为投标文件的一部分，</w:t>
      </w:r>
      <w:r>
        <w:rPr>
          <w:color w:val="000000"/>
          <w:highlight w:val="none"/>
        </w:rPr>
        <w:t xml:space="preserve">供应商</w:t>
      </w:r>
      <w:r>
        <w:rPr>
          <w:color w:val="000000"/>
          <w:szCs w:val="21"/>
          <w:highlight w:val="none"/>
        </w:rPr>
        <w:t xml:space="preserve">应按照招标文件要求的数额和办法交纳投标保证金；投标保证金有效期应当与投标有效期一致。</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投标保证金金额：</w:t>
      </w:r>
      <w:r>
        <w:rPr>
          <w:b/>
          <w:bCs/>
          <w:color w:val="000000"/>
          <w:szCs w:val="21"/>
          <w:highlight w:val="none"/>
        </w:rPr>
        <w:t xml:space="preserve">详见</w:t>
      </w:r>
      <w:r>
        <w:rPr>
          <w:b/>
          <w:bCs/>
          <w:color w:val="000000"/>
          <w:highlight w:val="none"/>
        </w:rPr>
        <w:t xml:space="preserve">投标人</w:t>
      </w:r>
      <w:r>
        <w:rPr>
          <w:b/>
          <w:bCs/>
          <w:color w:val="000000"/>
          <w:szCs w:val="21"/>
          <w:highlight w:val="none"/>
        </w:rPr>
        <w:t xml:space="preserve">须知前附表</w:t>
      </w:r>
      <w:r>
        <w:rPr>
          <w:color w:val="000000"/>
          <w:szCs w:val="21"/>
          <w:highlight w:val="none"/>
        </w:rPr>
        <w:t xml:space="preserve">。</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11.3中标供应商的保证金将按要求缴纳招标代理服务费后在采购合同签订后五个工作日内退还。</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11.4发生下列情况之一，保证金将被没收：</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（1）中标供应商在中标后无正当理由不与采购人签订合同的；</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（2）</w:t>
      </w:r>
      <w:r>
        <w:rPr>
          <w:color w:val="000000"/>
          <w:szCs w:val="21"/>
          <w:highlight w:val="none"/>
          <w:lang w:val="zh-CN"/>
        </w:rPr>
        <w:t xml:space="preserve">投标有效期内撤回其投标的；</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（3）提供虚假材料谋取成交的；</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（4）采取不正当手段诋毁、排挤其他</w:t>
      </w:r>
      <w:r>
        <w:rPr>
          <w:color w:val="000000"/>
          <w:highlight w:val="none"/>
        </w:rPr>
        <w:t xml:space="preserve">供应商</w:t>
      </w:r>
      <w:r>
        <w:rPr>
          <w:color w:val="000000"/>
          <w:szCs w:val="21"/>
          <w:highlight w:val="none"/>
        </w:rPr>
        <w:t xml:space="preserve">的；</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（5）与采购人、采购代理机构或者其他</w:t>
      </w:r>
      <w:r>
        <w:rPr>
          <w:color w:val="000000"/>
          <w:highlight w:val="none"/>
        </w:rPr>
        <w:t xml:space="preserve">供应商</w:t>
      </w:r>
      <w:r>
        <w:rPr>
          <w:color w:val="000000"/>
          <w:szCs w:val="21"/>
          <w:highlight w:val="none"/>
        </w:rPr>
        <w:t xml:space="preserve">恶意串通的；</w:t>
      </w:r>
      <w:r>
        <w:rPr>
          <w:color w:val="000000"/>
          <w:szCs w:val="21"/>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（6）中标供应商在中标后将中标项目转让给他人，或者在投标文件中未说明，且未经采购人同意，将中标项目分包给他人的；</w:t>
      </w:r>
      <w:r>
        <w:rPr>
          <w:color w:val="000000"/>
          <w:szCs w:val="21"/>
          <w:highlight w:val="none"/>
        </w:rPr>
      </w:r>
      <w:r/>
    </w:p>
    <w:p>
      <w:pPr>
        <w:pStyle w:val="1166"/>
        <w:ind w:firstLine="420"/>
        <w:spacing w:line="440" w:lineRule="exact"/>
        <w:shd w:val="clear" w:color="auto" w:fill="ffffff"/>
        <w:widowControl/>
        <w:rPr>
          <w:bCs/>
          <w:color w:val="000000"/>
          <w:highlight w:val="none"/>
        </w:rPr>
      </w:pPr>
      <w:r>
        <w:rPr>
          <w:color w:val="000000"/>
          <w:szCs w:val="21"/>
          <w:highlight w:val="none"/>
        </w:rPr>
        <w:t xml:space="preserve">（7）中标供应商在中标后拒绝</w:t>
      </w:r>
      <w:r>
        <w:rPr>
          <w:bCs/>
          <w:color w:val="000000"/>
          <w:highlight w:val="none"/>
        </w:rPr>
        <w:t xml:space="preserve">履行合同义务的。</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10" w:name="_Toc2601"/>
      <w:r/>
      <w:bookmarkStart w:id="111" w:name="_Toc4696400"/>
      <w:r>
        <w:rPr>
          <w:rFonts w:ascii="Times New Roman" w:eastAsia="宋体"/>
          <w:b/>
          <w:bCs/>
          <w:color w:val="000000"/>
          <w:sz w:val="21"/>
          <w:szCs w:val="21"/>
          <w:highlight w:val="none"/>
        </w:rPr>
        <w:t xml:space="preserve">12.投标文件的有效期</w:t>
      </w:r>
      <w:bookmarkEnd w:id="109"/>
      <w:r/>
      <w:bookmarkEnd w:id="110"/>
      <w:r/>
      <w:bookmarkEnd w:id="111"/>
      <w:r>
        <w:rPr>
          <w:rFonts w:ascii="Times New Roman" w:eastAsia="宋体"/>
          <w:b/>
          <w:bCs/>
          <w:color w:val="000000"/>
          <w:sz w:val="21"/>
          <w:szCs w:val="21"/>
          <w:highlight w:val="none"/>
        </w:rPr>
      </w:r>
      <w:r/>
    </w:p>
    <w:p>
      <w:pPr>
        <w:pStyle w:val="1166"/>
        <w:ind w:firstLine="420"/>
        <w:jc w:val="left"/>
        <w:spacing w:line="440" w:lineRule="exact"/>
        <w:rPr>
          <w:bCs/>
          <w:color w:val="000000"/>
          <w:highlight w:val="none"/>
        </w:rPr>
      </w:pPr>
      <w:r/>
      <w:bookmarkStart w:id="112" w:name="_Toc6811"/>
      <w:r>
        <w:rPr>
          <w:bCs/>
          <w:color w:val="000000"/>
          <w:highlight w:val="none"/>
        </w:rPr>
        <w:t xml:space="preserve">12.1自开标之日起90天内，投标文件应保持有效，有效期短于此规定的投标文件将视为无效。</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13" w:name="_Toc686"/>
      <w:r/>
      <w:bookmarkStart w:id="114" w:name="_Toc4696401"/>
      <w:r>
        <w:rPr>
          <w:rFonts w:ascii="Times New Roman" w:eastAsia="宋体"/>
          <w:b/>
          <w:bCs/>
          <w:color w:val="000000"/>
          <w:sz w:val="21"/>
          <w:szCs w:val="21"/>
          <w:highlight w:val="none"/>
        </w:rPr>
        <w:t xml:space="preserve">13.投标文件的签署及其形式</w:t>
      </w:r>
      <w:bookmarkEnd w:id="112"/>
      <w:r/>
      <w:bookmarkEnd w:id="113"/>
      <w:r/>
      <w:bookmarkEnd w:id="114"/>
      <w:r>
        <w:rPr>
          <w:rFonts w:ascii="Times New Roman" w:eastAsia="宋体"/>
          <w:b/>
          <w:bCs/>
          <w:color w:val="000000"/>
          <w:sz w:val="21"/>
          <w:szCs w:val="21"/>
          <w:highlight w:val="none"/>
        </w:rPr>
      </w:r>
      <w:r/>
    </w:p>
    <w:p>
      <w:pPr>
        <w:pStyle w:val="1166"/>
        <w:ind w:firstLine="420"/>
        <w:spacing w:line="440" w:lineRule="exact"/>
        <w:rPr>
          <w:bCs/>
          <w:color w:val="000000"/>
          <w:highlight w:val="none"/>
        </w:rPr>
      </w:pPr>
      <w:r/>
      <w:bookmarkStart w:id="115" w:name="_Toc27455"/>
      <w:r>
        <w:rPr>
          <w:bCs/>
          <w:color w:val="000000"/>
          <w:highlight w:val="none"/>
        </w:rPr>
        <w:t xml:space="preserve">13.1投标文件的正本应用打印机或不褪色墨水书写，且经法定代表人或授权代表签署。</w:t>
      </w:r>
      <w:r>
        <w:rPr>
          <w:color w:val="000000"/>
          <w:sz w:val="24"/>
          <w:highlight w:val="none"/>
        </w:rPr>
        <w:t xml:space="preserve"> </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13.2投标文件应字迹清楚、内容齐全、不得涂改或增删。如有修改和增删，必须有供应商公章或法定代表人或其授权代表签字。因投标文件字迹潦草或表达不清所引起的不利后果由供应商承担。</w:t>
      </w:r>
      <w:r>
        <w:rPr>
          <w:bCs/>
          <w:color w:val="000000"/>
          <w:highlight w:val="none"/>
        </w:rPr>
      </w:r>
      <w:r/>
    </w:p>
    <w:p>
      <w:pPr>
        <w:pStyle w:val="1166"/>
        <w:ind w:firstLine="420"/>
        <w:spacing w:line="440" w:lineRule="exact"/>
        <w:shd w:val="clear" w:color="auto" w:fill="ffffff"/>
        <w:widowControl/>
        <w:rPr>
          <w:color w:val="000000"/>
          <w:szCs w:val="21"/>
          <w:highlight w:val="none"/>
        </w:rPr>
      </w:pPr>
      <w:r>
        <w:rPr>
          <w:bCs/>
          <w:color w:val="000000"/>
          <w:highlight w:val="none"/>
        </w:rPr>
        <w:t xml:space="preserve">13.3</w:t>
      </w:r>
      <w:r>
        <w:rPr>
          <w:color w:val="000000"/>
          <w:szCs w:val="21"/>
          <w:highlight w:val="none"/>
        </w:rPr>
        <w:t xml:space="preserve">供应商应按照招标文件所规定的内容顺序，</w:t>
      </w:r>
      <w:r>
        <w:rPr>
          <w:b/>
          <w:bCs/>
          <w:color w:val="000000"/>
          <w:szCs w:val="21"/>
          <w:highlight w:val="none"/>
        </w:rPr>
        <w:t xml:space="preserve">编制目录，逐页编码</w:t>
      </w:r>
      <w:r>
        <w:rPr>
          <w:color w:val="000000"/>
          <w:szCs w:val="21"/>
          <w:highlight w:val="none"/>
        </w:rPr>
        <w:t xml:space="preserve">。由于编排混乱导致投标文件被误读或查找不到，责任由供应商承担。</w:t>
      </w:r>
      <w:r>
        <w:rPr>
          <w:color w:val="000000"/>
          <w:szCs w:val="21"/>
          <w:highlight w:val="none"/>
        </w:rPr>
      </w:r>
      <w:r/>
    </w:p>
    <w:p>
      <w:pPr>
        <w:pStyle w:val="1166"/>
        <w:ind w:firstLine="420"/>
        <w:spacing w:line="440" w:lineRule="exact"/>
        <w:shd w:val="clear" w:color="auto" w:fill="ffffff"/>
        <w:widowControl/>
        <w:rPr>
          <w:b/>
          <w:bCs/>
          <w:color w:val="000000"/>
          <w:sz w:val="24"/>
          <w:highlight w:val="none"/>
        </w:rPr>
        <w:outlineLvl w:val="1"/>
      </w:pPr>
      <w:r/>
      <w:bookmarkStart w:id="116" w:name="_Toc21327"/>
      <w:r/>
      <w:bookmarkStart w:id="117" w:name="_Toc4696402"/>
      <w:r>
        <w:rPr>
          <w:b/>
          <w:bCs/>
          <w:color w:val="000000"/>
          <w:sz w:val="24"/>
          <w:highlight w:val="none"/>
        </w:rPr>
        <w:t xml:space="preserve">四、投标文件的递交</w:t>
      </w:r>
      <w:bookmarkEnd w:id="115"/>
      <w:r/>
      <w:bookmarkEnd w:id="116"/>
      <w:r/>
      <w:bookmarkEnd w:id="117"/>
      <w:r>
        <w:rPr>
          <w:b/>
          <w:bCs/>
          <w:color w:val="000000"/>
          <w:sz w:val="24"/>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18" w:name="_Toc4696403"/>
      <w:r/>
      <w:bookmarkStart w:id="119" w:name="_Toc24018"/>
      <w:r/>
      <w:bookmarkStart w:id="120" w:name="_Toc14201"/>
      <w:r>
        <w:rPr>
          <w:rFonts w:ascii="Times New Roman" w:eastAsia="宋体"/>
          <w:b/>
          <w:bCs/>
          <w:color w:val="000000"/>
          <w:sz w:val="21"/>
          <w:szCs w:val="21"/>
          <w:highlight w:val="none"/>
        </w:rPr>
        <w:t xml:space="preserve">14.投标文件的密封及标记</w:t>
      </w:r>
      <w:bookmarkEnd w:id="118"/>
      <w:r/>
      <w:bookmarkEnd w:id="119"/>
      <w:r/>
      <w:bookmarkEnd w:id="120"/>
      <w:r>
        <w:rPr>
          <w:rFonts w:ascii="Times New Roman" w:eastAsia="宋体"/>
          <w:b/>
          <w:bCs/>
          <w:color w:val="000000"/>
          <w:sz w:val="21"/>
          <w:szCs w:val="21"/>
          <w:highlight w:val="none"/>
        </w:rPr>
      </w:r>
      <w:r/>
    </w:p>
    <w:p>
      <w:pPr>
        <w:pStyle w:val="1166"/>
        <w:ind w:firstLine="420"/>
        <w:spacing w:line="440" w:lineRule="exact"/>
        <w:rPr>
          <w:b/>
          <w:color w:val="000000"/>
          <w:sz w:val="30"/>
          <w:highlight w:val="none"/>
        </w:rPr>
      </w:pPr>
      <w:r/>
      <w:bookmarkStart w:id="121" w:name="_Toc21766"/>
      <w:r>
        <w:rPr>
          <w:bCs/>
          <w:color w:val="000000"/>
          <w:szCs w:val="22"/>
          <w:highlight w:val="none"/>
        </w:rPr>
        <w:t xml:space="preserve">14.1电子投标文件的递交：投标人应当按照《操作手册》规定，在投标截止时间前制作并上传电子投标文件</w:t>
      </w:r>
      <w:r>
        <w:rPr>
          <w:bCs/>
          <w:color w:val="000000"/>
          <w:highlight w:val="none"/>
        </w:rPr>
        <w:t xml:space="preserve">。</w:t>
      </w:r>
      <w:r>
        <w:rPr>
          <w:b/>
          <w:color w:val="000000"/>
          <w:sz w:val="28"/>
          <w:szCs w:val="28"/>
          <w:highlight w:val="none"/>
        </w:rPr>
        <w:t xml:space="preserve"> </w:t>
      </w:r>
      <w:r>
        <w:rPr>
          <w:b/>
          <w:color w:val="000000"/>
          <w:sz w:val="30"/>
          <w:highlight w:val="none"/>
        </w:rPr>
      </w:r>
      <w:r/>
    </w:p>
    <w:p>
      <w:pPr>
        <w:pStyle w:val="1166"/>
        <w:ind w:firstLine="420"/>
        <w:spacing w:line="440" w:lineRule="exact"/>
        <w:rPr>
          <w:bCs/>
          <w:color w:val="000000"/>
          <w:highlight w:val="none"/>
        </w:rPr>
      </w:pPr>
      <w:r>
        <w:rPr>
          <w:bCs/>
          <w:color w:val="000000"/>
          <w:szCs w:val="22"/>
          <w:highlight w:val="none"/>
        </w:rPr>
        <w:t xml:space="preserve">14.2 投标文件的解密：开标当天各供应商及时登录不见面开标大厅，投标文件递交截止时间后，采购人将在系统内公布供应商名单，然后</w:t>
      </w:r>
      <w:r>
        <w:rPr>
          <w:bCs/>
          <w:color w:val="000000"/>
          <w:szCs w:val="22"/>
          <w:highlight w:val="none"/>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bCs/>
          <w:color w:val="000000"/>
          <w:highlight w:val="none"/>
        </w:rPr>
        <w:t xml:space="preserve">。</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22" w:name="_Toc4696404"/>
      <w:r/>
      <w:bookmarkStart w:id="123" w:name="_Toc2118"/>
      <w:r>
        <w:rPr>
          <w:rFonts w:ascii="Times New Roman" w:eastAsia="宋体"/>
          <w:b/>
          <w:bCs/>
          <w:color w:val="000000"/>
          <w:sz w:val="21"/>
          <w:szCs w:val="21"/>
          <w:highlight w:val="none"/>
        </w:rPr>
        <w:t xml:space="preserve">15.投标的截止日期</w:t>
      </w:r>
      <w:bookmarkEnd w:id="121"/>
      <w:r/>
      <w:bookmarkEnd w:id="122"/>
      <w:r/>
      <w:bookmarkEnd w:id="123"/>
      <w:r>
        <w:rPr>
          <w:rFonts w:ascii="Times New Roman" w:eastAsia="宋体"/>
          <w:b/>
          <w:bCs/>
          <w:color w:val="000000"/>
          <w:sz w:val="21"/>
          <w:szCs w:val="21"/>
          <w:highlight w:val="none"/>
        </w:rPr>
      </w:r>
      <w:r/>
    </w:p>
    <w:p>
      <w:pPr>
        <w:pStyle w:val="1166"/>
        <w:ind w:firstLine="420"/>
        <w:spacing w:line="440" w:lineRule="exact"/>
        <w:rPr>
          <w:bCs/>
          <w:color w:val="000000"/>
          <w:highlight w:val="none"/>
        </w:rPr>
      </w:pPr>
      <w:r/>
      <w:bookmarkStart w:id="124" w:name="_Toc32673"/>
      <w:r>
        <w:rPr>
          <w:bCs/>
          <w:color w:val="000000"/>
          <w:highlight w:val="none"/>
        </w:rPr>
        <w:t xml:space="preserve">15.1 投标人上传电子投标文件的时间不得迟于招标公告中规定的投标截止时间。</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投标人应充分考虑到网络环境、网络带宽等风险因素，如因投标人自身原因造成的电子投标文件上传不成功的做无效投标处理。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15.2 采购人可以按照规定，通过修改招标文件酌情延长投标截止时间，在此情况下，投标人的所有权利和义务以及投标人受制的截止时间均应以延长后新的截止时间为准。</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End w:id="124"/>
      <w:r/>
      <w:bookmarkStart w:id="125" w:name="_Toc4696405"/>
      <w:r/>
      <w:bookmarkStart w:id="126" w:name="_Toc14422"/>
      <w:r/>
      <w:bookmarkStart w:id="127" w:name="_Toc10963"/>
      <w:r/>
      <w:bookmarkStart w:id="128" w:name="_Toc11617"/>
      <w:r/>
      <w:bookmarkStart w:id="129" w:name="_Toc6201"/>
      <w:r>
        <w:rPr>
          <w:rFonts w:ascii="Times New Roman" w:eastAsia="宋体"/>
          <w:b/>
          <w:bCs/>
          <w:color w:val="000000"/>
          <w:sz w:val="21"/>
          <w:szCs w:val="21"/>
          <w:highlight w:val="none"/>
        </w:rPr>
        <w:t xml:space="preserve">16.</w:t>
      </w:r>
      <w:bookmarkEnd w:id="125"/>
      <w:r/>
      <w:bookmarkEnd w:id="126"/>
      <w:r/>
      <w:bookmarkEnd w:id="127"/>
      <w:r>
        <w:rPr>
          <w:rFonts w:ascii="Times New Roman" w:eastAsia="宋体"/>
          <w:b/>
          <w:bCs/>
          <w:color w:val="000000"/>
          <w:sz w:val="21"/>
          <w:szCs w:val="21"/>
          <w:highlight w:val="none"/>
        </w:rPr>
        <w:t xml:space="preserve">投标文件的拒收</w:t>
      </w:r>
      <w:bookmarkEnd w:id="128"/>
      <w:r>
        <w:rPr>
          <w:rFonts w:ascii="Times New Roman" w:eastAsia="宋体"/>
          <w:b/>
          <w:bCs/>
          <w:color w:val="000000"/>
          <w:sz w:val="21"/>
          <w:szCs w:val="21"/>
          <w:highlight w:val="none"/>
        </w:rPr>
      </w:r>
      <w:r/>
    </w:p>
    <w:p>
      <w:pPr>
        <w:pStyle w:val="1166"/>
        <w:spacing w:line="440" w:lineRule="exact"/>
        <w:rPr>
          <w:bCs/>
          <w:color w:val="000000"/>
          <w:highlight w:val="none"/>
        </w:rPr>
      </w:pPr>
      <w:r>
        <w:rPr>
          <w:bCs/>
          <w:color w:val="000000"/>
          <w:highlight w:val="none"/>
        </w:rPr>
        <w:t xml:space="preserve">    采购人拒绝接收在其规定的投标截止时间后上传的任何投标文件。</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End w:id="129"/>
      <w:r/>
      <w:bookmarkStart w:id="130" w:name="_Toc32211"/>
      <w:r/>
      <w:bookmarkStart w:id="131" w:name="_Toc2398"/>
      <w:r/>
      <w:bookmarkStart w:id="132" w:name="_Toc27692"/>
      <w:r/>
      <w:bookmarkStart w:id="133" w:name="_Toc4696406"/>
      <w:r/>
      <w:bookmarkStart w:id="134" w:name="_Toc16938545"/>
      <w:r/>
      <w:bookmarkStart w:id="135" w:name="_Toc120614218"/>
      <w:r/>
      <w:bookmarkStart w:id="136" w:name="_Toc513029229"/>
      <w:r/>
      <w:bookmarkStart w:id="137" w:name="_Toc24233"/>
      <w:r/>
      <w:bookmarkStart w:id="138" w:name="_Toc20823301"/>
      <w:r>
        <w:rPr>
          <w:rFonts w:ascii="Times New Roman" w:eastAsia="宋体"/>
          <w:b/>
          <w:bCs/>
          <w:color w:val="000000"/>
          <w:sz w:val="21"/>
          <w:szCs w:val="21"/>
          <w:highlight w:val="none"/>
        </w:rPr>
        <w:t xml:space="preserve">17.投标文件的修改或撤回</w:t>
      </w:r>
      <w:bookmarkEnd w:id="130"/>
      <w:r/>
      <w:bookmarkEnd w:id="131"/>
      <w:r/>
      <w:bookmarkEnd w:id="132"/>
      <w:r/>
      <w:bookmarkEnd w:id="133"/>
      <w:r>
        <w:rPr>
          <w:rFonts w:ascii="Times New Roman" w:eastAsia="宋体"/>
          <w:b/>
          <w:bCs/>
          <w:color w:val="000000"/>
          <w:sz w:val="21"/>
          <w:szCs w:val="21"/>
          <w:highlight w:val="none"/>
        </w:rPr>
      </w:r>
      <w:r/>
    </w:p>
    <w:p>
      <w:pPr>
        <w:pStyle w:val="1166"/>
        <w:ind w:firstLine="420"/>
        <w:spacing w:line="440" w:lineRule="exact"/>
        <w:rPr>
          <w:bCs/>
          <w:color w:val="000000"/>
          <w:highlight w:val="none"/>
        </w:rPr>
      </w:pPr>
      <w:r>
        <w:rPr>
          <w:bCs/>
          <w:color w:val="000000"/>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17.1 投标文件的撤回</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17.1.1 电子投标文件的撤回</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投标人可在投标截止时间前，撤回其电子投标文件，具体操作方法见《操作手册》。</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17.1.2 投标人撤回电子投标文件，则认为其不再参与本项目投标活动。</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17.2 投标文件的修改</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17.2.1投标人可在投标截止时间前，对其电子投标文件进行修改，具体操作方法见《操作手册》。</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17.2.2 在投标截止时间之后，投标人不得对其电子投标文件作任何修改。</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17.3 在投标截止时间至招标文件中规定的投标有效期满之间的这段时间内，投标人不得撤回其投标。</w:t>
      </w:r>
      <w:r>
        <w:rPr>
          <w:bCs/>
          <w:color w:val="000000"/>
          <w:highlight w:val="none"/>
        </w:rPr>
      </w:r>
      <w:r/>
    </w:p>
    <w:p>
      <w:pPr>
        <w:pStyle w:val="1166"/>
        <w:ind w:firstLine="420"/>
        <w:spacing w:line="440" w:lineRule="exact"/>
        <w:shd w:val="clear" w:color="auto" w:fill="ffffff"/>
        <w:widowControl/>
        <w:rPr>
          <w:b/>
          <w:bCs/>
          <w:color w:val="000000"/>
          <w:sz w:val="24"/>
          <w:highlight w:val="none"/>
        </w:rPr>
        <w:outlineLvl w:val="1"/>
      </w:pPr>
      <w:r/>
      <w:bookmarkStart w:id="139" w:name="_Toc10608"/>
      <w:r/>
      <w:bookmarkStart w:id="140" w:name="_Toc4696407"/>
      <w:r>
        <w:rPr>
          <w:b/>
          <w:bCs/>
          <w:color w:val="000000"/>
          <w:sz w:val="24"/>
          <w:highlight w:val="none"/>
        </w:rPr>
        <w:t xml:space="preserve">五、开标与评标</w:t>
      </w:r>
      <w:bookmarkEnd w:id="134"/>
      <w:r/>
      <w:bookmarkEnd w:id="135"/>
      <w:r/>
      <w:bookmarkEnd w:id="136"/>
      <w:r/>
      <w:bookmarkEnd w:id="137"/>
      <w:r/>
      <w:bookmarkEnd w:id="138"/>
      <w:r/>
      <w:bookmarkEnd w:id="139"/>
      <w:r/>
      <w:bookmarkEnd w:id="140"/>
      <w:r>
        <w:rPr>
          <w:b/>
          <w:bCs/>
          <w:color w:val="000000"/>
          <w:sz w:val="24"/>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41" w:name="_Toc11083"/>
      <w:r/>
      <w:bookmarkStart w:id="142" w:name="_Toc3679"/>
      <w:r/>
      <w:bookmarkStart w:id="143" w:name="_Toc13829"/>
      <w:r/>
      <w:bookmarkStart w:id="144" w:name="_Toc4696408"/>
      <w:r/>
      <w:bookmarkStart w:id="145" w:name="_Toc15345"/>
      <w:r/>
      <w:bookmarkStart w:id="146" w:name="OLE_LINK3"/>
      <w:r/>
      <w:bookmarkStart w:id="147" w:name="OLE_LINK7"/>
      <w:r/>
      <w:bookmarkStart w:id="148" w:name="_Toc6944"/>
      <w:r>
        <w:rPr>
          <w:rFonts w:ascii="Times New Roman" w:eastAsia="宋体"/>
          <w:b/>
          <w:bCs/>
          <w:color w:val="000000"/>
          <w:sz w:val="21"/>
          <w:szCs w:val="21"/>
          <w:highlight w:val="none"/>
        </w:rPr>
        <w:t xml:space="preserve">18.开标</w:t>
      </w:r>
      <w:bookmarkEnd w:id="141"/>
      <w:r/>
      <w:bookmarkEnd w:id="142"/>
      <w:r/>
      <w:bookmarkEnd w:id="143"/>
      <w:r/>
      <w:bookmarkEnd w:id="144"/>
      <w:r/>
      <w:bookmarkEnd w:id="145"/>
      <w:r>
        <w:rPr>
          <w:rFonts w:ascii="Times New Roman" w:eastAsia="宋体"/>
          <w:b/>
          <w:bCs/>
          <w:color w:val="000000"/>
          <w:sz w:val="21"/>
          <w:szCs w:val="21"/>
          <w:highlight w:val="none"/>
        </w:rPr>
      </w:r>
      <w:r/>
    </w:p>
    <w:p>
      <w:pPr>
        <w:pStyle w:val="1166"/>
        <w:ind w:firstLine="420"/>
        <w:spacing w:line="440" w:lineRule="exact"/>
        <w:rPr>
          <w:bCs/>
          <w:color w:val="000000"/>
          <w:highlight w:val="none"/>
        </w:rPr>
      </w:pPr>
      <w:r/>
      <w:bookmarkEnd w:id="146"/>
      <w:r/>
      <w:bookmarkEnd w:id="147"/>
      <w:r>
        <w:rPr>
          <w:bCs/>
          <w:color w:val="000000"/>
          <w:highlight w:val="none"/>
        </w:rPr>
        <w:t xml:space="preserve">18.1采购人将在招标公告中规定的时间和地点组织公开开标。投标人应当按照《操作手册》规定，参加开标活动和在苏采云系统规定的时间内对投标文件进行解密。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18.2开标仪式由采购人组织。苏采云系统将自动对项目进行开标，并宣布各投标人名称和投标价格。</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18.3投标人在开标过程中涉及到的投标文件解密、开标结果确认等工作，应按照《操作手册》规定执行。</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18.4投标人如果对开标过程和开标记录有疑义，应当根据《操作手册》规定提出，如 苏采云系统中《开标记录表》宣布后5分钟内未提出的，视同认可开标结果。</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End w:id="148"/>
      <w:r/>
      <w:bookmarkStart w:id="149" w:name="_Toc17652"/>
      <w:r/>
      <w:bookmarkStart w:id="150" w:name="_Toc4696409"/>
      <w:r/>
      <w:bookmarkStart w:id="151" w:name="_Toc29284"/>
      <w:r/>
      <w:bookmarkStart w:id="152" w:name="_Toc513029231"/>
      <w:r/>
      <w:bookmarkStart w:id="153" w:name="_Toc16938547"/>
      <w:r/>
      <w:bookmarkStart w:id="154" w:name="_Toc20823303"/>
      <w:r>
        <w:rPr>
          <w:rFonts w:ascii="Times New Roman" w:eastAsia="宋体"/>
          <w:b/>
          <w:bCs/>
          <w:color w:val="000000"/>
          <w:sz w:val="21"/>
          <w:szCs w:val="21"/>
          <w:highlight w:val="none"/>
        </w:rPr>
        <w:t xml:space="preserve">19.评标组织</w:t>
      </w:r>
      <w:bookmarkEnd w:id="149"/>
      <w:r/>
      <w:bookmarkEnd w:id="150"/>
      <w:r>
        <w:rPr>
          <w:rFonts w:ascii="Times New Roman" w:eastAsia="宋体"/>
          <w:b/>
          <w:bCs/>
          <w:color w:val="000000"/>
          <w:sz w:val="21"/>
          <w:szCs w:val="21"/>
          <w:highlight w:val="none"/>
        </w:rPr>
      </w:r>
      <w:r/>
    </w:p>
    <w:p>
      <w:pPr>
        <w:pStyle w:val="1166"/>
        <w:ind w:firstLine="420"/>
        <w:spacing w:line="440" w:lineRule="exact"/>
        <w:rPr>
          <w:bCs/>
          <w:color w:val="000000"/>
          <w:highlight w:val="none"/>
        </w:rPr>
      </w:pPr>
      <w:r>
        <w:rPr>
          <w:bCs/>
          <w:color w:val="000000"/>
          <w:highlight w:val="none"/>
        </w:rPr>
        <w:t xml:space="preserve">19.1评标工作由采购代理机构负责组织，具体评标事务由依法组建的评标委员会负责，并独立履行下列职责：</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（1）审查、评价投标文件是否符合招标文件的商务、技术等实质性要求；</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（2）要求供应商对投标文件有关事项作出澄清或者说明；</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（3）对投标文件进行比较和评价；</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（4）确定中标候选人名单，以及根据采购人委托直接确定中标供应商；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（5）向采购人、采购代理机构或者有关部门报告评标中发现的违法行为。</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19.2评标委员会由采购人代表和有关技术、经济等方面的专家组成，独立开展评审工作且评标委员会人员构成符合有关规定。</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End w:id="151"/>
      <w:r/>
      <w:bookmarkEnd w:id="152"/>
      <w:r/>
      <w:bookmarkEnd w:id="153"/>
      <w:r/>
      <w:bookmarkEnd w:id="154"/>
      <w:r/>
      <w:bookmarkStart w:id="155" w:name="_Toc862"/>
      <w:r/>
      <w:bookmarkStart w:id="156" w:name="_Toc21772"/>
      <w:r/>
      <w:bookmarkStart w:id="157" w:name="_Toc2559"/>
      <w:r/>
      <w:bookmarkStart w:id="158" w:name="_Toc4696410"/>
      <w:r/>
      <w:bookmarkStart w:id="159" w:name="_Toc16496"/>
      <w:r>
        <w:rPr>
          <w:rFonts w:ascii="Times New Roman" w:eastAsia="宋体"/>
          <w:b/>
          <w:bCs/>
          <w:color w:val="000000"/>
          <w:sz w:val="21"/>
          <w:szCs w:val="21"/>
          <w:highlight w:val="none"/>
        </w:rPr>
        <w:t xml:space="preserve">20.</w:t>
      </w:r>
      <w:bookmarkEnd w:id="155"/>
      <w:r/>
      <w:bookmarkEnd w:id="156"/>
      <w:r>
        <w:rPr>
          <w:rFonts w:ascii="Times New Roman" w:eastAsia="宋体"/>
          <w:b/>
          <w:bCs/>
          <w:color w:val="000000"/>
          <w:sz w:val="21"/>
          <w:szCs w:val="21"/>
          <w:highlight w:val="none"/>
        </w:rPr>
        <w:t xml:space="preserve">对投标文件的资格性审查和符合性审查</w:t>
      </w:r>
      <w:bookmarkEnd w:id="157"/>
      <w:r/>
      <w:bookmarkEnd w:id="158"/>
      <w:r>
        <w:rPr>
          <w:rFonts w:ascii="Times New Roman" w:eastAsia="宋体"/>
          <w:b/>
          <w:bCs/>
          <w:color w:val="000000"/>
          <w:sz w:val="21"/>
          <w:szCs w:val="21"/>
          <w:highlight w:val="none"/>
        </w:rPr>
      </w:r>
      <w:r/>
    </w:p>
    <w:p>
      <w:pPr>
        <w:pStyle w:val="1166"/>
        <w:ind w:firstLine="420"/>
        <w:spacing w:line="440" w:lineRule="exact"/>
        <w:rPr>
          <w:bCs/>
          <w:color w:val="000000"/>
          <w:highlight w:val="none"/>
        </w:rPr>
      </w:pPr>
      <w:r>
        <w:rPr>
          <w:bCs/>
          <w:color w:val="000000"/>
          <w:highlight w:val="none"/>
        </w:rPr>
        <w:t xml:space="preserve">20.1投标文件初审分为资格性审查和符合性审查。</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资格性审查：采购人或者采购代理机构依据法律法规和招标文件的规定，对投标文件中</w:t>
      </w:r>
      <w:r>
        <w:rPr>
          <w:b/>
          <w:color w:val="000000"/>
          <w:highlight w:val="none"/>
        </w:rPr>
        <w:t xml:space="preserve">资格证明、投标保证金（如有）</w:t>
      </w:r>
      <w:r>
        <w:rPr>
          <w:bCs/>
          <w:color w:val="000000"/>
          <w:highlight w:val="none"/>
        </w:rPr>
        <w:t xml:space="preserve">等进行审查，以确定供应商是否具备投标资格。</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符合性检查：依据招标文件的规定，从投标文件的有效性（签署情况等）、完整性和对招标文件的响应程度（是否存在重大负偏离等）进行审查，以确定是否对招标文件的实质性要求作出响应。</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20.3未实质性响应招标文件要求的将视为无效投标，供应商不得通过修正或撤销不符合要求的偏离从而使其投标成为实质性响应。如发现下列情况之一的，将视为无效投标：</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（1）未按照招标文件规定要求密封、签署、盖章的；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（2）投标有效期不足的；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（3）不同供应商的投标文件由同一单位或者个人编制；</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（4）不同供应商委托同一单位或者个人办理投标事宜；</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（5）不同供应商的投标文件载明的项目管理成员或者联系人员为同一人；</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（6）不同供应商的投标文件异常一致或者投标报价呈规律性差异；</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（7）不同供应商的投标文件相互混装；</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（8）不同供应商的投标保证金从同一单位或者个人的账户转出；</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（9）报价超过招标文件中规定的项目预算或者最高限价的；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（10）投标文件含有采购人不能接受的附加条件的；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（11）不同供应商的法定代表人或委托代理人有夫妻、直系血亲关系的；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（12）不同供应商的负责人为同一人或者存在控股、管理关系的；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（13）法律、法规和招标文件规定的其他无效情形。</w:t>
      </w:r>
      <w:r>
        <w:rPr>
          <w:bCs/>
          <w:color w:val="000000"/>
          <w:highlight w:val="none"/>
        </w:rPr>
      </w:r>
      <w:r/>
    </w:p>
    <w:p>
      <w:pPr>
        <w:pStyle w:val="1166"/>
        <w:ind w:firstLine="422"/>
        <w:spacing w:line="440" w:lineRule="exact"/>
        <w:rPr>
          <w:b/>
          <w:color w:val="000000"/>
          <w:highlight w:val="none"/>
        </w:rPr>
      </w:pPr>
      <w:r>
        <w:rPr>
          <w:b/>
          <w:color w:val="000000"/>
          <w:highlight w:val="none"/>
        </w:rPr>
        <w:t xml:space="preserve">20.4评标委员会在初审中，对明显的文字和算术错误的修正原则如下：</w:t>
      </w:r>
      <w:r>
        <w:rPr>
          <w:b/>
          <w:color w:val="000000"/>
          <w:highlight w:val="none"/>
        </w:rPr>
      </w:r>
      <w:r/>
    </w:p>
    <w:p>
      <w:pPr>
        <w:pStyle w:val="1166"/>
        <w:ind w:firstLine="420"/>
        <w:spacing w:line="440" w:lineRule="exact"/>
        <w:rPr>
          <w:bCs/>
          <w:color w:val="000000"/>
          <w:highlight w:val="none"/>
        </w:rPr>
      </w:pPr>
      <w:r>
        <w:rPr>
          <w:bCs/>
          <w:color w:val="000000"/>
          <w:highlight w:val="none"/>
        </w:rPr>
        <w:t xml:space="preserve">（1）《开标一览表》（报价表）内容与投标文件中相应内容不一致的，以《开标一览表》（报价表）为准；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（2）投标文件的大写金额与小写金额不一致的，以大写金额为准；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（3）总价金额与单价金额不一致的，以单价金额计算结果为准；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（4）单价金额小数点有明显错位的，以总价金额为准，并修改单价金额；</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（5）对不同文字文本投标文件的解释发生异议的，以中文文本为准；如果正本投标文件和副本投标文件之间有差异，则以正本投标文件为准。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同时出现两种以上不一致的，按照前款规定的顺序修正。修正后的报价由法定代表人或其授权的代表签字确认后产生约束力，供应商不确认的，投标无效。</w:t>
      </w:r>
      <w:r>
        <w:rPr>
          <w:bCs/>
          <w:color w:val="000000"/>
          <w:highlight w:val="none"/>
        </w:rPr>
      </w:r>
      <w:r/>
    </w:p>
    <w:p>
      <w:pPr>
        <w:pStyle w:val="1166"/>
        <w:ind w:firstLine="422"/>
        <w:spacing w:line="440" w:lineRule="exact"/>
        <w:rPr>
          <w:b/>
          <w:color w:val="000000"/>
          <w:szCs w:val="21"/>
          <w:highlight w:val="none"/>
        </w:rPr>
      </w:pPr>
      <w:r>
        <w:rPr>
          <w:b/>
          <w:color w:val="000000"/>
          <w:highlight w:val="none"/>
        </w:rPr>
        <w:t xml:space="preserve">20.5</w:t>
      </w:r>
      <w:r>
        <w:rPr>
          <w:b/>
          <w:color w:val="000000"/>
          <w:szCs w:val="21"/>
          <w:highlight w:val="none"/>
        </w:rPr>
        <w:t xml:space="preserve">招标文件中标注“★”的内容为实质性要求，有一项不符合的，作无效投标处理；标注</w:t>
      </w:r>
      <w:r>
        <w:rPr>
          <w:b/>
          <w:bCs/>
          <w:color w:val="000000"/>
          <w:szCs w:val="21"/>
          <w:highlight w:val="none"/>
        </w:rPr>
        <w:t xml:space="preserve">“▲”</w:t>
      </w:r>
      <w:r>
        <w:rPr>
          <w:b/>
          <w:color w:val="000000"/>
          <w:szCs w:val="21"/>
          <w:highlight w:val="none"/>
        </w:rPr>
        <w:t xml:space="preserve">的为重要参数；供应商必须在投标文件内提供技术支持资料（具体以第三章评标标准要求为准）</w:t>
      </w:r>
      <w:r>
        <w:rPr>
          <w:b/>
          <w:color w:val="000000"/>
          <w:szCs w:val="21"/>
          <w:highlight w:val="none"/>
        </w:rPr>
        <w:t xml:space="preserve">。</w:t>
      </w:r>
      <w:r>
        <w:rPr>
          <w:b/>
          <w:color w:val="000000"/>
          <w:szCs w:val="21"/>
          <w:highlight w:val="none"/>
        </w:rPr>
      </w:r>
      <w:r/>
    </w:p>
    <w:p>
      <w:pPr>
        <w:pStyle w:val="1166"/>
        <w:ind w:firstLine="420"/>
        <w:spacing w:line="440" w:lineRule="exact"/>
        <w:rPr>
          <w:bCs/>
          <w:color w:val="000000"/>
          <w:highlight w:val="none"/>
        </w:rPr>
      </w:pPr>
      <w:r>
        <w:rPr>
          <w:bCs/>
          <w:color w:val="000000"/>
          <w:highlight w:val="none"/>
        </w:rPr>
        <w:t xml:space="preserve">20.6</w:t>
      </w:r>
      <w:r>
        <w:rPr>
          <w:bCs/>
          <w:color w:val="000000"/>
          <w:szCs w:val="21"/>
          <w:highlight w:val="none"/>
        </w:rPr>
        <w:t xml:space="preserve">供应商递交的投标（响应）文件，所有内容均应真实有效；供应商所提供的产品或服务，必须满足国家相关强制性规定要求（如 CCC 认证、医疗器械注册证、电器电子产品有害物质限制使用标识等）， 由于供应商违反国家相关强制性规定给采购人造成损失，一切责任和后果均由供应商承担</w:t>
      </w:r>
      <w:r>
        <w:rPr>
          <w:bCs/>
          <w:color w:val="000000"/>
          <w:highlight w:val="none"/>
        </w:rPr>
        <w:t xml:space="preserve">。</w:t>
      </w:r>
      <w:r>
        <w:rPr>
          <w:bCs/>
          <w:color w:val="000000"/>
          <w:highlight w:val="none"/>
        </w:rPr>
      </w:r>
      <w:r/>
    </w:p>
    <w:p>
      <w:pPr>
        <w:pStyle w:val="1166"/>
        <w:ind w:firstLine="422"/>
        <w:spacing w:line="440" w:lineRule="exact"/>
        <w:rPr>
          <w:b/>
          <w:color w:val="000000"/>
          <w:szCs w:val="21"/>
          <w:highlight w:val="none"/>
        </w:rPr>
      </w:pPr>
      <w:r/>
      <w:bookmarkEnd w:id="159"/>
      <w:r/>
      <w:bookmarkStart w:id="160" w:name="_Toc4696411"/>
      <w:r/>
      <w:bookmarkStart w:id="161" w:name="_Toc13685"/>
      <w:r>
        <w:rPr>
          <w:b/>
          <w:bCs/>
          <w:color w:val="000000"/>
          <w:szCs w:val="21"/>
          <w:highlight w:val="none"/>
        </w:rPr>
        <w:t xml:space="preserve">20.7</w:t>
      </w:r>
      <w:r>
        <w:rPr>
          <w:b/>
          <w:color w:val="000000"/>
          <w:szCs w:val="21"/>
          <w:highlight w:val="none"/>
        </w:rPr>
        <w:t xml:space="preserve">在评审过程中，若出现下列情形之一的，评审委员会将启动异常低价响应审查程序，要求相关供应商在规定时间内对响应价格作出解释，提供项目具体成本测算等与报价合理性相关的书面说明及必要的证明材料，包括但不限于原材料成本、人工成本、制造费用等。如供应商不能提供书面说明、证明材料，或者提供的书面说明、证明材料不能证明其报价合理性，未能获得评审委员会认可的，其响应文件将作响应无效处理：</w:t>
      </w:r>
      <w:r>
        <w:rPr>
          <w:b/>
          <w:color w:val="000000"/>
          <w:szCs w:val="21"/>
          <w:highlight w:val="none"/>
        </w:rPr>
      </w:r>
      <w:r/>
    </w:p>
    <w:p>
      <w:pPr>
        <w:pStyle w:val="1166"/>
        <w:ind w:firstLine="422"/>
        <w:spacing w:line="440" w:lineRule="exact"/>
        <w:rPr>
          <w:b/>
          <w:color w:val="000000"/>
          <w:szCs w:val="21"/>
          <w:highlight w:val="none"/>
        </w:rPr>
      </w:pPr>
      <w:r>
        <w:rPr>
          <w:b/>
          <w:color w:val="000000"/>
          <w:szCs w:val="21"/>
          <w:highlight w:val="none"/>
        </w:rPr>
        <w:t xml:space="preserve">（1）响应报价低于全部通过符合性审查供应商响应报价平均值50%的，即响应报价&lt;全部通过符合性审查供应商响应报价平均值×50%；</w:t>
      </w:r>
      <w:r>
        <w:rPr>
          <w:b/>
          <w:color w:val="000000"/>
          <w:szCs w:val="21"/>
          <w:highlight w:val="none"/>
        </w:rPr>
      </w:r>
      <w:r/>
    </w:p>
    <w:p>
      <w:pPr>
        <w:pStyle w:val="1166"/>
        <w:ind w:firstLine="422"/>
        <w:spacing w:line="440" w:lineRule="exact"/>
        <w:rPr>
          <w:b/>
          <w:color w:val="000000"/>
          <w:szCs w:val="21"/>
          <w:highlight w:val="none"/>
        </w:rPr>
      </w:pPr>
      <w:r>
        <w:rPr>
          <w:b/>
          <w:color w:val="000000"/>
          <w:szCs w:val="21"/>
          <w:highlight w:val="none"/>
        </w:rPr>
        <w:t xml:space="preserve">（2）响应报价低于通过符合性审查的次低报价供应商响应报价50%的，即响应报价&lt;通过符合性审查的次低报价供应商响应报价×50%；</w:t>
      </w:r>
      <w:r>
        <w:rPr>
          <w:b/>
          <w:color w:val="000000"/>
          <w:szCs w:val="21"/>
          <w:highlight w:val="none"/>
        </w:rPr>
      </w:r>
      <w:r/>
    </w:p>
    <w:p>
      <w:pPr>
        <w:pStyle w:val="1166"/>
        <w:ind w:firstLine="422"/>
        <w:spacing w:line="440" w:lineRule="exact"/>
        <w:rPr>
          <w:b/>
          <w:color w:val="000000"/>
          <w:szCs w:val="21"/>
          <w:highlight w:val="none"/>
        </w:rPr>
      </w:pPr>
      <w:r>
        <w:rPr>
          <w:b/>
          <w:color w:val="000000"/>
          <w:szCs w:val="21"/>
          <w:highlight w:val="none"/>
        </w:rPr>
        <w:t xml:space="preserve">（3）响应报价低于采购项目最高限价45%的，即响应报价&lt;采购项目最高限价×45%（属于该情形，且供应商已随响应文件一并提交相关书面说明及必要的证明材料的，在评审现场可不再重复提交）；</w:t>
      </w:r>
      <w:r>
        <w:rPr>
          <w:b/>
          <w:color w:val="000000"/>
          <w:szCs w:val="21"/>
          <w:highlight w:val="none"/>
        </w:rPr>
      </w:r>
      <w:r/>
    </w:p>
    <w:p>
      <w:pPr>
        <w:pStyle w:val="1166"/>
        <w:ind w:firstLine="422"/>
        <w:spacing w:line="440" w:lineRule="exact"/>
        <w:tabs>
          <w:tab w:val="left" w:pos="480" w:leader="none"/>
        </w:tabs>
        <w:rPr>
          <w:b/>
          <w:color w:val="000000"/>
          <w:szCs w:val="21"/>
          <w:highlight w:val="none"/>
        </w:rPr>
      </w:pPr>
      <w:r>
        <w:rPr>
          <w:b/>
          <w:color w:val="000000"/>
          <w:szCs w:val="21"/>
          <w:highlight w:val="none"/>
        </w:rPr>
        <w:t xml:space="preserve">（4）评审委员会基于专业判断，认为供应商报价过低，有可能影响产品质量或者不能诚信履约的其他情形。</w:t>
      </w:r>
      <w:r>
        <w:rPr>
          <w:b/>
          <w:color w:val="000000"/>
          <w:szCs w:val="21"/>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62" w:name="_Toc30136"/>
      <w:r>
        <w:rPr>
          <w:rFonts w:ascii="Times New Roman" w:eastAsia="宋体"/>
          <w:b/>
          <w:bCs/>
          <w:color w:val="000000"/>
          <w:sz w:val="21"/>
          <w:szCs w:val="21"/>
          <w:highlight w:val="none"/>
        </w:rPr>
        <w:t xml:space="preserve">21.投标文件的澄清</w:t>
      </w:r>
      <w:bookmarkEnd w:id="160"/>
      <w:r/>
      <w:bookmarkEnd w:id="162"/>
      <w:r>
        <w:rPr>
          <w:rFonts w:ascii="Times New Roman" w:eastAsia="宋体"/>
          <w:b/>
          <w:bCs/>
          <w:color w:val="000000"/>
          <w:sz w:val="21"/>
          <w:szCs w:val="21"/>
          <w:highlight w:val="none"/>
        </w:rPr>
      </w:r>
      <w:r/>
    </w:p>
    <w:p>
      <w:pPr>
        <w:pStyle w:val="1166"/>
        <w:ind w:firstLine="420"/>
        <w:spacing w:line="440" w:lineRule="exact"/>
        <w:rPr>
          <w:bCs/>
          <w:color w:val="000000"/>
          <w:highlight w:val="none"/>
        </w:rPr>
      </w:pPr>
      <w:r>
        <w:rPr>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21.4供应商澄清、说明或者补正不得超出投标文件的范围或者改变投标文件的实质性内容。供应商拒不按照要求对投标文件进行澄清、说明或者补正的，视其放弃该项权利。</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63" w:name="_Toc4696412"/>
      <w:r/>
      <w:bookmarkStart w:id="164" w:name="_Toc28465"/>
      <w:r>
        <w:rPr>
          <w:rFonts w:ascii="Times New Roman" w:eastAsia="宋体"/>
          <w:b/>
          <w:bCs/>
          <w:color w:val="000000"/>
          <w:sz w:val="21"/>
          <w:szCs w:val="21"/>
          <w:highlight w:val="none"/>
        </w:rPr>
        <w:t xml:space="preserve">22.对投标文件的详细评审</w:t>
      </w:r>
      <w:bookmarkEnd w:id="163"/>
      <w:r/>
      <w:bookmarkEnd w:id="164"/>
      <w:r>
        <w:rPr>
          <w:rFonts w:ascii="Times New Roman" w:eastAsia="宋体"/>
          <w:b/>
          <w:bCs/>
          <w:color w:val="000000"/>
          <w:sz w:val="21"/>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22.1评标委员会应当按照招标文件中规定的评标方法和标准，对符合性审查合格的投标文件进行商务和技术评估，综合比较与评价。</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22.2</w:t>
      </w:r>
      <w:r>
        <w:rPr>
          <w:b/>
          <w:color w:val="000000"/>
          <w:szCs w:val="21"/>
          <w:highlight w:val="none"/>
        </w:rPr>
        <w:t xml:space="preserve">评标委员会决定投标的响应性只根据投标本身的内容，而不寻求外部的证据</w:t>
      </w:r>
      <w:r>
        <w:rPr>
          <w:bCs/>
          <w:color w:val="000000"/>
          <w:szCs w:val="21"/>
          <w:highlight w:val="none"/>
        </w:rPr>
        <w:t xml:space="preserve">。</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22.3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非单一产品采购项目，招标文件中将载明其中的核心产品。多家投标人提供的核心产品品牌相同的，按前两款规定处理。</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22.4除评标方法和评标标准另有规定外，评标采用综合评分法。即投标文件满足招标文件全部实质性要求，且按照评审因素的量化指标评审得分最高的供应商为中标候选供应商的评标方法。评审因素包括投标报价、技术或者服务水平、履约能力、售后服务等。</w:t>
      </w:r>
      <w:r>
        <w:rPr>
          <w:bCs/>
          <w:color w:val="000000"/>
          <w:szCs w:val="21"/>
          <w:highlight w:val="none"/>
        </w:rPr>
      </w:r>
      <w:r/>
    </w:p>
    <w:p>
      <w:pPr>
        <w:pStyle w:val="1166"/>
        <w:ind w:firstLine="420"/>
        <w:spacing w:line="440" w:lineRule="exact"/>
        <w:rPr>
          <w:bCs/>
          <w:color w:val="000000"/>
          <w:highlight w:val="none"/>
        </w:rPr>
      </w:pPr>
      <w:r>
        <w:rPr>
          <w:bCs/>
          <w:color w:val="000000"/>
          <w:szCs w:val="21"/>
          <w:highlight w:val="none"/>
        </w:rPr>
        <w:t xml:space="preserve">22.5评标标准详见文件第三章。</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End w:id="161"/>
      <w:r/>
      <w:bookmarkStart w:id="165" w:name="_Toc17739"/>
      <w:r/>
      <w:bookmarkStart w:id="166" w:name="_Toc4696413"/>
      <w:r/>
      <w:bookmarkStart w:id="167" w:name="_Toc28875"/>
      <w:r/>
      <w:bookmarkStart w:id="168" w:name="_Toc12358"/>
      <w:r/>
      <w:bookmarkStart w:id="169" w:name="_Toc26838"/>
      <w:r>
        <w:rPr>
          <w:rFonts w:ascii="Times New Roman" w:eastAsia="宋体"/>
          <w:b/>
          <w:bCs/>
          <w:color w:val="000000"/>
          <w:sz w:val="21"/>
          <w:szCs w:val="21"/>
          <w:highlight w:val="none"/>
        </w:rPr>
        <w:t xml:space="preserve">23.评标过程的保密与公正</w:t>
      </w:r>
      <w:bookmarkEnd w:id="165"/>
      <w:r/>
      <w:bookmarkEnd w:id="166"/>
      <w:r/>
      <w:bookmarkEnd w:id="167"/>
      <w:r/>
      <w:bookmarkEnd w:id="168"/>
      <w:r>
        <w:rPr>
          <w:rFonts w:ascii="Times New Roman" w:eastAsia="宋体"/>
          <w:b/>
          <w:bCs/>
          <w:color w:val="000000"/>
          <w:sz w:val="21"/>
          <w:szCs w:val="21"/>
          <w:highlight w:val="none"/>
        </w:rPr>
      </w:r>
      <w:r/>
    </w:p>
    <w:p>
      <w:pPr>
        <w:pStyle w:val="1166"/>
        <w:ind w:firstLine="420"/>
        <w:spacing w:line="440" w:lineRule="exact"/>
        <w:rPr>
          <w:bCs/>
          <w:color w:val="000000"/>
          <w:highlight w:val="none"/>
        </w:rPr>
      </w:pPr>
      <w:r/>
      <w:bookmarkEnd w:id="169"/>
      <w:r/>
      <w:bookmarkStart w:id="170" w:name="_Toc30824"/>
      <w:r/>
      <w:bookmarkStart w:id="171" w:name="_Toc26041"/>
      <w:r/>
      <w:bookmarkStart w:id="172" w:name="_Toc18327"/>
      <w:r>
        <w:rPr>
          <w:bCs/>
          <w:color w:val="000000"/>
          <w:szCs w:val="22"/>
          <w:highlight w:val="none"/>
        </w:rPr>
        <w:t xml:space="preserve">23.1</w:t>
      </w:r>
      <w:r>
        <w:rPr>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bCs/>
          <w:color w:val="000000"/>
          <w:highlight w:val="none"/>
        </w:rPr>
      </w:r>
      <w:r/>
    </w:p>
    <w:p>
      <w:pPr>
        <w:pStyle w:val="1166"/>
        <w:ind w:firstLine="420"/>
        <w:spacing w:line="440" w:lineRule="exact"/>
        <w:rPr>
          <w:bCs/>
          <w:color w:val="000000"/>
          <w:highlight w:val="none"/>
        </w:rPr>
      </w:pPr>
      <w:r>
        <w:rPr>
          <w:bCs/>
          <w:color w:val="000000"/>
          <w:szCs w:val="22"/>
          <w:highlight w:val="none"/>
        </w:rPr>
        <w:t xml:space="preserve">23.2</w:t>
      </w:r>
      <w:r>
        <w:rPr>
          <w:bCs/>
          <w:color w:val="000000"/>
          <w:highlight w:val="none"/>
        </w:rPr>
        <w:t xml:space="preserve">在评标过程中，供应商不得以任何行为影响评标过程，否则其投标文件将被作为无效投标文件。</w:t>
      </w:r>
      <w:r>
        <w:rPr>
          <w:bCs/>
          <w:color w:val="000000"/>
          <w:highlight w:val="none"/>
        </w:rPr>
      </w:r>
      <w:r/>
    </w:p>
    <w:p>
      <w:pPr>
        <w:pStyle w:val="1166"/>
        <w:ind w:firstLine="420"/>
        <w:spacing w:line="440" w:lineRule="exact"/>
        <w:rPr>
          <w:bCs/>
          <w:color w:val="000000"/>
          <w:highlight w:val="none"/>
        </w:rPr>
      </w:pPr>
      <w:r>
        <w:rPr>
          <w:bCs/>
          <w:color w:val="000000"/>
          <w:szCs w:val="22"/>
          <w:highlight w:val="none"/>
        </w:rPr>
        <w:t xml:space="preserve">23.3 </w:t>
      </w:r>
      <w:r>
        <w:rPr>
          <w:bCs/>
          <w:color w:val="000000"/>
          <w:highlight w:val="none"/>
        </w:rPr>
        <w:t xml:space="preserve">采购代理机构和评标委员会不得向落标的供应商解释未中标原因，也不公布评标过程中的相关细节。</w:t>
      </w:r>
      <w:r>
        <w:rPr>
          <w:bCs/>
          <w:color w:val="000000"/>
          <w:highlight w:val="none"/>
        </w:rPr>
      </w:r>
      <w:r/>
    </w:p>
    <w:p>
      <w:pPr>
        <w:pStyle w:val="1166"/>
        <w:ind w:firstLine="420"/>
        <w:spacing w:line="440" w:lineRule="exact"/>
        <w:rPr>
          <w:bCs/>
          <w:color w:val="000000"/>
          <w:highlight w:val="none"/>
        </w:rPr>
      </w:pPr>
      <w:r>
        <w:rPr>
          <w:bCs/>
          <w:color w:val="000000"/>
          <w:szCs w:val="22"/>
          <w:highlight w:val="none"/>
        </w:rPr>
        <w:t xml:space="preserve">23.4</w:t>
      </w:r>
      <w:r>
        <w:rPr>
          <w:bCs/>
          <w:color w:val="000000"/>
          <w:highlight w:val="none"/>
        </w:rPr>
        <w:t xml:space="preserve"> 在评标期间，采购代理机构将指定联络员与供应商进行联络。</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73" w:name="_Toc21019"/>
      <w:r/>
      <w:bookmarkStart w:id="174" w:name="_Toc4696414"/>
      <w:r>
        <w:rPr>
          <w:rFonts w:ascii="Times New Roman" w:eastAsia="宋体"/>
          <w:b/>
          <w:bCs/>
          <w:color w:val="000000"/>
          <w:sz w:val="21"/>
          <w:szCs w:val="21"/>
          <w:highlight w:val="none"/>
        </w:rPr>
        <w:t xml:space="preserve">24.无效投标条款和废标条款</w:t>
      </w:r>
      <w:bookmarkEnd w:id="170"/>
      <w:r/>
      <w:bookmarkEnd w:id="171"/>
      <w:r/>
      <w:bookmarkEnd w:id="173"/>
      <w:r/>
      <w:bookmarkEnd w:id="174"/>
      <w:r>
        <w:rPr>
          <w:rFonts w:ascii="Times New Roman" w:eastAsia="宋体"/>
          <w:b/>
          <w:bCs/>
          <w:color w:val="000000"/>
          <w:sz w:val="21"/>
          <w:szCs w:val="21"/>
          <w:highlight w:val="none"/>
        </w:rPr>
      </w:r>
      <w:r/>
    </w:p>
    <w:p>
      <w:pPr>
        <w:pStyle w:val="1166"/>
        <w:ind w:firstLine="420"/>
        <w:spacing w:line="440" w:lineRule="exact"/>
        <w:rPr>
          <w:bCs/>
          <w:color w:val="000000"/>
          <w:highlight w:val="none"/>
        </w:rPr>
      </w:pPr>
      <w:r>
        <w:rPr>
          <w:bCs/>
          <w:color w:val="000000"/>
          <w:highlight w:val="none"/>
        </w:rPr>
        <w:t xml:space="preserve">24.1无效投标条款</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（1）未按要求交纳投标保证金的；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（2）供应商在苏采云系统规定的时间内未成功解密电子投标文件的。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（3）未按照招标文件规定要求签署、加盖CA电子公章的；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（4）供应商在报价时采用选择性报价；</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（5）供应商不具备招标文件中规定资格要求的；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（6）供应商的报价超过了采购预算的；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（7）未通过符合性检查的；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（8）不符合招标文件中规定的其他实质性要求和条件的；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（9）其他法律、法规及本招标文件规定的属无效投标的情形。</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24.2废标条款：</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（1）符合专业条件的供应商或者对招标文件作实质响应的供应商不足三家的；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（2）出现影响采购公正的违法、违规行为的；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（3）因重大变故，采购任务取消的；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（4）评标委员会认定投标文件存在歧义、重大缺陷导致评审工作无法进行的，或者招标文件内容违反国家有关强制性规定的。</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（5）因苏采云系统故障原因造成开标不成功的。</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75" w:name="_Toc14914"/>
      <w:r/>
      <w:bookmarkStart w:id="176" w:name="_Toc4696415"/>
      <w:r>
        <w:rPr>
          <w:rFonts w:ascii="Times New Roman" w:eastAsia="宋体"/>
          <w:b/>
          <w:bCs/>
          <w:color w:val="000000"/>
          <w:sz w:val="21"/>
          <w:szCs w:val="21"/>
          <w:highlight w:val="none"/>
        </w:rPr>
        <w:t xml:space="preserve">25.投标截止时间结束参加投标的供应商不足三家的处理</w:t>
      </w:r>
      <w:bookmarkEnd w:id="175"/>
      <w:r/>
      <w:bookmarkEnd w:id="176"/>
      <w:r>
        <w:rPr>
          <w:rFonts w:ascii="Times New Roman" w:eastAsia="宋体"/>
          <w:b/>
          <w:bCs/>
          <w:color w:val="000000"/>
          <w:sz w:val="21"/>
          <w:szCs w:val="21"/>
          <w:highlight w:val="none"/>
        </w:rPr>
      </w:r>
      <w:r/>
    </w:p>
    <w:p>
      <w:pPr>
        <w:pStyle w:val="1166"/>
        <w:ind w:firstLine="420"/>
        <w:spacing w:line="440" w:lineRule="exact"/>
        <w:rPr>
          <w:bCs/>
          <w:color w:val="000000"/>
          <w:highlight w:val="none"/>
        </w:rPr>
      </w:pPr>
      <w:r>
        <w:rPr>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25.3供应商若不接受采购方式的改变，应在规定的时间内书面向评标委员会说明，未在规定时间内提交书面说明的视为接受采购方式的改变。</w:t>
      </w:r>
      <w:r>
        <w:rPr>
          <w:bCs/>
          <w:color w:val="000000"/>
          <w:highlight w:val="none"/>
        </w:rPr>
      </w:r>
      <w:r/>
    </w:p>
    <w:p>
      <w:pPr>
        <w:pStyle w:val="1166"/>
        <w:ind w:firstLine="420"/>
        <w:spacing w:line="440" w:lineRule="exact"/>
        <w:shd w:val="clear" w:color="auto" w:fill="ffffff"/>
        <w:widowControl/>
        <w:rPr>
          <w:b/>
          <w:bCs/>
          <w:color w:val="000000"/>
          <w:sz w:val="24"/>
          <w:highlight w:val="none"/>
        </w:rPr>
        <w:outlineLvl w:val="1"/>
      </w:pPr>
      <w:r/>
      <w:bookmarkStart w:id="177" w:name="_Toc25147"/>
      <w:r/>
      <w:bookmarkStart w:id="178" w:name="_Toc4696416"/>
      <w:r>
        <w:rPr>
          <w:b/>
          <w:bCs/>
          <w:color w:val="000000"/>
          <w:sz w:val="24"/>
          <w:highlight w:val="none"/>
        </w:rPr>
        <w:t xml:space="preserve">六、授标</w:t>
      </w:r>
      <w:bookmarkEnd w:id="172"/>
      <w:r/>
      <w:bookmarkEnd w:id="177"/>
      <w:r/>
      <w:bookmarkEnd w:id="178"/>
      <w:r>
        <w:rPr>
          <w:b/>
          <w:bCs/>
          <w:color w:val="000000"/>
          <w:sz w:val="24"/>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179" w:name="_Toc28693"/>
      <w:r/>
      <w:bookmarkStart w:id="180" w:name="_Toc25712"/>
      <w:r/>
      <w:bookmarkStart w:id="181" w:name="_Toc4696417"/>
      <w:r>
        <w:rPr>
          <w:rFonts w:ascii="Times New Roman" w:eastAsia="宋体"/>
          <w:b/>
          <w:bCs/>
          <w:color w:val="000000"/>
          <w:sz w:val="21"/>
          <w:szCs w:val="21"/>
          <w:highlight w:val="none"/>
        </w:rPr>
        <w:t xml:space="preserve">26.确定中标</w:t>
      </w:r>
      <w:bookmarkEnd w:id="179"/>
      <w:r>
        <w:rPr>
          <w:rFonts w:ascii="Times New Roman" w:eastAsia="宋体"/>
          <w:b/>
          <w:bCs/>
          <w:color w:val="000000"/>
          <w:sz w:val="21"/>
          <w:szCs w:val="21"/>
          <w:highlight w:val="none"/>
        </w:rPr>
        <w:t xml:space="preserve">供应商</w:t>
      </w:r>
      <w:bookmarkEnd w:id="180"/>
      <w:r/>
      <w:bookmarkEnd w:id="181"/>
      <w:r>
        <w:rPr>
          <w:rFonts w:ascii="Times New Roman" w:eastAsia="宋体"/>
          <w:b/>
          <w:bCs/>
          <w:color w:val="000000"/>
          <w:sz w:val="21"/>
          <w:szCs w:val="21"/>
          <w:highlight w:val="none"/>
        </w:rPr>
      </w:r>
      <w:r/>
    </w:p>
    <w:p>
      <w:pPr>
        <w:pStyle w:val="1166"/>
        <w:ind w:firstLine="420"/>
        <w:spacing w:line="440" w:lineRule="exact"/>
        <w:rPr>
          <w:color w:val="000000"/>
          <w:highlight w:val="none"/>
        </w:rPr>
      </w:pPr>
      <w:r/>
      <w:bookmarkStart w:id="182" w:name="_Toc7377"/>
      <w:r>
        <w:rPr>
          <w:color w:val="000000"/>
          <w:szCs w:val="21"/>
          <w:highlight w:val="none"/>
        </w:rPr>
        <w:t xml:space="preserve">26.1评标委员会根据招标文件规定的评分办法与评分标准的各项因素综合评价每份投标文件。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color w:val="000000"/>
          <w:highlight w:val="none"/>
        </w:rPr>
      </w:r>
      <w:r/>
    </w:p>
    <w:p>
      <w:pPr>
        <w:pStyle w:val="1166"/>
        <w:ind w:firstLine="420"/>
        <w:spacing w:line="440" w:lineRule="exact"/>
        <w:shd w:val="clear" w:color="auto" w:fill="ffffff"/>
        <w:widowControl/>
        <w:rPr>
          <w:color w:val="000000"/>
          <w:szCs w:val="21"/>
          <w:highlight w:val="none"/>
        </w:rPr>
      </w:pPr>
      <w:r>
        <w:rPr>
          <w:color w:val="000000"/>
          <w:szCs w:val="21"/>
          <w:highlight w:val="none"/>
        </w:rPr>
        <w:t xml:space="preserve">26.2 采购人应根据评标委员会推荐的中标候选供应商确定中标供应商。</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26.3评标委员会根据全体评标成员签字的原始评标记录和评标结果编写评标报告。</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26.5 中标供应商因不可抗力或者自身原因不能履行采购合同的，采购人可以与排位在中标供应商之后第一位的中标候选供应商签订采购合同，以此类推；采购人也可以重新开展采购活动。</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26.6 若评标委员会发现供应商的投标文件中有弄虚作假行为，则该供应商将失去中标资格。</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26.7 所有投标文件都将作为档案保存，不论中标与否，代理机构均不退回。</w:t>
      </w:r>
      <w:r>
        <w:rPr>
          <w:color w:val="000000"/>
          <w:szCs w:val="21"/>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End w:id="182"/>
      <w:r/>
      <w:bookmarkStart w:id="183" w:name="_Toc21169"/>
      <w:r/>
      <w:bookmarkStart w:id="184" w:name="_Toc4696418"/>
      <w:r/>
      <w:bookmarkStart w:id="185" w:name="_Toc32182"/>
      <w:r/>
      <w:bookmarkStart w:id="186" w:name="_Toc19713"/>
      <w:r/>
      <w:bookmarkStart w:id="187" w:name="_Toc23841"/>
      <w:r/>
      <w:bookmarkStart w:id="188" w:name="_Toc4684"/>
      <w:r>
        <w:rPr>
          <w:rFonts w:ascii="Times New Roman" w:eastAsia="宋体"/>
          <w:b/>
          <w:bCs/>
          <w:color w:val="000000"/>
          <w:sz w:val="21"/>
          <w:szCs w:val="21"/>
          <w:highlight w:val="none"/>
        </w:rPr>
        <w:t xml:space="preserve">27.中标的通知</w:t>
      </w:r>
      <w:bookmarkEnd w:id="183"/>
      <w:r/>
      <w:bookmarkEnd w:id="184"/>
      <w:r/>
      <w:bookmarkEnd w:id="185"/>
      <w:r/>
      <w:bookmarkEnd w:id="186"/>
      <w:r/>
      <w:bookmarkEnd w:id="187"/>
      <w:r>
        <w:rPr>
          <w:rFonts w:ascii="Times New Roman" w:eastAsia="宋体"/>
          <w:b/>
          <w:bCs/>
          <w:color w:val="000000"/>
          <w:sz w:val="21"/>
          <w:szCs w:val="21"/>
          <w:highlight w:val="none"/>
        </w:rPr>
      </w:r>
      <w:r/>
    </w:p>
    <w:p>
      <w:pPr>
        <w:pStyle w:val="1166"/>
        <w:ind w:firstLine="420"/>
        <w:spacing w:line="440" w:lineRule="exact"/>
        <w:rPr>
          <w:bCs/>
          <w:color w:val="000000"/>
          <w:highlight w:val="none"/>
        </w:rPr>
      </w:pPr>
      <w:r>
        <w:rPr>
          <w:bCs/>
          <w:color w:val="000000"/>
          <w:highlight w:val="none"/>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27.2中标通知书将是合同的一个组成部分。对采购人和中标人均具有法律效力。中标通知书发出后，采购人改变中标结果的，或者中标人放弃中标项目的，应当依法承担法律责任。</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4"/>
          <w:highlight w:val="none"/>
        </w:rPr>
      </w:pPr>
      <w:r/>
      <w:bookmarkEnd w:id="188"/>
      <w:r/>
      <w:bookmarkStart w:id="189" w:name="_Toc27659"/>
      <w:r/>
      <w:bookmarkStart w:id="190" w:name="_Toc4696419"/>
      <w:r/>
      <w:bookmarkStart w:id="191" w:name="_Toc2049"/>
      <w:r/>
      <w:bookmarkStart w:id="192" w:name="_Toc15484"/>
      <w:r/>
      <w:bookmarkStart w:id="193" w:name="_Toc24788"/>
      <w:r>
        <w:rPr>
          <w:rFonts w:ascii="Times New Roman" w:eastAsia="宋体"/>
          <w:b/>
          <w:bCs/>
          <w:color w:val="000000"/>
          <w:sz w:val="21"/>
          <w:szCs w:val="21"/>
          <w:highlight w:val="none"/>
        </w:rPr>
        <w:t xml:space="preserve">28.签订合同</w:t>
      </w:r>
      <w:bookmarkEnd w:id="189"/>
      <w:r/>
      <w:bookmarkEnd w:id="190"/>
      <w:r/>
      <w:bookmarkEnd w:id="191"/>
      <w:r/>
      <w:bookmarkEnd w:id="192"/>
      <w:r>
        <w:rPr>
          <w:rFonts w:ascii="Times New Roman" w:eastAsia="宋体"/>
          <w:b/>
          <w:bCs/>
          <w:color w:val="000000"/>
          <w:sz w:val="24"/>
          <w:highlight w:val="none"/>
        </w:rPr>
      </w:r>
      <w:r/>
    </w:p>
    <w:p>
      <w:pPr>
        <w:pStyle w:val="1166"/>
        <w:ind w:firstLine="420"/>
        <w:spacing w:line="440" w:lineRule="exact"/>
        <w:rPr>
          <w:bCs/>
          <w:color w:val="000000"/>
          <w:highlight w:val="none"/>
        </w:rPr>
      </w:pPr>
      <w:r>
        <w:rPr>
          <w:bCs/>
          <w:color w:val="000000"/>
          <w:highlight w:val="none"/>
        </w:rPr>
        <w:t xml:space="preserve">28.1中标供应商应当自中标通知书发出之日起三十日内，按照招标文件和投标文件的约定与采购人签订采购合同，所签订的合同不得对招标文件和投标文件作实质性修改。</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28.2招标文件、中标供应商的投标文件及评标过程中有关澄清、说明或者补正文件均应作为合同附件。</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28.3若中标供应商未能按规定签约，中标将被撤销及投标保证金被没收，在这种情况下采购人可以另选中标供应商或重新招标。</w:t>
      </w:r>
      <w:r>
        <w:rPr>
          <w:bCs/>
          <w:color w:val="000000"/>
          <w:highlight w:val="none"/>
        </w:rPr>
      </w:r>
      <w:r/>
    </w:p>
    <w:p>
      <w:pPr>
        <w:pStyle w:val="1166"/>
        <w:ind w:firstLine="420"/>
        <w:spacing w:line="440" w:lineRule="exact"/>
        <w:rPr>
          <w:bCs/>
          <w:color w:val="000000"/>
          <w:highlight w:val="none"/>
        </w:rPr>
      </w:pPr>
      <w:r>
        <w:rPr>
          <w:bCs/>
          <w:color w:val="000000"/>
          <w:highlight w:val="none"/>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color w:val="000000"/>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End w:id="193"/>
      <w:r/>
      <w:bookmarkStart w:id="194" w:name="_Toc22298"/>
      <w:r/>
      <w:bookmarkStart w:id="195" w:name="_Toc12167"/>
      <w:r/>
      <w:bookmarkStart w:id="196" w:name="_Toc15509"/>
      <w:r/>
      <w:bookmarkStart w:id="197" w:name="_Toc4696420"/>
      <w:r/>
      <w:bookmarkStart w:id="198" w:name="_Toc20112"/>
      <w:r>
        <w:rPr>
          <w:rFonts w:ascii="Times New Roman" w:eastAsia="宋体"/>
          <w:b/>
          <w:bCs/>
          <w:color w:val="000000"/>
          <w:sz w:val="21"/>
          <w:szCs w:val="21"/>
          <w:highlight w:val="none"/>
        </w:rPr>
        <w:t xml:space="preserve">29.</w:t>
      </w:r>
      <w:bookmarkEnd w:id="194"/>
      <w:r>
        <w:rPr>
          <w:rFonts w:ascii="Times New Roman" w:eastAsia="宋体"/>
          <w:b/>
          <w:bCs/>
          <w:color w:val="000000"/>
          <w:sz w:val="21"/>
          <w:szCs w:val="21"/>
          <w:highlight w:val="none"/>
        </w:rPr>
        <w:t xml:space="preserve">招标代理服务费</w:t>
      </w:r>
      <w:bookmarkEnd w:id="195"/>
      <w:r/>
      <w:bookmarkEnd w:id="196"/>
      <w:r/>
      <w:bookmarkEnd w:id="197"/>
      <w:r>
        <w:rPr>
          <w:rFonts w:ascii="Times New Roman" w:eastAsia="宋体"/>
          <w:b/>
          <w:bCs/>
          <w:color w:val="000000"/>
          <w:sz w:val="21"/>
          <w:szCs w:val="21"/>
          <w:highlight w:val="none"/>
        </w:rPr>
      </w:r>
      <w:r/>
    </w:p>
    <w:p>
      <w:pPr>
        <w:pStyle w:val="1166"/>
        <w:ind w:firstLine="420"/>
        <w:spacing w:line="440" w:lineRule="exact"/>
        <w:shd w:val="clear" w:color="auto" w:fill="ffffff"/>
        <w:widowControl/>
        <w:rPr>
          <w:bCs/>
          <w:color w:val="000000"/>
          <w:highlight w:val="none"/>
        </w:rPr>
      </w:pPr>
      <w:r/>
      <w:bookmarkStart w:id="199" w:name="_Toc4696421"/>
      <w:r>
        <w:rPr>
          <w:bCs/>
          <w:color w:val="000000"/>
          <w:highlight w:val="none"/>
        </w:rPr>
        <w:t xml:space="preserve">详见投标人须知前附表。</w:t>
      </w:r>
      <w:r>
        <w:rPr>
          <w:bCs/>
          <w:color w:val="000000"/>
          <w:highlight w:val="none"/>
        </w:rPr>
      </w:r>
      <w:r/>
    </w:p>
    <w:p>
      <w:pPr>
        <w:pStyle w:val="1166"/>
        <w:ind w:firstLine="241"/>
        <w:spacing w:line="440" w:lineRule="exact"/>
        <w:shd w:val="clear" w:color="auto" w:fill="ffffff"/>
        <w:widowControl/>
        <w:rPr>
          <w:b/>
          <w:bCs/>
          <w:color w:val="000000"/>
          <w:sz w:val="24"/>
          <w:highlight w:val="none"/>
        </w:rPr>
        <w:outlineLvl w:val="1"/>
      </w:pPr>
      <w:r/>
      <w:bookmarkStart w:id="200" w:name="_Toc17113"/>
      <w:r>
        <w:rPr>
          <w:b/>
          <w:bCs/>
          <w:color w:val="000000"/>
          <w:sz w:val="24"/>
          <w:highlight w:val="none"/>
        </w:rPr>
        <w:t xml:space="preserve">七、质疑</w:t>
      </w:r>
      <w:bookmarkEnd w:id="198"/>
      <w:r/>
      <w:bookmarkEnd w:id="199"/>
      <w:r/>
      <w:bookmarkEnd w:id="200"/>
      <w:r>
        <w:rPr>
          <w:b/>
          <w:bCs/>
          <w:color w:val="000000"/>
          <w:sz w:val="24"/>
          <w:highlight w:val="none"/>
        </w:rPr>
      </w:r>
      <w:r/>
    </w:p>
    <w:p>
      <w:pPr>
        <w:pStyle w:val="1169"/>
        <w:ind w:left="0" w:firstLine="422"/>
        <w:jc w:val="both"/>
        <w:spacing w:line="440" w:lineRule="exact"/>
        <w:tabs>
          <w:tab w:val="left" w:pos="480" w:leader="none"/>
        </w:tabs>
        <w:rPr>
          <w:rFonts w:ascii="Times New Roman" w:eastAsia="宋体"/>
          <w:b/>
          <w:bCs/>
          <w:color w:val="000000"/>
          <w:sz w:val="21"/>
          <w:szCs w:val="21"/>
          <w:highlight w:val="none"/>
        </w:rPr>
      </w:pPr>
      <w:r/>
      <w:bookmarkStart w:id="201" w:name="_Toc19917"/>
      <w:r/>
      <w:bookmarkStart w:id="202" w:name="_Toc29529"/>
      <w:r/>
      <w:bookmarkStart w:id="203" w:name="_Toc9284"/>
      <w:r/>
      <w:bookmarkStart w:id="204" w:name="_Toc16085"/>
      <w:r/>
      <w:bookmarkStart w:id="205" w:name="_Toc4696422"/>
      <w:r>
        <w:rPr>
          <w:rFonts w:ascii="Times New Roman" w:eastAsia="宋体"/>
          <w:b/>
          <w:bCs/>
          <w:color w:val="000000"/>
          <w:sz w:val="21"/>
          <w:szCs w:val="21"/>
          <w:highlight w:val="none"/>
        </w:rPr>
        <w:t xml:space="preserve">30、质疑</w:t>
      </w:r>
      <w:bookmarkEnd w:id="201"/>
      <w:r/>
      <w:bookmarkEnd w:id="202"/>
      <w:r/>
      <w:bookmarkEnd w:id="203"/>
      <w:r/>
      <w:bookmarkEnd w:id="204"/>
      <w:r/>
      <w:bookmarkEnd w:id="205"/>
      <w:r>
        <w:rPr>
          <w:rFonts w:ascii="Times New Roman" w:eastAsia="宋体"/>
          <w:b/>
          <w:bCs/>
          <w:color w:val="000000"/>
          <w:sz w:val="21"/>
          <w:szCs w:val="21"/>
          <w:highlight w:val="none"/>
        </w:rPr>
      </w:r>
      <w:r/>
    </w:p>
    <w:p>
      <w:pPr>
        <w:pStyle w:val="1166"/>
        <w:ind w:firstLine="420"/>
        <w:spacing w:line="440" w:lineRule="exact"/>
        <w:rPr>
          <w:bCs/>
          <w:color w:val="000000"/>
          <w:szCs w:val="21"/>
          <w:highlight w:val="none"/>
        </w:rPr>
      </w:pPr>
      <w:r>
        <w:rPr>
          <w:bCs/>
          <w:color w:val="000000"/>
          <w:highlight w:val="none"/>
        </w:rPr>
        <w:t xml:space="preserve">30.1 </w:t>
      </w:r>
      <w:r>
        <w:rPr>
          <w:bCs/>
          <w:color w:val="000000"/>
          <w:szCs w:val="21"/>
          <w:highlight w:val="none"/>
        </w:rPr>
        <w:t xml:space="preserve">供应商对招标活动事项有疑问的，可以向采购代理机构提出询问，采购代理机构将依法作出答复，但答复的内容不涉及商业秘密。</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30.2供应商认为采购文件、采购过程和中标结果使自己的合法权益受到损害的，可以在知道或者应当知道其权益受到损害之日起七个工作日内，将质疑函以</w:t>
      </w:r>
      <w:r>
        <w:rPr>
          <w:b/>
          <w:color w:val="000000"/>
          <w:szCs w:val="21"/>
          <w:highlight w:val="none"/>
        </w:rPr>
        <w:t xml:space="preserve">书面形式（原件）</w:t>
      </w:r>
      <w:r>
        <w:rPr>
          <w:bCs/>
          <w:color w:val="000000"/>
          <w:szCs w:val="21"/>
          <w:highlight w:val="none"/>
        </w:rPr>
        <w:t xml:space="preserve">送达代理机构，质疑期外提出的质疑，采购代理机构将不予受理。</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30.3供应商须在法定质疑期内</w:t>
      </w:r>
      <w:r>
        <w:rPr>
          <w:b/>
          <w:color w:val="000000"/>
          <w:szCs w:val="21"/>
          <w:highlight w:val="none"/>
        </w:rPr>
        <w:t xml:space="preserve">一次性提出</w:t>
      </w:r>
      <w:r>
        <w:rPr>
          <w:bCs/>
          <w:color w:val="000000"/>
          <w:szCs w:val="21"/>
          <w:highlight w:val="none"/>
        </w:rPr>
        <w:t xml:space="preserve">针对本项目同一采购程序环节的质疑。</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30.5质疑供应商若对项目的某一分包进行质疑，质疑函中应列明具体分包号。</w:t>
      </w:r>
      <w:r>
        <w:rPr>
          <w:bCs/>
          <w:color w:val="000000"/>
          <w:szCs w:val="21"/>
          <w:highlight w:val="none"/>
        </w:rPr>
      </w:r>
      <w:r/>
    </w:p>
    <w:p>
      <w:pPr>
        <w:pStyle w:val="1166"/>
        <w:ind w:firstLine="409"/>
        <w:spacing w:line="440" w:lineRule="exact"/>
        <w:rPr>
          <w:bCs/>
          <w:color w:val="000000"/>
          <w:szCs w:val="21"/>
          <w:highlight w:val="none"/>
        </w:rPr>
      </w:pPr>
      <w:r>
        <w:rPr>
          <w:bCs/>
          <w:color w:val="000000"/>
          <w:szCs w:val="21"/>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（1）供应商的姓名或者名称、地址、邮编、联系人及联系电话；</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（2）质疑项目的名称、编号；</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（3）具体、明确的质疑事项和与质疑事项相关的请求；</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（4）事实依据；</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（5）必要的法律依据</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（6）提出质疑的日期</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1166"/>
        <w:ind w:firstLine="420"/>
        <w:spacing w:line="440" w:lineRule="exact"/>
        <w:rPr>
          <w:bCs/>
          <w:color w:val="000000"/>
          <w:szCs w:val="21"/>
          <w:highlight w:val="none"/>
        </w:rPr>
      </w:pPr>
      <w:r>
        <w:rPr>
          <w:bCs/>
          <w:color w:val="000000"/>
          <w:szCs w:val="21"/>
          <w:highlight w:val="none"/>
        </w:rPr>
        <w:t xml:space="preserve">30.9</w:t>
      </w:r>
      <w:r>
        <w:rPr>
          <w:b/>
          <w:color w:val="000000"/>
          <w:szCs w:val="21"/>
          <w:highlight w:val="none"/>
        </w:rPr>
        <w:t xml:space="preserve">本项目质疑函的联系部门、联系电话和通讯地址详见第二章投标人须知前附表</w:t>
      </w:r>
      <w:r>
        <w:rPr>
          <w:bCs/>
          <w:color w:val="000000"/>
          <w:szCs w:val="21"/>
          <w:highlight w:val="none"/>
        </w:rPr>
        <w:t xml:space="preserve">。</w:t>
      </w:r>
      <w:r>
        <w:rPr>
          <w:bCs/>
          <w:color w:val="000000"/>
          <w:szCs w:val="21"/>
          <w:highlight w:val="none"/>
        </w:rPr>
      </w:r>
      <w:r/>
    </w:p>
    <w:p>
      <w:pPr>
        <w:pStyle w:val="1166"/>
        <w:ind w:firstLine="420"/>
        <w:spacing w:line="360" w:lineRule="auto"/>
        <w:rPr>
          <w:bCs/>
          <w:color w:val="000000"/>
          <w:highlight w:val="none"/>
        </w:rPr>
      </w:pPr>
      <w:r>
        <w:rPr>
          <w:bCs/>
          <w:color w:val="000000"/>
          <w:szCs w:val="21"/>
          <w:highlight w:val="none"/>
        </w:rPr>
        <w:t xml:space="preserve">30.10采购代理机构在收到书面质疑后七个工作日内作出答复，并以书面形式通知质疑供应商和其他有关供应商，答复的内容不涉及商业秘密</w:t>
      </w:r>
      <w:r>
        <w:rPr>
          <w:bCs/>
          <w:color w:val="000000"/>
          <w:highlight w:val="none"/>
        </w:rPr>
        <w:t xml:space="preserve">。</w:t>
      </w:r>
      <w:r>
        <w:rPr>
          <w:bCs/>
          <w:color w:val="000000"/>
          <w:highlight w:val="none"/>
        </w:rPr>
      </w:r>
      <w:r/>
    </w:p>
    <w:p>
      <w:pPr>
        <w:pStyle w:val="1166"/>
        <w:ind w:firstLine="241"/>
        <w:spacing w:line="440" w:lineRule="exact"/>
        <w:shd w:val="clear" w:color="auto" w:fill="ffffff"/>
        <w:widowControl/>
        <w:rPr>
          <w:b/>
          <w:bCs/>
          <w:color w:val="000000"/>
          <w:sz w:val="24"/>
          <w:highlight w:val="none"/>
        </w:rPr>
        <w:outlineLvl w:val="1"/>
      </w:pPr>
      <w:r/>
      <w:bookmarkStart w:id="206" w:name="_Toc20435"/>
      <w:r>
        <w:rPr>
          <w:b/>
          <w:bCs/>
          <w:color w:val="000000"/>
          <w:sz w:val="24"/>
          <w:highlight w:val="none"/>
        </w:rPr>
        <w:t xml:space="preserve">八、政府采购履约资金扶持政策</w:t>
      </w:r>
      <w:bookmarkEnd w:id="206"/>
      <w:r>
        <w:rPr>
          <w:b/>
          <w:bCs/>
          <w:color w:val="000000"/>
          <w:sz w:val="24"/>
          <w:highlight w:val="none"/>
        </w:rPr>
      </w:r>
      <w:r/>
    </w:p>
    <w:p>
      <w:pPr>
        <w:pStyle w:val="1166"/>
        <w:ind w:firstLine="420"/>
        <w:spacing w:line="440" w:lineRule="exact"/>
        <w:rPr>
          <w:bCs/>
          <w:color w:val="000000"/>
          <w:highlight w:val="none"/>
        </w:rPr>
      </w:pPr>
      <w:r>
        <w:rPr>
          <w:bCs/>
          <w:color w:val="000000"/>
          <w:szCs w:val="21"/>
          <w:highlight w:val="none"/>
        </w:rPr>
        <w:t xml:space="preserve">中标人可凭政府采购合同办理融资贷款，详情请见江苏政府采购网“政采贷”专栏。</w:t>
      </w:r>
      <w:r>
        <w:rPr>
          <w:bCs/>
          <w:color w:val="000000"/>
          <w:highlight w:val="none"/>
        </w:rPr>
      </w:r>
      <w:r/>
    </w:p>
    <w:p>
      <w:pPr>
        <w:pStyle w:val="1166"/>
        <w:ind w:firstLine="420"/>
        <w:jc w:val="center"/>
        <w:spacing w:line="360" w:lineRule="auto"/>
        <w:shd w:val="clear" w:color="auto" w:fill="ffffff"/>
        <w:widowControl/>
        <w:rPr>
          <w:b/>
          <w:color w:val="000000"/>
          <w:szCs w:val="21"/>
          <w:highlight w:val="none"/>
        </w:rPr>
        <w:outlineLvl w:val="0"/>
      </w:pPr>
      <w:r>
        <w:rPr>
          <w:b/>
          <w:bCs/>
          <w:color w:val="000000"/>
          <w:sz w:val="24"/>
          <w:highlight w:val="none"/>
        </w:rPr>
        <w:br w:type="page" w:clear="all"/>
      </w:r>
      <w:bookmarkStart w:id="207" w:name="_Toc14308"/>
      <w:r/>
      <w:bookmarkStart w:id="208" w:name="_Toc4696423"/>
      <w:r>
        <w:rPr>
          <w:b/>
          <w:color w:val="000000"/>
          <w:sz w:val="28"/>
          <w:szCs w:val="28"/>
          <w:highlight w:val="none"/>
        </w:rPr>
        <w:t xml:space="preserve">第三章 评标标准</w:t>
      </w:r>
      <w:bookmarkEnd w:id="207"/>
      <w:r/>
      <w:bookmarkEnd w:id="208"/>
      <w:r>
        <w:rPr>
          <w:b/>
          <w:color w:val="000000"/>
          <w:szCs w:val="21"/>
          <w:highlight w:val="none"/>
        </w:rPr>
      </w:r>
      <w:r/>
    </w:p>
    <w:p>
      <w:pPr>
        <w:pStyle w:val="1166"/>
        <w:ind w:left="632" w:hanging="632"/>
        <w:spacing w:line="360" w:lineRule="auto"/>
        <w:widowControl/>
        <w:rPr>
          <w:b/>
          <w:bCs/>
          <w:color w:val="000000"/>
          <w:szCs w:val="21"/>
          <w:highlight w:val="none"/>
        </w:rPr>
      </w:pPr>
      <w:r/>
      <w:bookmarkStart w:id="209" w:name="_Toc521839351"/>
      <w:r/>
      <w:bookmarkEnd w:id="209"/>
      <w:r/>
      <w:bookmarkStart w:id="210" w:name="_Toc163629751"/>
      <w:r/>
      <w:bookmarkEnd w:id="210"/>
      <w:r/>
      <w:bookmarkStart w:id="211" w:name="_Hlk297273538"/>
      <w:r/>
      <w:bookmarkEnd w:id="211"/>
      <w:r/>
      <w:bookmarkStart w:id="212" w:name="_Toc522347554"/>
      <w:r/>
      <w:bookmarkEnd w:id="212"/>
      <w:r/>
      <w:bookmarkStart w:id="213" w:name="_Toc25032666"/>
      <w:r/>
      <w:bookmarkEnd w:id="213"/>
      <w:r/>
      <w:bookmarkStart w:id="214" w:name="_Toc142623417"/>
      <w:r/>
      <w:bookmarkEnd w:id="214"/>
      <w:r/>
      <w:bookmarkStart w:id="215" w:name="_Toc189726853"/>
      <w:r/>
      <w:bookmarkEnd w:id="215"/>
      <w:r>
        <w:rPr>
          <w:b/>
          <w:bCs/>
          <w:color w:val="000000"/>
          <w:szCs w:val="21"/>
          <w:highlight w:val="none"/>
        </w:rPr>
        <w:t xml:space="preserve">（一）评标方法</w:t>
      </w:r>
      <w:r>
        <w:rPr>
          <w:b/>
          <w:bCs/>
          <w:color w:val="000000"/>
          <w:szCs w:val="21"/>
          <w:highlight w:val="none"/>
        </w:rPr>
      </w:r>
      <w:r/>
    </w:p>
    <w:p>
      <w:pPr>
        <w:pStyle w:val="1166"/>
        <w:ind w:firstLine="422"/>
        <w:spacing w:line="360" w:lineRule="auto"/>
        <w:rPr>
          <w:b/>
          <w:bCs/>
          <w:color w:val="000000"/>
          <w:highlight w:val="none"/>
        </w:rPr>
      </w:pPr>
      <w:r>
        <w:rPr>
          <w:b/>
          <w:bCs/>
          <w:color w:val="000000"/>
          <w:highlight w:val="none"/>
        </w:rPr>
        <w:t xml:space="preserve">本项目采用综合评分法。</w:t>
      </w:r>
      <w:r>
        <w:rPr>
          <w:b/>
          <w:bCs/>
          <w:color w:val="000000"/>
          <w:highlight w:val="none"/>
        </w:rPr>
      </w:r>
      <w:r/>
    </w:p>
    <w:p>
      <w:pPr>
        <w:pStyle w:val="1166"/>
        <w:spacing w:line="360" w:lineRule="auto"/>
        <w:rPr>
          <w:b/>
          <w:bCs/>
          <w:color w:val="000000"/>
          <w:szCs w:val="21"/>
          <w:highlight w:val="none"/>
        </w:rPr>
      </w:pPr>
      <w:r>
        <w:rPr>
          <w:b/>
          <w:bCs/>
          <w:color w:val="000000"/>
          <w:szCs w:val="21"/>
          <w:highlight w:val="none"/>
        </w:rPr>
        <w:t xml:space="preserve">（二）评标标准</w:t>
      </w:r>
      <w:r>
        <w:rPr>
          <w:b/>
          <w:bCs/>
          <w:color w:val="000000"/>
          <w:szCs w:val="21"/>
          <w:highlight w:val="none"/>
        </w:rPr>
      </w:r>
      <w:r/>
    </w:p>
    <w:p>
      <w:pPr>
        <w:pStyle w:val="1166"/>
        <w:ind w:firstLine="211"/>
        <w:spacing w:line="360" w:lineRule="auto"/>
        <w:rPr>
          <w:color w:val="000000"/>
          <w:szCs w:val="21"/>
          <w:highlight w:val="none"/>
        </w:rPr>
      </w:pPr>
      <w:r>
        <w:rPr>
          <w:b/>
          <w:bCs/>
          <w:color w:val="000000"/>
          <w:highlight w:val="none"/>
        </w:rPr>
        <w:t xml:space="preserve">1.</w:t>
      </w:r>
      <w:r>
        <w:rPr>
          <w:b/>
          <w:bCs/>
          <w:color w:val="000000"/>
          <w:szCs w:val="21"/>
          <w:highlight w:val="none"/>
        </w:rPr>
        <w:t xml:space="preserve">国家政策导向</w:t>
      </w:r>
      <w:r>
        <w:rPr>
          <w:color w:val="000000"/>
          <w:szCs w:val="21"/>
          <w:highlight w:val="none"/>
        </w:rPr>
      </w:r>
      <w:r/>
    </w:p>
    <w:p>
      <w:pPr>
        <w:pStyle w:val="1268"/>
        <w:ind w:firstLine="422"/>
        <w:spacing w:line="360" w:lineRule="auto"/>
        <w:rPr>
          <w:color w:val="000000"/>
          <w:szCs w:val="21"/>
          <w:highlight w:val="none"/>
        </w:rPr>
      </w:pPr>
      <w:r>
        <w:rPr>
          <w:b/>
          <w:bCs/>
          <w:color w:val="000000"/>
          <w:szCs w:val="21"/>
          <w:highlight w:val="none"/>
        </w:rPr>
        <w:t xml:space="preserve">（1）促进小微企业发展政策</w:t>
      </w:r>
      <w:r>
        <w:rPr>
          <w:color w:val="000000"/>
          <w:szCs w:val="21"/>
          <w:highlight w:val="none"/>
        </w:rPr>
        <w:t xml:space="preserve">：</w:t>
      </w:r>
      <w:r>
        <w:rPr>
          <w:color w:val="000000"/>
          <w:szCs w:val="21"/>
          <w:highlight w:val="none"/>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color w:val="000000"/>
          <w:szCs w:val="21"/>
          <w:highlight w:val="none"/>
        </w:rPr>
      </w:r>
      <w:r/>
    </w:p>
    <w:p>
      <w:pPr>
        <w:pStyle w:val="1268"/>
        <w:spacing w:line="360" w:lineRule="auto"/>
        <w:rPr>
          <w:color w:val="000000"/>
          <w:szCs w:val="21"/>
          <w:highlight w:val="none"/>
        </w:rPr>
      </w:pPr>
      <w:r>
        <w:rPr>
          <w:color w:val="000000"/>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color w:val="000000"/>
          <w:szCs w:val="21"/>
          <w:highlight w:val="none"/>
        </w:rPr>
      </w:r>
      <w:r/>
    </w:p>
    <w:p>
      <w:pPr>
        <w:pStyle w:val="1166"/>
        <w:ind w:firstLine="422"/>
        <w:spacing w:line="360" w:lineRule="auto"/>
        <w:rPr>
          <w:color w:val="000000"/>
          <w:szCs w:val="21"/>
          <w:highlight w:val="none"/>
        </w:rPr>
      </w:pPr>
      <w:r>
        <w:rPr>
          <w:b/>
          <w:bCs/>
          <w:color w:val="000000"/>
          <w:szCs w:val="21"/>
          <w:highlight w:val="none"/>
        </w:rPr>
        <w:t xml:space="preserve">（2）监狱企业扶持政策：</w:t>
      </w:r>
      <w:r>
        <w:rPr>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szCs w:val="21"/>
          <w:highlight w:val="none"/>
        </w:rPr>
      </w:r>
      <w:r/>
    </w:p>
    <w:p>
      <w:pPr>
        <w:pStyle w:val="1166"/>
        <w:ind w:firstLine="422"/>
        <w:spacing w:line="360" w:lineRule="auto"/>
        <w:rPr>
          <w:color w:val="000000"/>
          <w:szCs w:val="21"/>
          <w:highlight w:val="none"/>
        </w:rPr>
      </w:pPr>
      <w:r>
        <w:rPr>
          <w:b/>
          <w:bCs/>
          <w:color w:val="000000"/>
          <w:szCs w:val="21"/>
          <w:highlight w:val="none"/>
        </w:rPr>
        <w:t xml:space="preserve">（3）残疾人福利性单位扶持政策：</w:t>
      </w:r>
      <w:r>
        <w:rPr>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szCs w:val="21"/>
          <w:highlight w:val="none"/>
        </w:rPr>
      </w:r>
      <w:r/>
    </w:p>
    <w:p>
      <w:pPr>
        <w:pStyle w:val="1166"/>
        <w:ind w:firstLine="422"/>
        <w:spacing w:line="360" w:lineRule="auto"/>
        <w:rPr>
          <w:color w:val="000000"/>
          <w:szCs w:val="21"/>
          <w:highlight w:val="none"/>
        </w:rPr>
      </w:pPr>
      <w:r>
        <w:rPr>
          <w:b/>
          <w:bCs/>
          <w:color w:val="000000"/>
          <w:szCs w:val="21"/>
          <w:highlight w:val="none"/>
        </w:rPr>
        <w:t xml:space="preserve">（4）乡村产业振兴支持政策：</w:t>
      </w:r>
      <w:r>
        <w:rPr>
          <w:color w:val="000000"/>
          <w:szCs w:val="21"/>
          <w:highlight w:val="none"/>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color w:val="000000"/>
          <w:szCs w:val="21"/>
          <w:highlight w:val="none"/>
        </w:rPr>
      </w:r>
      <w:r/>
    </w:p>
    <w:p>
      <w:pPr>
        <w:pStyle w:val="1166"/>
        <w:ind w:firstLine="422"/>
        <w:spacing w:line="360" w:lineRule="auto"/>
        <w:rPr>
          <w:color w:val="000000"/>
          <w:szCs w:val="21"/>
          <w:highlight w:val="none"/>
        </w:rPr>
      </w:pPr>
      <w:r>
        <w:rPr>
          <w:b/>
          <w:bCs/>
          <w:color w:val="000000"/>
          <w:szCs w:val="21"/>
          <w:highlight w:val="none"/>
        </w:rPr>
        <w:t xml:space="preserve">（5）采购本国产品的支持政策：</w:t>
      </w:r>
      <w:r>
        <w:rPr>
          <w:color w:val="000000"/>
          <w:szCs w:val="21"/>
          <w:highlight w:val="none"/>
        </w:rPr>
      </w:r>
      <w:r/>
    </w:p>
    <w:p>
      <w:pPr>
        <w:pStyle w:val="1166"/>
        <w:ind w:firstLine="422"/>
        <w:spacing w:line="360" w:lineRule="auto"/>
        <w:rPr>
          <w:color w:val="000000"/>
          <w:szCs w:val="21"/>
          <w:highlight w:val="none"/>
        </w:rPr>
      </w:pPr>
      <w:r>
        <w:rPr>
          <w:color w:val="000000"/>
          <w:szCs w:val="21"/>
          <w:highlight w:val="none"/>
        </w:rPr>
        <w:t xml:space="preserve">①本项目政府采购活动中既有本国产品又有非本国产品参与竞争的，依法对本国产品给予价格评审优惠，对本国产品的报价给予20%的价格扣除，用扣除后的价格参与评审。</w:t>
      </w:r>
      <w:r>
        <w:rPr>
          <w:color w:val="000000"/>
          <w:szCs w:val="21"/>
          <w:highlight w:val="none"/>
        </w:rPr>
      </w:r>
      <w:r/>
    </w:p>
    <w:p>
      <w:pPr>
        <w:pStyle w:val="1166"/>
        <w:ind w:firstLine="422"/>
        <w:spacing w:line="360" w:lineRule="auto"/>
        <w:rPr>
          <w:color w:val="000000"/>
          <w:szCs w:val="21"/>
          <w:highlight w:val="none"/>
        </w:rPr>
      </w:pPr>
      <w:r>
        <w:rPr>
          <w:color w:val="000000"/>
          <w:szCs w:val="21"/>
          <w:highlight w:val="none"/>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Cs w:val="21"/>
          <w:highlight w:val="none"/>
        </w:rPr>
      </w:r>
      <w:r/>
    </w:p>
    <w:p>
      <w:pPr>
        <w:pStyle w:val="1166"/>
        <w:ind w:firstLine="422"/>
        <w:spacing w:line="360" w:lineRule="auto"/>
        <w:rPr>
          <w:color w:val="000000"/>
          <w:szCs w:val="21"/>
          <w:highlight w:val="none"/>
        </w:rPr>
      </w:pPr>
      <w:r>
        <w:rPr>
          <w:color w:val="000000"/>
          <w:szCs w:val="21"/>
          <w:highlight w:val="none"/>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color w:val="000000"/>
          <w:szCs w:val="21"/>
          <w:highlight w:val="none"/>
        </w:rPr>
      </w:r>
      <w:r/>
    </w:p>
    <w:p>
      <w:pPr>
        <w:pStyle w:val="1166"/>
        <w:ind w:firstLine="422"/>
        <w:spacing w:line="360" w:lineRule="auto"/>
        <w:rPr>
          <w:color w:val="000000"/>
          <w:szCs w:val="21"/>
          <w:highlight w:val="none"/>
        </w:rPr>
      </w:pPr>
      <w:r>
        <w:rPr>
          <w:color w:val="000000"/>
          <w:szCs w:val="21"/>
          <w:highlight w:val="none"/>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szCs w:val="21"/>
          <w:highlight w:val="none"/>
        </w:rPr>
      </w:r>
      <w:r/>
    </w:p>
    <w:p>
      <w:pPr>
        <w:pStyle w:val="1166"/>
        <w:ind w:firstLine="420"/>
        <w:spacing w:line="360" w:lineRule="auto"/>
        <w:rPr>
          <w:color w:val="000000"/>
          <w:szCs w:val="22"/>
          <w:highlight w:val="none"/>
        </w:rPr>
      </w:pPr>
      <w:r>
        <w:rPr>
          <w:color w:val="000000"/>
          <w:szCs w:val="21"/>
          <w:highlight w:val="none"/>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Cs w:val="22"/>
          <w:highlight w:val="none"/>
        </w:rPr>
      </w:r>
      <w:r/>
    </w:p>
    <w:p>
      <w:pPr>
        <w:pStyle w:val="1223"/>
        <w:numPr>
          <w:ilvl w:val="0"/>
          <w:numId w:val="0"/>
        </w:numPr>
        <w:ind w:firstLine="0"/>
        <w:rPr>
          <w:color w:val="000000"/>
          <w:szCs w:val="21"/>
          <w:highlight w:val="none"/>
        </w:rPr>
      </w:pPr>
      <w:r>
        <w:rPr>
          <w:color w:val="000000"/>
          <w:sz w:val="21"/>
          <w:szCs w:val="21"/>
          <w:lang w:val="en-US" w:eastAsia="zh-CN" w:bidi="ar-SA"/>
        </w:rPr>
        <w:t xml:space="preserve">2.</w:t>
      </w:r>
      <w:r>
        <w:rPr>
          <w:color w:val="000000"/>
          <w:szCs w:val="21"/>
          <w:highlight w:val="none"/>
        </w:rPr>
        <w:t xml:space="preserve">本项目总分为100分，</w:t>
      </w:r>
      <w:r>
        <w:rPr>
          <w:color w:val="000000"/>
          <w:szCs w:val="21"/>
          <w:highlight w:val="none"/>
        </w:rPr>
        <w:t xml:space="preserve">小数点后保留2位。</w:t>
      </w:r>
      <w:r>
        <w:rPr>
          <w:color w:val="000000"/>
          <w:szCs w:val="21"/>
          <w:highlight w:val="none"/>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color w:val="000000"/>
          <w:szCs w:val="21"/>
          <w:highlight w:val="none"/>
        </w:rPr>
        <w:t xml:space="preserve">。</w:t>
      </w:r>
      <w:r>
        <w:rPr>
          <w:color w:val="000000"/>
          <w:szCs w:val="21"/>
          <w:highlight w:val="none"/>
        </w:rPr>
      </w:r>
      <w:r/>
    </w:p>
    <w:p>
      <w:pPr>
        <w:pStyle w:val="1223"/>
        <w:numPr>
          <w:ilvl w:val="0"/>
          <w:numId w:val="0"/>
        </w:numPr>
        <w:ind w:firstLine="0"/>
        <w:rPr>
          <w:color w:val="000000"/>
          <w:szCs w:val="21"/>
          <w:highlight w:val="none"/>
        </w:rPr>
      </w:pPr>
      <w:r>
        <w:rPr>
          <w:color w:val="000000"/>
          <w:szCs w:val="21"/>
          <w:highlight w:val="none"/>
        </w:rPr>
        <w:t xml:space="preserve">具体打分方法如下：</w:t>
      </w:r>
      <w:r>
        <w:rPr>
          <w:color w:val="000000"/>
          <w:szCs w:val="21"/>
          <w:highlight w:val="none"/>
        </w:rPr>
      </w:r>
      <w:r/>
    </w:p>
    <w:p>
      <w:pPr>
        <w:pStyle w:val="1223"/>
        <w:ind w:firstLine="0"/>
        <w:rPr>
          <w:color w:val="000000"/>
          <w:szCs w:val="21"/>
          <w:highlight w:val="none"/>
        </w:rPr>
        <w:outlineLvl w:val="1"/>
      </w:pPr>
      <w:r/>
      <w:bookmarkStart w:id="216" w:name="_Toc28905"/>
      <w:r>
        <w:rPr>
          <w:rFonts w:hint="eastAsia"/>
          <w:color w:val="000000"/>
          <w:szCs w:val="21"/>
          <w:highlight w:val="none"/>
        </w:rPr>
        <w:t xml:space="preserve">分包1：</w:t>
      </w:r>
      <w:bookmarkEnd w:id="216"/>
      <w:r>
        <w:rPr>
          <w:color w:val="000000"/>
          <w:szCs w:val="21"/>
          <w:highlight w:val="none"/>
        </w:rPr>
      </w:r>
      <w:r/>
    </w:p>
    <w:tbl>
      <w:tblPr>
        <w:tblW w:w="52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163"/>
        <w:gridCol w:w="7888"/>
        <w:gridCol w:w="670"/>
      </w:tblGrid>
      <w:tr>
        <w:trPr>
          <w:trHeight w:val="284"/>
          <w:tblHeader/>
        </w:trPr>
        <w:tc>
          <w:tcPr>
            <w:tcW w:w="308"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序号</w:t>
            </w:r>
            <w:r>
              <w:rPr>
                <w:rFonts w:ascii="Times New Roman" w:hAnsi="Times New Roman" w:cs="Times New Roman"/>
                <w:b/>
                <w:color w:val="000000"/>
                <w:szCs w:val="21"/>
                <w:highlight w:val="none"/>
              </w:rPr>
            </w:r>
            <w:r/>
          </w:p>
        </w:tc>
        <w:tc>
          <w:tcPr>
            <w:tcW w:w="561"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评审因素</w:t>
            </w:r>
            <w:r>
              <w:rPr>
                <w:rFonts w:ascii="Times New Roman" w:hAnsi="Times New Roman" w:cs="Times New Roman"/>
                <w:b/>
                <w:color w:val="000000"/>
                <w:szCs w:val="21"/>
                <w:highlight w:val="none"/>
              </w:rPr>
            </w:r>
            <w:r/>
          </w:p>
        </w:tc>
        <w:tc>
          <w:tcPr>
            <w:tcW w:w="3806"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评审标准</w:t>
            </w:r>
            <w:r>
              <w:rPr>
                <w:rFonts w:ascii="Times New Roman" w:hAnsi="Times New Roman" w:cs="Times New Roman"/>
                <w:b/>
                <w:color w:val="000000"/>
                <w:szCs w:val="21"/>
                <w:highlight w:val="none"/>
              </w:rPr>
            </w:r>
            <w:r/>
          </w:p>
        </w:tc>
        <w:tc>
          <w:tcPr>
            <w:tcW w:w="323"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分值</w:t>
            </w:r>
            <w:r>
              <w:rPr>
                <w:rFonts w:ascii="Times New Roman" w:hAnsi="Times New Roman" w:cs="Times New Roman"/>
                <w:b/>
                <w:color w:val="000000"/>
                <w:szCs w:val="21"/>
                <w:highlight w:val="none"/>
              </w:rPr>
            </w:r>
            <w:r/>
          </w:p>
        </w:tc>
      </w:tr>
      <w:tr>
        <w:trPr>
          <w:trHeight w:val="925"/>
        </w:trPr>
        <w:tc>
          <w:tcPr>
            <w:tcW w:w="308"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w:t>
            </w:r>
            <w:r>
              <w:rPr>
                <w:rFonts w:ascii="Times New Roman" w:hAnsi="Times New Roman" w:cs="Times New Roman"/>
                <w:bCs/>
                <w:color w:val="000000"/>
                <w:szCs w:val="21"/>
                <w:highlight w:val="none"/>
              </w:rPr>
            </w:r>
            <w:r/>
          </w:p>
        </w:tc>
        <w:tc>
          <w:tcPr>
            <w:tcW w:w="561"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价格</w:t>
            </w:r>
            <w:r>
              <w:rPr>
                <w:rFonts w:ascii="Times New Roman" w:hAnsi="Times New Roman" w:cs="Times New Roman"/>
                <w:bCs/>
                <w:color w:val="000000"/>
                <w:szCs w:val="21"/>
                <w:highlight w:val="none"/>
              </w:rPr>
            </w:r>
            <w:r/>
          </w:p>
        </w:tc>
        <w:tc>
          <w:tcPr>
            <w:tcW w:w="3806"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满足招标文件要求且投标价格最低的投标报价为评标基准价，其价格分为满分。其他供应商的价格分统一按照下列公式计算：投标报价得分=(评标基准价／投标报价)×30</w:t>
            </w:r>
            <w:r>
              <w:rPr>
                <w:rFonts w:ascii="Times New Roman" w:hAnsi="Times New Roman" w:cs="Times New Roman"/>
                <w:bCs/>
                <w:color w:val="000000"/>
                <w:szCs w:val="21"/>
                <w:highlight w:val="none"/>
              </w:rPr>
            </w:r>
            <w:r/>
          </w:p>
        </w:tc>
        <w:tc>
          <w:tcPr>
            <w:tcW w:w="323"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30</w:t>
            </w:r>
            <w:r>
              <w:rPr>
                <w:rFonts w:ascii="Times New Roman" w:hAnsi="Times New Roman" w:cs="Times New Roman"/>
                <w:bCs/>
                <w:color w:val="000000"/>
                <w:szCs w:val="21"/>
                <w:highlight w:val="none"/>
              </w:rPr>
            </w:r>
            <w:r/>
          </w:p>
        </w:tc>
      </w:tr>
      <w:tr>
        <w:trPr>
          <w:trHeight w:val="667"/>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2.1</w:t>
            </w:r>
            <w:r>
              <w:rPr>
                <w:rFonts w:ascii="Times New Roman" w:hAnsi="Times New Roman" w:cs="Times New Roman"/>
                <w:bCs/>
                <w:color w:val="000000"/>
                <w:szCs w:val="21"/>
                <w:highlight w:val="none"/>
              </w:rPr>
            </w:r>
            <w:r/>
          </w:p>
        </w:tc>
        <w:tc>
          <w:tcPr>
            <w:tcW w:w="561" w:type="dxa"/>
            <w:vAlign w:val="center"/>
            <w:vMerge w:val="restart"/>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技术响应</w:t>
            </w:r>
            <w:r>
              <w:rPr>
                <w:rFonts w:ascii="Times New Roman" w:hAnsi="Times New Roman" w:cs="Times New Roman"/>
                <w:bCs/>
                <w:color w:val="000000"/>
                <w:szCs w:val="21"/>
                <w:highlight w:val="none"/>
              </w:rPr>
            </w:r>
            <w:r/>
          </w:p>
        </w:tc>
        <w:tc>
          <w:tcPr>
            <w:tcW w:w="3806" w:type="dxa"/>
            <w:vAlign w:val="center"/>
            <w:textDirection w:val="lrTb"/>
            <w:noWrap w:val="false"/>
          </w:tcPr>
          <w:p>
            <w:pPr>
              <w:pStyle w:val="1166"/>
              <w:jc w:val="left"/>
              <w:spacing w:line="360" w:lineRule="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设备技术参数全部满足招标要求的得满分3</w:t>
            </w:r>
            <w:r>
              <w:rPr>
                <w:rFonts w:hint="eastAsia" w:ascii="Times New Roman" w:hAnsi="Times New Roman" w:cs="Times New Roman"/>
                <w:color w:val="000000"/>
                <w:szCs w:val="21"/>
                <w:highlight w:val="none"/>
                <w:lang w:val="en-US" w:eastAsia="zh-CN"/>
              </w:rPr>
              <w:t xml:space="preserve">3</w:t>
            </w:r>
            <w:r>
              <w:rPr>
                <w:rFonts w:ascii="Times New Roman" w:hAnsi="Times New Roman" w:cs="Times New Roman"/>
                <w:color w:val="000000"/>
                <w:szCs w:val="21"/>
                <w:highlight w:val="none"/>
              </w:rPr>
              <w:t xml:space="preserve">分</w:t>
            </w:r>
            <w:r>
              <w:rPr>
                <w:rFonts w:ascii="Times New Roman" w:hAnsi="Times New Roman" w:cs="Times New Roman"/>
                <w:color w:val="000000"/>
                <w:szCs w:val="21"/>
                <w:highlight w:val="none"/>
              </w:rPr>
              <w:t xml:space="preserve">；招标文件中标注“★”的内容为实质性要求，有一项不符合的，作无效投标处理；标注“▲”的内容为重要参数，每有一项负偏离扣</w:t>
            </w:r>
            <w:r>
              <w:rPr>
                <w:rFonts w:hint="eastAsia" w:ascii="Times New Roman" w:hAnsi="Times New Roman" w:cs="Times New Roman"/>
                <w:color w:val="000000"/>
                <w:szCs w:val="21"/>
                <w:highlight w:val="none"/>
                <w:lang w:val="en-US" w:eastAsia="zh-CN"/>
              </w:rPr>
              <w:t xml:space="preserve">1</w:t>
            </w:r>
            <w:r>
              <w:rPr>
                <w:rFonts w:ascii="Times New Roman" w:hAnsi="Times New Roman" w:cs="Times New Roman"/>
                <w:color w:val="000000"/>
                <w:szCs w:val="21"/>
                <w:highlight w:val="none"/>
              </w:rPr>
              <w:t xml:space="preserve">分</w:t>
            </w:r>
            <w:r>
              <w:rPr>
                <w:rFonts w:ascii="Times New Roman" w:hAnsi="Times New Roman" w:cs="Times New Roman"/>
                <w:color w:val="000000"/>
                <w:szCs w:val="21"/>
                <w:highlight w:val="none"/>
              </w:rPr>
              <w:t xml:space="preserve">，其他非重要参数负偏离的，则每项扣</w:t>
            </w:r>
            <w:r>
              <w:rPr>
                <w:rFonts w:ascii="Times New Roman" w:hAnsi="Times New Roman" w:cs="Times New Roman"/>
                <w:color w:val="000000"/>
                <w:szCs w:val="21"/>
                <w:highlight w:val="none"/>
                <w:lang w:val="en-US" w:eastAsia="zh-CN"/>
              </w:rPr>
              <w:t xml:space="preserve">0.</w:t>
            </w:r>
            <w:r>
              <w:rPr>
                <w:rFonts w:hint="eastAsia" w:ascii="Times New Roman" w:hAnsi="Times New Roman" w:cs="Times New Roman"/>
                <w:color w:val="000000"/>
                <w:szCs w:val="21"/>
                <w:highlight w:val="none"/>
                <w:lang w:val="en-US" w:eastAsia="zh-CN"/>
              </w:rPr>
              <w:t xml:space="preserve">2</w:t>
            </w:r>
            <w:r>
              <w:rPr>
                <w:rFonts w:ascii="Times New Roman" w:hAnsi="Times New Roman" w:cs="Times New Roman"/>
                <w:color w:val="000000"/>
                <w:szCs w:val="21"/>
                <w:highlight w:val="none"/>
              </w:rPr>
              <w:t xml:space="preserve">分</w:t>
            </w:r>
            <w:r>
              <w:rPr>
                <w:rFonts w:ascii="Times New Roman" w:hAnsi="Times New Roman" w:cs="Times New Roman"/>
                <w:color w:val="000000"/>
                <w:szCs w:val="21"/>
                <w:highlight w:val="none"/>
              </w:rPr>
              <w:t xml:space="preserve">，扣完为止。</w:t>
            </w:r>
            <w:r>
              <w:rPr>
                <w:rFonts w:ascii="Times New Roman" w:hAnsi="Times New Roman" w:cs="Times New Roman"/>
                <w:color w:val="000000"/>
                <w:szCs w:val="21"/>
                <w:highlight w:val="none"/>
              </w:rPr>
            </w:r>
            <w:r/>
          </w:p>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color w:val="000000"/>
                <w:szCs w:val="21"/>
                <w:highlight w:val="none"/>
              </w:rPr>
              <w:t xml:space="preserve">注：①凡标有最低一级序号的指标项即为一项技术条款，无论是否隶属于上一级编号；②</w:t>
            </w:r>
            <w:r>
              <w:rPr>
                <w:rFonts w:ascii="Times New Roman" w:hAnsi="Times New Roman" w:eastAsia="宋体" w:cs="Times New Roman"/>
                <w:color w:val="000000"/>
                <w:sz w:val="21"/>
                <w:szCs w:val="21"/>
                <w:highlight w:val="none"/>
              </w:rPr>
              <w:t xml:space="preserve">标注“★”和“▲”的均必须在投标文件内提供技术支持资料（第四章招标技术规格及要求中“技术要求”内有明确要求的根据要求提供；未要求的，提供</w:t>
            </w:r>
            <w:r>
              <w:rPr>
                <w:rFonts w:ascii="Times New Roman" w:hAnsi="Times New Roman" w:cs="Times New Roman"/>
                <w:color w:val="000000"/>
                <w:szCs w:val="21"/>
                <w:highlight w:val="none"/>
              </w:rPr>
              <w:t xml:space="preserve">如白皮书、彩页、手册、检测报告、承诺函</w:t>
            </w:r>
            <w:r>
              <w:rPr>
                <w:rFonts w:ascii="Times New Roman" w:hAnsi="Times New Roman" w:eastAsia="宋体" w:cs="Times New Roman"/>
                <w:color w:val="000000"/>
                <w:sz w:val="21"/>
                <w:szCs w:val="21"/>
                <w:highlight w:val="none"/>
              </w:rPr>
              <w:t xml:space="preserve">等</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，未提供技术支持资料的，按负偏离评分。</w:t>
            </w:r>
            <w:r>
              <w:rPr>
                <w:rFonts w:ascii="Times New Roman" w:hAnsi="Times New Roman" w:cs="Times New Roman"/>
                <w:bCs/>
                <w:color w:val="000000"/>
                <w:szCs w:val="21"/>
                <w:highlight w:val="none"/>
              </w:rPr>
            </w:r>
            <w:r/>
          </w:p>
        </w:tc>
        <w:tc>
          <w:tcPr>
            <w:tcW w:w="323" w:type="dxa"/>
            <w:vAlign w:val="center"/>
            <w:textDirection w:val="lrTb"/>
            <w:noWrap w:val="false"/>
          </w:tcPr>
          <w:p>
            <w:pPr>
              <w:pStyle w:val="1166"/>
              <w:jc w:val="center"/>
              <w:spacing w:line="360" w:lineRule="auto"/>
              <w:rPr>
                <w:rFonts w:ascii="Times New Roman" w:hAnsi="Times New Roman" w:eastAsia="宋体" w:cs="Times New Roman"/>
                <w:bCs/>
                <w:color w:val="000000"/>
                <w:szCs w:val="21"/>
                <w:highlight w:val="none"/>
                <w:lang w:eastAsia="zh-CN"/>
              </w:rPr>
            </w:pPr>
            <w:r>
              <w:rPr>
                <w:rFonts w:ascii="Times New Roman" w:hAnsi="Times New Roman" w:cs="Times New Roman"/>
                <w:bCs/>
                <w:color w:val="000000"/>
                <w:szCs w:val="21"/>
                <w:highlight w:val="none"/>
              </w:rPr>
              <w:t xml:space="preserve">3</w:t>
            </w:r>
            <w:r>
              <w:rPr>
                <w:rFonts w:hint="eastAsia" w:ascii="Times New Roman" w:hAnsi="Times New Roman" w:cs="Times New Roman"/>
                <w:bCs/>
                <w:color w:val="000000"/>
                <w:szCs w:val="21"/>
                <w:highlight w:val="none"/>
                <w:lang w:val="en-US" w:eastAsia="zh-CN"/>
              </w:rPr>
              <w:t xml:space="preserve">3</w:t>
            </w:r>
            <w:r>
              <w:rPr>
                <w:rFonts w:ascii="Times New Roman" w:hAnsi="Times New Roman" w:eastAsia="宋体" w:cs="Times New Roman"/>
                <w:bCs/>
                <w:color w:val="000000"/>
                <w:szCs w:val="21"/>
                <w:highlight w:val="none"/>
                <w:lang w:eastAsia="zh-CN"/>
              </w:rPr>
            </w:r>
            <w:r/>
          </w:p>
        </w:tc>
      </w:tr>
      <w:tr>
        <w:trPr>
          <w:trHeight w:val="667"/>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2.2</w:t>
            </w:r>
            <w:r>
              <w:rPr>
                <w:rFonts w:ascii="Times New Roman" w:hAnsi="Times New Roman" w:cs="Times New Roman"/>
                <w:bCs/>
                <w:color w:val="000000"/>
                <w:szCs w:val="21"/>
                <w:highlight w:val="none"/>
              </w:rPr>
            </w:r>
            <w:r/>
          </w:p>
        </w:tc>
        <w:tc>
          <w:tcPr>
            <w:tcW w:w="561" w:type="dxa"/>
            <w:vAlign w:val="center"/>
            <w:vMerge w:val="continue"/>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r>
            <w:r/>
          </w:p>
        </w:tc>
        <w:tc>
          <w:tcPr>
            <w:tcW w:w="3806"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highlight w:val="none"/>
              </w:rPr>
              <w:t xml:space="preserve">供应商提供的产</w:t>
            </w:r>
            <w:r>
              <w:rPr>
                <w:rFonts w:ascii="Times New Roman" w:hAnsi="Times New Roman" w:cs="Times New Roman"/>
                <w:bCs/>
                <w:color w:val="000000"/>
                <w:szCs w:val="21"/>
                <w:highlight w:val="none"/>
              </w:rPr>
              <w:t xml:space="preserve">品</w:t>
            </w:r>
            <w:r>
              <w:rPr>
                <w:rFonts w:ascii="Times New Roman" w:hAnsi="Times New Roman" w:cs="Times New Roman"/>
                <w:color w:val="000000"/>
                <w:szCs w:val="21"/>
                <w:highlight w:val="none"/>
                <w:lang w:bidi="ar"/>
              </w:rPr>
              <w:t xml:space="preserve">选型、规格的科学性、合理性</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lang w:bidi="ar"/>
              </w:rPr>
              <w:t xml:space="preserve">且与项目需求的吻合度高</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5</w:t>
            </w:r>
            <w:r>
              <w:rPr>
                <w:rFonts w:ascii="Times New Roman" w:hAnsi="Times New Roman" w:cs="Times New Roman"/>
                <w:bCs/>
                <w:color w:val="000000"/>
                <w:szCs w:val="21"/>
                <w:highlight w:val="none"/>
              </w:rPr>
              <w:t xml:space="preserve">分；</w:t>
            </w:r>
            <w:r>
              <w:rPr>
                <w:rFonts w:ascii="Times New Roman" w:hAnsi="Times New Roman" w:cs="Times New Roman"/>
                <w:color w:val="000000"/>
                <w:szCs w:val="21"/>
                <w:highlight w:val="none"/>
                <w:lang w:bidi="ar"/>
              </w:rPr>
              <w:t xml:space="preserve">选型较好、规格较为科学合理，且与项目需求的吻合度较好</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3</w:t>
            </w:r>
            <w:r>
              <w:rPr>
                <w:rFonts w:ascii="Times New Roman" w:hAnsi="Times New Roman" w:cs="Times New Roman"/>
                <w:bCs/>
                <w:color w:val="000000"/>
                <w:szCs w:val="21"/>
                <w:highlight w:val="none"/>
              </w:rPr>
              <w:t xml:space="preserve">分；</w:t>
            </w:r>
            <w:r>
              <w:rPr>
                <w:rFonts w:ascii="Times New Roman" w:hAnsi="Times New Roman" w:cs="Times New Roman"/>
                <w:color w:val="000000"/>
                <w:szCs w:val="21"/>
                <w:highlight w:val="none"/>
                <w:lang w:bidi="ar"/>
              </w:rPr>
              <w:t xml:space="preserve">产品选型一般、规格一般，且与项目需求的吻合度一般</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1</w:t>
            </w:r>
            <w:r>
              <w:rPr>
                <w:rFonts w:ascii="Times New Roman" w:hAnsi="Times New Roman" w:cs="Times New Roman"/>
                <w:bCs/>
                <w:color w:val="000000"/>
                <w:szCs w:val="21"/>
                <w:highlight w:val="none"/>
              </w:rPr>
              <w:t xml:space="preserve">分；未提供不得</w:t>
            </w:r>
            <w:r>
              <w:rPr>
                <w:rFonts w:ascii="Times New Roman" w:hAnsi="Times New Roman" w:cs="Times New Roman"/>
                <w:bCs/>
                <w:color w:val="000000"/>
                <w:highlight w:val="none"/>
              </w:rPr>
              <w:t xml:space="preserve">分。</w:t>
            </w:r>
            <w:r>
              <w:rPr>
                <w:rFonts w:ascii="Times New Roman" w:hAnsi="Times New Roman" w:cs="Times New Roman"/>
                <w:bCs/>
                <w:color w:val="000000"/>
                <w:szCs w:val="21"/>
                <w:highlight w:val="none"/>
              </w:rPr>
            </w:r>
            <w:r/>
          </w:p>
        </w:tc>
        <w:tc>
          <w:tcPr>
            <w:tcW w:w="323" w:type="dxa"/>
            <w:vAlign w:val="center"/>
            <w:textDirection w:val="lrTb"/>
            <w:noWrap w:val="false"/>
          </w:tcPr>
          <w:p>
            <w:pPr>
              <w:pStyle w:val="1166"/>
              <w:jc w:val="center"/>
              <w:spacing w:line="360" w:lineRule="auto"/>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5</w:t>
            </w:r>
            <w:r>
              <w:rPr>
                <w:rFonts w:hint="eastAsia" w:ascii="Times New Roman" w:hAnsi="Times New Roman" w:eastAsia="宋体" w:cs="Times New Roman"/>
                <w:bCs/>
                <w:color w:val="000000"/>
                <w:szCs w:val="21"/>
                <w:highlight w:val="none"/>
                <w:lang w:eastAsia="zh-CN"/>
              </w:rPr>
            </w:r>
            <w:r/>
          </w:p>
        </w:tc>
      </w:tr>
      <w:tr>
        <w:trPr>
          <w:trHeight w:val="297"/>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w:t>
            </w:r>
            <w:r>
              <w:rPr>
                <w:rFonts w:ascii="Times New Roman" w:hAnsi="Times New Roman" w:cs="Times New Roman"/>
                <w:bCs/>
                <w:color w:val="000000"/>
                <w:szCs w:val="21"/>
                <w:highlight w:val="none"/>
              </w:rPr>
            </w:r>
            <w:r/>
          </w:p>
        </w:tc>
        <w:tc>
          <w:tcPr>
            <w:tcW w:w="56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实施方案</w:t>
            </w:r>
            <w:r>
              <w:rPr>
                <w:rFonts w:ascii="Times New Roman" w:hAnsi="Times New Roman" w:cs="Times New Roman"/>
                <w:bCs/>
                <w:color w:val="000000"/>
                <w:szCs w:val="21"/>
                <w:highlight w:val="none"/>
              </w:rPr>
            </w:r>
            <w:r/>
          </w:p>
        </w:tc>
        <w:tc>
          <w:tcPr>
            <w:tcW w:w="3806"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根据</w:t>
            </w:r>
            <w:r>
              <w:rPr>
                <w:rFonts w:ascii="Times New Roman" w:hAnsi="Times New Roman" w:cs="Times New Roman"/>
                <w:bCs/>
                <w:color w:val="000000"/>
                <w:highlight w:val="none"/>
              </w:rPr>
              <w:t xml:space="preserve">供应商</w:t>
            </w:r>
            <w:r>
              <w:rPr>
                <w:rFonts w:ascii="Times New Roman" w:hAnsi="Times New Roman" w:cs="Times New Roman"/>
                <w:bCs/>
                <w:color w:val="000000"/>
                <w:szCs w:val="21"/>
                <w:highlight w:val="none"/>
              </w:rPr>
              <w:t xml:space="preserve">提供的项目实施方案，包括但不限于</w:t>
            </w:r>
            <w:r>
              <w:rPr>
                <w:rFonts w:ascii="Times New Roman" w:hAnsi="Times New Roman" w:cs="Times New Roman"/>
                <w:bCs/>
                <w:color w:val="000000"/>
                <w:szCs w:val="21"/>
                <w:highlight w:val="none"/>
              </w:rPr>
              <w:t xml:space="preserve">质量保证措施、</w:t>
            </w:r>
            <w:r>
              <w:rPr>
                <w:rFonts w:ascii="Times New Roman" w:hAnsi="Times New Roman" w:cs="Times New Roman"/>
                <w:bCs/>
                <w:color w:val="000000"/>
                <w:szCs w:val="21"/>
                <w:highlight w:val="none"/>
              </w:rPr>
              <w:t xml:space="preserve">安装调试、试运行、测试、培训、系统对接、</w:t>
            </w:r>
            <w:r>
              <w:rPr>
                <w:rFonts w:ascii="Times New Roman" w:hAnsi="Times New Roman" w:cs="Times New Roman"/>
                <w:bCs/>
                <w:color w:val="000000"/>
                <w:szCs w:val="21"/>
                <w:highlight w:val="none"/>
              </w:rPr>
              <w:t xml:space="preserve">组织部署、技术方案、人员配置、时间进度安排的合理性、科学性等进行比较评分，实施方案完善、可操作性强得</w:t>
            </w:r>
            <w:r>
              <w:rPr>
                <w:rFonts w:hint="eastAsia" w:ascii="Times New Roman" w:hAnsi="Times New Roman" w:cs="Times New Roman"/>
                <w:bCs/>
                <w:color w:val="000000"/>
                <w:szCs w:val="21"/>
                <w:highlight w:val="none"/>
                <w:lang w:val="en-US" w:eastAsia="zh-CN"/>
              </w:rPr>
              <w:t xml:space="preserve">6</w:t>
            </w:r>
            <w:r>
              <w:rPr>
                <w:rFonts w:ascii="Times New Roman" w:hAnsi="Times New Roman" w:cs="Times New Roman"/>
                <w:bCs/>
                <w:color w:val="000000"/>
                <w:szCs w:val="21"/>
                <w:highlight w:val="none"/>
              </w:rPr>
              <w:t xml:space="preserve">分；实施方案略有瑕疵、具有可操作性得</w:t>
            </w:r>
            <w:r>
              <w:rPr>
                <w:rFonts w:hint="eastAsia" w:ascii="Times New Roman" w:hAnsi="Times New Roman" w:cs="Times New Roman"/>
                <w:bCs/>
                <w:color w:val="000000"/>
                <w:szCs w:val="21"/>
                <w:highlight w:val="none"/>
                <w:lang w:val="en-US" w:eastAsia="zh-CN"/>
              </w:rPr>
              <w:t xml:space="preserve">4</w:t>
            </w:r>
            <w:r>
              <w:rPr>
                <w:rFonts w:ascii="Times New Roman" w:hAnsi="Times New Roman" w:cs="Times New Roman"/>
                <w:bCs/>
                <w:color w:val="000000"/>
                <w:szCs w:val="21"/>
                <w:highlight w:val="none"/>
              </w:rPr>
              <w:t xml:space="preserve">分，实施方案较差，可操作性较差得</w:t>
            </w:r>
            <w:r>
              <w:rPr>
                <w:rFonts w:hint="eastAsia" w:ascii="Times New Roman" w:hAnsi="Times New Roman" w:cs="Times New Roman"/>
                <w:bCs/>
                <w:color w:val="000000"/>
                <w:szCs w:val="21"/>
                <w:highlight w:val="none"/>
                <w:lang w:val="en-US" w:eastAsia="zh-CN"/>
              </w:rPr>
              <w:t xml:space="preserve">2</w:t>
            </w:r>
            <w:r>
              <w:rPr>
                <w:rFonts w:ascii="Times New Roman" w:hAnsi="Times New Roman" w:cs="Times New Roman"/>
                <w:bCs/>
                <w:color w:val="000000"/>
                <w:szCs w:val="21"/>
                <w:highlight w:val="none"/>
              </w:rPr>
              <w:t xml:space="preserve">分，不提供不得分。</w:t>
            </w:r>
            <w:r>
              <w:rPr>
                <w:rFonts w:ascii="Times New Roman" w:hAnsi="Times New Roman" w:cs="Times New Roman"/>
                <w:bCs/>
                <w:color w:val="000000"/>
                <w:szCs w:val="21"/>
                <w:highlight w:val="none"/>
              </w:rPr>
            </w:r>
            <w:r/>
          </w:p>
        </w:tc>
        <w:tc>
          <w:tcPr>
            <w:tcW w:w="323" w:type="dxa"/>
            <w:vAlign w:val="center"/>
            <w:textDirection w:val="lrTb"/>
            <w:noWrap w:val="false"/>
          </w:tcPr>
          <w:p>
            <w:pPr>
              <w:pStyle w:val="1166"/>
              <w:jc w:val="center"/>
              <w:spacing w:line="360" w:lineRule="auto"/>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6</w:t>
            </w:r>
            <w:r>
              <w:rPr>
                <w:rFonts w:hint="eastAsia" w:ascii="Times New Roman" w:hAnsi="Times New Roman" w:eastAsia="宋体" w:cs="Times New Roman"/>
                <w:bCs/>
                <w:color w:val="000000"/>
                <w:szCs w:val="21"/>
                <w:highlight w:val="none"/>
                <w:lang w:eastAsia="zh-CN"/>
              </w:rPr>
            </w:r>
            <w:r/>
          </w:p>
        </w:tc>
      </w:tr>
      <w:tr>
        <w:trPr>
          <w:trHeight w:val="1454"/>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4.1</w:t>
            </w:r>
            <w:r>
              <w:rPr>
                <w:rFonts w:ascii="Times New Roman" w:hAnsi="Times New Roman" w:cs="Times New Roman"/>
                <w:bCs/>
                <w:color w:val="000000"/>
                <w:szCs w:val="21"/>
                <w:highlight w:val="none"/>
              </w:rPr>
            </w:r>
            <w:r/>
          </w:p>
        </w:tc>
        <w:tc>
          <w:tcPr>
            <w:tcW w:w="561" w:type="dxa"/>
            <w:vAlign w:val="center"/>
            <w:vMerge w:val="restart"/>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售后服务</w:t>
            </w:r>
            <w:r>
              <w:rPr>
                <w:rFonts w:ascii="Times New Roman" w:hAnsi="Times New Roman" w:cs="Times New Roman"/>
                <w:bCs/>
                <w:color w:val="000000"/>
                <w:szCs w:val="21"/>
                <w:highlight w:val="none"/>
              </w:rPr>
            </w:r>
            <w:r/>
          </w:p>
        </w:tc>
        <w:tc>
          <w:tcPr>
            <w:tcW w:w="3806"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根据</w:t>
            </w:r>
            <w:r>
              <w:rPr>
                <w:rFonts w:ascii="Times New Roman" w:hAnsi="Times New Roman" w:cs="Times New Roman"/>
                <w:bCs/>
                <w:color w:val="000000"/>
                <w:highlight w:val="none"/>
              </w:rPr>
              <w:t xml:space="preserve">供应商</w:t>
            </w:r>
            <w:r>
              <w:rPr>
                <w:rFonts w:ascii="Times New Roman" w:hAnsi="Times New Roman" w:cs="Times New Roman"/>
                <w:bCs/>
                <w:color w:val="000000"/>
                <w:szCs w:val="21"/>
                <w:highlight w:val="none"/>
              </w:rPr>
              <w:t xml:space="preserve">针对本项目的售后服务方案（如服务体系、服务内容、服务承诺、故障解决方案、专业技术人员保障、质保期满后的售后服务范围和收费情况</w:t>
            </w:r>
            <w:r>
              <w:rPr>
                <w:rFonts w:ascii="Times New Roman" w:hAnsi="Times New Roman" w:cs="Times New Roman"/>
                <w:color w:val="000000"/>
                <w:highlight w:val="none"/>
              </w:rPr>
              <w:t xml:space="preserve">及其他供应商可提供的优惠条件等</w:t>
            </w:r>
            <w:r>
              <w:rPr>
                <w:rFonts w:ascii="Times New Roman" w:hAnsi="Times New Roman" w:cs="Times New Roman"/>
                <w:bCs/>
                <w:color w:val="000000"/>
                <w:szCs w:val="21"/>
                <w:highlight w:val="none"/>
              </w:rPr>
              <w:t xml:space="preserve">等）综合评分。</w:t>
            </w:r>
            <w:r>
              <w:rPr>
                <w:rFonts w:ascii="Times New Roman" w:hAnsi="Times New Roman" w:cs="Times New Roman"/>
                <w:bCs/>
                <w:color w:val="000000"/>
                <w:szCs w:val="21"/>
                <w:highlight w:val="none"/>
              </w:rPr>
            </w:r>
            <w:r/>
          </w:p>
          <w:p>
            <w:pPr>
              <w:pStyle w:val="1166"/>
              <w:jc w:val="left"/>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售后服务方案科学详细、可行性、合理性强，得</w:t>
            </w:r>
            <w:r>
              <w:rPr>
                <w:rFonts w:hint="eastAsia" w:ascii="Times New Roman" w:hAnsi="Times New Roman" w:cs="Times New Roman"/>
                <w:bCs/>
                <w:color w:val="000000"/>
                <w:szCs w:val="21"/>
                <w:highlight w:val="none"/>
                <w:lang w:val="en-US" w:eastAsia="zh-CN"/>
              </w:rPr>
              <w:t xml:space="preserve">6</w:t>
            </w:r>
            <w:r>
              <w:rPr>
                <w:rFonts w:ascii="Times New Roman" w:hAnsi="Times New Roman" w:cs="Times New Roman"/>
                <w:bCs/>
                <w:color w:val="000000"/>
                <w:szCs w:val="21"/>
                <w:highlight w:val="none"/>
              </w:rPr>
              <w:t xml:space="preserve">分；售后服务方案比较科学、比较详细、可行性合理性较强，得</w:t>
            </w:r>
            <w:r>
              <w:rPr>
                <w:rFonts w:hint="eastAsia" w:ascii="Times New Roman" w:hAnsi="Times New Roman" w:cs="Times New Roman"/>
                <w:bCs/>
                <w:color w:val="000000"/>
                <w:szCs w:val="21"/>
                <w:highlight w:val="none"/>
                <w:lang w:val="en-US" w:eastAsia="zh-CN"/>
              </w:rPr>
              <w:t xml:space="preserve">4</w:t>
            </w:r>
            <w:r>
              <w:rPr>
                <w:rFonts w:ascii="Times New Roman" w:hAnsi="Times New Roman" w:cs="Times New Roman"/>
                <w:bCs/>
                <w:color w:val="000000"/>
                <w:szCs w:val="21"/>
                <w:highlight w:val="none"/>
              </w:rPr>
              <w:t xml:space="preserve">分；售后服务方案不够科学、不够详细、可行性合理性一般，得</w:t>
            </w:r>
            <w:r>
              <w:rPr>
                <w:rFonts w:hint="eastAsia" w:ascii="Times New Roman" w:hAnsi="Times New Roman" w:cs="Times New Roman"/>
                <w:bCs/>
                <w:color w:val="000000"/>
                <w:szCs w:val="21"/>
                <w:highlight w:val="none"/>
                <w:lang w:val="en-US" w:eastAsia="zh-CN"/>
              </w:rPr>
              <w:t xml:space="preserve">2</w:t>
            </w:r>
            <w:r>
              <w:rPr>
                <w:rFonts w:ascii="Times New Roman" w:hAnsi="Times New Roman" w:cs="Times New Roman"/>
                <w:bCs/>
                <w:color w:val="000000"/>
                <w:szCs w:val="21"/>
                <w:highlight w:val="none"/>
              </w:rPr>
              <w:t xml:space="preserve">分；未提供的不得分。</w:t>
            </w:r>
            <w:r>
              <w:rPr>
                <w:rFonts w:ascii="Times New Roman" w:hAnsi="Times New Roman" w:cs="Times New Roman"/>
                <w:bCs/>
                <w:color w:val="000000"/>
                <w:szCs w:val="21"/>
                <w:highlight w:val="none"/>
              </w:rPr>
            </w:r>
            <w:r/>
          </w:p>
        </w:tc>
        <w:tc>
          <w:tcPr>
            <w:tcW w:w="323" w:type="dxa"/>
            <w:vAlign w:val="center"/>
            <w:textDirection w:val="lrTb"/>
            <w:noWrap w:val="false"/>
          </w:tcPr>
          <w:p>
            <w:pPr>
              <w:pStyle w:val="1166"/>
              <w:jc w:val="center"/>
              <w:spacing w:line="360" w:lineRule="auto"/>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6</w:t>
            </w:r>
            <w:r>
              <w:rPr>
                <w:rFonts w:hint="eastAsia" w:ascii="Times New Roman" w:hAnsi="Times New Roman" w:eastAsia="宋体" w:cs="Times New Roman"/>
                <w:bCs/>
                <w:color w:val="000000"/>
                <w:szCs w:val="21"/>
                <w:highlight w:val="none"/>
                <w:lang w:eastAsia="zh-CN"/>
              </w:rPr>
            </w:r>
            <w:r/>
          </w:p>
        </w:tc>
      </w:tr>
      <w:tr>
        <w:trPr>
          <w:trHeight w:val="1219"/>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4.2</w:t>
            </w:r>
            <w:r>
              <w:rPr>
                <w:rFonts w:ascii="Times New Roman" w:hAnsi="Times New Roman" w:cs="Times New Roman"/>
                <w:bCs/>
                <w:color w:val="000000"/>
                <w:szCs w:val="21"/>
                <w:highlight w:val="none"/>
              </w:rPr>
            </w:r>
            <w:r/>
          </w:p>
        </w:tc>
        <w:tc>
          <w:tcPr>
            <w:tcW w:w="561" w:type="dxa"/>
            <w:vAlign w:val="center"/>
            <w:vMerge w:val="continue"/>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r>
            <w:r/>
          </w:p>
        </w:tc>
        <w:tc>
          <w:tcPr>
            <w:tcW w:w="3806" w:type="dxa"/>
            <w:vAlign w:val="center"/>
            <w:textDirection w:val="lrTb"/>
            <w:noWrap w:val="false"/>
          </w:tcPr>
          <w:p>
            <w:pPr>
              <w:pStyle w:val="1166"/>
              <w:jc w:val="left"/>
              <w:spacing w:line="360" w:lineRule="auto"/>
              <w:widowControl/>
              <w:rPr>
                <w:rFonts w:ascii="Times New Roman" w:hAnsi="Times New Roman" w:cs="Times New Roman"/>
                <w:bCs/>
                <w:color w:val="000000"/>
                <w:highlight w:val="none"/>
              </w:rPr>
            </w:pPr>
            <w:r>
              <w:rPr>
                <w:rFonts w:ascii="Times New Roman" w:hAnsi="Times New Roman" w:cs="Times New Roman"/>
                <w:color w:val="000000"/>
                <w:szCs w:val="21"/>
                <w:highlight w:val="none"/>
                <w:lang w:val="zh-TW"/>
              </w:rPr>
              <w:t xml:space="preserve">根据</w:t>
            </w:r>
            <w:r>
              <w:rPr>
                <w:rFonts w:ascii="Times New Roman" w:hAnsi="Times New Roman" w:cs="Times New Roman"/>
                <w:bCs/>
                <w:color w:val="000000"/>
                <w:highlight w:val="none"/>
              </w:rPr>
              <w:t xml:space="preserve">供应商</w:t>
            </w:r>
            <w:r>
              <w:rPr>
                <w:rFonts w:ascii="Times New Roman" w:hAnsi="Times New Roman" w:cs="Times New Roman"/>
                <w:color w:val="000000"/>
                <w:szCs w:val="21"/>
                <w:highlight w:val="none"/>
                <w:lang w:val="zh-TW"/>
              </w:rPr>
              <w:t xml:space="preserve">提供的培训方案、培训时间、培训内容进行评审：培训方案详细、完善、合理得</w:t>
            </w:r>
            <w:r>
              <w:rPr>
                <w:rFonts w:ascii="Times New Roman" w:hAnsi="Times New Roman" w:cs="Times New Roman"/>
                <w:color w:val="000000"/>
                <w:szCs w:val="21"/>
                <w:highlight w:val="none"/>
              </w:rPr>
              <w:t xml:space="preserve">5</w:t>
            </w:r>
            <w:r>
              <w:rPr>
                <w:rFonts w:ascii="Times New Roman" w:hAnsi="Times New Roman" w:cs="Times New Roman"/>
                <w:color w:val="000000"/>
                <w:szCs w:val="21"/>
                <w:highlight w:val="none"/>
                <w:lang w:val="zh-TW"/>
              </w:rPr>
              <w:t xml:space="preserve">分；培训方案较完善、尚有改进空间得</w:t>
            </w: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lang w:val="zh-TW"/>
              </w:rPr>
              <w:t xml:space="preserve">分；培训方案仅满足项目基本需求得1分；未提供或基本不满足得0分。</w:t>
            </w:r>
            <w:r>
              <w:rPr>
                <w:rFonts w:ascii="Times New Roman" w:hAnsi="Times New Roman" w:cs="Times New Roman"/>
                <w:bCs/>
                <w:color w:val="000000"/>
                <w:highlight w:val="none"/>
              </w:rPr>
            </w:r>
            <w:r/>
          </w:p>
        </w:tc>
        <w:tc>
          <w:tcPr>
            <w:tcW w:w="323"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5</w:t>
            </w:r>
            <w:r>
              <w:rPr>
                <w:rFonts w:ascii="Times New Roman" w:hAnsi="Times New Roman" w:cs="Times New Roman"/>
                <w:bCs/>
                <w:color w:val="000000"/>
                <w:szCs w:val="21"/>
                <w:highlight w:val="none"/>
              </w:rPr>
            </w:r>
            <w:r/>
          </w:p>
        </w:tc>
      </w:tr>
      <w:tr>
        <w:trPr>
          <w:trHeight w:val="1210"/>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4.3</w:t>
            </w:r>
            <w:r>
              <w:rPr>
                <w:rFonts w:ascii="Times New Roman" w:hAnsi="Times New Roman" w:cs="Times New Roman"/>
                <w:bCs/>
                <w:color w:val="000000"/>
                <w:szCs w:val="21"/>
                <w:highlight w:val="none"/>
              </w:rPr>
            </w:r>
            <w:r/>
          </w:p>
        </w:tc>
        <w:tc>
          <w:tcPr>
            <w:tcW w:w="561" w:type="dxa"/>
            <w:vAlign w:val="center"/>
            <w:vMerge w:val="continue"/>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r>
            <w:r/>
          </w:p>
        </w:tc>
        <w:tc>
          <w:tcPr>
            <w:tcW w:w="3806" w:type="dxa"/>
            <w:vAlign w:val="center"/>
            <w:textDirection w:val="lrTb"/>
            <w:noWrap w:val="false"/>
          </w:tcPr>
          <w:p>
            <w:pPr>
              <w:pStyle w:val="1166"/>
              <w:jc w:val="left"/>
              <w:spacing w:line="360" w:lineRule="auto"/>
              <w:widowControl/>
              <w:rPr>
                <w:rFonts w:ascii="Times New Roman" w:hAnsi="Times New Roman" w:cs="Times New Roman"/>
                <w:bCs/>
                <w:color w:val="000000"/>
                <w:highlight w:val="none"/>
              </w:rPr>
            </w:pPr>
            <w:r>
              <w:rPr>
                <w:rFonts w:ascii="Times New Roman" w:hAnsi="Times New Roman" w:cs="Times New Roman"/>
                <w:bCs/>
                <w:color w:val="000000"/>
                <w:szCs w:val="21"/>
                <w:highlight w:val="none"/>
              </w:rPr>
              <w:t xml:space="preserve">项目整体及所有设备满足招标文件免费质保期要求的不得分；在此基础上免费质保每增加1年加1分，本项最高得2分。需提供售后服务承诺书（若投标文件中出现前后不一致的情况，以最低免费质保期作为评分依据）。</w:t>
            </w:r>
            <w:r>
              <w:rPr>
                <w:rFonts w:ascii="Times New Roman" w:hAnsi="Times New Roman" w:cs="Times New Roman"/>
                <w:bCs/>
                <w:color w:val="000000"/>
                <w:highlight w:val="none"/>
              </w:rPr>
            </w:r>
            <w:r/>
          </w:p>
        </w:tc>
        <w:tc>
          <w:tcPr>
            <w:tcW w:w="323"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w:t>
            </w:r>
            <w:r>
              <w:rPr>
                <w:rFonts w:ascii="Times New Roman" w:hAnsi="Times New Roman" w:cs="Times New Roman"/>
                <w:bCs/>
                <w:color w:val="000000"/>
                <w:szCs w:val="21"/>
                <w:highlight w:val="none"/>
              </w:rPr>
            </w:r>
            <w:r/>
          </w:p>
        </w:tc>
      </w:tr>
      <w:tr>
        <w:trPr>
          <w:trHeight w:val="1210"/>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5</w:t>
            </w:r>
            <w:r>
              <w:rPr>
                <w:rFonts w:ascii="Times New Roman" w:hAnsi="Times New Roman" w:cs="Times New Roman"/>
                <w:bCs/>
                <w:color w:val="000000"/>
                <w:szCs w:val="21"/>
                <w:highlight w:val="none"/>
              </w:rPr>
            </w:r>
            <w:r/>
          </w:p>
        </w:tc>
        <w:tc>
          <w:tcPr>
            <w:tcW w:w="56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color w:val="000000"/>
                <w:highlight w:val="none"/>
              </w:rPr>
              <w:t xml:space="preserve">应急方案</w:t>
            </w:r>
            <w:r>
              <w:rPr>
                <w:rFonts w:ascii="Times New Roman" w:hAnsi="Times New Roman" w:cs="Times New Roman"/>
                <w:bCs/>
                <w:color w:val="000000"/>
                <w:szCs w:val="21"/>
                <w:highlight w:val="none"/>
              </w:rPr>
            </w:r>
            <w:r/>
          </w:p>
        </w:tc>
        <w:tc>
          <w:tcPr>
            <w:tcW w:w="3806" w:type="dxa"/>
            <w:vAlign w:val="center"/>
            <w:textDirection w:val="lrTb"/>
            <w:noWrap w:val="false"/>
          </w:tcPr>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根据</w:t>
            </w:r>
            <w:r>
              <w:rPr>
                <w:rFonts w:ascii="Times New Roman" w:hAnsi="Times New Roman" w:cs="Times New Roman"/>
                <w:bCs/>
                <w:color w:val="000000"/>
                <w:highlight w:val="none"/>
              </w:rPr>
              <w:t xml:space="preserve">供应商</w:t>
            </w:r>
            <w:r>
              <w:rPr>
                <w:rFonts w:ascii="Times New Roman" w:hAnsi="Times New Roman" w:cs="Times New Roman"/>
                <w:color w:val="000000"/>
                <w:highlight w:val="none"/>
              </w:rPr>
              <w:t xml:space="preserve">提供符合采购方情况的应急保障方案和风险管理方案。</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根据其提供的应急方案、对不可预见因素的预测、风险管理方案、应急处理、应急人员安排、时效性、与采购人配合应急处理措施等方面，根据其可行性、有效性、合理性等进行综合评审。</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要求：具有应急和重大故障预防措施，以及可能出现的紧急情况和其他不可预见的问题的应急响应时间、补救措施等，重大故障分析规划出合理应对的措施、有关经验措施和实施预案、对重点难点的分析等。</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方案全面合理，响应时间迅速，应急处理措施成熟、方案全面利于执行、与采购人配合度高，优于采购需求的得</w:t>
            </w:r>
            <w:r>
              <w:rPr>
                <w:rFonts w:hint="eastAsia"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分；</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方案合理可行，响应时间可行，应急处理措施可行，与采购人配合的对应措施可行，满足采购需求的得</w:t>
            </w:r>
            <w:r>
              <w:rPr>
                <w:rFonts w:hint="eastAsia" w:ascii="Times New Roman" w:hAnsi="Times New Roman" w:cs="Times New Roman"/>
                <w:color w:val="000000"/>
                <w:highlight w:val="none"/>
                <w:lang w:val="en-US" w:eastAsia="zh-CN"/>
              </w:rPr>
              <w:t xml:space="preserve">4</w:t>
            </w:r>
            <w:r>
              <w:rPr>
                <w:rFonts w:ascii="Times New Roman" w:hAnsi="Times New Roman" w:cs="Times New Roman"/>
                <w:color w:val="000000"/>
                <w:highlight w:val="none"/>
              </w:rPr>
              <w:t xml:space="preserve">分；</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应急处理方案略有缺陷经后期优化后可以符合采购需求的得</w:t>
            </w:r>
            <w:r>
              <w:rPr>
                <w:rFonts w:hint="eastAsia"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分；</w:t>
            </w:r>
            <w:r>
              <w:rPr>
                <w:rFonts w:ascii="Times New Roman" w:hAnsi="Times New Roman" w:cs="Times New Roman"/>
                <w:color w:val="000000"/>
                <w:highlight w:val="none"/>
              </w:rPr>
            </w:r>
            <w:r/>
          </w:p>
          <w:p>
            <w:pPr>
              <w:pStyle w:val="1166"/>
              <w:jc w:val="left"/>
              <w:spacing w:line="360" w:lineRule="auto"/>
              <w:widowControl/>
              <w:rPr>
                <w:rFonts w:ascii="Times New Roman" w:hAnsi="Times New Roman" w:cs="Times New Roman"/>
                <w:bCs/>
                <w:color w:val="000000"/>
                <w:szCs w:val="21"/>
                <w:highlight w:val="none"/>
              </w:rPr>
            </w:pPr>
            <w:r>
              <w:rPr>
                <w:rFonts w:ascii="Times New Roman" w:hAnsi="Times New Roman" w:cs="Times New Roman"/>
                <w:color w:val="000000"/>
                <w:highlight w:val="none"/>
              </w:rPr>
              <w:t xml:space="preserve">未提供方案，或方案内容与本项目无关的不得分。</w:t>
            </w:r>
            <w:r>
              <w:rPr>
                <w:rFonts w:ascii="Times New Roman" w:hAnsi="Times New Roman" w:cs="Times New Roman"/>
                <w:bCs/>
                <w:color w:val="000000"/>
                <w:szCs w:val="21"/>
                <w:highlight w:val="none"/>
              </w:rPr>
            </w:r>
            <w:r/>
          </w:p>
        </w:tc>
        <w:tc>
          <w:tcPr>
            <w:tcW w:w="323" w:type="dxa"/>
            <w:vAlign w:val="center"/>
            <w:textDirection w:val="lrTb"/>
            <w:noWrap w:val="false"/>
          </w:tcPr>
          <w:p>
            <w:pPr>
              <w:pStyle w:val="1166"/>
              <w:jc w:val="center"/>
              <w:spacing w:line="360" w:lineRule="auto"/>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6</w:t>
            </w:r>
            <w:r>
              <w:rPr>
                <w:rFonts w:hint="eastAsia" w:ascii="Times New Roman" w:hAnsi="Times New Roman" w:eastAsia="宋体" w:cs="Times New Roman"/>
                <w:bCs/>
                <w:color w:val="000000"/>
                <w:szCs w:val="21"/>
                <w:highlight w:val="none"/>
                <w:lang w:eastAsia="zh-CN"/>
              </w:rPr>
            </w:r>
            <w:r/>
          </w:p>
        </w:tc>
      </w:tr>
      <w:tr>
        <w:trPr>
          <w:trHeight w:val="836"/>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6</w:t>
            </w:r>
            <w:r>
              <w:rPr>
                <w:rFonts w:ascii="Times New Roman" w:hAnsi="Times New Roman" w:cs="Times New Roman"/>
                <w:bCs/>
                <w:color w:val="000000"/>
                <w:szCs w:val="21"/>
                <w:highlight w:val="none"/>
              </w:rPr>
            </w:r>
            <w:r/>
          </w:p>
        </w:tc>
        <w:tc>
          <w:tcPr>
            <w:tcW w:w="56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业绩</w:t>
            </w:r>
            <w:r>
              <w:rPr>
                <w:rFonts w:ascii="Times New Roman" w:hAnsi="Times New Roman" w:cs="Times New Roman"/>
                <w:bCs/>
                <w:color w:val="000000"/>
                <w:szCs w:val="21"/>
                <w:highlight w:val="none"/>
              </w:rPr>
            </w:r>
            <w:r/>
          </w:p>
        </w:tc>
        <w:tc>
          <w:tcPr>
            <w:tcW w:w="3806" w:type="dxa"/>
            <w:vAlign w:val="center"/>
            <w:textDirection w:val="lrTb"/>
            <w:noWrap w:val="false"/>
          </w:tcPr>
          <w:p>
            <w:pPr>
              <w:pStyle w:val="1166"/>
              <w:spacing w:line="360" w:lineRule="auto"/>
              <w:rPr>
                <w:rFonts w:ascii="Times New Roman" w:hAnsi="Times New Roman" w:cs="Times New Roman"/>
                <w:bCs/>
                <w:color w:val="000000"/>
                <w:highlight w:val="none"/>
              </w:rPr>
            </w:pPr>
            <w:r>
              <w:rPr>
                <w:rFonts w:ascii="Times New Roman" w:hAnsi="Times New Roman" w:cs="Times New Roman"/>
                <w:bCs/>
                <w:color w:val="000000"/>
                <w:szCs w:val="21"/>
                <w:highlight w:val="none"/>
              </w:rPr>
              <w:t xml:space="preserve">2023</w:t>
            </w:r>
            <w:r>
              <w:rPr>
                <w:rFonts w:ascii="Times New Roman" w:hAnsi="Times New Roman" w:cs="Times New Roman"/>
                <w:bCs/>
                <w:color w:val="000000"/>
                <w:highlight w:val="none"/>
              </w:rPr>
              <w:t xml:space="preserve">年</w:t>
            </w:r>
            <w:r>
              <w:rPr>
                <w:rFonts w:ascii="Times New Roman" w:hAnsi="Times New Roman" w:cs="Times New Roman"/>
                <w:bCs/>
                <w:color w:val="000000"/>
                <w:szCs w:val="21"/>
                <w:highlight w:val="none"/>
              </w:rPr>
              <w:t xml:space="preserve">1</w:t>
            </w:r>
            <w:r>
              <w:rPr>
                <w:rFonts w:ascii="Times New Roman" w:hAnsi="Times New Roman" w:cs="Times New Roman"/>
                <w:bCs/>
                <w:color w:val="000000"/>
                <w:highlight w:val="none"/>
              </w:rPr>
              <w:t xml:space="preserve">月</w:t>
            </w:r>
            <w:r>
              <w:rPr>
                <w:rFonts w:ascii="Times New Roman" w:hAnsi="Times New Roman" w:cs="Times New Roman"/>
                <w:bCs/>
                <w:color w:val="000000"/>
                <w:szCs w:val="21"/>
                <w:highlight w:val="none"/>
              </w:rPr>
              <w:t xml:space="preserve">1</w:t>
            </w:r>
            <w:r>
              <w:rPr>
                <w:rFonts w:ascii="Times New Roman" w:hAnsi="Times New Roman" w:cs="Times New Roman"/>
                <w:bCs/>
                <w:color w:val="000000"/>
                <w:highlight w:val="none"/>
              </w:rPr>
              <w:t xml:space="preserve">日（以合同签订时间为准）</w:t>
            </w:r>
            <w:r>
              <w:rPr>
                <w:rFonts w:ascii="Times New Roman" w:hAnsi="Times New Roman" w:cs="Times New Roman"/>
                <w:color w:val="000000"/>
                <w:szCs w:val="21"/>
                <w:highlight w:val="none"/>
              </w:rPr>
              <w:t xml:space="preserve">至今，供应商或制造商销售同型号</w:t>
            </w:r>
            <w:r>
              <w:rPr>
                <w:rFonts w:ascii="Times New Roman" w:hAnsi="Times New Roman" w:cs="Times New Roman"/>
                <w:color w:val="000000"/>
                <w:highlight w:val="none"/>
              </w:rPr>
              <w:t xml:space="preserve">投标产品的业绩</w:t>
            </w:r>
            <w:r>
              <w:rPr>
                <w:rFonts w:ascii="Times New Roman" w:hAnsi="Times New Roman" w:cs="Times New Roman"/>
                <w:bCs/>
                <w:color w:val="000000"/>
                <w:highlight w:val="none"/>
              </w:rPr>
              <w:t xml:space="preserve">，每提供一份得</w:t>
            </w:r>
            <w:r>
              <w:rPr>
                <w:rFonts w:hint="eastAsia" w:ascii="Times New Roman" w:hAnsi="Times New Roman" w:cs="Times New Roman"/>
                <w:bCs/>
                <w:color w:val="000000"/>
                <w:highlight w:val="none"/>
                <w:lang w:val="en-US" w:eastAsia="zh-CN"/>
              </w:rPr>
              <w:t xml:space="preserve">2</w:t>
            </w:r>
            <w:r>
              <w:rPr>
                <w:rFonts w:ascii="Times New Roman" w:hAnsi="Times New Roman" w:cs="Times New Roman"/>
                <w:bCs/>
                <w:color w:val="000000"/>
                <w:highlight w:val="none"/>
              </w:rPr>
              <w:t xml:space="preserve">分，最高</w:t>
            </w:r>
            <w:r>
              <w:rPr>
                <w:rFonts w:hint="eastAsia" w:ascii="Times New Roman" w:hAnsi="Times New Roman" w:cs="Times New Roman"/>
                <w:bCs/>
                <w:color w:val="000000"/>
                <w:highlight w:val="none"/>
                <w:lang w:val="en-US" w:eastAsia="zh-CN"/>
              </w:rPr>
              <w:t xml:space="preserve">6</w:t>
            </w:r>
            <w:r>
              <w:rPr>
                <w:rFonts w:ascii="Times New Roman" w:hAnsi="Times New Roman" w:cs="Times New Roman"/>
                <w:bCs/>
                <w:color w:val="000000"/>
                <w:highlight w:val="none"/>
              </w:rPr>
              <w:t xml:space="preserve">分。提供合同复印件并加盖公章，</w:t>
            </w:r>
            <w:r>
              <w:rPr>
                <w:rFonts w:ascii="Times New Roman" w:hAnsi="Times New Roman" w:cs="Times New Roman"/>
                <w:color w:val="000000"/>
                <w:szCs w:val="21"/>
                <w:highlight w:val="none"/>
              </w:rPr>
              <w:t xml:space="preserve">如果供货合同未体现标的物内容或字样，并且评委也无法推断的，不得分。中标后，投标人提供合同原件供采购单位复核，如若与投标文件不相符，视为提供虚假材料谋取中标，终止合同。</w:t>
            </w:r>
            <w:r>
              <w:rPr>
                <w:rFonts w:ascii="Times New Roman" w:hAnsi="Times New Roman" w:cs="Times New Roman"/>
                <w:bCs/>
                <w:color w:val="000000"/>
                <w:highlight w:val="none"/>
              </w:rPr>
            </w:r>
            <w:r/>
          </w:p>
        </w:tc>
        <w:tc>
          <w:tcPr>
            <w:tcW w:w="323" w:type="dxa"/>
            <w:vAlign w:val="center"/>
            <w:textDirection w:val="lrTb"/>
            <w:noWrap w:val="false"/>
          </w:tcPr>
          <w:p>
            <w:pPr>
              <w:pStyle w:val="1166"/>
              <w:jc w:val="center"/>
              <w:spacing w:line="360" w:lineRule="auto"/>
              <w:widowControl/>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6</w:t>
            </w:r>
            <w:r>
              <w:rPr>
                <w:rFonts w:hint="eastAsia" w:ascii="Times New Roman" w:hAnsi="Times New Roman" w:eastAsia="宋体" w:cs="Times New Roman"/>
                <w:bCs/>
                <w:color w:val="000000"/>
                <w:szCs w:val="21"/>
                <w:highlight w:val="none"/>
                <w:lang w:eastAsia="zh-CN"/>
              </w:rPr>
            </w:r>
            <w:r/>
          </w:p>
        </w:tc>
      </w:tr>
      <w:tr>
        <w:trPr>
          <w:trHeight w:val="488"/>
        </w:trPr>
        <w:tc>
          <w:tcPr>
            <w:tcW w:w="308"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7</w:t>
            </w:r>
            <w:r>
              <w:rPr>
                <w:rFonts w:ascii="Times New Roman" w:hAnsi="Times New Roman" w:cs="Times New Roman"/>
                <w:bCs/>
                <w:color w:val="000000"/>
                <w:szCs w:val="21"/>
                <w:highlight w:val="none"/>
              </w:rPr>
            </w:r>
            <w:r/>
          </w:p>
        </w:tc>
        <w:tc>
          <w:tcPr>
            <w:tcW w:w="56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国家政策导向</w:t>
            </w:r>
            <w:r>
              <w:rPr>
                <w:rFonts w:ascii="Times New Roman" w:hAnsi="Times New Roman" w:cs="Times New Roman"/>
                <w:bCs/>
                <w:color w:val="000000"/>
                <w:szCs w:val="21"/>
                <w:highlight w:val="none"/>
              </w:rPr>
            </w:r>
            <w:r/>
          </w:p>
        </w:tc>
        <w:tc>
          <w:tcPr>
            <w:tcW w:w="3806"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投标产品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rFonts w:ascii="Times New Roman" w:hAnsi="Times New Roman" w:cs="Times New Roman"/>
                <w:bCs/>
                <w:color w:val="000000"/>
                <w:szCs w:val="21"/>
                <w:highlight w:val="none"/>
              </w:rPr>
            </w:r>
            <w:r/>
          </w:p>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投标产品属于财政部、发展改革委公布的《节能产品政府采购品目清单》内的产品且具有国家确定的认证机构出具的、处于有效期之内的节能标志产品认证证书的，每有一类产品加0.5分，最高得0.5分。提供认证证书复印件，否则不得分。</w:t>
            </w:r>
            <w:r>
              <w:rPr>
                <w:rFonts w:ascii="Times New Roman" w:hAnsi="Times New Roman" w:cs="Times New Roman"/>
                <w:bCs/>
                <w:color w:val="000000"/>
                <w:szCs w:val="21"/>
                <w:highlight w:val="none"/>
              </w:rPr>
            </w:r>
            <w:r/>
          </w:p>
        </w:tc>
        <w:tc>
          <w:tcPr>
            <w:tcW w:w="323"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w:t>
            </w:r>
            <w:r>
              <w:rPr>
                <w:rFonts w:ascii="Times New Roman" w:hAnsi="Times New Roman" w:cs="Times New Roman"/>
                <w:bCs/>
                <w:color w:val="000000"/>
                <w:szCs w:val="21"/>
                <w:highlight w:val="none"/>
              </w:rPr>
            </w:r>
            <w:r/>
          </w:p>
        </w:tc>
      </w:tr>
    </w:tbl>
    <w:p>
      <w:pPr>
        <w:pStyle w:val="1223"/>
        <w:ind w:firstLine="0"/>
        <w:rPr>
          <w:color w:val="000000"/>
          <w:szCs w:val="21"/>
          <w:highlight w:val="none"/>
        </w:rPr>
        <w:outlineLvl w:val="1"/>
      </w:pPr>
      <w:r/>
      <w:bookmarkStart w:id="217" w:name="_Toc7652"/>
      <w:r>
        <w:rPr>
          <w:rFonts w:hint="eastAsia"/>
          <w:color w:val="000000"/>
          <w:szCs w:val="21"/>
          <w:highlight w:val="none"/>
        </w:rPr>
        <w:t xml:space="preserve">分包2：</w:t>
      </w:r>
      <w:bookmarkEnd w:id="217"/>
      <w:r>
        <w:rPr>
          <w:color w:val="000000"/>
          <w:szCs w:val="21"/>
          <w:highlight w:val="none"/>
        </w:rPr>
      </w:r>
      <w:r/>
    </w:p>
    <w:tbl>
      <w:tblPr>
        <w:tblW w:w="52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163"/>
        <w:gridCol w:w="7888"/>
        <w:gridCol w:w="670"/>
      </w:tblGrid>
      <w:tr>
        <w:trPr>
          <w:trHeight w:val="284"/>
          <w:tblHeader/>
        </w:trPr>
        <w:tc>
          <w:tcPr>
            <w:tcW w:w="308"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序号</w:t>
            </w:r>
            <w:r>
              <w:rPr>
                <w:b/>
                <w:color w:val="000000"/>
                <w:szCs w:val="21"/>
                <w:highlight w:val="none"/>
              </w:rPr>
            </w:r>
            <w:r/>
          </w:p>
        </w:tc>
        <w:tc>
          <w:tcPr>
            <w:tcW w:w="561"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评审因素</w:t>
            </w:r>
            <w:r>
              <w:rPr>
                <w:b/>
                <w:color w:val="000000"/>
                <w:szCs w:val="21"/>
                <w:highlight w:val="none"/>
              </w:rPr>
            </w:r>
            <w:r/>
          </w:p>
        </w:tc>
        <w:tc>
          <w:tcPr>
            <w:tcW w:w="380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评审标准</w:t>
            </w:r>
            <w:r>
              <w:rPr>
                <w:b/>
                <w:color w:val="000000"/>
                <w:szCs w:val="21"/>
                <w:highlight w:val="none"/>
              </w:rPr>
            </w:r>
            <w:r/>
          </w:p>
        </w:tc>
        <w:tc>
          <w:tcPr>
            <w:tcW w:w="323"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分值</w:t>
            </w:r>
            <w:r>
              <w:rPr>
                <w:b/>
                <w:color w:val="000000"/>
                <w:szCs w:val="21"/>
                <w:highlight w:val="none"/>
              </w:rPr>
            </w:r>
            <w:r/>
          </w:p>
        </w:tc>
      </w:tr>
      <w:tr>
        <w:trPr>
          <w:trHeight w:val="925"/>
        </w:trPr>
        <w:tc>
          <w:tcPr>
            <w:tcW w:w="308" w:type="dxa"/>
            <w:vAlign w:val="center"/>
            <w:textDirection w:val="lrTb"/>
            <w:noWrap w:val="false"/>
          </w:tcPr>
          <w:p>
            <w:pPr>
              <w:pStyle w:val="1166"/>
              <w:jc w:val="center"/>
              <w:spacing w:line="360" w:lineRule="auto"/>
              <w:widowControl/>
              <w:rPr>
                <w:bCs/>
                <w:color w:val="000000"/>
                <w:szCs w:val="21"/>
                <w:highlight w:val="none"/>
              </w:rPr>
            </w:pPr>
            <w:r>
              <w:rPr>
                <w:bCs/>
                <w:color w:val="000000"/>
                <w:szCs w:val="21"/>
                <w:highlight w:val="none"/>
              </w:rPr>
              <w:t xml:space="preserve">1</w:t>
            </w:r>
            <w:r>
              <w:rPr>
                <w:bCs/>
                <w:color w:val="000000"/>
                <w:szCs w:val="21"/>
                <w:highlight w:val="none"/>
              </w:rPr>
            </w:r>
            <w:r/>
          </w:p>
        </w:tc>
        <w:tc>
          <w:tcPr>
            <w:tcW w:w="561" w:type="dxa"/>
            <w:vAlign w:val="center"/>
            <w:textDirection w:val="lrTb"/>
            <w:noWrap w:val="false"/>
          </w:tcPr>
          <w:p>
            <w:pPr>
              <w:pStyle w:val="1166"/>
              <w:jc w:val="center"/>
              <w:spacing w:line="360" w:lineRule="auto"/>
              <w:widowControl/>
              <w:rPr>
                <w:bCs/>
                <w:color w:val="000000"/>
                <w:szCs w:val="21"/>
                <w:highlight w:val="none"/>
              </w:rPr>
            </w:pPr>
            <w:r>
              <w:rPr>
                <w:bCs/>
                <w:color w:val="000000"/>
                <w:szCs w:val="21"/>
                <w:highlight w:val="none"/>
              </w:rPr>
              <w:t xml:space="preserve">价格</w:t>
            </w:r>
            <w:r>
              <w:rPr>
                <w:bCs/>
                <w:color w:val="000000"/>
                <w:szCs w:val="21"/>
                <w:highlight w:val="none"/>
              </w:rPr>
            </w:r>
            <w:r/>
          </w:p>
        </w:tc>
        <w:tc>
          <w:tcPr>
            <w:tcW w:w="3806" w:type="dxa"/>
            <w:vAlign w:val="center"/>
            <w:textDirection w:val="lrTb"/>
            <w:noWrap w:val="false"/>
          </w:tcPr>
          <w:p>
            <w:pPr>
              <w:pStyle w:val="1166"/>
              <w:spacing w:line="360" w:lineRule="auto"/>
              <w:rPr>
                <w:bCs/>
                <w:color w:val="000000"/>
                <w:szCs w:val="21"/>
                <w:highlight w:val="none"/>
              </w:rPr>
            </w:pPr>
            <w:r>
              <w:rPr>
                <w:bCs/>
                <w:color w:val="000000"/>
                <w:szCs w:val="21"/>
                <w:highlight w:val="none"/>
              </w:rPr>
              <w:t xml:space="preserve">满足招标文件要求且投标价格最低的投标报价为评标基准价，其价格分为满分。其他供应商的价格分统一按照下列公式计算：投标报价得分=(评标基准价／投标报价)×30</w:t>
            </w:r>
            <w:r>
              <w:rPr>
                <w:bCs/>
                <w:color w:val="000000"/>
                <w:szCs w:val="21"/>
                <w:highlight w:val="none"/>
              </w:rPr>
            </w:r>
            <w:r/>
          </w:p>
        </w:tc>
        <w:tc>
          <w:tcPr>
            <w:tcW w:w="323" w:type="dxa"/>
            <w:vAlign w:val="center"/>
            <w:textDirection w:val="lrTb"/>
            <w:noWrap w:val="false"/>
          </w:tcPr>
          <w:p>
            <w:pPr>
              <w:pStyle w:val="1166"/>
              <w:jc w:val="center"/>
              <w:spacing w:line="360" w:lineRule="auto"/>
              <w:widowControl/>
              <w:rPr>
                <w:bCs/>
                <w:color w:val="000000"/>
                <w:szCs w:val="21"/>
                <w:highlight w:val="none"/>
              </w:rPr>
            </w:pPr>
            <w:r>
              <w:rPr>
                <w:bCs/>
                <w:color w:val="000000"/>
                <w:szCs w:val="21"/>
                <w:highlight w:val="none"/>
              </w:rPr>
              <w:t xml:space="preserve">30</w:t>
            </w:r>
            <w:r>
              <w:rPr>
                <w:bCs/>
                <w:color w:val="000000"/>
                <w:szCs w:val="21"/>
                <w:highlight w:val="none"/>
              </w:rPr>
            </w:r>
            <w:r/>
          </w:p>
        </w:tc>
      </w:tr>
      <w:tr>
        <w:trPr>
          <w:trHeight w:val="667"/>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2.1</w:t>
            </w:r>
            <w:r>
              <w:rPr>
                <w:bCs/>
                <w:color w:val="000000"/>
                <w:szCs w:val="21"/>
                <w:highlight w:val="none"/>
              </w:rPr>
            </w:r>
            <w:r/>
          </w:p>
        </w:tc>
        <w:tc>
          <w:tcPr>
            <w:tcW w:w="561" w:type="dxa"/>
            <w:vAlign w:val="center"/>
            <w:vMerge w:val="restart"/>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技术响应</w:t>
            </w:r>
            <w:r>
              <w:rPr>
                <w:bCs/>
                <w:color w:val="000000"/>
                <w:szCs w:val="21"/>
                <w:highlight w:val="none"/>
              </w:rPr>
            </w:r>
            <w:r/>
          </w:p>
        </w:tc>
        <w:tc>
          <w:tcPr>
            <w:tcW w:w="3806" w:type="dxa"/>
            <w:vAlign w:val="center"/>
            <w:textDirection w:val="lrTb"/>
            <w:noWrap w:val="false"/>
          </w:tcPr>
          <w:p>
            <w:pPr>
              <w:pStyle w:val="1166"/>
              <w:jc w:val="left"/>
              <w:spacing w:line="360" w:lineRule="auto"/>
              <w:widowControl/>
              <w:rPr>
                <w:color w:val="000000"/>
                <w:szCs w:val="21"/>
                <w:highlight w:val="none"/>
              </w:rPr>
            </w:pPr>
            <w:r>
              <w:rPr>
                <w:color w:val="000000"/>
                <w:szCs w:val="21"/>
                <w:highlight w:val="none"/>
              </w:rPr>
              <w:t xml:space="preserve">设备技术参数全部满足招标要求的得满分3</w:t>
            </w:r>
            <w:r>
              <w:rPr>
                <w:rFonts w:hint="eastAsia"/>
                <w:color w:val="000000"/>
                <w:szCs w:val="21"/>
                <w:highlight w:val="none"/>
                <w:lang w:val="en-US" w:eastAsia="zh-CN"/>
              </w:rPr>
              <w:t xml:space="preserve">4</w:t>
            </w:r>
            <w:r>
              <w:rPr>
                <w:color w:val="000000"/>
                <w:szCs w:val="21"/>
                <w:highlight w:val="none"/>
              </w:rPr>
              <w:t xml:space="preserve">分；招标文件中标注“★”的内容为实质性要求，有一项不符合的，作无效投标处理；标注“▲”的内容为重要参数，每有一项负偏离扣</w:t>
            </w:r>
            <w:r>
              <w:rPr>
                <w:rFonts w:hint="eastAsia"/>
                <w:color w:val="000000"/>
                <w:szCs w:val="21"/>
                <w:highlight w:val="none"/>
                <w:lang w:val="en-US" w:eastAsia="zh-CN"/>
              </w:rPr>
              <w:t xml:space="preserve">1.6</w:t>
            </w:r>
            <w:r>
              <w:rPr>
                <w:color w:val="000000"/>
                <w:szCs w:val="21"/>
                <w:highlight w:val="none"/>
              </w:rPr>
              <w:t xml:space="preserve">分，其他非重要参数负偏离的，则每项扣</w:t>
            </w:r>
            <w:r>
              <w:rPr>
                <w:rFonts w:hint="eastAsia"/>
                <w:color w:val="000000"/>
                <w:szCs w:val="21"/>
                <w:highlight w:val="none"/>
                <w:lang w:val="en-US" w:eastAsia="zh-CN"/>
              </w:rPr>
              <w:t xml:space="preserve">0.2</w:t>
            </w:r>
            <w:r>
              <w:rPr>
                <w:color w:val="000000"/>
                <w:szCs w:val="21"/>
                <w:highlight w:val="none"/>
              </w:rPr>
              <w:t xml:space="preserve">分，扣完为止。</w:t>
            </w:r>
            <w:r>
              <w:rPr>
                <w:color w:val="000000"/>
                <w:szCs w:val="21"/>
                <w:highlight w:val="none"/>
              </w:rPr>
            </w:r>
            <w:r/>
          </w:p>
          <w:p>
            <w:pPr>
              <w:pStyle w:val="1166"/>
              <w:spacing w:line="360" w:lineRule="auto"/>
              <w:rPr>
                <w:bCs/>
                <w:color w:val="000000"/>
                <w:szCs w:val="21"/>
                <w:highlight w:val="none"/>
              </w:rPr>
            </w:pPr>
            <w:r>
              <w:rPr>
                <w:color w:val="000000"/>
                <w:szCs w:val="21"/>
                <w:highlight w:val="none"/>
              </w:rPr>
              <w:t xml:space="preserve">注：①凡标有最低一级序号的指标项即为一项技术条款，无论是否隶属于上一级编号；②</w:t>
            </w:r>
            <w:r>
              <w:rPr>
                <w:rFonts w:ascii="Times New Roman" w:hAnsi="Times New Roman" w:eastAsia="宋体" w:cs="Times New Roman"/>
                <w:color w:val="000000"/>
                <w:sz w:val="21"/>
                <w:szCs w:val="21"/>
                <w:highlight w:val="none"/>
              </w:rPr>
              <w:t xml:space="preserve">标注“★”和“▲”的均必须在投标文件内提供技术支持资料（第四章招标技术规格及要求中“技术要求”内有明确要求的根据要求提供；未要求的，提供</w:t>
            </w:r>
            <w:r>
              <w:rPr>
                <w:rFonts w:ascii="Times New Roman" w:hAnsi="Times New Roman" w:cs="Times New Roman"/>
                <w:color w:val="000000"/>
                <w:szCs w:val="21"/>
                <w:highlight w:val="none"/>
              </w:rPr>
              <w:t xml:space="preserve">如白皮书、彩页、手册、检测报告、承诺函</w:t>
            </w:r>
            <w:r>
              <w:rPr>
                <w:rFonts w:ascii="Times New Roman" w:hAnsi="Times New Roman" w:eastAsia="宋体" w:cs="Times New Roman"/>
                <w:color w:val="000000"/>
                <w:sz w:val="21"/>
                <w:szCs w:val="21"/>
                <w:highlight w:val="none"/>
              </w:rPr>
              <w:t xml:space="preserve">等</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，未提供技术支持资料的，按负偏离评分</w:t>
            </w:r>
            <w:r>
              <w:rPr>
                <w:color w:val="000000"/>
                <w:szCs w:val="21"/>
                <w:highlight w:val="none"/>
              </w:rPr>
              <w:t xml:space="preserve">。</w:t>
            </w:r>
            <w:r>
              <w:rPr>
                <w:bCs/>
                <w:color w:val="000000"/>
                <w:szCs w:val="21"/>
                <w:highlight w:val="none"/>
              </w:rPr>
            </w:r>
            <w:r/>
          </w:p>
        </w:tc>
        <w:tc>
          <w:tcPr>
            <w:tcW w:w="323" w:type="dxa"/>
            <w:vAlign w:val="center"/>
            <w:textDirection w:val="lrTb"/>
            <w:noWrap w:val="false"/>
          </w:tcPr>
          <w:p>
            <w:pPr>
              <w:pStyle w:val="1166"/>
              <w:jc w:val="center"/>
              <w:spacing w:line="360" w:lineRule="auto"/>
              <w:rPr>
                <w:rFonts w:hint="eastAsia" w:eastAsia="宋体"/>
                <w:bCs/>
                <w:color w:val="000000"/>
                <w:szCs w:val="21"/>
                <w:highlight w:val="none"/>
                <w:lang w:eastAsia="zh-CN"/>
              </w:rPr>
            </w:pPr>
            <w:r>
              <w:rPr>
                <w:bCs/>
                <w:color w:val="000000"/>
                <w:szCs w:val="21"/>
                <w:highlight w:val="none"/>
              </w:rPr>
              <w:t xml:space="preserve">3</w:t>
            </w:r>
            <w:r>
              <w:rPr>
                <w:rFonts w:hint="eastAsia"/>
                <w:bCs/>
                <w:color w:val="000000"/>
                <w:szCs w:val="21"/>
                <w:highlight w:val="none"/>
                <w:lang w:val="en-US" w:eastAsia="zh-CN"/>
              </w:rPr>
              <w:t xml:space="preserve">4</w:t>
            </w:r>
            <w:r>
              <w:rPr>
                <w:rFonts w:hint="eastAsia" w:eastAsia="宋体"/>
                <w:bCs/>
                <w:color w:val="000000"/>
                <w:szCs w:val="21"/>
                <w:highlight w:val="none"/>
                <w:lang w:eastAsia="zh-CN"/>
              </w:rPr>
            </w:r>
            <w:r/>
          </w:p>
        </w:tc>
      </w:tr>
      <w:tr>
        <w:trPr>
          <w:trHeight w:val="667"/>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2.2</w:t>
            </w:r>
            <w:r>
              <w:rPr>
                <w:bCs/>
                <w:color w:val="000000"/>
                <w:szCs w:val="21"/>
                <w:highlight w:val="none"/>
              </w:rPr>
            </w:r>
            <w:r/>
          </w:p>
        </w:tc>
        <w:tc>
          <w:tcPr>
            <w:tcW w:w="561" w:type="dxa"/>
            <w:vAlign w:val="center"/>
            <w:vMerge w:val="continue"/>
            <w:textDirection w:val="lrTb"/>
            <w:noWrap w:val="false"/>
          </w:tcPr>
          <w:p>
            <w:pPr>
              <w:pStyle w:val="1166"/>
              <w:jc w:val="center"/>
              <w:spacing w:line="360" w:lineRule="auto"/>
              <w:rPr>
                <w:bCs/>
                <w:color w:val="000000"/>
                <w:szCs w:val="21"/>
                <w:highlight w:val="none"/>
              </w:rPr>
            </w:pPr>
            <w:r>
              <w:rPr>
                <w:bCs/>
                <w:color w:val="000000"/>
                <w:szCs w:val="21"/>
                <w:highlight w:val="none"/>
              </w:rPr>
            </w:r>
            <w:r/>
          </w:p>
        </w:tc>
        <w:tc>
          <w:tcPr>
            <w:tcW w:w="7888" w:type="dxa"/>
            <w:vAlign w:val="center"/>
            <w:textDirection w:val="lrTb"/>
            <w:noWrap w:val="false"/>
          </w:tcPr>
          <w:p>
            <w:pPr>
              <w:pStyle w:val="1166"/>
              <w:spacing w:line="360" w:lineRule="auto"/>
              <w:rPr>
                <w:bCs/>
                <w:color w:val="000000"/>
                <w:szCs w:val="21"/>
                <w:highlight w:val="none"/>
              </w:rPr>
            </w:pPr>
            <w:r>
              <w:rPr>
                <w:rFonts w:ascii="Times New Roman" w:hAnsi="Times New Roman" w:cs="Times New Roman"/>
                <w:bCs/>
                <w:color w:val="000000"/>
                <w:highlight w:val="none"/>
              </w:rPr>
              <w:t xml:space="preserve">供应商提供的产</w:t>
            </w:r>
            <w:r>
              <w:rPr>
                <w:rFonts w:ascii="Times New Roman" w:hAnsi="Times New Roman" w:cs="Times New Roman"/>
                <w:bCs/>
                <w:color w:val="000000"/>
                <w:szCs w:val="21"/>
                <w:highlight w:val="none"/>
              </w:rPr>
              <w:t xml:space="preserve">品</w:t>
            </w:r>
            <w:r>
              <w:rPr>
                <w:rFonts w:ascii="Times New Roman" w:hAnsi="Times New Roman" w:cs="Times New Roman"/>
                <w:color w:val="000000"/>
                <w:szCs w:val="21"/>
                <w:highlight w:val="none"/>
                <w:lang w:bidi="ar"/>
              </w:rPr>
              <w:t xml:space="preserve">选型、规格的科学性、合理性</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lang w:bidi="ar"/>
              </w:rPr>
              <w:t xml:space="preserve">且与项目需求的吻合度高</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5</w:t>
            </w:r>
            <w:r>
              <w:rPr>
                <w:rFonts w:ascii="Times New Roman" w:hAnsi="Times New Roman" w:cs="Times New Roman"/>
                <w:bCs/>
                <w:color w:val="000000"/>
                <w:szCs w:val="21"/>
                <w:highlight w:val="none"/>
              </w:rPr>
              <w:t xml:space="preserve">分；</w:t>
            </w:r>
            <w:r>
              <w:rPr>
                <w:rFonts w:ascii="Times New Roman" w:hAnsi="Times New Roman" w:cs="Times New Roman"/>
                <w:color w:val="000000"/>
                <w:szCs w:val="21"/>
                <w:highlight w:val="none"/>
                <w:lang w:bidi="ar"/>
              </w:rPr>
              <w:t xml:space="preserve">选型较好、规格较为科学合理，且与项目需求的吻合度较好</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3</w:t>
            </w:r>
            <w:r>
              <w:rPr>
                <w:rFonts w:ascii="Times New Roman" w:hAnsi="Times New Roman" w:cs="Times New Roman"/>
                <w:bCs/>
                <w:color w:val="000000"/>
                <w:szCs w:val="21"/>
                <w:highlight w:val="none"/>
              </w:rPr>
              <w:t xml:space="preserve">分；</w:t>
            </w:r>
            <w:r>
              <w:rPr>
                <w:rFonts w:ascii="Times New Roman" w:hAnsi="Times New Roman" w:cs="Times New Roman"/>
                <w:color w:val="000000"/>
                <w:szCs w:val="21"/>
                <w:highlight w:val="none"/>
                <w:lang w:bidi="ar"/>
              </w:rPr>
              <w:t xml:space="preserve">产品选型一般、规格一般，且与项目需求的吻合度一般</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1</w:t>
            </w:r>
            <w:r>
              <w:rPr>
                <w:rFonts w:ascii="Times New Roman" w:hAnsi="Times New Roman" w:cs="Times New Roman"/>
                <w:bCs/>
                <w:color w:val="000000"/>
                <w:szCs w:val="21"/>
                <w:highlight w:val="none"/>
              </w:rPr>
              <w:t xml:space="preserve">分；未提供不得</w:t>
            </w:r>
            <w:r>
              <w:rPr>
                <w:rFonts w:ascii="Times New Roman" w:hAnsi="Times New Roman" w:cs="Times New Roman"/>
                <w:bCs/>
                <w:color w:val="000000"/>
                <w:highlight w:val="none"/>
              </w:rPr>
              <w:t xml:space="preserve">分。</w:t>
            </w:r>
            <w:r>
              <w:rPr>
                <w:bCs/>
                <w:color w:val="000000"/>
                <w:szCs w:val="21"/>
                <w:highlight w:val="none"/>
              </w:rPr>
            </w:r>
            <w:r/>
          </w:p>
        </w:tc>
        <w:tc>
          <w:tcPr>
            <w:tcW w:w="670" w:type="dxa"/>
            <w:vAlign w:val="center"/>
            <w:textDirection w:val="lrTb"/>
            <w:noWrap w:val="false"/>
          </w:tcPr>
          <w:p>
            <w:pPr>
              <w:pStyle w:val="1166"/>
              <w:jc w:val="center"/>
              <w:spacing w:line="360" w:lineRule="auto"/>
              <w:rPr>
                <w:rFonts w:hint="eastAsia"/>
                <w:bCs/>
                <w:color w:val="000000"/>
                <w:szCs w:val="21"/>
                <w:highlight w:val="none"/>
              </w:rPr>
            </w:pPr>
            <w:r>
              <w:rPr>
                <w:rFonts w:hint="eastAsia" w:ascii="Times New Roman" w:hAnsi="Times New Roman" w:cs="Times New Roman"/>
                <w:bCs/>
                <w:color w:val="000000"/>
                <w:szCs w:val="21"/>
                <w:highlight w:val="none"/>
                <w:lang w:val="en-US" w:eastAsia="zh-CN"/>
              </w:rPr>
              <w:t xml:space="preserve">5</w:t>
            </w:r>
            <w:r>
              <w:rPr>
                <w:rFonts w:hint="eastAsia"/>
                <w:bCs/>
                <w:color w:val="000000"/>
                <w:szCs w:val="21"/>
                <w:highlight w:val="none"/>
              </w:rPr>
            </w:r>
            <w:r/>
          </w:p>
        </w:tc>
      </w:tr>
      <w:tr>
        <w:trPr>
          <w:trHeight w:val="297"/>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3</w:t>
            </w:r>
            <w:r>
              <w:rPr>
                <w:bCs/>
                <w:color w:val="000000"/>
                <w:szCs w:val="21"/>
                <w:highlight w:val="none"/>
              </w:rPr>
            </w:r>
            <w:r/>
          </w:p>
        </w:tc>
        <w:tc>
          <w:tcPr>
            <w:tcW w:w="561"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实施方案</w:t>
            </w:r>
            <w:r>
              <w:rPr>
                <w:bCs/>
                <w:color w:val="000000"/>
                <w:szCs w:val="21"/>
                <w:highlight w:val="none"/>
              </w:rPr>
            </w:r>
            <w:r/>
          </w:p>
        </w:tc>
        <w:tc>
          <w:tcPr>
            <w:tcW w:w="3806" w:type="dxa"/>
            <w:vAlign w:val="center"/>
            <w:textDirection w:val="lrTb"/>
            <w:noWrap w:val="false"/>
          </w:tcPr>
          <w:p>
            <w:pPr>
              <w:pStyle w:val="1166"/>
              <w:spacing w:line="360" w:lineRule="auto"/>
              <w:rPr>
                <w:rFonts w:ascii="宋体" w:hAnsi="宋体"/>
                <w:color w:val="000000"/>
                <w:highlight w:val="none"/>
              </w:rPr>
            </w:pPr>
            <w:r>
              <w:rPr>
                <w:bCs/>
                <w:color w:val="000000"/>
                <w:szCs w:val="21"/>
                <w:highlight w:val="none"/>
              </w:rPr>
              <w:t xml:space="preserve">根据</w:t>
            </w:r>
            <w:r>
              <w:rPr>
                <w:bCs/>
                <w:color w:val="000000"/>
                <w:highlight w:val="none"/>
              </w:rPr>
              <w:t xml:space="preserve">供应商</w:t>
            </w:r>
            <w:r>
              <w:rPr>
                <w:bCs/>
                <w:color w:val="000000"/>
                <w:szCs w:val="21"/>
                <w:highlight w:val="none"/>
              </w:rPr>
              <w:t xml:space="preserve">提供的项目实施方案，包括但不限于</w:t>
            </w:r>
            <w:r>
              <w:rPr>
                <w:bCs/>
                <w:color w:val="000000"/>
                <w:szCs w:val="21"/>
                <w:highlight w:val="none"/>
              </w:rPr>
              <w:t xml:space="preserve">质量保证措施、</w:t>
            </w:r>
            <w:r>
              <w:rPr>
                <w:bCs/>
                <w:color w:val="000000"/>
                <w:szCs w:val="21"/>
                <w:highlight w:val="none"/>
              </w:rPr>
              <w:t xml:space="preserve">安装调试、试运行、测试、培训、</w:t>
            </w:r>
            <w:r>
              <w:rPr>
                <w:rFonts w:hint="eastAsia"/>
                <w:bCs/>
                <w:color w:val="000000"/>
                <w:szCs w:val="21"/>
                <w:highlight w:val="none"/>
              </w:rPr>
              <w:t xml:space="preserve">系统对接、</w:t>
            </w:r>
            <w:r>
              <w:rPr>
                <w:bCs/>
                <w:color w:val="000000"/>
                <w:szCs w:val="21"/>
                <w:highlight w:val="none"/>
              </w:rPr>
              <w:t xml:space="preserve">组织部署、技术方案、人员配置、时间进度安排的合理性、科学性等进行比较评分</w:t>
            </w:r>
            <w:r>
              <w:rPr>
                <w:rFonts w:hint="eastAsia"/>
                <w:bCs/>
                <w:color w:val="000000"/>
                <w:szCs w:val="21"/>
                <w:highlight w:val="none"/>
              </w:rPr>
              <w:t xml:space="preserve">，</w:t>
            </w:r>
            <w:r>
              <w:rPr>
                <w:rFonts w:ascii="宋体" w:hAnsi="宋体"/>
                <w:color w:val="000000"/>
                <w:highlight w:val="none"/>
              </w:rPr>
              <w:t xml:space="preserve"> </w:t>
            </w:r>
            <w:r>
              <w:rPr>
                <w:rFonts w:ascii="宋体" w:hAnsi="宋体"/>
                <w:color w:val="000000"/>
                <w:highlight w:val="none"/>
              </w:rPr>
            </w:r>
            <w:r/>
          </w:p>
          <w:p>
            <w:pPr>
              <w:pStyle w:val="1166"/>
              <w:spacing w:line="360" w:lineRule="auto"/>
              <w:rPr>
                <w:bCs/>
                <w:color w:val="000000"/>
                <w:szCs w:val="21"/>
                <w:highlight w:val="none"/>
              </w:rPr>
            </w:pPr>
            <w:r>
              <w:rPr>
                <w:bCs/>
                <w:color w:val="000000"/>
                <w:szCs w:val="21"/>
                <w:highlight w:val="none"/>
              </w:rPr>
              <w:t xml:space="preserve">实施方案完善、可操作性强得</w:t>
            </w:r>
            <w:r>
              <w:rPr>
                <w:rFonts w:hint="eastAsia"/>
                <w:bCs/>
                <w:color w:val="000000"/>
                <w:szCs w:val="21"/>
                <w:highlight w:val="none"/>
                <w:lang w:val="en-US" w:eastAsia="zh-CN"/>
              </w:rPr>
              <w:t xml:space="preserve">6</w:t>
            </w:r>
            <w:r>
              <w:rPr>
                <w:bCs/>
                <w:color w:val="000000"/>
                <w:szCs w:val="21"/>
                <w:highlight w:val="none"/>
              </w:rPr>
              <w:t xml:space="preserve">分；实施方案略有瑕疵、具有可操作性得</w:t>
            </w:r>
            <w:r>
              <w:rPr>
                <w:rFonts w:hint="eastAsia"/>
                <w:bCs/>
                <w:color w:val="000000"/>
                <w:szCs w:val="21"/>
                <w:highlight w:val="none"/>
                <w:lang w:val="en-US" w:eastAsia="zh-CN"/>
              </w:rPr>
              <w:t xml:space="preserve">4</w:t>
            </w:r>
            <w:r>
              <w:rPr>
                <w:bCs/>
                <w:color w:val="000000"/>
                <w:szCs w:val="21"/>
                <w:highlight w:val="none"/>
              </w:rPr>
              <w:t xml:space="preserve">分，实施方案较差，可操作性较差得</w:t>
            </w:r>
            <w:r>
              <w:rPr>
                <w:rFonts w:hint="eastAsia"/>
                <w:bCs/>
                <w:color w:val="000000"/>
                <w:szCs w:val="21"/>
                <w:highlight w:val="none"/>
                <w:lang w:val="en-US" w:eastAsia="zh-CN"/>
              </w:rPr>
              <w:t xml:space="preserve">2</w:t>
            </w:r>
            <w:r>
              <w:rPr>
                <w:bCs/>
                <w:color w:val="000000"/>
                <w:szCs w:val="21"/>
                <w:highlight w:val="none"/>
              </w:rPr>
              <w:t xml:space="preserve">分，不提供不得分。</w:t>
            </w:r>
            <w:r>
              <w:rPr>
                <w:bCs/>
                <w:color w:val="000000"/>
                <w:szCs w:val="21"/>
                <w:highlight w:val="none"/>
              </w:rPr>
            </w:r>
            <w:r/>
          </w:p>
        </w:tc>
        <w:tc>
          <w:tcPr>
            <w:tcW w:w="323" w:type="dxa"/>
            <w:vAlign w:val="center"/>
            <w:textDirection w:val="lrTb"/>
            <w:noWrap w:val="false"/>
          </w:tcPr>
          <w:p>
            <w:pPr>
              <w:pStyle w:val="1166"/>
              <w:jc w:val="center"/>
              <w:spacing w:line="360" w:lineRule="auto"/>
              <w:rPr>
                <w:rFonts w:hint="eastAsia" w:eastAsia="宋体"/>
                <w:bCs/>
                <w:color w:val="000000"/>
                <w:szCs w:val="21"/>
                <w:highlight w:val="none"/>
                <w:lang w:eastAsia="zh-CN"/>
              </w:rPr>
            </w:pPr>
            <w:r>
              <w:rPr>
                <w:rFonts w:hint="eastAsia"/>
                <w:bCs/>
                <w:color w:val="000000"/>
                <w:szCs w:val="21"/>
                <w:highlight w:val="none"/>
                <w:lang w:val="en-US" w:eastAsia="zh-CN"/>
              </w:rPr>
              <w:t xml:space="preserve">6</w:t>
            </w:r>
            <w:r>
              <w:rPr>
                <w:rFonts w:hint="eastAsia" w:eastAsia="宋体"/>
                <w:bCs/>
                <w:color w:val="000000"/>
                <w:szCs w:val="21"/>
                <w:highlight w:val="none"/>
                <w:lang w:eastAsia="zh-CN"/>
              </w:rPr>
            </w:r>
            <w:r/>
          </w:p>
        </w:tc>
      </w:tr>
      <w:tr>
        <w:trPr>
          <w:trHeight w:val="1454"/>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4.1</w:t>
            </w:r>
            <w:r>
              <w:rPr>
                <w:bCs/>
                <w:color w:val="000000"/>
                <w:szCs w:val="21"/>
                <w:highlight w:val="none"/>
              </w:rPr>
            </w:r>
            <w:r/>
          </w:p>
        </w:tc>
        <w:tc>
          <w:tcPr>
            <w:tcW w:w="561" w:type="dxa"/>
            <w:vAlign w:val="center"/>
            <w:vMerge w:val="restart"/>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售后服务</w:t>
            </w:r>
            <w:r>
              <w:rPr>
                <w:bCs/>
                <w:color w:val="000000"/>
                <w:szCs w:val="21"/>
                <w:highlight w:val="none"/>
              </w:rPr>
            </w:r>
            <w:r/>
          </w:p>
        </w:tc>
        <w:tc>
          <w:tcPr>
            <w:tcW w:w="3806" w:type="dxa"/>
            <w:vAlign w:val="center"/>
            <w:textDirection w:val="lrTb"/>
            <w:noWrap w:val="false"/>
          </w:tcPr>
          <w:p>
            <w:pPr>
              <w:pStyle w:val="1166"/>
              <w:jc w:val="left"/>
              <w:spacing w:line="360" w:lineRule="auto"/>
              <w:widowControl/>
              <w:rPr>
                <w:bCs/>
                <w:color w:val="000000"/>
                <w:szCs w:val="21"/>
                <w:highlight w:val="none"/>
              </w:rPr>
            </w:pPr>
            <w:r>
              <w:rPr>
                <w:bCs/>
                <w:color w:val="000000"/>
                <w:szCs w:val="21"/>
                <w:highlight w:val="none"/>
              </w:rPr>
              <w:t xml:space="preserve">根据供应商针对本项目的售后服务方案（如服务体系、服务内容、服务承诺、故障解决方案、专业技术人员保障、质保期满后的售后服务范围和收费情况</w:t>
            </w:r>
            <w:r>
              <w:rPr>
                <w:rFonts w:hint="eastAsia" w:ascii="宋体" w:hAnsi="宋体" w:cs="宋体"/>
                <w:color w:val="000000"/>
                <w:highlight w:val="none"/>
              </w:rPr>
              <w:t xml:space="preserve">及其他供应商可提供的优惠条件等</w:t>
            </w:r>
            <w:r>
              <w:rPr>
                <w:bCs/>
                <w:color w:val="000000"/>
                <w:szCs w:val="21"/>
                <w:highlight w:val="none"/>
              </w:rPr>
              <w:t xml:space="preserve">等）综合评分。</w:t>
            </w:r>
            <w:r>
              <w:rPr>
                <w:bCs/>
                <w:color w:val="000000"/>
                <w:szCs w:val="21"/>
                <w:highlight w:val="none"/>
              </w:rPr>
            </w:r>
            <w:r/>
          </w:p>
          <w:p>
            <w:pPr>
              <w:pStyle w:val="1166"/>
              <w:jc w:val="left"/>
              <w:spacing w:line="360" w:lineRule="auto"/>
              <w:widowControl/>
              <w:rPr>
                <w:bCs/>
                <w:color w:val="000000"/>
                <w:szCs w:val="21"/>
                <w:highlight w:val="none"/>
              </w:rPr>
            </w:pPr>
            <w:r>
              <w:rPr>
                <w:bCs/>
                <w:color w:val="000000"/>
                <w:szCs w:val="21"/>
                <w:highlight w:val="none"/>
              </w:rPr>
              <w:t xml:space="preserve">售后服务方案科学详细、可行性、合理性强，得6分；售后服务方案比较科学、比较详细、可行性合理性较强，得4分；售后服务方案不够科学、不够详细、可行性合理性一般，得2分；未提供的不得分。</w:t>
            </w:r>
            <w:r>
              <w:rPr>
                <w:bCs/>
                <w:color w:val="000000"/>
                <w:szCs w:val="21"/>
                <w:highlight w:val="none"/>
              </w:rPr>
            </w:r>
            <w:r/>
          </w:p>
        </w:tc>
        <w:tc>
          <w:tcPr>
            <w:tcW w:w="323"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6</w:t>
            </w:r>
            <w:r>
              <w:rPr>
                <w:bCs/>
                <w:color w:val="000000"/>
                <w:szCs w:val="21"/>
                <w:highlight w:val="none"/>
              </w:rPr>
            </w:r>
            <w:r/>
          </w:p>
        </w:tc>
      </w:tr>
      <w:tr>
        <w:trPr>
          <w:trHeight w:val="1219"/>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4.2</w:t>
            </w:r>
            <w:r>
              <w:rPr>
                <w:bCs/>
                <w:color w:val="000000"/>
                <w:szCs w:val="21"/>
                <w:highlight w:val="none"/>
              </w:rPr>
            </w:r>
            <w:r/>
          </w:p>
        </w:tc>
        <w:tc>
          <w:tcPr>
            <w:tcW w:w="561" w:type="dxa"/>
            <w:vAlign w:val="center"/>
            <w:vMerge w:val="continue"/>
            <w:textDirection w:val="lrTb"/>
            <w:noWrap w:val="false"/>
          </w:tcPr>
          <w:p>
            <w:pPr>
              <w:pStyle w:val="1166"/>
              <w:jc w:val="center"/>
              <w:spacing w:line="360" w:lineRule="auto"/>
              <w:rPr>
                <w:bCs/>
                <w:color w:val="000000"/>
                <w:szCs w:val="21"/>
                <w:highlight w:val="none"/>
              </w:rPr>
            </w:pPr>
            <w:r>
              <w:rPr>
                <w:bCs/>
                <w:color w:val="000000"/>
                <w:szCs w:val="21"/>
                <w:highlight w:val="none"/>
              </w:rPr>
            </w:r>
            <w:r/>
          </w:p>
        </w:tc>
        <w:tc>
          <w:tcPr>
            <w:tcW w:w="3806" w:type="dxa"/>
            <w:vAlign w:val="center"/>
            <w:textDirection w:val="lrTb"/>
            <w:noWrap w:val="false"/>
          </w:tcPr>
          <w:p>
            <w:pPr>
              <w:pStyle w:val="1166"/>
              <w:jc w:val="left"/>
              <w:spacing w:line="360" w:lineRule="auto"/>
              <w:widowControl/>
              <w:rPr>
                <w:bCs/>
                <w:color w:val="000000"/>
                <w:highlight w:val="none"/>
              </w:rPr>
            </w:pPr>
            <w:r>
              <w:rPr>
                <w:color w:val="000000"/>
                <w:szCs w:val="21"/>
                <w:highlight w:val="none"/>
                <w:lang w:val="zh-TW"/>
              </w:rPr>
              <w:t xml:space="preserve">根据</w:t>
            </w:r>
            <w:r>
              <w:rPr>
                <w:bCs/>
                <w:color w:val="000000"/>
                <w:highlight w:val="none"/>
              </w:rPr>
              <w:t xml:space="preserve">供应商</w:t>
            </w:r>
            <w:r>
              <w:rPr>
                <w:color w:val="000000"/>
                <w:szCs w:val="21"/>
                <w:highlight w:val="none"/>
                <w:lang w:val="zh-TW"/>
              </w:rPr>
              <w:t xml:space="preserve">提供的培训方案、培训时间、培训内容进行评审：培训方案详细、完善、合理得</w:t>
            </w:r>
            <w:r>
              <w:rPr>
                <w:color w:val="000000"/>
                <w:szCs w:val="21"/>
                <w:highlight w:val="none"/>
              </w:rPr>
              <w:t xml:space="preserve">5</w:t>
            </w:r>
            <w:r>
              <w:rPr>
                <w:color w:val="000000"/>
                <w:szCs w:val="21"/>
                <w:highlight w:val="none"/>
                <w:lang w:val="zh-TW"/>
              </w:rPr>
              <w:t xml:space="preserve">分；培训方案较完善、尚有改进空间得</w:t>
            </w:r>
            <w:r>
              <w:rPr>
                <w:color w:val="000000"/>
                <w:szCs w:val="21"/>
                <w:highlight w:val="none"/>
              </w:rPr>
              <w:t xml:space="preserve">3</w:t>
            </w:r>
            <w:r>
              <w:rPr>
                <w:color w:val="000000"/>
                <w:szCs w:val="21"/>
                <w:highlight w:val="none"/>
                <w:lang w:val="zh-TW"/>
              </w:rPr>
              <w:t xml:space="preserve">分；培训方案仅满足项目基本需求得1分；未提供或基本不满足得0分。</w:t>
            </w:r>
            <w:r>
              <w:rPr>
                <w:bCs/>
                <w:color w:val="000000"/>
                <w:highlight w:val="none"/>
              </w:rPr>
            </w:r>
            <w:r/>
          </w:p>
        </w:tc>
        <w:tc>
          <w:tcPr>
            <w:tcW w:w="323"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5</w:t>
            </w:r>
            <w:r>
              <w:rPr>
                <w:bCs/>
                <w:color w:val="000000"/>
                <w:szCs w:val="21"/>
                <w:highlight w:val="none"/>
              </w:rPr>
            </w:r>
            <w:r/>
          </w:p>
        </w:tc>
      </w:tr>
      <w:tr>
        <w:trPr>
          <w:trHeight w:val="1210"/>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4.3</w:t>
            </w:r>
            <w:r>
              <w:rPr>
                <w:bCs/>
                <w:color w:val="000000"/>
                <w:szCs w:val="21"/>
                <w:highlight w:val="none"/>
              </w:rPr>
            </w:r>
            <w:r/>
          </w:p>
        </w:tc>
        <w:tc>
          <w:tcPr>
            <w:tcW w:w="561" w:type="dxa"/>
            <w:vAlign w:val="center"/>
            <w:vMerge w:val="continue"/>
            <w:textDirection w:val="lrTb"/>
            <w:noWrap w:val="false"/>
          </w:tcPr>
          <w:p>
            <w:pPr>
              <w:pStyle w:val="1166"/>
              <w:jc w:val="center"/>
              <w:spacing w:line="360" w:lineRule="auto"/>
              <w:rPr>
                <w:bCs/>
                <w:color w:val="000000"/>
                <w:szCs w:val="21"/>
                <w:highlight w:val="none"/>
              </w:rPr>
            </w:pPr>
            <w:r>
              <w:rPr>
                <w:bCs/>
                <w:color w:val="000000"/>
                <w:szCs w:val="21"/>
                <w:highlight w:val="none"/>
              </w:rPr>
            </w:r>
            <w:r/>
          </w:p>
        </w:tc>
        <w:tc>
          <w:tcPr>
            <w:tcW w:w="3806" w:type="dxa"/>
            <w:vAlign w:val="center"/>
            <w:textDirection w:val="lrTb"/>
            <w:noWrap w:val="false"/>
          </w:tcPr>
          <w:p>
            <w:pPr>
              <w:pStyle w:val="1166"/>
              <w:jc w:val="left"/>
              <w:spacing w:line="360" w:lineRule="auto"/>
              <w:widowControl/>
              <w:rPr>
                <w:bCs/>
                <w:color w:val="000000"/>
                <w:highlight w:val="none"/>
              </w:rPr>
            </w:pPr>
            <w:r>
              <w:rPr>
                <w:bCs/>
                <w:color w:val="000000"/>
                <w:szCs w:val="21"/>
                <w:highlight w:val="none"/>
              </w:rPr>
              <w:t xml:space="preserve">项目整体及所有设备满足招标文件免费质保期要求的不得分；在此基础上免费质保每增加1年加1分，本项最高得</w:t>
            </w:r>
            <w:r>
              <w:rPr>
                <w:rFonts w:hint="eastAsia"/>
                <w:bCs/>
                <w:color w:val="000000"/>
                <w:szCs w:val="21"/>
                <w:highlight w:val="none"/>
              </w:rPr>
              <w:t xml:space="preserve">3</w:t>
            </w:r>
            <w:r>
              <w:rPr>
                <w:bCs/>
                <w:color w:val="000000"/>
                <w:szCs w:val="21"/>
                <w:highlight w:val="none"/>
              </w:rPr>
              <w:t xml:space="preserve">分。需提供售后服务承诺书（若投标文件中出现前后不一致的情况，以最低免费质保期作为评分依据）。</w:t>
            </w:r>
            <w:r>
              <w:rPr>
                <w:bCs/>
                <w:color w:val="000000"/>
                <w:highlight w:val="none"/>
              </w:rPr>
            </w:r>
            <w:r/>
          </w:p>
        </w:tc>
        <w:tc>
          <w:tcPr>
            <w:tcW w:w="323" w:type="dxa"/>
            <w:vAlign w:val="center"/>
            <w:textDirection w:val="lrTb"/>
            <w:noWrap w:val="false"/>
          </w:tcPr>
          <w:p>
            <w:pPr>
              <w:pStyle w:val="1166"/>
              <w:jc w:val="center"/>
              <w:spacing w:line="360" w:lineRule="auto"/>
              <w:rPr>
                <w:rFonts w:hint="eastAsia"/>
                <w:bCs/>
                <w:color w:val="000000"/>
                <w:szCs w:val="21"/>
                <w:highlight w:val="none"/>
              </w:rPr>
            </w:pPr>
            <w:r>
              <w:rPr>
                <w:rFonts w:hint="eastAsia"/>
                <w:bCs/>
                <w:color w:val="000000"/>
                <w:szCs w:val="21"/>
                <w:highlight w:val="none"/>
              </w:rPr>
              <w:t xml:space="preserve">3</w:t>
            </w:r>
            <w:r>
              <w:rPr>
                <w:rFonts w:hint="eastAsia"/>
                <w:bCs/>
                <w:color w:val="000000"/>
                <w:szCs w:val="21"/>
                <w:highlight w:val="none"/>
              </w:rPr>
            </w:r>
            <w:r/>
          </w:p>
        </w:tc>
      </w:tr>
      <w:tr>
        <w:trPr>
          <w:trHeight w:val="836"/>
        </w:trPr>
        <w:tc>
          <w:tcPr>
            <w:tcW w:w="308" w:type="dxa"/>
            <w:vAlign w:val="center"/>
            <w:textDirection w:val="lrTb"/>
            <w:noWrap w:val="false"/>
          </w:tcPr>
          <w:p>
            <w:pPr>
              <w:pStyle w:val="1166"/>
              <w:jc w:val="center"/>
              <w:spacing w:line="360" w:lineRule="auto"/>
              <w:rPr>
                <w:bCs/>
                <w:color w:val="000000"/>
                <w:szCs w:val="21"/>
                <w:highlight w:val="none"/>
              </w:rPr>
            </w:pPr>
            <w:r>
              <w:rPr>
                <w:rFonts w:hint="eastAsia"/>
                <w:bCs/>
                <w:color w:val="000000"/>
                <w:szCs w:val="21"/>
                <w:highlight w:val="none"/>
              </w:rPr>
              <w:t xml:space="preserve">5</w:t>
            </w:r>
            <w:r>
              <w:rPr>
                <w:bCs/>
                <w:color w:val="000000"/>
                <w:szCs w:val="21"/>
                <w:highlight w:val="none"/>
              </w:rPr>
            </w:r>
            <w:r/>
          </w:p>
        </w:tc>
        <w:tc>
          <w:tcPr>
            <w:tcW w:w="561" w:type="dxa"/>
            <w:vAlign w:val="center"/>
            <w:textDirection w:val="lrTb"/>
            <w:noWrap w:val="false"/>
          </w:tcPr>
          <w:p>
            <w:pPr>
              <w:pStyle w:val="1166"/>
              <w:jc w:val="center"/>
              <w:spacing w:line="360" w:lineRule="auto"/>
              <w:rPr>
                <w:bCs/>
                <w:color w:val="000000"/>
                <w:szCs w:val="21"/>
                <w:highlight w:val="none"/>
              </w:rPr>
            </w:pPr>
            <w:r>
              <w:rPr>
                <w:rFonts w:hint="eastAsia"/>
                <w:color w:val="000000"/>
                <w:highlight w:val="none"/>
              </w:rPr>
              <w:t xml:space="preserve">应急方案</w:t>
            </w:r>
            <w:r>
              <w:rPr>
                <w:bCs/>
                <w:color w:val="000000"/>
                <w:szCs w:val="21"/>
                <w:highlight w:val="none"/>
              </w:rPr>
            </w:r>
            <w:r/>
          </w:p>
        </w:tc>
        <w:tc>
          <w:tcPr>
            <w:tcW w:w="3806" w:type="dxa"/>
            <w:vAlign w:val="center"/>
            <w:textDirection w:val="lrTb"/>
            <w:noWrap w:val="false"/>
          </w:tcPr>
          <w:p>
            <w:pPr>
              <w:pStyle w:val="1166"/>
              <w:spacing w:line="360" w:lineRule="auto"/>
              <w:rPr>
                <w:rFonts w:hint="eastAsia"/>
                <w:color w:val="000000"/>
                <w:highlight w:val="none"/>
              </w:rPr>
            </w:pPr>
            <w:r>
              <w:rPr>
                <w:rFonts w:hint="eastAsia"/>
                <w:color w:val="000000"/>
                <w:highlight w:val="none"/>
              </w:rPr>
              <w:t xml:space="preserve">根据</w:t>
            </w:r>
            <w:r>
              <w:rPr>
                <w:bCs/>
                <w:color w:val="000000"/>
                <w:highlight w:val="none"/>
              </w:rPr>
              <w:t xml:space="preserve">供应商</w:t>
            </w:r>
            <w:r>
              <w:rPr>
                <w:rFonts w:hint="eastAsia"/>
                <w:color w:val="000000"/>
                <w:highlight w:val="none"/>
              </w:rPr>
              <w:t xml:space="preserve">提供符合采购方情况的应急保障方案和风险管理方案。</w:t>
            </w:r>
            <w:r>
              <w:rPr>
                <w:rFonts w:hint="eastAsia"/>
                <w:color w:val="000000"/>
                <w:highlight w:val="none"/>
              </w:rPr>
            </w:r>
            <w:r/>
          </w:p>
          <w:p>
            <w:pPr>
              <w:pStyle w:val="1166"/>
              <w:spacing w:line="360" w:lineRule="auto"/>
              <w:rPr>
                <w:rFonts w:hint="eastAsia"/>
                <w:color w:val="000000"/>
                <w:highlight w:val="none"/>
              </w:rPr>
            </w:pPr>
            <w:r>
              <w:rPr>
                <w:rFonts w:hint="eastAsia"/>
                <w:color w:val="000000"/>
                <w:highlight w:val="none"/>
              </w:rPr>
              <w:t xml:space="preserve">根据其提供的应急方案、对不可预见因素的预测、风险管理方案、应急处理、应急人员安排、时效性、与采购人配合应急处理措施等方面，根据其可行性、有效性、合理性等进行综合评审。</w:t>
            </w:r>
            <w:r>
              <w:rPr>
                <w:rFonts w:hint="eastAsia"/>
                <w:color w:val="000000"/>
                <w:highlight w:val="none"/>
              </w:rPr>
            </w:r>
            <w:r/>
          </w:p>
          <w:p>
            <w:pPr>
              <w:pStyle w:val="1166"/>
              <w:spacing w:line="360" w:lineRule="auto"/>
              <w:rPr>
                <w:rFonts w:hint="eastAsia"/>
                <w:color w:val="000000"/>
                <w:highlight w:val="none"/>
              </w:rPr>
            </w:pPr>
            <w:r>
              <w:rPr>
                <w:rFonts w:hint="eastAsia"/>
                <w:color w:val="000000"/>
                <w:highlight w:val="none"/>
              </w:rPr>
              <w:t xml:space="preserve">要求：具有应急和重大故障预防措施，以及可能出现的紧急情况和其他不可预见的问题的应急响应时间、补救措施等，重大故障分析规划出合理应对的措施、有关经验措施和实施预案、对重点难点的分析等。</w:t>
            </w:r>
            <w:r>
              <w:rPr>
                <w:rFonts w:hint="eastAsia"/>
                <w:color w:val="000000"/>
                <w:highlight w:val="none"/>
              </w:rPr>
            </w:r>
            <w:r/>
          </w:p>
          <w:p>
            <w:pPr>
              <w:pStyle w:val="1166"/>
              <w:spacing w:line="360" w:lineRule="auto"/>
              <w:rPr>
                <w:rFonts w:hint="eastAsia"/>
                <w:color w:val="000000"/>
                <w:highlight w:val="none"/>
              </w:rPr>
            </w:pPr>
            <w:r>
              <w:rPr>
                <w:rFonts w:hint="eastAsia"/>
                <w:color w:val="000000"/>
                <w:highlight w:val="none"/>
              </w:rPr>
              <w:t xml:space="preserve">方案全面合理，响应时间迅速，应急处理措施成熟、方案全面利于执行、与采购人配合度高，优于采购需求的得</w:t>
            </w:r>
            <w:r>
              <w:rPr>
                <w:rFonts w:hint="eastAsia"/>
                <w:color w:val="000000"/>
                <w:highlight w:val="none"/>
                <w:lang w:val="en-US" w:eastAsia="zh-CN"/>
              </w:rPr>
              <w:t xml:space="preserve">7</w:t>
            </w:r>
            <w:r>
              <w:rPr>
                <w:rFonts w:hint="eastAsia"/>
                <w:color w:val="000000"/>
                <w:highlight w:val="none"/>
              </w:rPr>
              <w:t xml:space="preserve">分；</w:t>
            </w:r>
            <w:r>
              <w:rPr>
                <w:rFonts w:hint="eastAsia"/>
                <w:color w:val="000000"/>
                <w:highlight w:val="none"/>
              </w:rPr>
            </w:r>
            <w:r/>
          </w:p>
          <w:p>
            <w:pPr>
              <w:pStyle w:val="1166"/>
              <w:spacing w:line="360" w:lineRule="auto"/>
              <w:rPr>
                <w:rFonts w:hint="eastAsia"/>
                <w:color w:val="000000"/>
                <w:highlight w:val="none"/>
              </w:rPr>
            </w:pPr>
            <w:r>
              <w:rPr>
                <w:rFonts w:hint="eastAsia"/>
                <w:color w:val="000000"/>
                <w:highlight w:val="none"/>
              </w:rPr>
              <w:t xml:space="preserve">方案合理可行，响应时间可行，应急处理措施可行，与采购人配合的对应措施可行，满足采购需求的得</w:t>
            </w: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rPr>
            </w:r>
            <w:r/>
          </w:p>
          <w:p>
            <w:pPr>
              <w:pStyle w:val="1166"/>
              <w:spacing w:line="360" w:lineRule="auto"/>
              <w:rPr>
                <w:rFonts w:hint="eastAsia"/>
                <w:color w:val="000000"/>
                <w:highlight w:val="none"/>
              </w:rPr>
            </w:pPr>
            <w:r>
              <w:rPr>
                <w:rFonts w:hint="eastAsia"/>
                <w:color w:val="000000"/>
                <w:highlight w:val="none"/>
              </w:rPr>
              <w:t xml:space="preserve">应急处理方案略有缺陷经后期优化后可以符合采购需求的得1分；</w:t>
            </w:r>
            <w:r>
              <w:rPr>
                <w:rFonts w:hint="eastAsia"/>
                <w:color w:val="000000"/>
                <w:highlight w:val="none"/>
              </w:rPr>
            </w:r>
            <w:r/>
          </w:p>
          <w:p>
            <w:pPr>
              <w:pStyle w:val="1166"/>
              <w:spacing w:line="360" w:lineRule="auto"/>
              <w:rPr>
                <w:bCs/>
                <w:color w:val="000000"/>
                <w:szCs w:val="21"/>
                <w:highlight w:val="none"/>
              </w:rPr>
            </w:pPr>
            <w:r>
              <w:rPr>
                <w:rFonts w:hint="eastAsia"/>
                <w:color w:val="000000"/>
                <w:highlight w:val="none"/>
              </w:rPr>
              <w:t xml:space="preserve">未提供方案，或方案内容与本项目无关的不得分。</w:t>
            </w:r>
            <w:r>
              <w:rPr>
                <w:bCs/>
                <w:color w:val="000000"/>
                <w:szCs w:val="21"/>
                <w:highlight w:val="none"/>
              </w:rPr>
            </w:r>
            <w:r/>
          </w:p>
        </w:tc>
        <w:tc>
          <w:tcPr>
            <w:tcW w:w="323" w:type="dxa"/>
            <w:vAlign w:val="center"/>
            <w:textDirection w:val="lrTb"/>
            <w:noWrap w:val="false"/>
          </w:tcPr>
          <w:p>
            <w:pPr>
              <w:pStyle w:val="1166"/>
              <w:jc w:val="center"/>
              <w:spacing w:line="360" w:lineRule="auto"/>
              <w:widowControl/>
              <w:rPr>
                <w:rFonts w:hint="eastAsia" w:eastAsia="宋体"/>
                <w:bCs/>
                <w:color w:val="000000"/>
                <w:szCs w:val="21"/>
                <w:highlight w:val="none"/>
                <w:lang w:eastAsia="zh-CN"/>
              </w:rPr>
            </w:pPr>
            <w:r>
              <w:rPr>
                <w:rFonts w:hint="eastAsia"/>
                <w:bCs/>
                <w:color w:val="000000"/>
                <w:szCs w:val="21"/>
                <w:highlight w:val="none"/>
                <w:lang w:val="en-US" w:eastAsia="zh-CN"/>
              </w:rPr>
              <w:t xml:space="preserve">7</w:t>
            </w:r>
            <w:r>
              <w:rPr>
                <w:rFonts w:hint="eastAsia" w:eastAsia="宋体"/>
                <w:bCs/>
                <w:color w:val="000000"/>
                <w:szCs w:val="21"/>
                <w:highlight w:val="none"/>
                <w:lang w:eastAsia="zh-CN"/>
              </w:rPr>
            </w:r>
            <w:r/>
          </w:p>
        </w:tc>
      </w:tr>
      <w:tr>
        <w:trPr>
          <w:trHeight w:val="514"/>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6</w:t>
            </w:r>
            <w:r>
              <w:rPr>
                <w:bCs/>
                <w:color w:val="000000"/>
                <w:szCs w:val="21"/>
                <w:highlight w:val="none"/>
              </w:rPr>
            </w:r>
            <w:r/>
          </w:p>
        </w:tc>
        <w:tc>
          <w:tcPr>
            <w:tcW w:w="561"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业绩</w:t>
            </w:r>
            <w:r>
              <w:rPr>
                <w:bCs/>
                <w:color w:val="000000"/>
                <w:szCs w:val="21"/>
                <w:highlight w:val="none"/>
              </w:rPr>
            </w:r>
            <w:r/>
          </w:p>
        </w:tc>
        <w:tc>
          <w:tcPr>
            <w:tcW w:w="3806" w:type="dxa"/>
            <w:vAlign w:val="center"/>
            <w:textDirection w:val="lrTb"/>
            <w:noWrap w:val="false"/>
          </w:tcPr>
          <w:p>
            <w:pPr>
              <w:pStyle w:val="1166"/>
              <w:spacing w:line="360" w:lineRule="auto"/>
              <w:rPr>
                <w:bCs/>
                <w:color w:val="000000"/>
                <w:highlight w:val="none"/>
              </w:rPr>
            </w:pPr>
            <w:r>
              <w:rPr>
                <w:rFonts w:ascii="Times New Roman" w:hAnsi="Times New Roman" w:cs="Times New Roman"/>
                <w:bCs/>
                <w:color w:val="000000"/>
                <w:szCs w:val="21"/>
                <w:highlight w:val="none"/>
              </w:rPr>
              <w:t xml:space="preserve">2023</w:t>
            </w:r>
            <w:r>
              <w:rPr>
                <w:rFonts w:ascii="Times New Roman" w:hAnsi="Times New Roman" w:cs="Times New Roman"/>
                <w:bCs/>
                <w:color w:val="000000"/>
                <w:highlight w:val="none"/>
              </w:rPr>
              <w:t xml:space="preserve">年</w:t>
            </w:r>
            <w:r>
              <w:rPr>
                <w:rFonts w:ascii="Times New Roman" w:hAnsi="Times New Roman" w:cs="Times New Roman"/>
                <w:bCs/>
                <w:color w:val="000000"/>
                <w:szCs w:val="21"/>
                <w:highlight w:val="none"/>
              </w:rPr>
              <w:t xml:space="preserve">1</w:t>
            </w:r>
            <w:r>
              <w:rPr>
                <w:rFonts w:ascii="Times New Roman" w:hAnsi="Times New Roman" w:cs="Times New Roman"/>
                <w:bCs/>
                <w:color w:val="000000"/>
                <w:highlight w:val="none"/>
              </w:rPr>
              <w:t xml:space="preserve">月</w:t>
            </w:r>
            <w:r>
              <w:rPr>
                <w:rFonts w:ascii="Times New Roman" w:hAnsi="Times New Roman" w:cs="Times New Roman"/>
                <w:bCs/>
                <w:color w:val="000000"/>
                <w:szCs w:val="21"/>
                <w:highlight w:val="none"/>
              </w:rPr>
              <w:t xml:space="preserve">1</w:t>
            </w:r>
            <w:r>
              <w:rPr>
                <w:rFonts w:ascii="Times New Roman" w:hAnsi="Times New Roman" w:cs="Times New Roman"/>
                <w:bCs/>
                <w:color w:val="000000"/>
                <w:highlight w:val="none"/>
              </w:rPr>
              <w:t xml:space="preserve">日（以合同签订时间为准）</w:t>
            </w:r>
            <w:r>
              <w:rPr>
                <w:rFonts w:ascii="Times New Roman" w:hAnsi="Times New Roman" w:cs="Times New Roman"/>
                <w:color w:val="000000"/>
                <w:szCs w:val="21"/>
                <w:highlight w:val="none"/>
              </w:rPr>
              <w:t xml:space="preserve">至今，供应商或制造商销售同型号</w:t>
            </w:r>
            <w:r>
              <w:rPr>
                <w:rFonts w:ascii="Times New Roman" w:hAnsi="Times New Roman" w:cs="Times New Roman"/>
                <w:color w:val="000000"/>
                <w:highlight w:val="none"/>
              </w:rPr>
              <w:t xml:space="preserve">投标产品的业绩</w:t>
            </w:r>
            <w:r>
              <w:rPr>
                <w:rFonts w:ascii="Times New Roman" w:hAnsi="Times New Roman" w:cs="Times New Roman"/>
                <w:bCs/>
                <w:color w:val="000000"/>
                <w:highlight w:val="none"/>
              </w:rPr>
              <w:t xml:space="preserve">，每提供一份得1分，最高</w:t>
            </w:r>
            <w:r>
              <w:rPr>
                <w:rFonts w:hint="eastAsia" w:ascii="Times New Roman" w:hAnsi="Times New Roman" w:cs="Times New Roman"/>
                <w:bCs/>
                <w:color w:val="000000"/>
                <w:highlight w:val="none"/>
                <w:lang w:val="en-US" w:eastAsia="zh-CN"/>
              </w:rPr>
              <w:t xml:space="preserve">3</w:t>
            </w:r>
            <w:r>
              <w:rPr>
                <w:rFonts w:ascii="Times New Roman" w:hAnsi="Times New Roman" w:cs="Times New Roman"/>
                <w:bCs/>
                <w:color w:val="000000"/>
                <w:highlight w:val="none"/>
              </w:rPr>
              <w:t xml:space="preserve">分。提供合同复印件并加盖公章，</w:t>
            </w:r>
            <w:r>
              <w:rPr>
                <w:rFonts w:ascii="Times New Roman" w:hAnsi="Times New Roman" w:cs="Times New Roman"/>
                <w:color w:val="000000"/>
                <w:szCs w:val="21"/>
                <w:highlight w:val="none"/>
              </w:rPr>
              <w:t xml:space="preserve">如果供货合同未体现标的物内容或字样，并且评委也无法推断的，不得分。中标后，投标人提供合同原件供采购单位复核，如若与投标文件不相符，视为提供虚假材料谋取中标，终止合同。</w:t>
            </w:r>
            <w:r>
              <w:rPr>
                <w:bCs/>
                <w:color w:val="000000"/>
                <w:highlight w:val="none"/>
              </w:rPr>
            </w:r>
            <w:r/>
          </w:p>
        </w:tc>
        <w:tc>
          <w:tcPr>
            <w:tcW w:w="323" w:type="dxa"/>
            <w:vAlign w:val="center"/>
            <w:textDirection w:val="lrTb"/>
            <w:noWrap w:val="false"/>
          </w:tcPr>
          <w:p>
            <w:pPr>
              <w:pStyle w:val="1166"/>
              <w:jc w:val="center"/>
              <w:spacing w:line="360" w:lineRule="auto"/>
              <w:widowControl/>
              <w:rPr>
                <w:rFonts w:hint="eastAsia" w:eastAsia="宋体"/>
                <w:bCs/>
                <w:color w:val="000000"/>
                <w:szCs w:val="21"/>
                <w:highlight w:val="none"/>
                <w:lang w:eastAsia="zh-CN"/>
              </w:rPr>
            </w:pPr>
            <w:r>
              <w:rPr>
                <w:rFonts w:hint="eastAsia"/>
                <w:bCs/>
                <w:color w:val="000000"/>
                <w:szCs w:val="21"/>
                <w:highlight w:val="none"/>
                <w:lang w:val="en-US" w:eastAsia="zh-CN"/>
              </w:rPr>
              <w:t xml:space="preserve">3</w:t>
            </w:r>
            <w:r>
              <w:rPr>
                <w:rFonts w:hint="eastAsia" w:eastAsia="宋体"/>
                <w:bCs/>
                <w:color w:val="000000"/>
                <w:szCs w:val="21"/>
                <w:highlight w:val="none"/>
                <w:lang w:eastAsia="zh-CN"/>
              </w:rPr>
            </w:r>
            <w:r/>
          </w:p>
        </w:tc>
      </w:tr>
      <w:tr>
        <w:trPr>
          <w:trHeight w:val="488"/>
        </w:trPr>
        <w:tc>
          <w:tcPr>
            <w:tcW w:w="308"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7</w:t>
            </w:r>
            <w:r>
              <w:rPr>
                <w:bCs/>
                <w:color w:val="000000"/>
                <w:szCs w:val="21"/>
                <w:highlight w:val="none"/>
              </w:rPr>
            </w:r>
            <w:r/>
          </w:p>
        </w:tc>
        <w:tc>
          <w:tcPr>
            <w:tcW w:w="561" w:type="dxa"/>
            <w:vAlign w:val="center"/>
            <w:textDirection w:val="lrTb"/>
            <w:noWrap w:val="false"/>
          </w:tcPr>
          <w:p>
            <w:pPr>
              <w:pStyle w:val="1166"/>
              <w:jc w:val="center"/>
              <w:spacing w:line="360" w:lineRule="auto"/>
              <w:rPr>
                <w:bCs/>
                <w:color w:val="000000"/>
                <w:szCs w:val="21"/>
                <w:highlight w:val="none"/>
              </w:rPr>
            </w:pPr>
            <w:r>
              <w:rPr>
                <w:bCs/>
                <w:color w:val="000000"/>
                <w:szCs w:val="21"/>
                <w:highlight w:val="none"/>
              </w:rPr>
              <w:t xml:space="preserve">国家政策导向</w:t>
            </w:r>
            <w:r>
              <w:rPr>
                <w:bCs/>
                <w:color w:val="000000"/>
                <w:szCs w:val="21"/>
                <w:highlight w:val="none"/>
              </w:rPr>
            </w:r>
            <w:r/>
          </w:p>
        </w:tc>
        <w:tc>
          <w:tcPr>
            <w:tcW w:w="3806" w:type="dxa"/>
            <w:vAlign w:val="center"/>
            <w:textDirection w:val="lrTb"/>
            <w:noWrap w:val="false"/>
          </w:tcPr>
          <w:p>
            <w:pPr>
              <w:pStyle w:val="1166"/>
              <w:spacing w:line="360" w:lineRule="auto"/>
              <w:rPr>
                <w:bCs/>
                <w:color w:val="000000"/>
                <w:szCs w:val="21"/>
                <w:highlight w:val="none"/>
              </w:rPr>
            </w:pPr>
            <w:r>
              <w:rPr>
                <w:bCs/>
                <w:color w:val="000000"/>
                <w:szCs w:val="21"/>
                <w:highlight w:val="none"/>
              </w:rPr>
              <w:t xml:space="preserve">1、投标产品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bCs/>
                <w:color w:val="000000"/>
                <w:szCs w:val="21"/>
                <w:highlight w:val="none"/>
              </w:rPr>
            </w:r>
            <w:r/>
          </w:p>
          <w:p>
            <w:pPr>
              <w:pStyle w:val="1166"/>
              <w:spacing w:line="360" w:lineRule="auto"/>
              <w:rPr>
                <w:bCs/>
                <w:color w:val="000000"/>
                <w:szCs w:val="21"/>
                <w:highlight w:val="none"/>
              </w:rPr>
            </w:pPr>
            <w:r>
              <w:rPr>
                <w:bCs/>
                <w:color w:val="000000"/>
                <w:szCs w:val="21"/>
                <w:highlight w:val="none"/>
              </w:rPr>
              <w:t xml:space="preserve">2、投标产品属于财政部、发展改革委公布的《节能产品政府采购品目清单》内的产品且具有国家确定的认证机构出具的、处于有效期之内的节能标志产品认证证书的，每有一类产品加0.5分，最高得0.5分。提供认证证书复印件，否则不得分。</w:t>
            </w:r>
            <w:r>
              <w:rPr>
                <w:bCs/>
                <w:color w:val="000000"/>
                <w:szCs w:val="21"/>
                <w:highlight w:val="none"/>
              </w:rPr>
            </w:r>
            <w:r/>
          </w:p>
        </w:tc>
        <w:tc>
          <w:tcPr>
            <w:tcW w:w="323" w:type="dxa"/>
            <w:vAlign w:val="center"/>
            <w:textDirection w:val="lrTb"/>
            <w:noWrap w:val="false"/>
          </w:tcPr>
          <w:p>
            <w:pPr>
              <w:pStyle w:val="1166"/>
              <w:jc w:val="center"/>
              <w:spacing w:line="360" w:lineRule="auto"/>
              <w:widowControl/>
              <w:rPr>
                <w:bCs/>
                <w:color w:val="000000"/>
                <w:szCs w:val="21"/>
                <w:highlight w:val="none"/>
              </w:rPr>
            </w:pPr>
            <w:r>
              <w:rPr>
                <w:bCs/>
                <w:color w:val="000000"/>
                <w:szCs w:val="21"/>
                <w:highlight w:val="none"/>
              </w:rPr>
              <w:t xml:space="preserve">1</w:t>
            </w:r>
            <w:r>
              <w:rPr>
                <w:bCs/>
                <w:color w:val="000000"/>
                <w:szCs w:val="21"/>
                <w:highlight w:val="none"/>
              </w:rPr>
            </w:r>
            <w:r/>
          </w:p>
        </w:tc>
      </w:tr>
    </w:tbl>
    <w:p>
      <w:pPr>
        <w:pStyle w:val="1223"/>
        <w:ind w:firstLine="0"/>
        <w:rPr>
          <w:color w:val="000000"/>
          <w:szCs w:val="21"/>
          <w:highlight w:val="none"/>
        </w:rPr>
        <w:outlineLvl w:val="1"/>
      </w:pPr>
      <w:r/>
      <w:bookmarkStart w:id="218" w:name="_Toc19395"/>
      <w:r>
        <w:rPr>
          <w:rFonts w:hint="eastAsia"/>
          <w:color w:val="000000"/>
          <w:szCs w:val="21"/>
          <w:highlight w:val="none"/>
        </w:rPr>
        <w:t xml:space="preserve">分包3：</w:t>
      </w:r>
      <w:bookmarkEnd w:id="218"/>
      <w:r>
        <w:rPr>
          <w:color w:val="000000"/>
          <w:szCs w:val="21"/>
          <w:highlight w:val="none"/>
        </w:rPr>
      </w:r>
      <w:r/>
    </w:p>
    <w:tbl>
      <w:tblPr>
        <w:tblW w:w="52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225"/>
        <w:gridCol w:w="7716"/>
        <w:gridCol w:w="668"/>
      </w:tblGrid>
      <w:tr>
        <w:trPr>
          <w:trHeight w:val="284"/>
          <w:tblHeader/>
        </w:trPr>
        <w:tc>
          <w:tcPr>
            <w:tcW w:w="362"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序号</w:t>
            </w:r>
            <w:r>
              <w:rPr>
                <w:rFonts w:ascii="Times New Roman" w:hAnsi="Times New Roman" w:cs="Times New Roman"/>
                <w:b/>
                <w:color w:val="000000"/>
                <w:szCs w:val="21"/>
                <w:highlight w:val="none"/>
              </w:rPr>
            </w:r>
            <w:r/>
          </w:p>
        </w:tc>
        <w:tc>
          <w:tcPr>
            <w:tcW w:w="591"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评审因素</w:t>
            </w:r>
            <w:r>
              <w:rPr>
                <w:rFonts w:ascii="Times New Roman" w:hAnsi="Times New Roman" w:cs="Times New Roman"/>
                <w:b/>
                <w:color w:val="000000"/>
                <w:szCs w:val="21"/>
                <w:highlight w:val="none"/>
              </w:rPr>
            </w:r>
            <w:r/>
          </w:p>
        </w:tc>
        <w:tc>
          <w:tcPr>
            <w:tcW w:w="3723"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评审标准</w:t>
            </w:r>
            <w:r>
              <w:rPr>
                <w:rFonts w:ascii="Times New Roman" w:hAnsi="Times New Roman" w:cs="Times New Roman"/>
                <w:b/>
                <w:color w:val="000000"/>
                <w:szCs w:val="21"/>
                <w:highlight w:val="none"/>
              </w:rPr>
            </w:r>
            <w:r/>
          </w:p>
        </w:tc>
        <w:tc>
          <w:tcPr>
            <w:tcW w:w="322" w:type="dxa"/>
            <w:vAlign w:val="center"/>
            <w:textDirection w:val="lrTb"/>
            <w:noWrap w:val="false"/>
          </w:tcPr>
          <w:p>
            <w:pPr>
              <w:pStyle w:val="1166"/>
              <w:jc w:val="center"/>
              <w:spacing w:line="360" w:lineRule="auto"/>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分值</w:t>
            </w:r>
            <w:r>
              <w:rPr>
                <w:rFonts w:ascii="Times New Roman" w:hAnsi="Times New Roman" w:cs="Times New Roman"/>
                <w:b/>
                <w:color w:val="000000"/>
                <w:szCs w:val="21"/>
                <w:highlight w:val="none"/>
              </w:rPr>
            </w:r>
            <w:r/>
          </w:p>
        </w:tc>
      </w:tr>
      <w:tr>
        <w:trPr>
          <w:trHeight w:val="925"/>
        </w:trPr>
        <w:tc>
          <w:tcPr>
            <w:tcW w:w="362"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w:t>
            </w:r>
            <w:r>
              <w:rPr>
                <w:rFonts w:ascii="Times New Roman" w:hAnsi="Times New Roman" w:cs="Times New Roman"/>
                <w:bCs/>
                <w:color w:val="000000"/>
                <w:szCs w:val="21"/>
                <w:highlight w:val="none"/>
              </w:rPr>
            </w:r>
            <w:r/>
          </w:p>
        </w:tc>
        <w:tc>
          <w:tcPr>
            <w:tcW w:w="591"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价格</w:t>
            </w:r>
            <w:r>
              <w:rPr>
                <w:rFonts w:ascii="Times New Roman" w:hAnsi="Times New Roman" w:cs="Times New Roman"/>
                <w:bCs/>
                <w:color w:val="000000"/>
                <w:szCs w:val="21"/>
                <w:highlight w:val="none"/>
              </w:rPr>
            </w:r>
            <w:r/>
          </w:p>
        </w:tc>
        <w:tc>
          <w:tcPr>
            <w:tcW w:w="3723"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满足招标文件要求且投标价格最低的投标报价为评标基准价，其价格分为满分。其他供应商的价格分统一按照下列公式计算：投标报价得分=(评标基准价／投标报价)×30</w:t>
            </w:r>
            <w:r>
              <w:rPr>
                <w:rFonts w:ascii="Times New Roman" w:hAnsi="Times New Roman" w:cs="Times New Roman"/>
                <w:bCs/>
                <w:color w:val="000000"/>
                <w:szCs w:val="21"/>
                <w:highlight w:val="none"/>
              </w:rPr>
            </w:r>
            <w:r/>
          </w:p>
        </w:tc>
        <w:tc>
          <w:tcPr>
            <w:tcW w:w="322"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30</w:t>
            </w:r>
            <w:r>
              <w:rPr>
                <w:rFonts w:ascii="Times New Roman" w:hAnsi="Times New Roman" w:cs="Times New Roman"/>
                <w:bCs/>
                <w:color w:val="000000"/>
                <w:szCs w:val="21"/>
                <w:highlight w:val="none"/>
              </w:rPr>
            </w:r>
            <w:r/>
          </w:p>
        </w:tc>
      </w:tr>
      <w:tr>
        <w:trPr>
          <w:trHeight w:val="667"/>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2.1</w:t>
            </w:r>
            <w:r>
              <w:rPr>
                <w:rFonts w:ascii="Times New Roman" w:hAnsi="Times New Roman" w:cs="Times New Roman"/>
                <w:bCs/>
                <w:color w:val="000000"/>
                <w:szCs w:val="21"/>
                <w:highlight w:val="none"/>
              </w:rPr>
            </w:r>
            <w:r/>
          </w:p>
        </w:tc>
        <w:tc>
          <w:tcPr>
            <w:tcW w:w="591" w:type="dxa"/>
            <w:vAlign w:val="center"/>
            <w:vMerge w:val="restart"/>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技术响应</w:t>
            </w:r>
            <w:r>
              <w:rPr>
                <w:rFonts w:ascii="Times New Roman" w:hAnsi="Times New Roman" w:cs="Times New Roman"/>
                <w:bCs/>
                <w:color w:val="000000"/>
                <w:szCs w:val="21"/>
                <w:highlight w:val="none"/>
              </w:rPr>
            </w:r>
            <w:r/>
          </w:p>
        </w:tc>
        <w:tc>
          <w:tcPr>
            <w:tcW w:w="3723" w:type="dxa"/>
            <w:vAlign w:val="center"/>
            <w:textDirection w:val="lrTb"/>
            <w:noWrap w:val="false"/>
          </w:tcPr>
          <w:p>
            <w:pPr>
              <w:pStyle w:val="1166"/>
              <w:jc w:val="left"/>
              <w:spacing w:line="360" w:lineRule="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设备技术参数全部满足招标要求的得满分3</w:t>
            </w:r>
            <w:r>
              <w:rPr>
                <w:rFonts w:hint="eastAsia" w:ascii="Times New Roman" w:hAnsi="Times New Roman" w:cs="Times New Roman"/>
                <w:color w:val="000000"/>
                <w:szCs w:val="21"/>
                <w:highlight w:val="none"/>
                <w:lang w:val="en-US" w:eastAsia="zh-CN"/>
              </w:rPr>
              <w:t xml:space="preserve">3</w:t>
            </w:r>
            <w:r>
              <w:rPr>
                <w:rFonts w:ascii="Times New Roman" w:hAnsi="Times New Roman" w:cs="Times New Roman"/>
                <w:color w:val="000000"/>
                <w:szCs w:val="21"/>
                <w:highlight w:val="none"/>
              </w:rPr>
              <w:t xml:space="preserve">分；招标文件中标注“★”的内容为实质性要求，有一项不符合的，作无效投标处理；其他非重要参数负偏离的，则每项扣</w:t>
            </w:r>
            <w:r>
              <w:rPr>
                <w:rFonts w:ascii="Times New Roman" w:hAnsi="Times New Roman" w:cs="Times New Roman"/>
                <w:color w:val="000000"/>
                <w:szCs w:val="21"/>
                <w:highlight w:val="none"/>
                <w:lang w:val="en-US" w:eastAsia="zh-CN"/>
              </w:rPr>
              <w:t xml:space="preserve">1</w:t>
            </w:r>
            <w:r>
              <w:rPr>
                <w:rFonts w:ascii="Times New Roman" w:hAnsi="Times New Roman" w:cs="Times New Roman"/>
                <w:color w:val="000000"/>
                <w:szCs w:val="21"/>
                <w:highlight w:val="none"/>
              </w:rPr>
              <w:t xml:space="preserve">分，扣完为止。</w:t>
            </w:r>
            <w:r>
              <w:rPr>
                <w:rFonts w:ascii="Times New Roman" w:hAnsi="Times New Roman" w:cs="Times New Roman"/>
                <w:color w:val="000000"/>
                <w:szCs w:val="21"/>
                <w:highlight w:val="none"/>
              </w:rPr>
            </w:r>
            <w:r/>
          </w:p>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color w:val="000000"/>
                <w:szCs w:val="21"/>
                <w:highlight w:val="none"/>
              </w:rPr>
              <w:t xml:space="preserve">注：①凡标有最低一级序号的指标项即为一项技术条款，无论是否隶属于上一级编号；</w:t>
            </w:r>
            <w:r>
              <w:rPr>
                <w:rFonts w:ascii="Times New Roman" w:hAnsi="Times New Roman" w:cs="Times New Roman"/>
                <w:color w:val="000000"/>
                <w:szCs w:val="21"/>
                <w:highlight w:val="none"/>
              </w:rPr>
              <w:t xml:space="preserve">②</w:t>
            </w:r>
            <w:r>
              <w:rPr>
                <w:rFonts w:ascii="Times New Roman" w:hAnsi="Times New Roman" w:eastAsia="宋体" w:cs="Times New Roman"/>
                <w:color w:val="000000"/>
                <w:sz w:val="21"/>
                <w:szCs w:val="21"/>
                <w:highlight w:val="none"/>
              </w:rPr>
              <w:t xml:space="preserve">标注“★”的均必须在投标文件内提供技术支持资料（第四章招标技术规格及要求中“技术要求”内有明确要求的根据要求提供；未要求的，提供</w:t>
            </w:r>
            <w:r>
              <w:rPr>
                <w:rFonts w:ascii="Times New Roman" w:hAnsi="Times New Roman" w:cs="Times New Roman"/>
                <w:color w:val="000000"/>
                <w:szCs w:val="21"/>
                <w:highlight w:val="none"/>
              </w:rPr>
              <w:t xml:space="preserve">如白皮书、彩页、手册、检测报告、承诺函</w:t>
            </w:r>
            <w:r>
              <w:rPr>
                <w:rFonts w:ascii="Times New Roman" w:hAnsi="Times New Roman" w:eastAsia="宋体" w:cs="Times New Roman"/>
                <w:color w:val="000000"/>
                <w:sz w:val="21"/>
                <w:szCs w:val="21"/>
                <w:highlight w:val="none"/>
              </w:rPr>
              <w:t xml:space="preserve">等</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，未提供技术支持资料的，按负偏离评分</w:t>
            </w:r>
            <w:r>
              <w:rPr>
                <w:rFonts w:ascii="Times New Roman" w:hAnsi="Times New Roman" w:cs="Times New Roman"/>
                <w:color w:val="000000"/>
                <w:szCs w:val="21"/>
                <w:highlight w:val="none"/>
              </w:rPr>
              <w:t xml:space="preserve">。</w:t>
            </w:r>
            <w:r>
              <w:rPr>
                <w:rFonts w:ascii="Times New Roman" w:hAnsi="Times New Roman" w:cs="Times New Roman"/>
                <w:bCs/>
                <w:color w:val="000000"/>
                <w:szCs w:val="21"/>
                <w:highlight w:val="none"/>
              </w:rPr>
            </w:r>
            <w:r/>
          </w:p>
        </w:tc>
        <w:tc>
          <w:tcPr>
            <w:tcW w:w="322" w:type="dxa"/>
            <w:vAlign w:val="center"/>
            <w:textDirection w:val="lrTb"/>
            <w:noWrap w:val="false"/>
          </w:tcPr>
          <w:p>
            <w:pPr>
              <w:pStyle w:val="1166"/>
              <w:jc w:val="center"/>
              <w:spacing w:line="360" w:lineRule="auto"/>
              <w:rPr>
                <w:rFonts w:ascii="Times New Roman" w:hAnsi="Times New Roman" w:eastAsia="宋体" w:cs="Times New Roman"/>
                <w:bCs/>
                <w:color w:val="000000"/>
                <w:szCs w:val="21"/>
                <w:highlight w:val="none"/>
                <w:lang w:eastAsia="zh-CN"/>
              </w:rPr>
            </w:pPr>
            <w:r>
              <w:rPr>
                <w:rFonts w:ascii="Times New Roman" w:hAnsi="Times New Roman" w:cs="Times New Roman"/>
                <w:bCs/>
                <w:color w:val="000000"/>
                <w:szCs w:val="21"/>
                <w:highlight w:val="none"/>
              </w:rPr>
              <w:t xml:space="preserve">3</w:t>
            </w:r>
            <w:r>
              <w:rPr>
                <w:rFonts w:hint="eastAsia" w:ascii="Times New Roman" w:hAnsi="Times New Roman" w:cs="Times New Roman"/>
                <w:bCs/>
                <w:color w:val="000000"/>
                <w:szCs w:val="21"/>
                <w:highlight w:val="none"/>
                <w:lang w:val="en-US" w:eastAsia="zh-CN"/>
              </w:rPr>
              <w:t xml:space="preserve">3</w:t>
            </w:r>
            <w:r>
              <w:rPr>
                <w:rFonts w:ascii="Times New Roman" w:hAnsi="Times New Roman" w:eastAsia="宋体" w:cs="Times New Roman"/>
                <w:bCs/>
                <w:color w:val="000000"/>
                <w:szCs w:val="21"/>
                <w:highlight w:val="none"/>
                <w:lang w:eastAsia="zh-CN"/>
              </w:rPr>
            </w:r>
            <w:r/>
          </w:p>
        </w:tc>
      </w:tr>
      <w:tr>
        <w:trPr>
          <w:trHeight w:val="667"/>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2.2</w:t>
            </w:r>
            <w:r>
              <w:rPr>
                <w:rFonts w:ascii="Times New Roman" w:hAnsi="Times New Roman" w:cs="Times New Roman"/>
                <w:bCs/>
                <w:color w:val="000000"/>
                <w:szCs w:val="21"/>
                <w:highlight w:val="none"/>
              </w:rPr>
            </w:r>
            <w:r/>
          </w:p>
        </w:tc>
        <w:tc>
          <w:tcPr>
            <w:tcW w:w="591" w:type="dxa"/>
            <w:vAlign w:val="center"/>
            <w:vMerge w:val="continue"/>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r>
            <w:r/>
          </w:p>
        </w:tc>
        <w:tc>
          <w:tcPr>
            <w:tcW w:w="3723"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highlight w:val="none"/>
              </w:rPr>
              <w:t xml:space="preserve">供应商提供的产</w:t>
            </w:r>
            <w:r>
              <w:rPr>
                <w:rFonts w:ascii="Times New Roman" w:hAnsi="Times New Roman" w:cs="Times New Roman"/>
                <w:bCs/>
                <w:color w:val="000000"/>
                <w:szCs w:val="21"/>
                <w:highlight w:val="none"/>
              </w:rPr>
              <w:t xml:space="preserve">品</w:t>
            </w:r>
            <w:r>
              <w:rPr>
                <w:rFonts w:ascii="Times New Roman" w:hAnsi="Times New Roman" w:cs="Times New Roman"/>
                <w:color w:val="000000"/>
                <w:szCs w:val="21"/>
                <w:highlight w:val="none"/>
                <w:lang w:bidi="ar"/>
              </w:rPr>
              <w:t xml:space="preserve">选型、规格、设计的科学性、合理性、材质选用、制造工艺水平好</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lang w:bidi="ar"/>
              </w:rPr>
              <w:t xml:space="preserve">且与项目需求的吻合度高</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5</w:t>
            </w:r>
            <w:r>
              <w:rPr>
                <w:rFonts w:ascii="Times New Roman" w:hAnsi="Times New Roman" w:cs="Times New Roman"/>
                <w:bCs/>
                <w:color w:val="000000"/>
                <w:szCs w:val="21"/>
                <w:highlight w:val="none"/>
              </w:rPr>
              <w:t xml:space="preserve">分；</w:t>
            </w:r>
            <w:r>
              <w:rPr>
                <w:rFonts w:ascii="Times New Roman" w:hAnsi="Times New Roman" w:cs="Times New Roman"/>
                <w:color w:val="000000"/>
                <w:szCs w:val="21"/>
                <w:highlight w:val="none"/>
                <w:lang w:bidi="ar"/>
              </w:rPr>
              <w:t xml:space="preserve">选型较好、规格、设计的较为科学合理，制造工艺水平较好，且与项目需求的吻合度较好</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3</w:t>
            </w:r>
            <w:r>
              <w:rPr>
                <w:rFonts w:ascii="Times New Roman" w:hAnsi="Times New Roman" w:cs="Times New Roman"/>
                <w:bCs/>
                <w:color w:val="000000"/>
                <w:szCs w:val="21"/>
                <w:highlight w:val="none"/>
              </w:rPr>
              <w:t xml:space="preserve">分；</w:t>
            </w:r>
            <w:r>
              <w:rPr>
                <w:rFonts w:ascii="Times New Roman" w:hAnsi="Times New Roman" w:cs="Times New Roman"/>
                <w:color w:val="000000"/>
                <w:szCs w:val="21"/>
                <w:highlight w:val="none"/>
                <w:lang w:bidi="ar"/>
              </w:rPr>
              <w:t xml:space="preserve">产品选型一般、规格、设计的一般合理，制造工艺水平一般且与项目需求的吻合度一般</w:t>
            </w:r>
            <w:r>
              <w:rPr>
                <w:rFonts w:ascii="Times New Roman" w:hAnsi="Times New Roman" w:cs="Times New Roman"/>
                <w:bCs/>
                <w:color w:val="000000"/>
                <w:szCs w:val="21"/>
                <w:highlight w:val="none"/>
              </w:rPr>
              <w:t xml:space="preserve">得</w:t>
            </w:r>
            <w:r>
              <w:rPr>
                <w:rFonts w:hint="eastAsia" w:ascii="Times New Roman" w:hAnsi="Times New Roman" w:cs="Times New Roman"/>
                <w:bCs/>
                <w:color w:val="000000"/>
                <w:szCs w:val="21"/>
                <w:highlight w:val="none"/>
                <w:lang w:val="en-US" w:eastAsia="zh-CN"/>
              </w:rPr>
              <w:t xml:space="preserve">1</w:t>
            </w:r>
            <w:r>
              <w:rPr>
                <w:rFonts w:ascii="Times New Roman" w:hAnsi="Times New Roman" w:cs="Times New Roman"/>
                <w:bCs/>
                <w:color w:val="000000"/>
                <w:szCs w:val="21"/>
                <w:highlight w:val="none"/>
              </w:rPr>
              <w:t xml:space="preserve">分；未提供不得</w:t>
            </w:r>
            <w:r>
              <w:rPr>
                <w:rFonts w:ascii="Times New Roman" w:hAnsi="Times New Roman" w:cs="Times New Roman"/>
                <w:bCs/>
                <w:color w:val="000000"/>
                <w:highlight w:val="none"/>
              </w:rPr>
              <w:t xml:space="preserve">分。</w:t>
            </w:r>
            <w:r>
              <w:rPr>
                <w:rFonts w:ascii="Times New Roman" w:hAnsi="Times New Roman" w:cs="Times New Roman"/>
                <w:bCs/>
                <w:color w:val="000000"/>
                <w:szCs w:val="21"/>
                <w:highlight w:val="none"/>
              </w:rPr>
            </w:r>
            <w:r/>
          </w:p>
        </w:tc>
        <w:tc>
          <w:tcPr>
            <w:tcW w:w="322" w:type="dxa"/>
            <w:vAlign w:val="center"/>
            <w:textDirection w:val="lrTb"/>
            <w:noWrap w:val="false"/>
          </w:tcPr>
          <w:p>
            <w:pPr>
              <w:pStyle w:val="1166"/>
              <w:jc w:val="center"/>
              <w:spacing w:line="360" w:lineRule="auto"/>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5</w:t>
            </w:r>
            <w:r>
              <w:rPr>
                <w:rFonts w:hint="eastAsia" w:ascii="Times New Roman" w:hAnsi="Times New Roman" w:eastAsia="宋体" w:cs="Times New Roman"/>
                <w:bCs/>
                <w:color w:val="000000"/>
                <w:szCs w:val="21"/>
                <w:highlight w:val="none"/>
                <w:lang w:eastAsia="zh-CN"/>
              </w:rPr>
            </w:r>
            <w:r/>
          </w:p>
        </w:tc>
      </w:tr>
      <w:tr>
        <w:trPr>
          <w:trHeight w:val="297"/>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w:t>
            </w:r>
            <w:r>
              <w:rPr>
                <w:rFonts w:ascii="Times New Roman" w:hAnsi="Times New Roman" w:cs="Times New Roman"/>
                <w:bCs/>
                <w:color w:val="000000"/>
                <w:szCs w:val="21"/>
                <w:highlight w:val="none"/>
              </w:rPr>
            </w:r>
            <w:r/>
          </w:p>
        </w:tc>
        <w:tc>
          <w:tcPr>
            <w:tcW w:w="59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实施方案</w:t>
            </w:r>
            <w:r>
              <w:rPr>
                <w:rFonts w:ascii="Times New Roman" w:hAnsi="Times New Roman" w:cs="Times New Roman"/>
                <w:bCs/>
                <w:color w:val="000000"/>
                <w:szCs w:val="21"/>
                <w:highlight w:val="none"/>
              </w:rPr>
            </w:r>
            <w:r/>
          </w:p>
        </w:tc>
        <w:tc>
          <w:tcPr>
            <w:tcW w:w="3723" w:type="dxa"/>
            <w:vAlign w:val="center"/>
            <w:textDirection w:val="lrTb"/>
            <w:noWrap w:val="false"/>
          </w:tcPr>
          <w:p>
            <w:pPr>
              <w:pStyle w:val="1166"/>
              <w:spacing w:line="360" w:lineRule="auto"/>
              <w:rPr>
                <w:rFonts w:ascii="Times New Roman" w:hAnsi="Times New Roman" w:cs="Times New Roman"/>
                <w:color w:val="000000"/>
                <w:highlight w:val="none"/>
              </w:rPr>
            </w:pPr>
            <w:r>
              <w:rPr>
                <w:rFonts w:ascii="Times New Roman" w:hAnsi="Times New Roman" w:cs="Times New Roman"/>
                <w:bCs/>
                <w:color w:val="000000"/>
                <w:szCs w:val="21"/>
                <w:highlight w:val="none"/>
              </w:rPr>
              <w:t xml:space="preserve">根据投标人提供的项目实施方案，包括但不限于</w:t>
            </w:r>
            <w:r>
              <w:rPr>
                <w:rFonts w:ascii="Times New Roman" w:hAnsi="Times New Roman" w:cs="Times New Roman"/>
                <w:bCs/>
                <w:color w:val="000000"/>
                <w:szCs w:val="21"/>
                <w:highlight w:val="none"/>
              </w:rPr>
              <w:t xml:space="preserve">质量保证措施、</w:t>
            </w:r>
            <w:r>
              <w:rPr>
                <w:rFonts w:ascii="Times New Roman" w:hAnsi="Times New Roman" w:cs="Times New Roman"/>
                <w:bCs/>
                <w:color w:val="000000"/>
                <w:szCs w:val="21"/>
                <w:highlight w:val="none"/>
              </w:rPr>
              <w:t xml:space="preserve">安装调试、试运行、测试、培训、</w:t>
            </w:r>
            <w:r>
              <w:rPr>
                <w:rFonts w:ascii="Times New Roman" w:hAnsi="Times New Roman" w:cs="Times New Roman"/>
                <w:bCs/>
                <w:color w:val="000000"/>
                <w:szCs w:val="21"/>
                <w:highlight w:val="none"/>
              </w:rPr>
              <w:t xml:space="preserve">组织部署、技术方案、人员配置、时间进度安排的合理性、科学性等进行比较评分，</w:t>
            </w:r>
            <w:r>
              <w:rPr>
                <w:rFonts w:ascii="Times New Roman" w:hAnsi="Times New Roman" w:cs="Times New Roman"/>
                <w:color w:val="000000"/>
                <w:highlight w:val="none"/>
              </w:rPr>
            </w:r>
            <w:r/>
          </w:p>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实施方案完善、可操作性强得7分；实施方案略有瑕疵、具有可操作性得4分，实施方案较差，可操作性较差得1分，不提供不得分。</w:t>
            </w:r>
            <w:r>
              <w:rPr>
                <w:rFonts w:ascii="Times New Roman" w:hAnsi="Times New Roman" w:cs="Times New Roman"/>
                <w:bCs/>
                <w:color w:val="000000"/>
                <w:szCs w:val="21"/>
                <w:highlight w:val="none"/>
              </w:rPr>
            </w:r>
            <w:r/>
          </w:p>
        </w:tc>
        <w:tc>
          <w:tcPr>
            <w:tcW w:w="32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7</w:t>
            </w:r>
            <w:r>
              <w:rPr>
                <w:rFonts w:ascii="Times New Roman" w:hAnsi="Times New Roman" w:cs="Times New Roman"/>
                <w:bCs/>
                <w:color w:val="000000"/>
                <w:szCs w:val="21"/>
                <w:highlight w:val="none"/>
              </w:rPr>
            </w:r>
            <w:r/>
          </w:p>
        </w:tc>
      </w:tr>
      <w:tr>
        <w:trPr>
          <w:trHeight w:val="426"/>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4.1</w:t>
            </w:r>
            <w:r>
              <w:rPr>
                <w:rFonts w:ascii="Times New Roman" w:hAnsi="Times New Roman" w:cs="Times New Roman"/>
                <w:bCs/>
                <w:color w:val="000000"/>
                <w:szCs w:val="21"/>
                <w:highlight w:val="none"/>
              </w:rPr>
            </w:r>
            <w:r/>
          </w:p>
        </w:tc>
        <w:tc>
          <w:tcPr>
            <w:tcW w:w="591" w:type="dxa"/>
            <w:vAlign w:val="center"/>
            <w:vMerge w:val="restart"/>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售后服务</w:t>
            </w:r>
            <w:r>
              <w:rPr>
                <w:rFonts w:ascii="Times New Roman" w:hAnsi="Times New Roman" w:cs="Times New Roman"/>
                <w:bCs/>
                <w:color w:val="000000"/>
                <w:szCs w:val="21"/>
                <w:highlight w:val="none"/>
              </w:rPr>
            </w:r>
            <w:r/>
          </w:p>
        </w:tc>
        <w:tc>
          <w:tcPr>
            <w:tcW w:w="3723" w:type="dxa"/>
            <w:vAlign w:val="center"/>
            <w:textDirection w:val="lrTb"/>
            <w:noWrap w:val="false"/>
          </w:tcPr>
          <w:p>
            <w:pPr>
              <w:pStyle w:val="1166"/>
              <w:jc w:val="left"/>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根据供应商针对本项目的售后服务方案（如服务体系、服务内容、服务承诺、故障解决方案、专业技术人员保障、质保期满后的售后服务范围和收费情况</w:t>
            </w:r>
            <w:r>
              <w:rPr>
                <w:rFonts w:ascii="Times New Roman" w:hAnsi="Times New Roman" w:cs="Times New Roman"/>
                <w:color w:val="000000"/>
                <w:highlight w:val="none"/>
              </w:rPr>
              <w:t xml:space="preserve">及其他供应商可提供的优惠条件等</w:t>
            </w:r>
            <w:r>
              <w:rPr>
                <w:rFonts w:ascii="Times New Roman" w:hAnsi="Times New Roman" w:cs="Times New Roman"/>
                <w:bCs/>
                <w:color w:val="000000"/>
                <w:szCs w:val="21"/>
                <w:highlight w:val="none"/>
              </w:rPr>
              <w:t xml:space="preserve">等）综合评分。</w:t>
            </w:r>
            <w:r>
              <w:rPr>
                <w:rFonts w:ascii="Times New Roman" w:hAnsi="Times New Roman" w:cs="Times New Roman"/>
                <w:bCs/>
                <w:color w:val="000000"/>
                <w:szCs w:val="21"/>
                <w:highlight w:val="none"/>
              </w:rPr>
            </w:r>
            <w:r/>
          </w:p>
          <w:p>
            <w:pPr>
              <w:pStyle w:val="1166"/>
              <w:jc w:val="left"/>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售后服务方案科学详细、可行性、合理性强，得7分；售后服务方案比较科学、比较详细、可行性合理性较强，得4分；售后服务方案不够科学、不够详细、可行性合理性一般，得1分；未提供的不得分。</w:t>
            </w:r>
            <w:r>
              <w:rPr>
                <w:rFonts w:ascii="Times New Roman" w:hAnsi="Times New Roman" w:cs="Times New Roman"/>
                <w:bCs/>
                <w:color w:val="000000"/>
                <w:szCs w:val="21"/>
                <w:highlight w:val="none"/>
              </w:rPr>
            </w:r>
            <w:r/>
          </w:p>
        </w:tc>
        <w:tc>
          <w:tcPr>
            <w:tcW w:w="32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7</w:t>
            </w:r>
            <w:r>
              <w:rPr>
                <w:rFonts w:ascii="Times New Roman" w:hAnsi="Times New Roman" w:cs="Times New Roman"/>
                <w:bCs/>
                <w:color w:val="000000"/>
                <w:szCs w:val="21"/>
                <w:highlight w:val="none"/>
              </w:rPr>
            </w:r>
            <w:r/>
          </w:p>
        </w:tc>
      </w:tr>
      <w:tr>
        <w:trPr>
          <w:trHeight w:val="1219"/>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4.2</w:t>
            </w:r>
            <w:r>
              <w:rPr>
                <w:rFonts w:ascii="Times New Roman" w:hAnsi="Times New Roman" w:cs="Times New Roman"/>
                <w:bCs/>
                <w:color w:val="000000"/>
                <w:szCs w:val="21"/>
                <w:highlight w:val="none"/>
              </w:rPr>
            </w:r>
            <w:r/>
          </w:p>
        </w:tc>
        <w:tc>
          <w:tcPr>
            <w:tcW w:w="591" w:type="dxa"/>
            <w:vAlign w:val="center"/>
            <w:vMerge w:val="continue"/>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r>
            <w:r/>
          </w:p>
        </w:tc>
        <w:tc>
          <w:tcPr>
            <w:tcW w:w="3723" w:type="dxa"/>
            <w:vAlign w:val="center"/>
            <w:textDirection w:val="lrTb"/>
            <w:noWrap w:val="false"/>
          </w:tcPr>
          <w:p>
            <w:pPr>
              <w:pStyle w:val="1166"/>
              <w:jc w:val="left"/>
              <w:spacing w:line="360" w:lineRule="auto"/>
              <w:widowControl/>
              <w:rPr>
                <w:rFonts w:ascii="Times New Roman" w:hAnsi="Times New Roman" w:cs="Times New Roman"/>
                <w:bCs/>
                <w:color w:val="000000"/>
                <w:highlight w:val="none"/>
              </w:rPr>
            </w:pPr>
            <w:r>
              <w:rPr>
                <w:rFonts w:ascii="Times New Roman" w:hAnsi="Times New Roman" w:cs="Times New Roman"/>
                <w:color w:val="000000"/>
                <w:szCs w:val="21"/>
                <w:highlight w:val="none"/>
                <w:lang w:val="zh-TW"/>
              </w:rPr>
              <w:t xml:space="preserve">根据</w:t>
            </w:r>
            <w:r>
              <w:rPr>
                <w:rFonts w:ascii="Times New Roman" w:hAnsi="Times New Roman" w:cs="Times New Roman"/>
                <w:bCs/>
                <w:color w:val="000000"/>
                <w:szCs w:val="21"/>
                <w:highlight w:val="none"/>
              </w:rPr>
              <w:t xml:space="preserve">供应商</w:t>
            </w:r>
            <w:r>
              <w:rPr>
                <w:rFonts w:ascii="Times New Roman" w:hAnsi="Times New Roman" w:cs="Times New Roman"/>
                <w:color w:val="000000"/>
                <w:szCs w:val="21"/>
                <w:highlight w:val="none"/>
                <w:lang w:val="zh-TW"/>
              </w:rPr>
              <w:t xml:space="preserve">提供的培训方案、培训时间、培训内容进行评审：培训方案详细、完善、合理得</w:t>
            </w:r>
            <w:r>
              <w:rPr>
                <w:rFonts w:ascii="Times New Roman" w:hAnsi="Times New Roman" w:cs="Times New Roman"/>
                <w:color w:val="000000"/>
                <w:szCs w:val="21"/>
                <w:highlight w:val="none"/>
              </w:rPr>
              <w:t xml:space="preserve">5</w:t>
            </w:r>
            <w:r>
              <w:rPr>
                <w:rFonts w:ascii="Times New Roman" w:hAnsi="Times New Roman" w:cs="Times New Roman"/>
                <w:color w:val="000000"/>
                <w:szCs w:val="21"/>
                <w:highlight w:val="none"/>
                <w:lang w:val="zh-TW"/>
              </w:rPr>
              <w:t xml:space="preserve">分；培训方案较完善、尚有改进空间得</w:t>
            </w: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lang w:val="zh-TW"/>
              </w:rPr>
              <w:t xml:space="preserve">分；培训方案仅满足项目基本需求得1分；未提供或基本不满足得0分。</w:t>
            </w:r>
            <w:r>
              <w:rPr>
                <w:rFonts w:ascii="Times New Roman" w:hAnsi="Times New Roman" w:cs="Times New Roman"/>
                <w:bCs/>
                <w:color w:val="000000"/>
                <w:highlight w:val="none"/>
              </w:rPr>
            </w:r>
            <w:r/>
          </w:p>
        </w:tc>
        <w:tc>
          <w:tcPr>
            <w:tcW w:w="32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5</w:t>
            </w:r>
            <w:r>
              <w:rPr>
                <w:rFonts w:ascii="Times New Roman" w:hAnsi="Times New Roman" w:cs="Times New Roman"/>
                <w:bCs/>
                <w:color w:val="000000"/>
                <w:szCs w:val="21"/>
                <w:highlight w:val="none"/>
              </w:rPr>
            </w:r>
            <w:r/>
          </w:p>
        </w:tc>
      </w:tr>
      <w:tr>
        <w:trPr>
          <w:trHeight w:val="1210"/>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4.3</w:t>
            </w:r>
            <w:r>
              <w:rPr>
                <w:rFonts w:ascii="Times New Roman" w:hAnsi="Times New Roman" w:cs="Times New Roman"/>
                <w:bCs/>
                <w:color w:val="000000"/>
                <w:szCs w:val="21"/>
                <w:highlight w:val="none"/>
              </w:rPr>
            </w:r>
            <w:r/>
          </w:p>
        </w:tc>
        <w:tc>
          <w:tcPr>
            <w:tcW w:w="591" w:type="dxa"/>
            <w:vAlign w:val="center"/>
            <w:vMerge w:val="continue"/>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r>
            <w:r/>
          </w:p>
        </w:tc>
        <w:tc>
          <w:tcPr>
            <w:tcW w:w="3723" w:type="dxa"/>
            <w:vAlign w:val="center"/>
            <w:textDirection w:val="lrTb"/>
            <w:noWrap w:val="false"/>
          </w:tcPr>
          <w:p>
            <w:pPr>
              <w:pStyle w:val="1166"/>
              <w:jc w:val="left"/>
              <w:spacing w:line="360" w:lineRule="auto"/>
              <w:widowControl/>
              <w:rPr>
                <w:rFonts w:ascii="Times New Roman" w:hAnsi="Times New Roman" w:cs="Times New Roman"/>
                <w:bCs/>
                <w:color w:val="000000"/>
                <w:highlight w:val="none"/>
              </w:rPr>
            </w:pPr>
            <w:r>
              <w:rPr>
                <w:rFonts w:ascii="Times New Roman" w:hAnsi="Times New Roman" w:cs="Times New Roman"/>
                <w:bCs/>
                <w:color w:val="000000"/>
                <w:szCs w:val="21"/>
                <w:highlight w:val="none"/>
              </w:rPr>
              <w:t xml:space="preserve">项目整体及所有设备满足招标文件免费质保期要求的不得分；在此基础上免费质保每增加1年加1分，本项最高得2分。需提供售后服务承诺书（若投标文件中出现前后不一致的情况，以最低免费质保期作为评分依据）。</w:t>
            </w:r>
            <w:r>
              <w:rPr>
                <w:rFonts w:ascii="Times New Roman" w:hAnsi="Times New Roman" w:cs="Times New Roman"/>
                <w:bCs/>
                <w:color w:val="000000"/>
                <w:highlight w:val="none"/>
              </w:rPr>
            </w:r>
            <w:r/>
          </w:p>
        </w:tc>
        <w:tc>
          <w:tcPr>
            <w:tcW w:w="32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w:t>
            </w:r>
            <w:r>
              <w:rPr>
                <w:rFonts w:ascii="Times New Roman" w:hAnsi="Times New Roman" w:cs="Times New Roman"/>
                <w:bCs/>
                <w:color w:val="000000"/>
                <w:szCs w:val="21"/>
                <w:highlight w:val="none"/>
              </w:rPr>
            </w:r>
            <w:r/>
          </w:p>
        </w:tc>
      </w:tr>
      <w:tr>
        <w:trPr>
          <w:trHeight w:val="836"/>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5</w:t>
            </w:r>
            <w:r>
              <w:rPr>
                <w:rFonts w:ascii="Times New Roman" w:hAnsi="Times New Roman" w:cs="Times New Roman"/>
                <w:bCs/>
                <w:color w:val="000000"/>
                <w:szCs w:val="21"/>
                <w:highlight w:val="none"/>
              </w:rPr>
            </w:r>
            <w:r/>
          </w:p>
        </w:tc>
        <w:tc>
          <w:tcPr>
            <w:tcW w:w="59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color w:val="000000"/>
                <w:highlight w:val="none"/>
              </w:rPr>
              <w:t xml:space="preserve">应急方案</w:t>
            </w:r>
            <w:r>
              <w:rPr>
                <w:rFonts w:ascii="Times New Roman" w:hAnsi="Times New Roman" w:cs="Times New Roman"/>
                <w:bCs/>
                <w:color w:val="000000"/>
                <w:szCs w:val="21"/>
                <w:highlight w:val="none"/>
              </w:rPr>
            </w:r>
            <w:r/>
          </w:p>
        </w:tc>
        <w:tc>
          <w:tcPr>
            <w:tcW w:w="3723" w:type="dxa"/>
            <w:vAlign w:val="center"/>
            <w:textDirection w:val="lrTb"/>
            <w:noWrap w:val="false"/>
          </w:tcPr>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根据</w:t>
            </w:r>
            <w:r>
              <w:rPr>
                <w:rFonts w:ascii="Times New Roman" w:hAnsi="Times New Roman" w:cs="Times New Roman"/>
                <w:bCs/>
                <w:color w:val="000000"/>
                <w:szCs w:val="21"/>
                <w:highlight w:val="none"/>
              </w:rPr>
              <w:t xml:space="preserve">供应商</w:t>
            </w:r>
            <w:r>
              <w:rPr>
                <w:rFonts w:ascii="Times New Roman" w:hAnsi="Times New Roman" w:cs="Times New Roman"/>
                <w:color w:val="000000"/>
                <w:highlight w:val="none"/>
              </w:rPr>
              <w:t xml:space="preserve">提供符合采购方情况的应急保障方案和风险管理方案。</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根据其提供的应急方案、对不可预见因素的预测、风险管理方案、应急处理、应急人员安排、时效性、与采购人配合应急处理措施等方面，根据其可行性、有效性、合理性等进行综合评审。</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要求：具有应急和重大故障预防措施，以及可能出现的紧急情况和其他不可预见的问题的应急响应时间、补救措施等，重大故障分析规划出合理应对的措施、有关经验措施和实施预案、对重点难点的分析等。</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方案全面合理，响应时间迅速，应急处理措施成熟、方案全面利于执行、与采购人配合度高，优于采购需求的得</w:t>
            </w:r>
            <w:r>
              <w:rPr>
                <w:rFonts w:hint="eastAsia"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分；</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方案合理可行，响应时间可行，应急处理措施可行，与采购人配合的对应措施可行，满足采购需求的得</w:t>
            </w:r>
            <w:r>
              <w:rPr>
                <w:rFonts w:hint="eastAsia" w:ascii="Times New Roman" w:hAnsi="Times New Roman" w:cs="Times New Roman"/>
                <w:color w:val="000000"/>
                <w:highlight w:val="none"/>
                <w:lang w:val="en-US" w:eastAsia="zh-CN"/>
              </w:rPr>
              <w:t xml:space="preserve">4</w:t>
            </w:r>
            <w:r>
              <w:rPr>
                <w:rFonts w:ascii="Times New Roman" w:hAnsi="Times New Roman" w:cs="Times New Roman"/>
                <w:color w:val="000000"/>
                <w:highlight w:val="none"/>
              </w:rPr>
              <w:t xml:space="preserve">分；</w:t>
            </w:r>
            <w:r>
              <w:rPr>
                <w:rFonts w:ascii="Times New Roman" w:hAnsi="Times New Roman" w:cs="Times New Roman"/>
                <w:color w:val="000000"/>
                <w:highlight w:val="none"/>
              </w:rPr>
            </w:r>
            <w:r/>
          </w:p>
          <w:p>
            <w:pPr>
              <w:pStyle w:val="116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应急处理方案略有缺陷经后期优化后可以符合采购需求的得</w:t>
            </w:r>
            <w:r>
              <w:rPr>
                <w:rFonts w:hint="eastAsia"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分；</w:t>
            </w:r>
            <w:r>
              <w:rPr>
                <w:rFonts w:ascii="Times New Roman" w:hAnsi="Times New Roman" w:cs="Times New Roman"/>
                <w:color w:val="000000"/>
                <w:highlight w:val="none"/>
              </w:rPr>
            </w:r>
            <w:r/>
          </w:p>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color w:val="000000"/>
                <w:highlight w:val="none"/>
              </w:rPr>
              <w:t xml:space="preserve">未提供方案，或方案内容与本项目无关的不得分。</w:t>
            </w:r>
            <w:r>
              <w:rPr>
                <w:rFonts w:ascii="Times New Roman" w:hAnsi="Times New Roman" w:cs="Times New Roman"/>
                <w:bCs/>
                <w:color w:val="000000"/>
                <w:szCs w:val="21"/>
                <w:highlight w:val="none"/>
              </w:rPr>
            </w:r>
            <w:r/>
          </w:p>
        </w:tc>
        <w:tc>
          <w:tcPr>
            <w:tcW w:w="322" w:type="dxa"/>
            <w:vAlign w:val="center"/>
            <w:textDirection w:val="lrTb"/>
            <w:noWrap w:val="false"/>
          </w:tcPr>
          <w:p>
            <w:pPr>
              <w:pStyle w:val="1166"/>
              <w:jc w:val="center"/>
              <w:spacing w:line="360" w:lineRule="auto"/>
              <w:widowControl/>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6</w:t>
            </w:r>
            <w:r>
              <w:rPr>
                <w:rFonts w:hint="eastAsia" w:ascii="Times New Roman" w:hAnsi="Times New Roman" w:eastAsia="宋体" w:cs="Times New Roman"/>
                <w:bCs/>
                <w:color w:val="000000"/>
                <w:szCs w:val="21"/>
                <w:highlight w:val="none"/>
                <w:lang w:eastAsia="zh-CN"/>
              </w:rPr>
            </w:r>
            <w:r/>
          </w:p>
        </w:tc>
      </w:tr>
      <w:tr>
        <w:trPr>
          <w:trHeight w:val="372"/>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6</w:t>
            </w:r>
            <w:r>
              <w:rPr>
                <w:rFonts w:ascii="Times New Roman" w:hAnsi="Times New Roman" w:cs="Times New Roman"/>
                <w:bCs/>
                <w:color w:val="000000"/>
                <w:szCs w:val="21"/>
                <w:highlight w:val="none"/>
              </w:rPr>
            </w:r>
            <w:r/>
          </w:p>
        </w:tc>
        <w:tc>
          <w:tcPr>
            <w:tcW w:w="59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业绩</w:t>
            </w:r>
            <w:r>
              <w:rPr>
                <w:rFonts w:ascii="Times New Roman" w:hAnsi="Times New Roman" w:cs="Times New Roman"/>
                <w:bCs/>
                <w:color w:val="000000"/>
                <w:szCs w:val="21"/>
                <w:highlight w:val="none"/>
              </w:rPr>
            </w:r>
            <w:r/>
          </w:p>
        </w:tc>
        <w:tc>
          <w:tcPr>
            <w:tcW w:w="3723" w:type="dxa"/>
            <w:vAlign w:val="center"/>
            <w:textDirection w:val="lrTb"/>
            <w:noWrap w:val="false"/>
          </w:tcPr>
          <w:p>
            <w:pPr>
              <w:pStyle w:val="1166"/>
              <w:spacing w:line="360" w:lineRule="auto"/>
              <w:rPr>
                <w:rFonts w:ascii="Times New Roman" w:hAnsi="Times New Roman" w:cs="Times New Roman"/>
                <w:bCs/>
                <w:color w:val="000000"/>
                <w:highlight w:val="none"/>
              </w:rPr>
            </w:pPr>
            <w:r>
              <w:rPr>
                <w:rFonts w:ascii="Times New Roman" w:hAnsi="Times New Roman" w:cs="Times New Roman"/>
                <w:bCs/>
                <w:color w:val="000000"/>
                <w:szCs w:val="21"/>
                <w:highlight w:val="none"/>
              </w:rPr>
              <w:t xml:space="preserve">2023</w:t>
            </w:r>
            <w:r>
              <w:rPr>
                <w:rFonts w:ascii="Times New Roman" w:hAnsi="Times New Roman" w:cs="Times New Roman"/>
                <w:bCs/>
                <w:color w:val="000000"/>
                <w:highlight w:val="none"/>
              </w:rPr>
              <w:t xml:space="preserve">年</w:t>
            </w:r>
            <w:r>
              <w:rPr>
                <w:rFonts w:ascii="Times New Roman" w:hAnsi="Times New Roman" w:cs="Times New Roman"/>
                <w:bCs/>
                <w:color w:val="000000"/>
                <w:szCs w:val="21"/>
                <w:highlight w:val="none"/>
              </w:rPr>
              <w:t xml:space="preserve">1</w:t>
            </w:r>
            <w:r>
              <w:rPr>
                <w:rFonts w:ascii="Times New Roman" w:hAnsi="Times New Roman" w:cs="Times New Roman"/>
                <w:bCs/>
                <w:color w:val="000000"/>
                <w:highlight w:val="none"/>
              </w:rPr>
              <w:t xml:space="preserve">月</w:t>
            </w:r>
            <w:r>
              <w:rPr>
                <w:rFonts w:ascii="Times New Roman" w:hAnsi="Times New Roman" w:cs="Times New Roman"/>
                <w:bCs/>
                <w:color w:val="000000"/>
                <w:szCs w:val="21"/>
                <w:highlight w:val="none"/>
              </w:rPr>
              <w:t xml:space="preserve">1</w:t>
            </w:r>
            <w:r>
              <w:rPr>
                <w:rFonts w:ascii="Times New Roman" w:hAnsi="Times New Roman" w:cs="Times New Roman"/>
                <w:bCs/>
                <w:color w:val="000000"/>
                <w:highlight w:val="none"/>
              </w:rPr>
              <w:t xml:space="preserve">日（以合同签订时间为准）</w:t>
            </w:r>
            <w:r>
              <w:rPr>
                <w:rFonts w:ascii="Times New Roman" w:hAnsi="Times New Roman" w:cs="Times New Roman"/>
                <w:color w:val="000000"/>
                <w:szCs w:val="21"/>
                <w:highlight w:val="none"/>
              </w:rPr>
              <w:t xml:space="preserve">至今，供应商或制造商销售同型号</w:t>
            </w:r>
            <w:r>
              <w:rPr>
                <w:rFonts w:ascii="Times New Roman" w:hAnsi="Times New Roman" w:cs="Times New Roman"/>
                <w:color w:val="000000"/>
                <w:highlight w:val="none"/>
              </w:rPr>
              <w:t xml:space="preserve">投标产品的业绩</w:t>
            </w:r>
            <w:r>
              <w:rPr>
                <w:rFonts w:ascii="Times New Roman" w:hAnsi="Times New Roman" w:cs="Times New Roman"/>
                <w:bCs/>
                <w:color w:val="000000"/>
                <w:highlight w:val="none"/>
              </w:rPr>
              <w:t xml:space="preserve">，每提供一份得1分，最高</w:t>
            </w:r>
            <w:r>
              <w:rPr>
                <w:rFonts w:hint="eastAsia" w:ascii="Times New Roman" w:hAnsi="Times New Roman" w:cs="Times New Roman"/>
                <w:bCs/>
                <w:color w:val="000000"/>
                <w:highlight w:val="none"/>
                <w:lang w:val="en-US" w:eastAsia="zh-CN"/>
              </w:rPr>
              <w:t xml:space="preserve">4</w:t>
            </w:r>
            <w:r>
              <w:rPr>
                <w:rFonts w:ascii="Times New Roman" w:hAnsi="Times New Roman" w:cs="Times New Roman"/>
                <w:bCs/>
                <w:color w:val="000000"/>
                <w:highlight w:val="none"/>
              </w:rPr>
              <w:t xml:space="preserve">分。提供合同复印件并加盖公章，</w:t>
            </w:r>
            <w:r>
              <w:rPr>
                <w:rFonts w:ascii="Times New Roman" w:hAnsi="Times New Roman" w:cs="Times New Roman"/>
                <w:color w:val="000000"/>
                <w:szCs w:val="21"/>
                <w:highlight w:val="none"/>
              </w:rPr>
              <w:t xml:space="preserve">如果供货合同未体现标的物内容或字样，并且评委也无法推断的，不得分。中标后，投标人提供合同原件供采购单位复核，如若与投标文件不相符，视为提供虚假材料谋取中标，终止合同。</w:t>
            </w:r>
            <w:r>
              <w:rPr>
                <w:rFonts w:ascii="Times New Roman" w:hAnsi="Times New Roman" w:cs="Times New Roman"/>
                <w:bCs/>
                <w:color w:val="000000"/>
                <w:highlight w:val="none"/>
              </w:rPr>
            </w:r>
            <w:r/>
          </w:p>
        </w:tc>
        <w:tc>
          <w:tcPr>
            <w:tcW w:w="322" w:type="dxa"/>
            <w:vAlign w:val="center"/>
            <w:textDirection w:val="lrTb"/>
            <w:noWrap w:val="false"/>
          </w:tcPr>
          <w:p>
            <w:pPr>
              <w:pStyle w:val="1166"/>
              <w:jc w:val="center"/>
              <w:spacing w:line="360" w:lineRule="auto"/>
              <w:widowControl/>
              <w:rPr>
                <w:rFonts w:hint="eastAsia" w:ascii="Times New Roman" w:hAnsi="Times New Roman" w:eastAsia="宋体" w:cs="Times New Roman"/>
                <w:bCs/>
                <w:color w:val="000000"/>
                <w:szCs w:val="21"/>
                <w:highlight w:val="none"/>
                <w:lang w:eastAsia="zh-CN"/>
              </w:rPr>
            </w:pPr>
            <w:r>
              <w:rPr>
                <w:rFonts w:hint="eastAsia" w:ascii="Times New Roman" w:hAnsi="Times New Roman" w:cs="Times New Roman"/>
                <w:bCs/>
                <w:color w:val="000000"/>
                <w:szCs w:val="21"/>
                <w:highlight w:val="none"/>
                <w:lang w:val="en-US" w:eastAsia="zh-CN"/>
              </w:rPr>
              <w:t xml:space="preserve">4</w:t>
            </w:r>
            <w:r>
              <w:rPr>
                <w:rFonts w:hint="eastAsia" w:ascii="Times New Roman" w:hAnsi="Times New Roman" w:eastAsia="宋体" w:cs="Times New Roman"/>
                <w:bCs/>
                <w:color w:val="000000"/>
                <w:szCs w:val="21"/>
                <w:highlight w:val="none"/>
                <w:lang w:eastAsia="zh-CN"/>
              </w:rPr>
            </w:r>
            <w:r/>
          </w:p>
        </w:tc>
      </w:tr>
      <w:tr>
        <w:trPr>
          <w:trHeight w:val="488"/>
        </w:trPr>
        <w:tc>
          <w:tcPr>
            <w:tcW w:w="362"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7</w:t>
            </w:r>
            <w:r>
              <w:rPr>
                <w:rFonts w:ascii="Times New Roman" w:hAnsi="Times New Roman" w:cs="Times New Roman"/>
                <w:bCs/>
                <w:color w:val="000000"/>
                <w:szCs w:val="21"/>
                <w:highlight w:val="none"/>
              </w:rPr>
            </w:r>
            <w:r/>
          </w:p>
        </w:tc>
        <w:tc>
          <w:tcPr>
            <w:tcW w:w="591" w:type="dxa"/>
            <w:vAlign w:val="center"/>
            <w:textDirection w:val="lrTb"/>
            <w:noWrap w:val="false"/>
          </w:tcPr>
          <w:p>
            <w:pPr>
              <w:pStyle w:val="1166"/>
              <w:jc w:val="center"/>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国家政策导向</w:t>
            </w:r>
            <w:r>
              <w:rPr>
                <w:rFonts w:ascii="Times New Roman" w:hAnsi="Times New Roman" w:cs="Times New Roman"/>
                <w:bCs/>
                <w:color w:val="000000"/>
                <w:szCs w:val="21"/>
                <w:highlight w:val="none"/>
              </w:rPr>
            </w:r>
            <w:r/>
          </w:p>
        </w:tc>
        <w:tc>
          <w:tcPr>
            <w:tcW w:w="3723" w:type="dxa"/>
            <w:vAlign w:val="center"/>
            <w:textDirection w:val="lrTb"/>
            <w:noWrap w:val="false"/>
          </w:tcPr>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投标产品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rFonts w:ascii="Times New Roman" w:hAnsi="Times New Roman" w:cs="Times New Roman"/>
                <w:bCs/>
                <w:color w:val="000000"/>
                <w:szCs w:val="21"/>
                <w:highlight w:val="none"/>
              </w:rPr>
            </w:r>
            <w:r/>
          </w:p>
          <w:p>
            <w:pPr>
              <w:pStyle w:val="1166"/>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投标产品属于财政部、发展改革委公布的《节能产品政府采购品目清单》内的产品且具有国家确定的认证机构出具的、处于有效期之内的节能标志产品认证证书的，每有一类产品加0.5分，最高得0.5分。提供认证证书复印件，否则不得分。</w:t>
            </w:r>
            <w:r>
              <w:rPr>
                <w:rFonts w:ascii="Times New Roman" w:hAnsi="Times New Roman" w:cs="Times New Roman"/>
                <w:bCs/>
                <w:color w:val="000000"/>
                <w:szCs w:val="21"/>
                <w:highlight w:val="none"/>
              </w:rPr>
            </w:r>
            <w:r/>
          </w:p>
        </w:tc>
        <w:tc>
          <w:tcPr>
            <w:tcW w:w="322" w:type="dxa"/>
            <w:vAlign w:val="center"/>
            <w:textDirection w:val="lrTb"/>
            <w:noWrap w:val="false"/>
          </w:tcPr>
          <w:p>
            <w:pPr>
              <w:pStyle w:val="1166"/>
              <w:jc w:val="center"/>
              <w:spacing w:line="360" w:lineRule="auto"/>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w:t>
            </w:r>
            <w:r>
              <w:rPr>
                <w:rFonts w:ascii="Times New Roman" w:hAnsi="Times New Roman" w:cs="Times New Roman"/>
                <w:bCs/>
                <w:color w:val="000000"/>
                <w:szCs w:val="21"/>
                <w:highlight w:val="none"/>
              </w:rPr>
            </w:r>
            <w:r/>
          </w:p>
        </w:tc>
      </w:tr>
    </w:tbl>
    <w:p>
      <w:pPr>
        <w:pStyle w:val="1166"/>
        <w:jc w:val="left"/>
        <w:widowControl/>
        <w:rPr>
          <w:color w:val="000000"/>
          <w:szCs w:val="22"/>
          <w:highlight w:val="none"/>
        </w:rPr>
      </w:pPr>
      <w:r>
        <w:rPr>
          <w:b/>
          <w:bCs/>
          <w:color w:val="000000"/>
          <w:szCs w:val="21"/>
          <w:highlight w:val="none"/>
        </w:rPr>
        <w:t xml:space="preserve">注：</w:t>
      </w:r>
      <w:r>
        <w:rPr>
          <w:b/>
          <w:color w:val="000000"/>
          <w:highlight w:val="none"/>
        </w:rPr>
        <w:t xml:space="preserve">评审标准中涉及的</w:t>
      </w:r>
      <w:r>
        <w:rPr>
          <w:b/>
          <w:bCs/>
          <w:color w:val="000000"/>
          <w:szCs w:val="21"/>
          <w:highlight w:val="none"/>
        </w:rPr>
        <w:t xml:space="preserve">证明材料均需附入投标文件内（复印件加盖公章）</w:t>
      </w:r>
      <w:r>
        <w:rPr>
          <w:b/>
          <w:color w:val="000000"/>
          <w:highlight w:val="none"/>
        </w:rPr>
        <w:t xml:space="preserve">。</w:t>
      </w:r>
      <w:r>
        <w:rPr>
          <w:color w:val="000000"/>
          <w:szCs w:val="22"/>
          <w:highlight w:val="none"/>
        </w:rPr>
      </w:r>
      <w:r/>
    </w:p>
    <w:p>
      <w:pPr>
        <w:pStyle w:val="1166"/>
        <w:jc w:val="center"/>
        <w:spacing w:line="360" w:lineRule="auto"/>
        <w:rPr>
          <w:b/>
          <w:color w:val="000000"/>
          <w:sz w:val="28"/>
          <w:szCs w:val="28"/>
          <w:highlight w:val="none"/>
        </w:rPr>
        <w:outlineLvl w:val="0"/>
      </w:pPr>
      <w:r/>
      <w:bookmarkStart w:id="219" w:name="_Toc4696424"/>
      <w:r>
        <w:rPr>
          <w:b/>
          <w:color w:val="000000"/>
          <w:sz w:val="28"/>
          <w:szCs w:val="28"/>
          <w:highlight w:val="none"/>
        </w:rPr>
        <w:br w:type="page" w:clear="all"/>
      </w:r>
      <w:bookmarkStart w:id="220" w:name="_Toc11491"/>
      <w:r>
        <w:rPr>
          <w:b/>
          <w:color w:val="000000"/>
          <w:sz w:val="28"/>
          <w:szCs w:val="28"/>
          <w:highlight w:val="none"/>
        </w:rPr>
        <w:t xml:space="preserve">第四章 招标技术规格及要求</w:t>
      </w:r>
      <w:bookmarkEnd w:id="219"/>
      <w:r/>
      <w:bookmarkEnd w:id="220"/>
      <w:r>
        <w:rPr>
          <w:b/>
          <w:color w:val="000000"/>
          <w:sz w:val="28"/>
          <w:szCs w:val="28"/>
          <w:highlight w:val="none"/>
        </w:rPr>
      </w:r>
      <w:r/>
    </w:p>
    <w:p>
      <w:pPr>
        <w:pStyle w:val="1166"/>
        <w:spacing w:line="360" w:lineRule="auto"/>
        <w:rPr>
          <w:b/>
          <w:bCs/>
          <w:color w:val="000000"/>
          <w:szCs w:val="21"/>
          <w:highlight w:val="none"/>
        </w:rPr>
      </w:pPr>
      <w:r>
        <w:rPr>
          <w:b/>
          <w:bCs/>
          <w:color w:val="000000"/>
          <w:szCs w:val="21"/>
          <w:highlight w:val="none"/>
        </w:rPr>
        <w:t xml:space="preserve">一、招标项目简要说明：</w:t>
      </w:r>
      <w:r>
        <w:rPr>
          <w:b/>
          <w:bCs/>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791"/>
        <w:gridCol w:w="720"/>
        <w:gridCol w:w="1967"/>
        <w:gridCol w:w="1755"/>
        <w:gridCol w:w="1215"/>
        <w:gridCol w:w="1787"/>
      </w:tblGrid>
      <w:tr>
        <w:trPr>
          <w:trHeight w:val="1125"/>
        </w:trPr>
        <w:tc>
          <w:tcPr>
            <w:tcW w:w="314" w:type="dxa"/>
            <w:vAlign w:val="center"/>
            <w:textDirection w:val="lrTb"/>
            <w:noWrap w:val="false"/>
          </w:tcPr>
          <w:p>
            <w:pPr>
              <w:pStyle w:val="1166"/>
              <w:ind w:right="-107"/>
              <w:spacing w:line="460" w:lineRule="exact"/>
              <w:tabs>
                <w:tab w:val="left" w:pos="4788" w:leader="none"/>
              </w:tabs>
              <w:rPr>
                <w:b/>
                <w:color w:val="000000"/>
                <w:szCs w:val="21"/>
                <w:highlight w:val="none"/>
              </w:rPr>
            </w:pPr>
            <w:r/>
            <w:bookmarkStart w:id="221" w:name="_Toc2516"/>
            <w:r>
              <w:rPr>
                <w:b/>
                <w:color w:val="000000"/>
                <w:szCs w:val="21"/>
                <w:highlight w:val="none"/>
              </w:rPr>
              <w:t xml:space="preserve">包号</w:t>
            </w:r>
            <w:r>
              <w:rPr>
                <w:b/>
                <w:color w:val="000000"/>
                <w:szCs w:val="21"/>
                <w:highlight w:val="none"/>
              </w:rPr>
            </w:r>
            <w:r/>
          </w:p>
        </w:tc>
        <w:tc>
          <w:tcPr>
            <w:tcW w:w="908" w:type="dxa"/>
            <w:vAlign w:val="center"/>
            <w:textDirection w:val="lrTb"/>
            <w:noWrap w:val="false"/>
          </w:tcPr>
          <w:p>
            <w:pPr>
              <w:pStyle w:val="1166"/>
              <w:ind w:right="-107"/>
              <w:jc w:val="center"/>
              <w:spacing w:line="460" w:lineRule="exact"/>
              <w:tabs>
                <w:tab w:val="left" w:pos="4788" w:leader="none"/>
              </w:tabs>
              <w:rPr>
                <w:b/>
                <w:color w:val="000000"/>
                <w:szCs w:val="21"/>
                <w:highlight w:val="none"/>
              </w:rPr>
            </w:pPr>
            <w:r>
              <w:rPr>
                <w:b/>
                <w:color w:val="000000"/>
                <w:szCs w:val="21"/>
                <w:highlight w:val="none"/>
              </w:rPr>
              <w:t xml:space="preserve">产品名称</w:t>
            </w:r>
            <w:r>
              <w:rPr>
                <w:b/>
                <w:color w:val="000000"/>
                <w:szCs w:val="21"/>
                <w:highlight w:val="none"/>
              </w:rPr>
            </w:r>
            <w:r/>
          </w:p>
        </w:tc>
        <w:tc>
          <w:tcPr>
            <w:tcW w:w="365" w:type="dxa"/>
            <w:vAlign w:val="center"/>
            <w:textDirection w:val="lrTb"/>
            <w:noWrap w:val="false"/>
          </w:tcPr>
          <w:p>
            <w:pPr>
              <w:pStyle w:val="1166"/>
              <w:ind w:right="-107"/>
              <w:jc w:val="center"/>
              <w:spacing w:line="460" w:lineRule="exact"/>
              <w:tabs>
                <w:tab w:val="left" w:pos="4788" w:leader="none"/>
              </w:tabs>
              <w:rPr>
                <w:b/>
                <w:color w:val="000000"/>
                <w:szCs w:val="21"/>
                <w:highlight w:val="none"/>
              </w:rPr>
            </w:pPr>
            <w:r>
              <w:rPr>
                <w:b/>
                <w:color w:val="000000"/>
                <w:szCs w:val="21"/>
                <w:highlight w:val="none"/>
              </w:rPr>
              <w:t xml:space="preserve">数量（套）</w:t>
            </w:r>
            <w:r>
              <w:rPr>
                <w:b/>
                <w:color w:val="000000"/>
                <w:szCs w:val="21"/>
                <w:highlight w:val="none"/>
              </w:rPr>
            </w:r>
            <w:r/>
          </w:p>
        </w:tc>
        <w:tc>
          <w:tcPr>
            <w:tcW w:w="998" w:type="dxa"/>
            <w:vAlign w:val="center"/>
            <w:textDirection w:val="lrTb"/>
            <w:noWrap w:val="false"/>
          </w:tcPr>
          <w:p>
            <w:pPr>
              <w:pStyle w:val="1166"/>
              <w:jc w:val="center"/>
              <w:spacing w:line="460" w:lineRule="exact"/>
              <w:tabs>
                <w:tab w:val="left" w:pos="4788" w:leader="none"/>
              </w:tabs>
              <w:rPr>
                <w:b/>
                <w:color w:val="000000"/>
                <w:szCs w:val="21"/>
                <w:highlight w:val="none"/>
              </w:rPr>
            </w:pPr>
            <w:r>
              <w:rPr>
                <w:color w:val="000000"/>
                <w:szCs w:val="21"/>
                <w:highlight w:val="none"/>
              </w:rPr>
              <w:t xml:space="preserve">★</w:t>
            </w:r>
            <w:r>
              <w:rPr>
                <w:b/>
                <w:color w:val="000000"/>
                <w:szCs w:val="21"/>
                <w:highlight w:val="none"/>
              </w:rPr>
              <w:t xml:space="preserve">合同履行期限</w:t>
            </w:r>
            <w:r>
              <w:rPr>
                <w:b/>
                <w:color w:val="000000"/>
                <w:szCs w:val="21"/>
                <w:highlight w:val="none"/>
              </w:rPr>
            </w:r>
            <w:r/>
          </w:p>
        </w:tc>
        <w:tc>
          <w:tcPr>
            <w:tcW w:w="890" w:type="dxa"/>
            <w:vAlign w:val="center"/>
            <w:textDirection w:val="lrTb"/>
            <w:noWrap w:val="false"/>
          </w:tcPr>
          <w:p>
            <w:pPr>
              <w:pStyle w:val="1166"/>
              <w:jc w:val="center"/>
              <w:spacing w:line="460" w:lineRule="exact"/>
              <w:tabs>
                <w:tab w:val="left" w:pos="4788" w:leader="none"/>
              </w:tabs>
              <w:rPr>
                <w:b/>
                <w:color w:val="000000"/>
                <w:szCs w:val="21"/>
                <w:highlight w:val="none"/>
              </w:rPr>
            </w:pPr>
            <w:r>
              <w:rPr>
                <w:b/>
                <w:color w:val="000000"/>
                <w:szCs w:val="21"/>
                <w:highlight w:val="none"/>
              </w:rPr>
              <w:t xml:space="preserve">项目预算金额</w:t>
            </w:r>
            <w:r>
              <w:rPr>
                <w:b/>
                <w:color w:val="000000"/>
                <w:szCs w:val="21"/>
                <w:highlight w:val="none"/>
              </w:rPr>
            </w:r>
            <w:r/>
          </w:p>
          <w:p>
            <w:pPr>
              <w:pStyle w:val="1166"/>
              <w:jc w:val="center"/>
              <w:spacing w:line="460" w:lineRule="exact"/>
              <w:tabs>
                <w:tab w:val="left" w:pos="4788" w:leader="none"/>
              </w:tabs>
              <w:rPr>
                <w:b/>
                <w:color w:val="000000"/>
                <w:szCs w:val="21"/>
                <w:highlight w:val="none"/>
              </w:rPr>
            </w:pPr>
            <w:r>
              <w:rPr>
                <w:b/>
                <w:color w:val="000000"/>
                <w:szCs w:val="21"/>
                <w:highlight w:val="none"/>
              </w:rPr>
              <w:t xml:space="preserve">（万元/人民币）</w:t>
            </w:r>
            <w:r>
              <w:rPr>
                <w:b/>
                <w:color w:val="000000"/>
                <w:szCs w:val="21"/>
                <w:highlight w:val="none"/>
              </w:rPr>
            </w:r>
            <w:r/>
          </w:p>
        </w:tc>
        <w:tc>
          <w:tcPr>
            <w:tcW w:w="616" w:type="dxa"/>
            <w:vAlign w:val="center"/>
            <w:textDirection w:val="lrTb"/>
            <w:noWrap w:val="false"/>
          </w:tcPr>
          <w:p>
            <w:pPr>
              <w:pStyle w:val="1166"/>
              <w:jc w:val="center"/>
              <w:spacing w:line="460" w:lineRule="exact"/>
              <w:tabs>
                <w:tab w:val="left" w:pos="4788" w:leader="none"/>
              </w:tabs>
              <w:rPr>
                <w:b/>
                <w:color w:val="000000"/>
                <w:szCs w:val="21"/>
                <w:highlight w:val="none"/>
              </w:rPr>
            </w:pPr>
            <w:r>
              <w:rPr>
                <w:b/>
                <w:color w:val="000000"/>
                <w:szCs w:val="21"/>
                <w:highlight w:val="none"/>
              </w:rPr>
              <w:t xml:space="preserve">是否接受进口产品</w:t>
            </w:r>
            <w:r>
              <w:rPr>
                <w:b/>
                <w:color w:val="000000"/>
                <w:szCs w:val="21"/>
                <w:highlight w:val="none"/>
              </w:rPr>
            </w:r>
            <w:r/>
          </w:p>
        </w:tc>
        <w:tc>
          <w:tcPr>
            <w:tcW w:w="906" w:type="dxa"/>
            <w:vAlign w:val="center"/>
            <w:textDirection w:val="lrTb"/>
            <w:noWrap w:val="false"/>
          </w:tcPr>
          <w:p>
            <w:pPr>
              <w:pStyle w:val="1166"/>
              <w:jc w:val="center"/>
              <w:spacing w:line="460" w:lineRule="exact"/>
              <w:tabs>
                <w:tab w:val="left" w:pos="4788" w:leader="none"/>
              </w:tabs>
              <w:rPr>
                <w:b/>
                <w:color w:val="000000"/>
                <w:szCs w:val="21"/>
                <w:highlight w:val="none"/>
              </w:rPr>
            </w:pPr>
            <w:r>
              <w:rPr>
                <w:b/>
                <w:color w:val="000000"/>
                <w:szCs w:val="21"/>
                <w:highlight w:val="none"/>
              </w:rPr>
              <w:t xml:space="preserve">免费质保期</w:t>
            </w:r>
            <w:r>
              <w:rPr>
                <w:b/>
                <w:color w:val="000000"/>
                <w:szCs w:val="21"/>
                <w:highlight w:val="none"/>
              </w:rPr>
            </w:r>
            <w:r/>
          </w:p>
        </w:tc>
      </w:tr>
      <w:tr>
        <w:trPr>
          <w:trHeight w:val="467"/>
        </w:trPr>
        <w:tc>
          <w:tcPr>
            <w:tcW w:w="314" w:type="dxa"/>
            <w:vAlign w:val="center"/>
            <w:textDirection w:val="lrTb"/>
            <w:noWrap w:val="false"/>
          </w:tcPr>
          <w:p>
            <w:pPr>
              <w:pStyle w:val="1166"/>
              <w:jc w:val="center"/>
              <w:rPr>
                <w:color w:val="000000"/>
                <w:szCs w:val="21"/>
                <w:highlight w:val="none"/>
              </w:rPr>
            </w:pPr>
            <w:r>
              <w:rPr>
                <w:color w:val="000000"/>
                <w:szCs w:val="21"/>
                <w:highlight w:val="none"/>
              </w:rPr>
              <w:t xml:space="preserve">1</w:t>
            </w:r>
            <w:r>
              <w:rPr>
                <w:color w:val="000000"/>
                <w:szCs w:val="21"/>
                <w:highlight w:val="none"/>
              </w:rPr>
            </w:r>
            <w:r/>
          </w:p>
        </w:tc>
        <w:tc>
          <w:tcPr>
            <w:tcW w:w="908" w:type="dxa"/>
            <w:vAlign w:val="center"/>
            <w:textDirection w:val="lrTb"/>
            <w:noWrap w:val="false"/>
          </w:tcPr>
          <w:p>
            <w:pPr>
              <w:pStyle w:val="1166"/>
              <w:jc w:val="center"/>
              <w:tabs>
                <w:tab w:val="left" w:pos="4788" w:leader="none"/>
              </w:tabs>
              <w:rPr>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大型拓展采血车</w:t>
            </w:r>
            <w:r>
              <w:rPr>
                <w:color w:val="000000"/>
                <w:szCs w:val="21"/>
                <w:highlight w:val="none"/>
                <w:lang w:val="zh-CN"/>
              </w:rPr>
            </w:r>
            <w:r/>
          </w:p>
        </w:tc>
        <w:tc>
          <w:tcPr>
            <w:tcW w:w="365" w:type="dxa"/>
            <w:vAlign w:val="center"/>
            <w:textDirection w:val="lrTb"/>
            <w:noWrap w:val="false"/>
          </w:tcPr>
          <w:p>
            <w:pPr>
              <w:pStyle w:val="1166"/>
              <w:jc w:val="center"/>
              <w:tabs>
                <w:tab w:val="left" w:pos="4788" w:leader="none"/>
              </w:tabs>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998" w:type="dxa"/>
            <w:vAlign w:val="center"/>
            <w:vMerge w:val="restart"/>
            <w:textDirection w:val="lrTb"/>
            <w:noWrap w:val="false"/>
          </w:tcPr>
          <w:p>
            <w:pPr>
              <w:pStyle w:val="1166"/>
              <w:jc w:val="center"/>
              <w:tabs>
                <w:tab w:val="left" w:pos="4788" w:leader="none"/>
              </w:tabs>
              <w:rPr>
                <w:color w:val="000000"/>
                <w:szCs w:val="21"/>
                <w:highlight w:val="none"/>
              </w:rPr>
            </w:pPr>
            <w:r>
              <w:rPr>
                <w:color w:val="000000"/>
                <w:szCs w:val="21"/>
                <w:highlight w:val="none"/>
                <w:lang w:val="zh-CN"/>
              </w:rPr>
              <w:t xml:space="preserve">合同</w:t>
            </w:r>
            <w:r>
              <w:rPr>
                <w:rFonts w:hint="eastAsia"/>
                <w:color w:val="000000"/>
                <w:szCs w:val="21"/>
                <w:highlight w:val="none"/>
              </w:rPr>
              <w:t xml:space="preserve">签订</w:t>
            </w:r>
            <w:r>
              <w:rPr>
                <w:color w:val="000000"/>
                <w:szCs w:val="21"/>
                <w:highlight w:val="none"/>
                <w:lang w:val="zh-CN"/>
              </w:rPr>
              <w:t xml:space="preserve">后</w:t>
            </w:r>
            <w:r>
              <w:rPr>
                <w:rFonts w:hint="eastAsia"/>
                <w:color w:val="000000"/>
                <w:szCs w:val="21"/>
                <w:highlight w:val="none"/>
              </w:rPr>
              <w:t xml:space="preserve">60天</w:t>
            </w:r>
            <w:r>
              <w:rPr>
                <w:color w:val="000000"/>
                <w:szCs w:val="21"/>
                <w:highlight w:val="none"/>
                <w:lang w:val="zh-CN"/>
              </w:rPr>
              <w:t xml:space="preserve">内</w:t>
            </w:r>
            <w:r>
              <w:rPr>
                <w:rFonts w:hint="eastAsia"/>
                <w:color w:val="000000"/>
                <w:szCs w:val="21"/>
                <w:highlight w:val="none"/>
              </w:rPr>
              <w:t xml:space="preserve">供货安装完毕</w:t>
            </w:r>
            <w:r>
              <w:rPr>
                <w:color w:val="000000"/>
                <w:szCs w:val="21"/>
                <w:highlight w:val="none"/>
              </w:rPr>
            </w:r>
            <w:r/>
          </w:p>
        </w:tc>
        <w:tc>
          <w:tcPr>
            <w:tcW w:w="890" w:type="dxa"/>
            <w:vAlign w:val="center"/>
            <w:textDirection w:val="lrTb"/>
            <w:noWrap w:val="false"/>
          </w:tcPr>
          <w:p>
            <w:pPr>
              <w:pStyle w:val="1166"/>
              <w:jc w:val="center"/>
              <w:widowControl/>
              <w:rPr>
                <w:rFonts w:eastAsia="宋体"/>
                <w:color w:val="000000"/>
                <w:szCs w:val="21"/>
                <w:highlight w:val="none"/>
                <w:lang w:val="en-US" w:eastAsia="zh-CN"/>
              </w:rPr>
            </w:pPr>
            <w:r>
              <w:rPr>
                <w:rFonts w:hint="eastAsia"/>
                <w:color w:val="000000"/>
                <w:szCs w:val="21"/>
                <w:highlight w:val="none"/>
                <w:lang w:val="en-US" w:eastAsia="zh-CN"/>
              </w:rPr>
              <w:t xml:space="preserve">200</w:t>
            </w:r>
            <w:r>
              <w:rPr>
                <w:rFonts w:eastAsia="宋体"/>
                <w:color w:val="000000"/>
                <w:szCs w:val="21"/>
                <w:highlight w:val="none"/>
                <w:lang w:val="en-US" w:eastAsia="zh-CN"/>
              </w:rPr>
            </w:r>
            <w:r/>
          </w:p>
        </w:tc>
        <w:tc>
          <w:tcPr>
            <w:tcW w:w="616" w:type="dxa"/>
            <w:vAlign w:val="center"/>
            <w:textDirection w:val="lrTb"/>
            <w:noWrap w:val="false"/>
          </w:tcPr>
          <w:p>
            <w:pPr>
              <w:pStyle w:val="1166"/>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c>
          <w:tcPr>
            <w:tcW w:w="906" w:type="dxa"/>
            <w:vAlign w:val="center"/>
            <w:textDirection w:val="lrTb"/>
            <w:noWrap w:val="false"/>
          </w:tcPr>
          <w:p>
            <w:pPr>
              <w:pStyle w:val="1166"/>
              <w:jc w:val="center"/>
              <w:tabs>
                <w:tab w:val="left" w:pos="4788" w:leader="none"/>
              </w:tabs>
              <w:rPr>
                <w:color w:val="000000"/>
                <w:szCs w:val="21"/>
                <w:highlight w:val="none"/>
              </w:rPr>
            </w:pPr>
            <w:r>
              <w:rPr>
                <w:rFonts w:hint="eastAsia"/>
                <w:color w:val="000000"/>
                <w:szCs w:val="21"/>
                <w:highlight w:val="none"/>
              </w:rPr>
              <w:t xml:space="preserve">2年或10万公里</w:t>
            </w:r>
            <w:r>
              <w:rPr>
                <w:color w:val="000000"/>
                <w:szCs w:val="21"/>
                <w:highlight w:val="none"/>
              </w:rPr>
            </w:r>
            <w:r/>
          </w:p>
        </w:tc>
      </w:tr>
      <w:tr>
        <w:trPr>
          <w:trHeight w:val="527"/>
        </w:trPr>
        <w:tc>
          <w:tcPr>
            <w:tcW w:w="314" w:type="dxa"/>
            <w:vAlign w:val="center"/>
            <w:textDirection w:val="lrTb"/>
            <w:noWrap w:val="false"/>
          </w:tcPr>
          <w:p>
            <w:pPr>
              <w:pStyle w:val="1166"/>
              <w:jc w:val="center"/>
              <w:rPr>
                <w:color w:val="000000"/>
                <w:szCs w:val="21"/>
                <w:highlight w:val="none"/>
              </w:rPr>
            </w:pPr>
            <w:r>
              <w:rPr>
                <w:color w:val="000000"/>
                <w:szCs w:val="21"/>
                <w:highlight w:val="none"/>
              </w:rPr>
              <w:t xml:space="preserve">2</w:t>
            </w:r>
            <w:r>
              <w:rPr>
                <w:color w:val="000000"/>
                <w:szCs w:val="21"/>
                <w:highlight w:val="none"/>
              </w:rPr>
            </w:r>
            <w:r/>
          </w:p>
        </w:tc>
        <w:tc>
          <w:tcPr>
            <w:tcW w:w="908" w:type="dxa"/>
            <w:vAlign w:val="center"/>
            <w:textDirection w:val="lrTb"/>
            <w:noWrap w:val="false"/>
          </w:tcPr>
          <w:p>
            <w:pPr>
              <w:pStyle w:val="1166"/>
              <w:jc w:val="center"/>
              <w:tabs>
                <w:tab w:val="left" w:pos="4788" w:leader="none"/>
              </w:tabs>
              <w:rPr>
                <w:color w:val="000000"/>
                <w:szCs w:val="21"/>
                <w:highlight w:val="none"/>
              </w:rPr>
            </w:pPr>
            <w:r>
              <w:rPr>
                <w:rFonts w:hint="eastAsia" w:ascii="Times New Roman" w:hAnsi="Times New Roman" w:eastAsia="宋体" w:cs="Times New Roman"/>
                <w:color w:val="000000"/>
                <w:szCs w:val="21"/>
                <w:highlight w:val="none"/>
                <w:lang w:val="en-US" w:eastAsia="zh-CN"/>
              </w:rPr>
              <w:t xml:space="preserve">小型专用采血车</w:t>
            </w:r>
            <w:r>
              <w:rPr>
                <w:color w:val="000000"/>
                <w:szCs w:val="21"/>
                <w:highlight w:val="none"/>
              </w:rPr>
            </w:r>
            <w:r/>
          </w:p>
        </w:tc>
        <w:tc>
          <w:tcPr>
            <w:tcW w:w="365" w:type="dxa"/>
            <w:vAlign w:val="center"/>
            <w:textDirection w:val="lrTb"/>
            <w:noWrap w:val="false"/>
          </w:tcPr>
          <w:p>
            <w:pPr>
              <w:pStyle w:val="1166"/>
              <w:jc w:val="center"/>
              <w:tabs>
                <w:tab w:val="left" w:pos="4788" w:leader="none"/>
              </w:tabs>
              <w:rPr>
                <w:rFonts w:hint="eastAsia" w:eastAsia="宋体"/>
                <w:color w:val="000000"/>
                <w:szCs w:val="21"/>
                <w:highlight w:val="none"/>
                <w:lang w:val="zh-CN" w:eastAsia="zh-CN"/>
              </w:rPr>
            </w:pPr>
            <w:r>
              <w:rPr>
                <w:rFonts w:hint="eastAsia"/>
                <w:color w:val="000000"/>
                <w:szCs w:val="21"/>
                <w:highlight w:val="none"/>
                <w:lang w:val="en-US" w:eastAsia="zh-CN"/>
              </w:rPr>
              <w:t xml:space="preserve">1</w:t>
            </w:r>
            <w:r>
              <w:rPr>
                <w:rFonts w:hint="eastAsia" w:eastAsia="宋体"/>
                <w:color w:val="000000"/>
                <w:szCs w:val="21"/>
                <w:highlight w:val="none"/>
                <w:lang w:val="zh-CN" w:eastAsia="zh-CN"/>
              </w:rPr>
            </w:r>
            <w:r/>
          </w:p>
        </w:tc>
        <w:tc>
          <w:tcPr>
            <w:tcW w:w="998" w:type="dxa"/>
            <w:vAlign w:val="center"/>
            <w:vMerge w:val="continue"/>
            <w:textDirection w:val="lrTb"/>
            <w:noWrap w:val="false"/>
          </w:tcPr>
          <w:p>
            <w:pPr>
              <w:pStyle w:val="1166"/>
              <w:jc w:val="center"/>
              <w:tabs>
                <w:tab w:val="left" w:pos="4788" w:leader="none"/>
              </w:tabs>
              <w:rPr>
                <w:color w:val="000000"/>
                <w:szCs w:val="21"/>
                <w:highlight w:val="none"/>
                <w:lang w:val="zh-CN"/>
              </w:rPr>
            </w:pPr>
            <w:r>
              <w:rPr>
                <w:color w:val="000000"/>
                <w:szCs w:val="21"/>
                <w:highlight w:val="none"/>
                <w:lang w:val="zh-CN"/>
              </w:rPr>
            </w:r>
            <w:r/>
          </w:p>
        </w:tc>
        <w:tc>
          <w:tcPr>
            <w:tcW w:w="890" w:type="dxa"/>
            <w:vAlign w:val="center"/>
            <w:textDirection w:val="lrTb"/>
            <w:noWrap w:val="false"/>
          </w:tcPr>
          <w:p>
            <w:pPr>
              <w:pStyle w:val="1166"/>
              <w:jc w:val="center"/>
              <w:widowControl/>
              <w:rPr>
                <w:rFonts w:eastAsia="宋体"/>
                <w:color w:val="000000"/>
                <w:szCs w:val="21"/>
                <w:highlight w:val="none"/>
                <w:lang w:val="en-US" w:eastAsia="zh-CN"/>
              </w:rPr>
            </w:pPr>
            <w:r>
              <w:rPr>
                <w:rFonts w:hint="eastAsia"/>
                <w:color w:val="000000"/>
                <w:szCs w:val="21"/>
                <w:highlight w:val="none"/>
                <w:lang w:val="en-US" w:eastAsia="zh-CN"/>
              </w:rPr>
              <w:t xml:space="preserve">75</w:t>
            </w:r>
            <w:r>
              <w:rPr>
                <w:rFonts w:eastAsia="宋体"/>
                <w:color w:val="000000"/>
                <w:szCs w:val="21"/>
                <w:highlight w:val="none"/>
                <w:lang w:val="en-US" w:eastAsia="zh-CN"/>
              </w:rPr>
            </w:r>
            <w:r/>
          </w:p>
        </w:tc>
        <w:tc>
          <w:tcPr>
            <w:tcW w:w="616" w:type="dxa"/>
            <w:vAlign w:val="center"/>
            <w:textDirection w:val="lrTb"/>
            <w:noWrap w:val="false"/>
          </w:tcPr>
          <w:p>
            <w:pPr>
              <w:pStyle w:val="1166"/>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c>
          <w:tcPr>
            <w:tcW w:w="906" w:type="dxa"/>
            <w:vAlign w:val="center"/>
            <w:textDirection w:val="lrTb"/>
            <w:noWrap w:val="false"/>
          </w:tcPr>
          <w:p>
            <w:pPr>
              <w:pStyle w:val="1166"/>
              <w:jc w:val="center"/>
              <w:rPr>
                <w:color w:val="000000"/>
                <w:szCs w:val="21"/>
                <w:highlight w:val="none"/>
              </w:rPr>
            </w:pPr>
            <w:r>
              <w:rPr>
                <w:rFonts w:hint="eastAsia"/>
                <w:color w:val="000000"/>
                <w:szCs w:val="21"/>
                <w:highlight w:val="none"/>
              </w:rPr>
              <w:t xml:space="preserve">2年或10万公里</w:t>
            </w:r>
            <w:r>
              <w:rPr>
                <w:color w:val="000000"/>
                <w:szCs w:val="21"/>
                <w:highlight w:val="none"/>
              </w:rPr>
            </w:r>
            <w:r/>
          </w:p>
        </w:tc>
      </w:tr>
      <w:tr>
        <w:trPr>
          <w:trHeight w:val="522"/>
        </w:trPr>
        <w:tc>
          <w:tcPr>
            <w:tcW w:w="314" w:type="dxa"/>
            <w:vAlign w:val="center"/>
            <w:textDirection w:val="lrTb"/>
            <w:noWrap w:val="false"/>
          </w:tcPr>
          <w:p>
            <w:pPr>
              <w:pStyle w:val="1166"/>
              <w:jc w:val="center"/>
              <w:rPr>
                <w:color w:val="000000"/>
                <w:szCs w:val="21"/>
                <w:highlight w:val="none"/>
              </w:rPr>
            </w:pPr>
            <w:r>
              <w:rPr>
                <w:color w:val="000000"/>
                <w:szCs w:val="21"/>
                <w:highlight w:val="none"/>
              </w:rPr>
              <w:t xml:space="preserve">3</w:t>
            </w:r>
            <w:r>
              <w:rPr>
                <w:color w:val="000000"/>
                <w:szCs w:val="21"/>
                <w:highlight w:val="none"/>
              </w:rPr>
            </w:r>
            <w:r/>
          </w:p>
        </w:tc>
        <w:tc>
          <w:tcPr>
            <w:tcW w:w="908" w:type="dxa"/>
            <w:vAlign w:val="center"/>
            <w:textDirection w:val="lrTb"/>
            <w:noWrap w:val="false"/>
          </w:tcPr>
          <w:p>
            <w:pPr>
              <w:pStyle w:val="1166"/>
              <w:jc w:val="center"/>
              <w:tabs>
                <w:tab w:val="left" w:pos="4788" w:leader="none"/>
              </w:tabs>
              <w:rPr>
                <w:color w:val="000000"/>
                <w:szCs w:val="21"/>
                <w:highlight w:val="none"/>
              </w:rPr>
            </w:pPr>
            <w:r>
              <w:rPr>
                <w:rFonts w:hint="eastAsia" w:ascii="Times New Roman" w:hAnsi="Times New Roman" w:eastAsia="宋体" w:cs="Times New Roman"/>
                <w:color w:val="000000"/>
                <w:szCs w:val="21"/>
                <w:highlight w:val="none"/>
                <w:lang w:val="en-US" w:eastAsia="zh-CN"/>
              </w:rPr>
              <w:t xml:space="preserve">运血冷藏车</w:t>
            </w:r>
            <w:r>
              <w:rPr>
                <w:color w:val="000000"/>
                <w:szCs w:val="21"/>
                <w:highlight w:val="none"/>
              </w:rPr>
            </w:r>
            <w:r/>
          </w:p>
        </w:tc>
        <w:tc>
          <w:tcPr>
            <w:tcW w:w="365" w:type="dxa"/>
            <w:vAlign w:val="center"/>
            <w:textDirection w:val="lrTb"/>
            <w:noWrap w:val="false"/>
          </w:tcPr>
          <w:p>
            <w:pPr>
              <w:pStyle w:val="1166"/>
              <w:jc w:val="center"/>
              <w:tabs>
                <w:tab w:val="left" w:pos="4788" w:leader="none"/>
              </w:tabs>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998" w:type="dxa"/>
            <w:vAlign w:val="center"/>
            <w:vMerge w:val="continue"/>
            <w:textDirection w:val="lrTb"/>
            <w:noWrap w:val="false"/>
          </w:tcPr>
          <w:p>
            <w:pPr>
              <w:pStyle w:val="1166"/>
              <w:jc w:val="center"/>
              <w:tabs>
                <w:tab w:val="left" w:pos="4788" w:leader="none"/>
              </w:tabs>
              <w:rPr>
                <w:color w:val="000000"/>
                <w:szCs w:val="21"/>
                <w:highlight w:val="none"/>
                <w:lang w:val="zh-CN"/>
              </w:rPr>
            </w:pPr>
            <w:r>
              <w:rPr>
                <w:color w:val="000000"/>
                <w:szCs w:val="21"/>
                <w:highlight w:val="none"/>
                <w:lang w:val="zh-CN"/>
              </w:rPr>
            </w:r>
            <w:r/>
          </w:p>
        </w:tc>
        <w:tc>
          <w:tcPr>
            <w:tcW w:w="890" w:type="dxa"/>
            <w:vAlign w:val="center"/>
            <w:textDirection w:val="lrTb"/>
            <w:noWrap w:val="false"/>
          </w:tcPr>
          <w:p>
            <w:pPr>
              <w:pStyle w:val="1166"/>
              <w:jc w:val="center"/>
              <w:widowControl/>
              <w:rPr>
                <w:rFonts w:eastAsia="宋体"/>
                <w:color w:val="000000"/>
                <w:szCs w:val="21"/>
                <w:highlight w:val="none"/>
                <w:lang w:val="en-US" w:eastAsia="zh-CN"/>
              </w:rPr>
            </w:pPr>
            <w:r>
              <w:rPr>
                <w:rFonts w:hint="eastAsia"/>
                <w:color w:val="000000"/>
                <w:szCs w:val="21"/>
                <w:highlight w:val="none"/>
                <w:lang w:val="en-US" w:eastAsia="zh-CN"/>
              </w:rPr>
              <w:t xml:space="preserve">40</w:t>
            </w:r>
            <w:r>
              <w:rPr>
                <w:rFonts w:eastAsia="宋体"/>
                <w:color w:val="000000"/>
                <w:szCs w:val="21"/>
                <w:highlight w:val="none"/>
                <w:lang w:val="en-US" w:eastAsia="zh-CN"/>
              </w:rPr>
            </w:r>
            <w:r/>
          </w:p>
        </w:tc>
        <w:tc>
          <w:tcPr>
            <w:tcW w:w="616" w:type="dxa"/>
            <w:vAlign w:val="center"/>
            <w:textDirection w:val="lrTb"/>
            <w:noWrap w:val="false"/>
          </w:tcPr>
          <w:p>
            <w:pPr>
              <w:pStyle w:val="1166"/>
              <w:jc w:val="center"/>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c>
          <w:tcPr>
            <w:tcW w:w="906" w:type="dxa"/>
            <w:vAlign w:val="center"/>
            <w:textDirection w:val="lrTb"/>
            <w:noWrap w:val="false"/>
          </w:tcPr>
          <w:p>
            <w:pPr>
              <w:pStyle w:val="1166"/>
              <w:jc w:val="center"/>
              <w:rPr>
                <w:color w:val="000000"/>
                <w:szCs w:val="21"/>
                <w:highlight w:val="none"/>
              </w:rPr>
            </w:pPr>
            <w:r>
              <w:rPr>
                <w:rFonts w:hint="eastAsia"/>
                <w:color w:val="000000"/>
                <w:szCs w:val="21"/>
                <w:highlight w:val="none"/>
              </w:rPr>
              <w:t xml:space="preserve">2年或10万公里</w:t>
            </w:r>
            <w:r>
              <w:rPr>
                <w:color w:val="000000"/>
                <w:szCs w:val="21"/>
                <w:highlight w:val="none"/>
              </w:rPr>
            </w:r>
            <w:r/>
          </w:p>
        </w:tc>
      </w:tr>
    </w:tbl>
    <w:p>
      <w:pPr>
        <w:pStyle w:val="1166"/>
        <w:spacing w:line="360" w:lineRule="auto"/>
        <w:rPr>
          <w:color w:val="000000"/>
          <w:highlight w:val="none"/>
        </w:rPr>
      </w:pPr>
      <w:r>
        <w:rPr>
          <w:color w:val="000000"/>
          <w:highlight w:val="none"/>
        </w:rPr>
        <w:t xml:space="preserve">二、</w:t>
      </w:r>
      <w:r>
        <w:rPr>
          <w:b/>
          <w:bCs/>
          <w:color w:val="000000"/>
          <w:szCs w:val="21"/>
          <w:highlight w:val="none"/>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color w:val="000000"/>
          <w:highlight w:val="none"/>
        </w:rPr>
      </w:r>
      <w:r/>
    </w:p>
    <w:p>
      <w:pPr>
        <w:pStyle w:val="1166"/>
        <w:spacing w:line="360" w:lineRule="auto"/>
        <w:rPr>
          <w:b/>
          <w:bCs/>
          <w:color w:val="000000"/>
          <w:szCs w:val="21"/>
          <w:highlight w:val="none"/>
        </w:rPr>
        <w:outlineLvl w:val="1"/>
      </w:pPr>
      <w:r/>
      <w:bookmarkStart w:id="222" w:name="_Toc30258"/>
      <w:r/>
      <w:bookmarkStart w:id="223" w:name="_Toc31716"/>
      <w:r/>
      <w:bookmarkStart w:id="224" w:name="_Toc28088"/>
      <w:r/>
      <w:bookmarkStart w:id="225" w:name="_Hlk226470308"/>
      <w:r>
        <w:rPr>
          <w:b/>
          <w:bCs/>
          <w:color w:val="000000"/>
          <w:szCs w:val="21"/>
          <w:highlight w:val="none"/>
        </w:rPr>
        <w:t xml:space="preserve">分包1：</w:t>
      </w:r>
      <w:bookmarkEnd w:id="222"/>
      <w:r/>
      <w:bookmarkEnd w:id="223"/>
      <w:r>
        <w:rPr>
          <w:rFonts w:hint="eastAsia"/>
          <w:b/>
          <w:bCs/>
          <w:color w:val="000000"/>
          <w:szCs w:val="21"/>
          <w:highlight w:val="none"/>
        </w:rPr>
        <w:t xml:space="preserve">大型拓展采血车</w:t>
      </w:r>
      <w:bookmarkEnd w:id="224"/>
      <w:r>
        <w:rPr>
          <w:b/>
          <w:bCs/>
          <w:color w:val="000000"/>
          <w:szCs w:val="21"/>
          <w:highlight w:val="none"/>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bookmarkEnd w:id="225"/>
      <w:r/>
      <w:bookmarkStart w:id="226" w:name="OLE_LINK4"/>
      <w:r>
        <w:rPr>
          <w:rFonts w:ascii="Times New Roman" w:hAnsi="Times New Roman" w:eastAsia="宋体" w:cs="Times New Roman"/>
          <w:b/>
          <w:bCs/>
          <w:sz w:val="21"/>
          <w:szCs w:val="21"/>
        </w:rPr>
        <w:t xml:space="preserve">（一）项目基本要求</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★1.投标车辆应为工信部《道路机动车辆生产企业及产品公告》中的客底医疗车产品。投标文件中提供工信部官网截图并加盖投标人公章；</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rPr>
        <w:t xml:space="preserve">★</w:t>
      </w:r>
      <w:r>
        <w:rPr>
          <w:rFonts w:hint="eastAsia" w:ascii="Times New Roman" w:hAnsi="Times New Roman" w:eastAsia="宋体" w:cs="Times New Roman"/>
          <w:sz w:val="21"/>
          <w:szCs w:val="21"/>
          <w:lang w:val="en-US" w:eastAsia="zh-CN"/>
        </w:rPr>
        <w:t xml:space="preserve">2.所有车辆由投标人负责上牌等后续交付工作。</w:t>
      </w:r>
      <w:r>
        <w:rPr>
          <w:rFonts w:ascii="Times New Roman" w:hAnsi="Times New Roman" w:eastAsia="宋体" w:cs="Times New Roman"/>
          <w:sz w:val="21"/>
          <w:szCs w:val="21"/>
          <w:lang w:val="en-US" w:eastAsia="zh-CN"/>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（二）技术参数</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1.车身长度：≥ 12000 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2.车身宽度：≥ 2550 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▲3.车身高度：≥ 3800 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4.车内高度：≥ 2200 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▲5.轴距：≤6150 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6.接近角/离去角：≥9/8 °</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▲7.前悬/后悬：≥2450/3400mm；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8.轴荷：≥5500/11000 kg；</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▲9.前后轮距：≤2045/1870mm</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10.最高时速：≥100 km/h；</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（三）底盘配置</w:t>
      </w:r>
      <w:r>
        <w:rPr>
          <w:rFonts w:ascii="Times New Roman" w:hAnsi="Times New Roman" w:eastAsia="宋体" w:cs="Times New Roman"/>
          <w:b/>
          <w:bCs/>
          <w:sz w:val="21"/>
          <w:szCs w:val="21"/>
        </w:rPr>
      </w:r>
      <w:r/>
    </w:p>
    <w:p>
      <w:pPr>
        <w:pStyle w:val="1166"/>
        <w:ind w:right="-2" w:firstLine="420"/>
        <w:jc w:val="left"/>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1.承载方式：半承载车身；</w:t>
      </w:r>
      <w:r>
        <w:rPr>
          <w:rFonts w:ascii="Times New Roman" w:hAnsi="Times New Roman" w:eastAsia="宋体" w:cs="Times New Roman"/>
          <w:sz w:val="21"/>
          <w:szCs w:val="21"/>
        </w:rPr>
      </w:r>
      <w:r/>
    </w:p>
    <w:p>
      <w:pPr>
        <w:pStyle w:val="1166"/>
        <w:ind w:right="-2" w:firstLine="420"/>
        <w:jc w:val="left"/>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▲2.发动机：直列、六缸、液冷、增压中冷、高压共轨柴油机，额定功率≥ 240 kW，排量≤7800ml；</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3.排放标准</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国六排放，配备国六远程排放监管系统，符合上户管理要求；</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4.燃料箱</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 260 L；</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5.变速箱</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国产六档手动变速箱；</w:t>
      </w:r>
      <w:r>
        <w:rPr>
          <w:rFonts w:ascii="Times New Roman" w:hAnsi="Times New Roman" w:eastAsia="宋体" w:cs="Times New Roman"/>
          <w:sz w:val="21"/>
          <w:szCs w:val="21"/>
        </w:rPr>
      </w:r>
      <w:r/>
    </w:p>
    <w:p>
      <w:pPr>
        <w:pStyle w:val="1166"/>
        <w:ind w:firstLine="420"/>
        <w:jc w:val="left"/>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6.离合器</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单片干式离合器总成，液压远程距离操控，带气助力；</w:t>
      </w:r>
      <w:r>
        <w:rPr>
          <w:rFonts w:ascii="Times New Roman" w:hAnsi="Times New Roman" w:eastAsia="宋体" w:cs="Times New Roman"/>
          <w:sz w:val="21"/>
          <w:szCs w:val="21"/>
        </w:rPr>
      </w:r>
      <w:r/>
    </w:p>
    <w:p>
      <w:pPr>
        <w:pStyle w:val="1166"/>
        <w:ind w:firstLine="420"/>
        <w:jc w:val="left"/>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7</w:t>
      </w:r>
      <w:r>
        <w:rPr>
          <w:rFonts w:ascii="Times New Roman" w:hAnsi="Times New Roman" w:eastAsia="宋体" w:cs="Times New Roman"/>
          <w:color w:val="000000"/>
          <w:sz w:val="21"/>
          <w:szCs w:val="21"/>
        </w:rPr>
        <w:t xml:space="preserve">.行驶</w:t>
      </w:r>
      <w:r>
        <w:rPr>
          <w:rFonts w:ascii="Times New Roman" w:hAnsi="Times New Roman" w:eastAsia="宋体" w:cs="Times New Roman"/>
          <w:color w:val="000000"/>
          <w:sz w:val="21"/>
          <w:szCs w:val="21"/>
          <w:highlight w:val="none"/>
        </w:rPr>
        <w:t xml:space="preserve">系统：气囊悬挂，前盘后鼓(前桥≥7t，后桥≥11.5t，前后一体化免维护轴承单元)</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b/>
          <w:bCs/>
          <w:color w:val="000000"/>
          <w:sz w:val="21"/>
          <w:szCs w:val="21"/>
          <w:highlight w:val="none"/>
        </w:rPr>
        <w:t xml:space="preserve">ABS（防抱死刹车系统）</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8.缓速器：电涡流缓速器，扭矩≥2400N.m；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9.车桥：国产前后桥一体化轴承单元；</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10.轮胎：295/80R22.5，钢制轮辋，有备胎；</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11.排挡杆操纵形式：两软轴；</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12.后视镜：电动兔耳外后视镜；</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13.司机座椅：机械减震真皮司机椅；（三点式安全带，安全带未系报警），驾驶员座位A柱配置软扇叶的小风扇</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14.侧窗：全封闭绿色钢化玻璃，两侧最后玻璃框留一个推拉活动窗，便于通风换气；</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15.行李舱门：行李仓手动上移门；</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16.行车空调：行车空调制冷量≥ 30000KCal／h；</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17.暖风：配备独立水暖；</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18.通风装置：1个带换气扇顶风窗，</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19.倒车监视器：高清单探头彩色倒车监视器；</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20.热管理系统：配备热管理系统；</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21.视听系统：配备收放机；</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22.服务设施：温湿度电子钟、驾驶区配 USB 手机充电器模块、等候区配 USB 充电接口、双幅遮阳帘；</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23.安全设施：防盗报警安全锤、干粉灭火器、ABS；</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（四）车辆外部改装</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1.车身条幅挂钩：内嵌式车身两侧条幅挂钩，不突出车身蒙皮，整洁美观，挂钩数量左右各4个；</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2.遮阳棚1套：遮阳棚支架采用与车身一体成型焊接，防水、耐腐蚀；</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3.车身图案：可按血站需求定制；</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4.液压支撑系统1套：四缸液压调平，在倾斜或凹凸地面可以实现车身调平，消除车外地理环境对车内体检操作的影响；</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（1）电源电压：DC24V；</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（2）支撑油缸：单缸支撑力≥8吨，行程≥400mm；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（3）工作环境温度：-30~55℃，湿度：20%~90%；</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（4）电机功率：≥2.2kW；</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（5）油泵排量：≥2.5ml/r；</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（6）工作压力：≥16MPa；</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（7）最高耐压：≥21MPa；</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（8）油箱容积：≥10L；</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（9）安全阀：5-21MPa可调；</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（10）可实现四个支腿单独控制</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（11）液压支撑系统报警功能：具备支腿未收回报警功能</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（12）液压支撑系统可靠性：配备液压支撑腿，保证功能性和安全性，符合以下标准</w:t>
      </w: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需</w:t>
      </w:r>
      <w:r>
        <w:rPr>
          <w:rFonts w:ascii="Times New Roman" w:hAnsi="Times New Roman" w:eastAsia="宋体" w:cs="Times New Roman"/>
          <w:b/>
          <w:bCs/>
          <w:sz w:val="21"/>
          <w:szCs w:val="21"/>
        </w:rPr>
        <w:t xml:space="preserve">提供第三方检测报告</w:t>
      </w:r>
      <w:r>
        <w:rPr>
          <w:rFonts w:hint="eastAsia" w:ascii="Times New Roman" w:hAnsi="Times New Roman" w:eastAsia="宋体" w:cs="Times New Roman"/>
          <w:b/>
          <w:bCs/>
          <w:sz w:val="21"/>
          <w:szCs w:val="21"/>
          <w:lang w:val="en-US" w:eastAsia="zh-CN"/>
        </w:rPr>
        <w:t xml:space="preserve">复印件并加盖公章</w:t>
      </w:r>
      <w:r>
        <w:rPr>
          <w:rFonts w:ascii="Times New Roman" w:hAnsi="Times New Roman" w:eastAsia="宋体" w:cs="Times New Roman"/>
          <w:b/>
          <w:bCs/>
          <w:sz w:val="21"/>
          <w:szCs w:val="21"/>
        </w:rPr>
        <w:t xml:space="preserve">）</w:t>
      </w:r>
      <w:r>
        <w:rPr>
          <w:rFonts w:ascii="Times New Roman" w:hAnsi="Times New Roman" w:eastAsia="宋体" w:cs="Times New Roman"/>
          <w:sz w:val="21"/>
          <w:szCs w:val="21"/>
        </w:rPr>
        <w:t xml:space="preserve">：</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①GB/T 3766液压系统通用技术条件</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②GB/T 19407-2003重型机械液压系统技术条件</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③GB/T 26473-2011流动式起重机调平装置</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④JB/T9738-2017液压系统性能试验方法</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⑤JB/T 10425-2004起重机械支腿</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⑥GB 4943.1-2022音视频、信息技术和通信技术设备第1部分</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安全要求</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5</w:t>
      </w:r>
      <w:r>
        <w:rPr>
          <w:rFonts w:ascii="Times New Roman" w:hAnsi="Times New Roman" w:eastAsia="宋体" w:cs="Times New Roman"/>
          <w:sz w:val="21"/>
          <w:szCs w:val="21"/>
        </w:rPr>
        <w:t xml:space="preserve">.双侧滑移舱：双侧拓展舱，两侧对称设计，车辆重心更加稳定，具体要求如下：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（1）抽拉厢体控制方式：配电柜按钮操作和遥控器操作两种方式；抽拉舱手动电动两套操作系统，在电动失效情况下，通过手动方式能够保证抽拉舱的打开和收回。</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（2）单侧抽拉舱承重：≥1500kg，不需要外部支撑装置。能保证抽拉舱滑道在抽拉舱打开闭合过程中平稳运行，不得有变形、下沉现象。</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（3）限位开关：在抽拉舱打开和闭合时，通过行程开关控制抽拉舱的打开和闭合行程。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（4）抽拉舱自锁功能：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在抽拉舱打开、闭合及行程过程中停止时，抽拉舱都具有锁止功能，不会因受外力发生移动；</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抽拉厢体内侧可配备不少于4个采血台，8把采血椅，每个采血台配备不少于2个市电插座，插座位于两侧（不影响采血秤放置），便于插拔抽拉厢体配备独立照明装置，每个抽拉舱配备至少两个侧窗。</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（5）抽拉舱工作性能：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抽拉厢体方管采用不小于16Mn冷拉无缝钢管；</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抽拉厢体尺寸：内部尺寸长度≥4300mm，内高：≥1700mm；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为方便工作，采血护士工作位置不允许有台阶；</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拓展行程：≥600mm；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拓展完成时间：≤60s；</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减速电机功率：≥550w；</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抽拉厢体带随舱联动遮雨帘。</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（五）内饰风格</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1.前后顶：采用商务前后顶</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2.风道：商务扁平带圆弧型风道</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3.围帘：米黄色</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4.乘客座椅、长条休息椅：乘客座椅、长条休息椅米黄色、棕色拼接</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5.窗帘：动车窗帘</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6.车内柜体安装：车内高度达到</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2.2米，全车工作区域平地板，车身两侧骨架与地板骨架直角焊接，车内所有柜体后面安装无缝隙，无卫生死角，柜体容积率做到最大。</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7.地板革：选用环保、耐磨、防滑、阻燃的石英砂地板革环保性能：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（1）环保性能：气味等级（40°C气味等级3.0；80°C气味等级3.5）；甲醛≤0.01g/kg；TVOC≤50ugC/g，苯和甲苯≤5ug/g。</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（2）耐磨性能：参照GB/T18102,使用磨耗仪AP-180砂布，负载4.9N，60r/min,可以达到循环20000次，不漏地。</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（3）防滑性能：纵向和横向防滑性能均可以达到R10。</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（4）阻燃性能：阻燃性能可以达到GB8410《汽车内饰材料的燃烧特性》要求。</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（六）车内工作设施</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1.皮质采血椅：采血椅件8个（</w:t>
      </w:r>
      <w:r>
        <w:rPr>
          <w:rFonts w:hint="eastAsia" w:ascii="Times New Roman" w:hAnsi="Times New Roman" w:eastAsia="宋体" w:cs="Times New Roman"/>
          <w:sz w:val="21"/>
          <w:szCs w:val="21"/>
          <w:lang w:val="en-US" w:eastAsia="zh-CN"/>
        </w:rPr>
        <w:t xml:space="preserve">位置</w:t>
      </w:r>
      <w:r>
        <w:rPr>
          <w:rFonts w:ascii="Times New Roman" w:hAnsi="Times New Roman" w:eastAsia="宋体" w:cs="Times New Roman"/>
          <w:sz w:val="21"/>
          <w:szCs w:val="21"/>
        </w:rPr>
        <w:t xml:space="preserve">可调），扶手可手动上下调节；</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2.圆凳：可升降8件；</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3.L型工作台（用于体检、初筛）：木制柜体、理化板台面（尺寸、规格、颜色具体根据采购人要求定制）1个；</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4.采血台：有电源接口、木制柜体、理化板台面（尺寸、规格、颜色具体根据采购人要求定制）4个；</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5.热合台：有电源接口、木制柜体、理化板台面（尺寸、规格、颜色具体根据采购人要求定制）1个；</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6.长条休息椅：木制柜体、理化板台面（尺寸、规格、颜色具体根据采购人要求定制）1个；</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7.车尾部休息床：木制柜体，上设软垫 1个；</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8.组合柜：可容纳洗手池、微波炉、食品冰箱、饮水机组合柜 1个；</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9.后高地板储物柜：木制柜体；</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10.服务设施：</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车载温热饮水机1套；</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衣帽钩3个；</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围帘1套；</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微波炉1台；</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食品冰箱1台；</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打印机2台；</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11.车内照明灯光：</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紫外线消毒灯（30W配定时器）4盏；</w:t>
      </w:r>
      <w:r>
        <w:rPr>
          <w:rFonts w:ascii="Times New Roman" w:hAnsi="Times New Roman" w:eastAsia="宋体" w:cs="Times New Roman"/>
          <w:sz w:val="21"/>
          <w:szCs w:val="21"/>
        </w:rPr>
      </w:r>
      <w:r/>
    </w:p>
    <w:p>
      <w:pPr>
        <w:pStyle w:val="1166"/>
        <w:ind w:firstLine="63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车内左右两侧，长条LED灯+采血位射灯；</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12.冷暖空调：配备市电空调，总制冷量≥6P；</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13.市电配电设施：≥3kW充逆变一体机，≥50m电缆盘一套</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配电箱（含漏电保护器、空气开关、开关电源、插座等）；</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b/>
          <w:bCs/>
          <w:sz w:val="21"/>
          <w:szCs w:val="21"/>
        </w:rPr>
        <w:t xml:space="preserve">（七）整车线束改装</w:t>
      </w:r>
      <w:r>
        <w:rPr>
          <w:rFonts w:ascii="Times New Roman" w:hAnsi="Times New Roman" w:eastAsia="宋体" w:cs="Times New Roman"/>
          <w:sz w:val="21"/>
          <w:szCs w:val="21"/>
        </w:rPr>
        <w:t xml:space="preserve">：</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改装线束采用汽车专用薄壁绝缘低压电线，电线为镀锡铜线，符合 GB/T 25085.3 有关要求；</w:t>
      </w:r>
      <w:r>
        <w:rPr>
          <w:rFonts w:ascii="Times New Roman" w:hAnsi="Times New Roman" w:eastAsia="宋体" w:cs="Times New Roman"/>
          <w:sz w:val="21"/>
          <w:szCs w:val="21"/>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w:t>
      </w:r>
      <w:r>
        <w:rPr>
          <w:rFonts w:ascii="Times New Roman" w:hAnsi="Times New Roman" w:eastAsia="宋体" w:cs="Times New Roman"/>
          <w:sz w:val="21"/>
          <w:szCs w:val="21"/>
        </w:rPr>
        <w:t xml:space="preserve">整车低压线束采用汽车用薄壁绝缘低压电线，电线为镀锡铜线</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color w:val="0000ff"/>
          <w:sz w:val="21"/>
          <w:szCs w:val="21"/>
          <w:highlight w:val="yellow"/>
        </w:rPr>
      </w:pP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t xml:space="preserve">2.线束耐温性能：高温压力（150℃，4h，1kV，1min）、低温卷绕（-40℃，4h，1kV，1min）, 按照GB/T 25085-2010标准进行测试，无裂纹，无击穿。</w:t>
      </w:r>
      <w:r>
        <w:rPr>
          <w:rFonts w:ascii="Times New Roman" w:hAnsi="Times New Roman" w:eastAsia="宋体" w:cs="Times New Roman"/>
          <w:b/>
          <w:bCs/>
          <w:color w:val="000000"/>
          <w:sz w:val="21"/>
          <w:szCs w:val="21"/>
        </w:rPr>
        <w:t xml:space="preserve">（</w:t>
      </w:r>
      <w:r>
        <w:rPr>
          <w:rFonts w:hint="eastAsia" w:ascii="Times New Roman" w:hAnsi="Times New Roman" w:eastAsia="宋体" w:cs="Times New Roman"/>
          <w:b/>
          <w:bCs/>
          <w:color w:val="000000"/>
          <w:sz w:val="21"/>
          <w:szCs w:val="21"/>
          <w:lang w:val="en-US" w:eastAsia="zh-CN"/>
        </w:rPr>
        <w:t xml:space="preserve">需</w:t>
      </w:r>
      <w:r>
        <w:rPr>
          <w:rFonts w:ascii="Times New Roman" w:hAnsi="Times New Roman" w:eastAsia="宋体" w:cs="Times New Roman"/>
          <w:b/>
          <w:bCs/>
          <w:sz w:val="21"/>
          <w:szCs w:val="21"/>
        </w:rPr>
        <w:t xml:space="preserve">提供第三方检测报告</w:t>
      </w:r>
      <w:r>
        <w:rPr>
          <w:rFonts w:hint="eastAsia" w:ascii="Times New Roman" w:hAnsi="Times New Roman" w:eastAsia="宋体" w:cs="Times New Roman"/>
          <w:b/>
          <w:bCs/>
          <w:sz w:val="21"/>
          <w:szCs w:val="21"/>
          <w:lang w:val="en-US" w:eastAsia="zh-CN"/>
        </w:rPr>
        <w:t xml:space="preserve">复印件并加盖公章</w:t>
      </w:r>
      <w:r>
        <w:rPr>
          <w:rFonts w:ascii="Times New Roman" w:hAnsi="Times New Roman" w:eastAsia="宋体" w:cs="Times New Roman"/>
          <w:b/>
          <w:bCs/>
          <w:sz w:val="21"/>
          <w:szCs w:val="21"/>
        </w:rPr>
        <w:t xml:space="preserve">）</w:t>
      </w:r>
      <w:r>
        <w:rPr>
          <w:rFonts w:ascii="Times New Roman" w:hAnsi="Times New Roman" w:eastAsia="宋体" w:cs="Times New Roman"/>
          <w:color w:val="0000ff"/>
          <w:sz w:val="21"/>
          <w:szCs w:val="21"/>
          <w:highlight w:val="yellow"/>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3.线束耐压性能：耐电压试验，测试条件为1KV、30min，升至5kV情况下，按照GB/T 25085-2020标准进行测试，无击穿。</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4.防护波纹管燃烧性能：水平燃烧特性和垂直燃烧特性分别满足GB/T 2408中的HB级和V-0级。</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（八）焊接质量：</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所有焊缝应焊缝牢固、平滑，不得有咬边、根部收缩、弧坑裂纹、表面夹渣、气孔、虚焊、漏焊等情况，影响使用功能；</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（九）整车防腐性能：</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sz w:val="21"/>
          <w:szCs w:val="21"/>
        </w:rPr>
        <w:t xml:space="preserve">整车（车身+底盘）采用阴极电泳处理，防腐涂层的覆盖率达到100％，确保防腐无死角，没有防腐短板；满足10年整车骨架可靠耐用性，电泳涂层耐盐雾性</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1000小时，10 年内不得出现穿孔、锈烂、腐</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蚀，依旧保持耐用性</w:t>
      </w:r>
      <w:r>
        <w:rPr>
          <w:rFonts w:hint="eastAsia"/>
          <w:lang w:eastAsia="zh-CN"/>
        </w:rPr>
        <w:t xml:space="preserve">。</w:t>
      </w:r>
      <w:r>
        <w:rPr>
          <w:rFonts w:ascii="Times New Roman" w:hAnsi="Times New Roman" w:eastAsia="宋体" w:cs="Times New Roman"/>
          <w:b/>
          <w:bCs/>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（十）锂电池系统：</w:t>
      </w:r>
      <w:r>
        <w:rPr>
          <w:rFonts w:ascii="Times New Roman" w:hAnsi="Times New Roman" w:eastAsia="宋体" w:cs="Times New Roman"/>
          <w:b/>
          <w:bCs/>
          <w:sz w:val="21"/>
          <w:szCs w:val="21"/>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lang w:val="en-US" w:eastAsia="zh-CN" w:bidi="ar-SA"/>
        </w:rPr>
        <w:t xml:space="preserve">1.</w:t>
      </w:r>
      <w:r>
        <w:rPr>
          <w:rFonts w:ascii="Times New Roman" w:hAnsi="Times New Roman" w:eastAsia="宋体" w:cs="Times New Roman"/>
          <w:sz w:val="21"/>
          <w:szCs w:val="21"/>
        </w:rPr>
        <w:t xml:space="preserve">系统核心参数要求：</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（1）额定容量：电池组电量≥94kWh，电源总功率≥20kVA（AC220V/50Hz），满足每天12小时以上不间断安全供电需求。</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（2）电池组规格：电芯采用单体容量230AH的磷酸铁锂方形铝壳电芯，通过2并8串组成 25.6V/460AH 模组，8个模组串联后额定电压DC204.8V，额定容量460Ah；</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（3）支持多组并机运行。</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2.产品组成要求：必须包含以下核心组件，且各组件需满足协同适配性：</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20kVA 电源一体柜</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储能电池组（含电芯及模组）</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电池管理系统（BMS）</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能量管理系统</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触摸显示屏（≥7 英寸）</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3.电芯及材质控标要求：</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（1）电芯须为</w:t>
      </w:r>
      <w:r>
        <w:rPr>
          <w:rFonts w:hint="eastAsia" w:ascii="Times New Roman" w:hAnsi="Times New Roman" w:eastAsia="宋体" w:cs="Times New Roman"/>
          <w:sz w:val="21"/>
          <w:szCs w:val="21"/>
          <w:lang w:val="en-US" w:eastAsia="zh-CN"/>
        </w:rPr>
        <w:t xml:space="preserve">全新产品</w:t>
      </w:r>
      <w:r>
        <w:rPr>
          <w:rFonts w:ascii="Times New Roman" w:hAnsi="Times New Roman" w:eastAsia="宋体" w:cs="Times New Roman"/>
          <w:sz w:val="21"/>
          <w:szCs w:val="21"/>
        </w:rPr>
        <w:t xml:space="preserve">；</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rPr>
        <w:t xml:space="preserve">（2）认证要求：电芯</w:t>
      </w:r>
      <w:r>
        <w:rPr>
          <w:rFonts w:hint="eastAsia" w:ascii="Times New Roman" w:hAnsi="Times New Roman" w:eastAsia="宋体" w:cs="Times New Roman"/>
          <w:b w:val="0"/>
          <w:bCs w:val="0"/>
          <w:sz w:val="21"/>
          <w:szCs w:val="21"/>
          <w:lang w:val="en-US" w:eastAsia="zh-CN"/>
        </w:rPr>
        <w:t xml:space="preserve">需</w:t>
      </w:r>
      <w:r>
        <w:rPr>
          <w:rFonts w:ascii="Times New Roman" w:hAnsi="Times New Roman" w:eastAsia="宋体" w:cs="Times New Roman"/>
          <w:b w:val="0"/>
          <w:bCs w:val="0"/>
          <w:sz w:val="21"/>
          <w:szCs w:val="21"/>
        </w:rPr>
        <w:t xml:space="preserve">提供第三方检测报告</w:t>
      </w:r>
      <w:r>
        <w:rPr>
          <w:rFonts w:hint="eastAsia" w:ascii="Times New Roman" w:hAnsi="Times New Roman" w:eastAsia="宋体" w:cs="Times New Roman"/>
          <w:b w:val="0"/>
          <w:bCs w:val="0"/>
          <w:sz w:val="21"/>
          <w:szCs w:val="21"/>
          <w:lang w:val="en-US" w:eastAsia="zh-CN"/>
        </w:rPr>
        <w:t xml:space="preserve">复印件并加盖公章</w:t>
      </w:r>
      <w:r>
        <w:rPr>
          <w:rFonts w:ascii="Times New Roman" w:hAnsi="Times New Roman" w:eastAsia="宋体" w:cs="Times New Roman"/>
          <w:b w:val="0"/>
          <w:bCs w:val="0"/>
          <w:sz w:val="21"/>
          <w:szCs w:val="21"/>
        </w:rPr>
        <w:t xml:space="preserve">；BMS管理系统</w:t>
      </w:r>
      <w:r>
        <w:rPr>
          <w:rFonts w:hint="eastAsia" w:ascii="Times New Roman" w:hAnsi="Times New Roman" w:eastAsia="宋体" w:cs="Times New Roman"/>
          <w:b w:val="0"/>
          <w:bCs w:val="0"/>
          <w:sz w:val="21"/>
          <w:szCs w:val="21"/>
          <w:lang w:val="en-US" w:eastAsia="zh-CN"/>
        </w:rPr>
        <w:t xml:space="preserve">需</w:t>
      </w:r>
      <w:r>
        <w:rPr>
          <w:rFonts w:ascii="Times New Roman" w:hAnsi="Times New Roman" w:eastAsia="宋体" w:cs="Times New Roman"/>
          <w:b w:val="0"/>
          <w:bCs w:val="0"/>
          <w:sz w:val="21"/>
          <w:szCs w:val="21"/>
        </w:rPr>
        <w:t xml:space="preserve">提供第三方检测报告</w:t>
      </w:r>
      <w:r>
        <w:rPr>
          <w:rFonts w:hint="eastAsia" w:ascii="Times New Roman" w:hAnsi="Times New Roman" w:eastAsia="宋体" w:cs="Times New Roman"/>
          <w:b w:val="0"/>
          <w:bCs w:val="0"/>
          <w:sz w:val="21"/>
          <w:szCs w:val="21"/>
          <w:lang w:val="en-US" w:eastAsia="zh-CN"/>
        </w:rPr>
        <w:t xml:space="preserve">复印件并加盖公章</w:t>
      </w:r>
      <w:r>
        <w:rPr>
          <w:rFonts w:ascii="Times New Roman" w:hAnsi="Times New Roman" w:eastAsia="宋体" w:cs="Times New Roman"/>
          <w:b w:val="0"/>
          <w:bCs w:val="0"/>
          <w:sz w:val="21"/>
          <w:szCs w:val="21"/>
        </w:rPr>
        <w:t xml:space="preserve">。</w:t>
      </w:r>
      <w:r>
        <w:rPr>
          <w:rFonts w:ascii="Times New Roman" w:hAnsi="Times New Roman" w:eastAsia="宋体" w:cs="Times New Roman"/>
          <w:b w:val="0"/>
          <w:bCs w:val="0"/>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4.充放电性能要求持续电流：</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（1）电池单组持续充放电电流≥50A；</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（2）快充能力：支持快速充电，5-6 小时可充满；充电电流可调，充电电压范围 150-750VDC 可调；</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5.安全保护功能控标</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（1）BMS保护功能：必须具备过充、过放、过温、过流、过压保护，以及单体电压采集误差≤3mV、SOC估算误差≤3% 的高精度监测能力；</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（2）电源保护功能：电源一体柜需具备过温、过载、输出短路、过电流、过电压、欠电压等即时停机保护功能；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（3）电路控制：电池系统总正、负端须设总开关，可控制电池输入输出；内部主回路需配置安全保护装置。</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6.运行逻辑控标</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无市电状态：</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（1）可直接为系统供电；</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（2）电量耗尽且市电长时间未恢复时，自动断开所有输出（含 BMS、DC/DC 电源等内部耗电设备），停止供电；</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（3）放电保护后自动关机，市电恢复时可自检并自动唤醒，启动充电；</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（4）低压保护状态下，支持人工拨动按钮唤醒 BMS。</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7.环境适应性要求：温度适应性：BMS主机及从机须通过电磁辐射抗干扰性测试，在- 25℃~65℃环境下正常运行；电芯及模组需满足 - 15℃~55℃工作温度范围。</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8.显示屏及监控功能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（1）实时显示：触摸显示屏需实时显示单体电芯电压、电池组总电压、充放电电流、SOC 值等关键参数；</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（2）日志功能：具备故障日志记录功能，可回查历史故障信息（存储容量≥12个月）；</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9.品牌一致性：</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品牌一致性：锂电池组须与 UPS 为同一品牌（提供品牌一致性声明）；</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锂电UPS自主生产能力（提供生产厂房证明及设备清单，禁止贴牌产品）</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10.其他硬性要求：</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BMS性能：全部电池巡检时间≤50ms，巡检周期 0.5S，具备继电器及高压环路互锁诊断功能；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规格适配：需根据指定UPS品牌、型号调整自身规格，确保通讯及协同控制可靠性（提供与主流UPS品牌的兼容性测试报告）；</w:t>
      </w:r>
      <w:r>
        <w:rPr>
          <w:rFonts w:ascii="Times New Roman" w:hAnsi="Times New Roman" w:eastAsia="宋体" w:cs="Times New Roman"/>
          <w:sz w:val="21"/>
          <w:szCs w:val="21"/>
        </w:rPr>
      </w:r>
      <w:r/>
    </w:p>
    <w:p>
      <w:pPr>
        <w:pStyle w:val="1166"/>
        <w:ind w:firstLine="422"/>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b/>
          <w:bCs/>
          <w:sz w:val="21"/>
          <w:szCs w:val="21"/>
        </w:rPr>
        <w:t xml:space="preserve">设备部分</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ind w:firstLine="422"/>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（一）储血冰箱：</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储血冰箱1台，要求如下：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1.门体：采用立式单门设计，三层玻璃发泡门，内外层LOW-E玻璃，降低传热效率，提升门体表面的防凝露能力，自关门功能。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2.市电供电，微电脑控制，箱内温度恒定控制在4±1℃范围内，控温精度0.1°C。</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p>
      <w:pPr>
        <w:pStyle w:val="1166"/>
        <w:ind w:firstLine="211"/>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（二）医用血压计：</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医用臂筒式血压</w:t>
      </w:r>
      <w:r>
        <w:rPr>
          <w:rFonts w:hint="eastAsia" w:ascii="Times New Roman" w:hAnsi="Times New Roman" w:eastAsia="宋体" w:cs="Times New Roman"/>
          <w:sz w:val="21"/>
          <w:szCs w:val="21"/>
          <w:lang w:val="en-US" w:eastAsia="zh-CN"/>
        </w:rPr>
        <w:t xml:space="preserve">计</w:t>
      </w:r>
      <w:r>
        <w:rPr>
          <w:rFonts w:hint="eastAsia" w:ascii="Times New Roman" w:hAnsi="Times New Roman" w:eastAsia="宋体" w:cs="Times New Roman"/>
          <w:sz w:val="21"/>
          <w:szCs w:val="21"/>
          <w:lang w:val="en-US" w:eastAsia="zh-CN"/>
        </w:rPr>
        <w:t xml:space="preserve">6</w:t>
      </w:r>
      <w:r>
        <w:rPr>
          <w:rFonts w:ascii="Times New Roman" w:hAnsi="Times New Roman" w:eastAsia="宋体" w:cs="Times New Roman"/>
          <w:sz w:val="21"/>
          <w:szCs w:val="21"/>
        </w:rPr>
        <w:t xml:space="preserve">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1.测量方式：示波法</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2.脉率测量范围：40-200次/分</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3.压力测量范围：0-300mmHg/0-40kpa</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（三）空气消毒机：</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空气消毒机1台，要求如下：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1.符合国家消毒技术规范要求，产品获得消毒号备案证。</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2.消毒原理为活性复合离子（等离子/雾离子），释放的活性复合离子对人体没有伤害，不使用消毒剂；离子可以快速主动覆盖整个空间进行消杀。</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3.设备可动态持续杀菌，人机共存，对人及物品没有任何伤害。</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（四）热合机：</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热合机1台，要求如下：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1.射频源类型：高频晶体管</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2.封管时间：</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1秒</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3.热合管路直径：2-6mm</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（五）采血秤：</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采血秤</w:t>
      </w:r>
      <w:r>
        <w:rPr>
          <w:rFonts w:hint="eastAsia"/>
          <w:lang w:val="en-US" w:eastAsia="zh-CN"/>
        </w:rPr>
        <w:t xml:space="preserve">≥8台</w:t>
      </w:r>
      <w:r>
        <w:rPr>
          <w:rFonts w:ascii="Times New Roman" w:hAnsi="Times New Roman" w:eastAsia="宋体" w:cs="Times New Roman"/>
          <w:sz w:val="21"/>
          <w:szCs w:val="21"/>
        </w:rPr>
        <w:t xml:space="preserve">，要求如下：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1.采液量：0～1000ml</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2.液体比重：</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rPr>
        <w:t xml:space="preserve">1.05g/ml</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六</w:t>
      </w:r>
      <w:r>
        <w:rPr>
          <w:rFonts w:ascii="Times New Roman" w:hAnsi="Times New Roman" w:eastAsia="宋体" w:cs="Times New Roman"/>
          <w:b/>
          <w:bCs/>
          <w:sz w:val="21"/>
          <w:szCs w:val="21"/>
        </w:rPr>
        <w:t xml:space="preserve">）生化分析仪：</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生化分析仪1台，要求如下：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1.检测方法学：在37℃恒温条件下的干式化学法。</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2.检测项目：谷丙转氨酶（ALT）、谷草转氨酶（AST）。</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3.标本类型：全血、血清、血浆</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七</w:t>
      </w:r>
      <w:r>
        <w:rPr>
          <w:rFonts w:ascii="Times New Roman" w:hAnsi="Times New Roman" w:eastAsia="宋体" w:cs="Times New Roman"/>
          <w:b/>
          <w:bCs/>
          <w:sz w:val="21"/>
          <w:szCs w:val="21"/>
        </w:rPr>
        <w:t xml:space="preserve">）常温离心机：</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常温离心机1台，要求如下：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1.最高转速≥5000r/min，转速精度≤±30r/min；</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2.最大相对离心力≥4030×g； </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八</w:t>
      </w:r>
      <w:r>
        <w:rPr>
          <w:rFonts w:ascii="Times New Roman" w:hAnsi="Times New Roman" w:eastAsia="宋体" w:cs="Times New Roman"/>
          <w:b/>
          <w:bCs/>
          <w:sz w:val="21"/>
          <w:szCs w:val="21"/>
        </w:rPr>
        <w:t xml:space="preserve">）血红蛋白仪：</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血红蛋白仪2台，要求如下：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1.检测原理及检测项目：分光光度法定量检测血红蛋白；</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2.样本类型：静脉全血、毛细管全血；</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九</w:t>
      </w:r>
      <w:r>
        <w:rPr>
          <w:rFonts w:ascii="Times New Roman" w:hAnsi="Times New Roman" w:eastAsia="宋体" w:cs="Times New Roman"/>
          <w:b/>
          <w:bCs/>
          <w:sz w:val="21"/>
          <w:szCs w:val="21"/>
        </w:rPr>
        <w:t xml:space="preserve">）身高体重秤：</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身高体重秤1台，要求如下：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1.身高测量：超声波自动感应测量；</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2</w:t>
      </w:r>
      <w:r>
        <w:rPr>
          <w:rFonts w:ascii="Times New Roman" w:hAnsi="Times New Roman" w:eastAsia="宋体" w:cs="Times New Roman"/>
          <w:sz w:val="21"/>
          <w:szCs w:val="21"/>
        </w:rPr>
        <w:t xml:space="preserve">.体重测量范围：5-200kg</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（十）PDA：</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PDA</w:t>
      </w:r>
      <w:r>
        <w:rPr>
          <w:rFonts w:hint="eastAsia" w:ascii="Times New Roman" w:hAnsi="Times New Roman" w:eastAsia="宋体" w:cs="Times New Roman"/>
          <w:sz w:val="21"/>
          <w:szCs w:val="21"/>
          <w:lang w:val="en-US" w:eastAsia="zh-CN"/>
        </w:rPr>
        <w:t xml:space="preserve"> 8</w:t>
      </w:r>
      <w:r>
        <w:rPr>
          <w:rFonts w:ascii="Times New Roman" w:hAnsi="Times New Roman" w:eastAsia="宋体" w:cs="Times New Roman"/>
          <w:sz w:val="21"/>
          <w:szCs w:val="21"/>
        </w:rPr>
        <w:t xml:space="preserve">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1.软硬一体化系统，打造终端、操作系统、应用和服务一体化的生态系统。</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2.满足与血站现有业务管理系统的数据对接，采血登记和核对系统采集的采血数据完全实时录入业务管理系统中。</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十一</w:t>
      </w:r>
      <w:r>
        <w:rPr>
          <w:rFonts w:ascii="Times New Roman" w:hAnsi="Times New Roman" w:eastAsia="宋体" w:cs="Times New Roman"/>
          <w:b/>
          <w:bCs/>
          <w:sz w:val="21"/>
          <w:szCs w:val="21"/>
        </w:rPr>
        <w:t xml:space="preserve">）海报打印机：</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海报打印机1台，具体要求如下：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1.喷头高度：1.5-3mm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2.打印方向：单向打印/双向打印</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3.平台宽度：≥1600mm</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十二</w:t>
      </w:r>
      <w:r>
        <w:rPr>
          <w:rFonts w:ascii="Times New Roman" w:hAnsi="Times New Roman" w:eastAsia="宋体" w:cs="Times New Roman"/>
          <w:b/>
          <w:bCs/>
          <w:sz w:val="21"/>
          <w:szCs w:val="21"/>
        </w:rPr>
        <w:t xml:space="preserve">）低温离心机：</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低温离心机1台，要求如下：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1.金属机箱，316不锈钢离心腔，吸盘地脚、钢制保护套，机身自带转子拆卸工具专用卡槽，防止丢失；；</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2.门盖为抗震级别吸入式双锁头，遇到异常震动机器上盖不会开启，有开盖停机功能，安全可靠，可设定自动/手动停机开盖方式；</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十三</w:t>
      </w:r>
      <w:r>
        <w:rPr>
          <w:rFonts w:ascii="Times New Roman" w:hAnsi="Times New Roman" w:eastAsia="宋体" w:cs="Times New Roman"/>
          <w:b/>
          <w:bCs/>
          <w:sz w:val="21"/>
          <w:szCs w:val="21"/>
        </w:rPr>
        <w:t xml:space="preserve">）全自动装订机：</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全自动装订机1台，具体要求如下：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1.外形尺寸：≤420*320*480mm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2.装订厚度：≤60mm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3.打孔直径：≥6.2mm</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十四</w:t>
      </w:r>
      <w:r>
        <w:rPr>
          <w:rFonts w:ascii="Times New Roman" w:hAnsi="Times New Roman" w:eastAsia="宋体" w:cs="Times New Roman"/>
          <w:b/>
          <w:bCs/>
          <w:sz w:val="21"/>
          <w:szCs w:val="21"/>
        </w:rPr>
        <w:t xml:space="preserve">）标签打印机：</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标签打印机1台，要求如下：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1.外型尺寸：≤210*160*140mm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2.产品材质：ABS</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3.打印分辨率：≥200dpi</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（十</w:t>
      </w:r>
      <w:r>
        <w:rPr>
          <w:rFonts w:hint="eastAsia" w:ascii="Times New Roman" w:hAnsi="Times New Roman" w:eastAsia="宋体" w:cs="Times New Roman"/>
          <w:b/>
          <w:bCs/>
          <w:sz w:val="21"/>
          <w:szCs w:val="21"/>
          <w:lang w:val="en-US" w:eastAsia="zh-CN"/>
        </w:rPr>
        <w:t xml:space="preserve">五</w:t>
      </w:r>
      <w:r>
        <w:rPr>
          <w:rFonts w:ascii="Times New Roman" w:hAnsi="Times New Roman" w:eastAsia="宋体" w:cs="Times New Roman"/>
          <w:b/>
          <w:bCs/>
          <w:sz w:val="21"/>
          <w:szCs w:val="21"/>
        </w:rPr>
        <w:t xml:space="preserve">）辅助设施：</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val="en-US" w:eastAsia="zh-CN"/>
        </w:rPr>
      </w:pPr>
      <w:r>
        <w:rPr>
          <w:rFonts w:ascii="Times New Roman" w:hAnsi="Times New Roman" w:eastAsia="宋体" w:cs="Times New Roman"/>
          <w:sz w:val="21"/>
          <w:szCs w:val="21"/>
        </w:rPr>
        <w:t xml:space="preserve">1.笔记本电脑1台；</w:t>
      </w:r>
      <w:r>
        <w:rPr>
          <w:rFonts w:hint="eastAsia" w:ascii="Times New Roman" w:hAnsi="Times New Roman" w:eastAsia="宋体" w:cs="Times New Roman"/>
          <w:sz w:val="21"/>
          <w:szCs w:val="21"/>
          <w:lang w:val="en-US" w:eastAsia="zh-CN"/>
        </w:rPr>
        <w:t xml:space="preserve"> 台式电脑一台；</w:t>
      </w:r>
      <w:r>
        <w:rPr>
          <w:rFonts w:hint="eastAsia"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2.身份证读卡器1台：可按要求连入血站系统；</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3.扫描枪1把；</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rPr>
        <w:t xml:space="preserve">4.路由器1台。</w:t>
      </w:r>
      <w:r>
        <w:rPr>
          <w:rFonts w:ascii="Times New Roman" w:hAnsi="Times New Roman" w:eastAsia="宋体" w:cs="Times New Roman"/>
          <w:color w:val="000000"/>
          <w:sz w:val="21"/>
          <w:szCs w:val="21"/>
          <w:highlight w:val="none"/>
        </w:rPr>
      </w:r>
      <w:r/>
    </w:p>
    <w:p>
      <w:pPr>
        <w:pStyle w:val="1166"/>
        <w:spacing w:line="360" w:lineRule="auto"/>
        <w:rPr>
          <w:color w:val="000000"/>
          <w:szCs w:val="21"/>
          <w:highlight w:val="none"/>
        </w:rPr>
      </w:pPr>
      <w:r/>
      <w:bookmarkEnd w:id="226"/>
      <w:r>
        <w:rPr>
          <w:color w:val="000000"/>
          <w:szCs w:val="21"/>
          <w:highlight w:val="none"/>
        </w:rPr>
      </w:r>
      <w:r/>
    </w:p>
    <w:p>
      <w:pPr>
        <w:pStyle w:val="1166"/>
        <w:spacing w:line="360" w:lineRule="auto"/>
        <w:rPr>
          <w:b/>
          <w:bCs/>
          <w:color w:val="000000"/>
          <w:szCs w:val="21"/>
          <w:highlight w:val="none"/>
        </w:rPr>
        <w:outlineLvl w:val="1"/>
      </w:pPr>
      <w:r/>
      <w:bookmarkStart w:id="227" w:name="_Toc26569"/>
      <w:r/>
      <w:bookmarkStart w:id="228" w:name="_Toc10341"/>
      <w:r/>
      <w:bookmarkStart w:id="229" w:name="_Toc20809"/>
      <w:r>
        <w:rPr>
          <w:b/>
          <w:bCs/>
          <w:color w:val="000000"/>
          <w:szCs w:val="21"/>
          <w:highlight w:val="none"/>
        </w:rPr>
        <w:t xml:space="preserve">分包2：</w:t>
      </w:r>
      <w:bookmarkEnd w:id="227"/>
      <w:r/>
      <w:bookmarkEnd w:id="228"/>
      <w:r>
        <w:rPr>
          <w:rFonts w:hint="eastAsia"/>
          <w:b/>
          <w:bCs/>
          <w:color w:val="000000"/>
          <w:szCs w:val="21"/>
          <w:highlight w:val="none"/>
        </w:rPr>
        <w:t xml:space="preserve">小型专用采血车</w:t>
      </w:r>
      <w:bookmarkEnd w:id="229"/>
      <w:r>
        <w:rPr>
          <w:b/>
          <w:bCs/>
          <w:color w:val="000000"/>
          <w:szCs w:val="21"/>
          <w:highlight w:val="none"/>
        </w:rPr>
      </w:r>
      <w:r/>
    </w:p>
    <w:p>
      <w:pPr>
        <w:pStyle w:val="1166"/>
        <w:numPr>
          <w:ilvl w:val="0"/>
          <w:numId w:val="0"/>
        </w:numPr>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val="en-US" w:eastAsia="zh-CN" w:bidi="ar"/>
        </w:rPr>
        <w:t xml:space="preserve">（一）</w:t>
      </w:r>
      <w:r>
        <w:rPr>
          <w:rFonts w:ascii="Times New Roman" w:hAnsi="Times New Roman" w:eastAsia="宋体" w:cs="Times New Roman"/>
          <w:b/>
          <w:bCs/>
          <w:color w:val="000000"/>
          <w:sz w:val="21"/>
          <w:szCs w:val="21"/>
          <w:lang w:val="en-US" w:eastAsia="zh-CN" w:bidi="ar"/>
        </w:rPr>
        <w:t xml:space="preserve">项目基本要求</w:t>
      </w:r>
      <w:r>
        <w:rPr>
          <w:rFonts w:ascii="Times New Roman" w:hAnsi="Times New Roman" w:eastAsia="宋体" w:cs="Times New Roman"/>
          <w:b/>
          <w:bCs/>
          <w:color w:val="000000"/>
          <w:sz w:val="21"/>
          <w:szCs w:val="21"/>
          <w:lang w:val="en-US" w:eastAsia="zh-CN" w:bidi="ar"/>
        </w:rPr>
      </w:r>
      <w:r/>
    </w:p>
    <w:p>
      <w:pPr>
        <w:pStyle w:val="1166"/>
        <w:numPr>
          <w:ilvl w:val="0"/>
          <w:numId w:val="0"/>
        </w:numPr>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★1.投标车辆应为工信部《道路机动车辆生产企业及产品公告》中的</w:t>
      </w:r>
      <w:r>
        <w:rPr>
          <w:rFonts w:ascii="Times New Roman" w:hAnsi="Times New Roman" w:eastAsia="宋体" w:cs="Times New Roman"/>
          <w:sz w:val="21"/>
          <w:szCs w:val="21"/>
          <w:lang w:eastAsia="zh-CN"/>
        </w:rPr>
        <w:t xml:space="preserve">插电式增程混合</w:t>
      </w:r>
      <w:r>
        <w:rPr>
          <w:rFonts w:ascii="Times New Roman" w:hAnsi="Times New Roman" w:eastAsia="宋体" w:cs="Times New Roman"/>
          <w:sz w:val="21"/>
          <w:szCs w:val="21"/>
        </w:rPr>
        <w:t xml:space="preserve">医疗车产品。投标文件中提供工信部官网截图并加盖投标人公章；</w:t>
      </w:r>
      <w:r>
        <w:rPr>
          <w:rFonts w:ascii="Times New Roman" w:hAnsi="Times New Roman" w:eastAsia="宋体" w:cs="Times New Roman"/>
          <w:sz w:val="21"/>
          <w:szCs w:val="21"/>
        </w:rPr>
      </w:r>
      <w:r/>
    </w:p>
    <w:p>
      <w:pPr>
        <w:pStyle w:val="1166"/>
        <w:numPr>
          <w:ilvl w:val="0"/>
          <w:numId w:val="0"/>
        </w:numPr>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w:t>
      </w:r>
      <w:r>
        <w:rPr>
          <w:rFonts w:hint="eastAsia" w:ascii="Times New Roman" w:hAnsi="Times New Roman" w:eastAsia="宋体" w:cs="Times New Roman"/>
          <w:sz w:val="21"/>
          <w:szCs w:val="21"/>
          <w:lang w:val="en-US" w:eastAsia="zh-CN"/>
        </w:rPr>
        <w:t xml:space="preserve">2.所有车辆由投标人负责上牌等后续交付工作。</w:t>
      </w:r>
      <w:r>
        <w:rPr>
          <w:rFonts w:ascii="Times New Roman" w:hAnsi="Times New Roman" w:eastAsia="宋体" w:cs="Times New Roman"/>
          <w:sz w:val="21"/>
          <w:szCs w:val="21"/>
        </w:rPr>
      </w:r>
      <w:r/>
    </w:p>
    <w:p>
      <w:pPr>
        <w:pStyle w:val="1166"/>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val="en-US" w:eastAsia="zh-CN" w:bidi="ar"/>
        </w:rPr>
        <w:t xml:space="preserve">（二）</w:t>
      </w:r>
      <w:r>
        <w:rPr>
          <w:rFonts w:ascii="Times New Roman" w:hAnsi="Times New Roman" w:eastAsia="宋体" w:cs="Times New Roman"/>
          <w:b/>
          <w:bCs/>
          <w:color w:val="000000"/>
          <w:sz w:val="21"/>
          <w:szCs w:val="21"/>
          <w:lang w:val="en-US" w:eastAsia="zh-CN" w:bidi="ar"/>
        </w:rPr>
        <w:t xml:space="preserve">车辆技术参数： </w:t>
      </w:r>
      <w:r>
        <w:rPr>
          <w:rFonts w:ascii="Times New Roman" w:hAnsi="Times New Roman" w:eastAsia="宋体" w:cs="Times New Roman"/>
          <w:b/>
          <w:bCs/>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1.车长≥5980mm；</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2.车宽≥2100mm；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3.车高≥2800mm；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4.轴距≥3360mm；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5.总质量≥4495kg；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6.核载人数≥2人；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7.发动机功率≥104kW； </w:t>
      </w:r>
      <w:r>
        <w:rPr>
          <w:rFonts w:ascii="Times New Roman" w:hAnsi="Times New Roman" w:eastAsia="宋体" w:cs="Times New Roman"/>
          <w:color w:val="000000"/>
          <w:sz w:val="21"/>
          <w:szCs w:val="21"/>
          <w:lang w:val="en-US" w:eastAsia="zh-CN" w:bidi="ar"/>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8.轮胎规格：轻型载重汽车子午线轮胎，横断面宽度≥7英寸，轮毂直径≥16英寸； </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9.侧移门位置：右侧移门，有活动踏步； </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10.燃油箱容量≥100L； </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11.前轮制动：盘式，后轮制动：鼓式； </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12.防抱死系统：ABS </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13.车身稳定系统：ESC，电子驻车系统：EPB；</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14.灯具：前组合大灯+日间行车灯+自动大灯；</w:t>
      </w:r>
      <w:r>
        <w:rPr>
          <w:rFonts w:ascii="Times New Roman" w:hAnsi="Times New Roman" w:eastAsia="宋体" w:cs="Times New Roman"/>
          <w:sz w:val="21"/>
          <w:szCs w:val="21"/>
          <w:lang w:val="en-US" w:eastAsia="zh-CN"/>
        </w:rPr>
      </w:r>
      <w:r/>
    </w:p>
    <w:p>
      <w:pPr>
        <w:pStyle w:val="1175"/>
        <w:ind w:left="0" w:firstLine="420"/>
        <w:keepLines w:val="0"/>
        <w:keepNext w:val="0"/>
        <w:pageBreakBefore w:val="0"/>
        <w:spacing w:line="360" w:lineRule="auto"/>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15.智能联网系统：远程车辆状态查询、防盗报警状态响应、远程寻车、远程上/退电、远程解闭锁、智能语音控制系统；</w:t>
      </w:r>
      <w:r>
        <w:rPr>
          <w:rFonts w:ascii="Times New Roman" w:hAnsi="Times New Roman" w:eastAsia="宋体" w:cs="Times New Roman"/>
          <w:b w:val="0"/>
          <w:bCs/>
          <w:sz w:val="21"/>
          <w:szCs w:val="21"/>
          <w:lang w:val="en-US" w:eastAsia="zh-CN"/>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16.仪表屏幕类</w:t>
      </w:r>
      <w:r>
        <w:rPr>
          <w:rFonts w:ascii="Times New Roman" w:hAnsi="Times New Roman" w:eastAsia="宋体" w:cs="Times New Roman"/>
          <w:color w:val="000000"/>
          <w:sz w:val="21"/>
          <w:szCs w:val="21"/>
          <w:highlight w:val="none"/>
          <w:lang w:val="en-US" w:eastAsia="zh-CN" w:bidi="ar"/>
        </w:rPr>
        <w:t xml:space="preserve">型：≥10.1寸液晶屏；</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17.倒车监控系统：有倒车雷达和倒车影像系统；</w:t>
      </w:r>
      <w:r>
        <w:rPr>
          <w:rFonts w:ascii="Times New Roman" w:hAnsi="Times New Roman" w:eastAsia="宋体" w:cs="Times New Roman"/>
          <w:color w:val="000000"/>
          <w:sz w:val="21"/>
          <w:szCs w:val="21"/>
          <w:lang w:val="en-US" w:eastAsia="zh-CN" w:bidi="ar"/>
        </w:rPr>
      </w:r>
      <w:r/>
    </w:p>
    <w:p>
      <w:pPr>
        <w:pStyle w:val="1166"/>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val="en-US" w:eastAsia="zh-CN" w:bidi="ar"/>
        </w:rPr>
        <w:t xml:space="preserve">（三）</w:t>
      </w:r>
      <w:r>
        <w:rPr>
          <w:rFonts w:ascii="Times New Roman" w:hAnsi="Times New Roman" w:eastAsia="宋体" w:cs="Times New Roman"/>
          <w:b/>
          <w:bCs/>
          <w:color w:val="000000"/>
          <w:sz w:val="21"/>
          <w:szCs w:val="21"/>
          <w:lang w:val="en-US" w:eastAsia="zh-CN" w:bidi="ar"/>
        </w:rPr>
        <w:t xml:space="preserve">动力系统： </w:t>
      </w:r>
      <w:r>
        <w:rPr>
          <w:rFonts w:ascii="Times New Roman" w:hAnsi="Times New Roman" w:eastAsia="宋体" w:cs="Times New Roman"/>
          <w:b/>
          <w:bCs/>
          <w:color w:val="000000"/>
          <w:sz w:val="21"/>
          <w:szCs w:val="21"/>
          <w:lang w:val="en-US" w:eastAsia="zh-CN" w:bidi="ar"/>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1.底盘类型：二类底盘；</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2.燃料种类：汽油/电混合动力；</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3.电池：刀片电池，电量≥55.39kWh；</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4.充电模式：DC快充；</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5.驱动电机：永磁同步电机，额定功率≥70kW；</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6.发动机：四缸混动专用发动机，功率≥100kW</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lang w:val="en-US" w:eastAsia="zh-CN"/>
        </w:rPr>
        <w:t xml:space="preserve">排量≥1490ML；</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color w:val="000000"/>
          <w:sz w:val="21"/>
          <w:szCs w:val="21"/>
          <w:lang w:val="en-US" w:eastAsia="zh-CN" w:bidi="ar"/>
        </w:rPr>
        <w:t xml:space="preserve">▲</w:t>
      </w:r>
      <w:r>
        <w:rPr>
          <w:rFonts w:ascii="Times New Roman" w:hAnsi="Times New Roman" w:eastAsia="宋体" w:cs="Times New Roman"/>
          <w:sz w:val="21"/>
          <w:szCs w:val="21"/>
          <w:lang w:val="en-US" w:eastAsia="zh-CN"/>
        </w:rPr>
        <w:t xml:space="preserve">7.充电桩：配备直流快充充电桩1套；</w:t>
      </w:r>
      <w:r>
        <w:rPr>
          <w:rFonts w:ascii="Times New Roman" w:hAnsi="Times New Roman" w:eastAsia="宋体" w:cs="Times New Roman"/>
          <w:sz w:val="21"/>
          <w:szCs w:val="21"/>
          <w:lang w:val="en-US" w:eastAsia="zh-CN"/>
        </w:rPr>
      </w:r>
      <w:r/>
    </w:p>
    <w:p>
      <w:pPr>
        <w:pStyle w:val="1166"/>
        <w:numPr>
          <w:ilvl w:val="0"/>
          <w:numId w:val="0"/>
        </w:numPr>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val="en-US" w:eastAsia="zh-CN" w:bidi="ar"/>
        </w:rPr>
        <w:t xml:space="preserve">（四）</w:t>
      </w:r>
      <w:r>
        <w:rPr>
          <w:rFonts w:ascii="Times New Roman" w:hAnsi="Times New Roman" w:eastAsia="宋体" w:cs="Times New Roman"/>
          <w:b/>
          <w:bCs/>
          <w:color w:val="000000"/>
          <w:sz w:val="21"/>
          <w:szCs w:val="21"/>
          <w:lang w:val="en-US" w:eastAsia="zh-CN" w:bidi="ar"/>
        </w:rPr>
        <w:t xml:space="preserve">车身要求：</w:t>
      </w:r>
      <w:r>
        <w:rPr>
          <w:rFonts w:ascii="Times New Roman" w:hAnsi="Times New Roman" w:eastAsia="宋体" w:cs="Times New Roman"/>
          <w:b/>
          <w:bCs/>
          <w:color w:val="000000"/>
          <w:sz w:val="21"/>
          <w:szCs w:val="21"/>
          <w:lang w:val="en-US" w:eastAsia="zh-CN" w:bidi="ar"/>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1.车身结构：高强度铝合金骨架结构，房车专用工艺层压板，增强整体层压板强度的同时，增加保温隔热性能；</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2.医疗舱厢体：</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采用三明治车身层压工艺</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lang w:val="en-US" w:eastAsia="zh-CN"/>
        </w:rPr>
        <w:t xml:space="preserve">层压板骨架高强度铝合金焊接结构。外墙板使用机制成型玻璃钢板，填充XPS/EPS泡沫</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rPr>
        <w:t xml:space="preserve">▲</w:t>
      </w:r>
      <w:r>
        <w:rPr>
          <w:rFonts w:ascii="Times New Roman" w:hAnsi="Times New Roman" w:eastAsia="宋体" w:cs="Times New Roman"/>
          <w:sz w:val="21"/>
          <w:szCs w:val="21"/>
          <w:lang w:val="en-US" w:eastAsia="zh-CN"/>
        </w:rPr>
        <w:t xml:space="preserve">内部墙板使用环保板材</w:t>
      </w:r>
      <w:r>
        <w:rPr>
          <w:rFonts w:ascii="Times New Roman" w:hAnsi="Times New Roman" w:eastAsia="宋体" w:cs="Times New Roman"/>
          <w:b/>
          <w:bCs/>
          <w:sz w:val="21"/>
          <w:szCs w:val="21"/>
          <w:highlight w:val="none"/>
          <w:lang w:val="en-US" w:eastAsia="zh-CN"/>
        </w:rPr>
        <w:t xml:space="preserve">（提供环保、燃烧、强度、抗冲击、耐刮擦性第三方检测报告）；</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3.医疗舱地板：使用环保、耐磨防滑、阻燃石英砂地板革：</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（1）环保性能：气味等级（40°C 气味等级 3.0；80°C 气味等级 3.5）；甲醛≤0.01g/kg； TVOC≤50ugC/g，苯和甲苯≤5ug/g。</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（2）耐磨性能：参照 GB/T 18102,使用磨耗仪 AP-180 砂布，负载 4.9N，60r/min,可以达到 循环 20000 次，不漏地。</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（3）防滑性能：纵向和横向防滑性能均可以达到 R10。</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（4）阻燃性能：阻燃性能可以达到 GB8410《汽车内饰材料的燃烧特性》要求。</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4.车门：正副司机门;乘客门，乘客门电动伸缩踏步</w:t>
      </w:r>
      <w:r>
        <w:rPr>
          <w:rFonts w:ascii="Times New Roman" w:hAnsi="Times New Roman" w:eastAsia="宋体" w:cs="Times New Roman"/>
          <w:sz w:val="21"/>
          <w:szCs w:val="21"/>
          <w:lang w:val="en-US" w:eastAsia="zh-CN"/>
        </w:rPr>
      </w:r>
      <w:r/>
    </w:p>
    <w:p>
      <w:pPr>
        <w:pStyle w:val="1175"/>
        <w:ind w:left="0" w:firstLine="420"/>
        <w:keepLines w:val="0"/>
        <w:keepNext w:val="0"/>
        <w:pageBreakBefore w:val="0"/>
        <w:spacing w:line="360" w:lineRule="auto"/>
        <w:widowControl w:val="off"/>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5.侧窗：车厢两侧各2块玻璃，下拉式卷轴窗帘；</w:t>
      </w:r>
      <w:r>
        <w:rPr>
          <w:rFonts w:ascii="Times New Roman" w:hAnsi="Times New Roman" w:eastAsia="宋体" w:cs="Times New Roman"/>
          <w:b w:val="0"/>
          <w:bCs/>
          <w:sz w:val="21"/>
          <w:szCs w:val="21"/>
          <w:lang w:val="en-US" w:eastAsia="zh-CN"/>
        </w:rPr>
      </w:r>
      <w:r/>
    </w:p>
    <w:p>
      <w:pPr>
        <w:pStyle w:val="1175"/>
        <w:ind w:left="0" w:firstLine="420"/>
        <w:keepLines w:val="0"/>
        <w:keepNext w:val="0"/>
        <w:pageBreakBefore w:val="0"/>
        <w:spacing w:line="360" w:lineRule="auto"/>
        <w:widowControl w:val="off"/>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6.低温保护：石墨烯地暖，加强整车保温；</w:t>
      </w:r>
      <w:r>
        <w:rPr>
          <w:rFonts w:ascii="Times New Roman" w:hAnsi="Times New Roman" w:eastAsia="宋体" w:cs="Times New Roman"/>
          <w:b w:val="0"/>
          <w:bCs/>
          <w:sz w:val="21"/>
          <w:szCs w:val="21"/>
          <w:lang w:val="en-US" w:eastAsia="zh-CN"/>
        </w:rPr>
      </w:r>
      <w:r/>
    </w:p>
    <w:p>
      <w:pPr>
        <w:pStyle w:val="1175"/>
        <w:ind w:left="0" w:firstLine="420"/>
        <w:keepLines w:val="0"/>
        <w:keepNext w:val="0"/>
        <w:pageBreakBefore w:val="0"/>
        <w:spacing w:line="360" w:lineRule="auto"/>
        <w:widowControl w:val="off"/>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7.支撑系统：机械支撑腿1套，保证驻车采血工作稳定性；</w:t>
      </w:r>
      <w:r>
        <w:rPr>
          <w:rFonts w:ascii="Times New Roman" w:hAnsi="Times New Roman" w:eastAsia="宋体" w:cs="Times New Roman"/>
          <w:b w:val="0"/>
          <w:bCs/>
          <w:sz w:val="21"/>
          <w:szCs w:val="21"/>
          <w:lang w:val="en-US" w:eastAsia="zh-CN"/>
        </w:rPr>
      </w:r>
      <w:r/>
    </w:p>
    <w:p>
      <w:pPr>
        <w:pStyle w:val="1166"/>
        <w:numPr>
          <w:ilvl w:val="0"/>
          <w:numId w:val="0"/>
        </w:numPr>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val="en-US" w:eastAsia="zh-CN" w:bidi="ar"/>
        </w:rPr>
        <w:t xml:space="preserve">（五）</w:t>
      </w:r>
      <w:r>
        <w:rPr>
          <w:rFonts w:ascii="Times New Roman" w:hAnsi="Times New Roman" w:eastAsia="宋体" w:cs="Times New Roman"/>
          <w:b/>
          <w:bCs/>
          <w:color w:val="000000"/>
          <w:sz w:val="21"/>
          <w:szCs w:val="21"/>
          <w:lang w:val="en-US" w:eastAsia="zh-CN" w:bidi="ar"/>
        </w:rPr>
        <w:t xml:space="preserve">专用设备设施：</w:t>
      </w:r>
      <w:r>
        <w:rPr>
          <w:rFonts w:ascii="Times New Roman" w:hAnsi="Times New Roman" w:eastAsia="宋体" w:cs="Times New Roman"/>
          <w:b/>
          <w:bCs/>
          <w:color w:val="000000"/>
          <w:sz w:val="21"/>
          <w:szCs w:val="21"/>
          <w:lang w:val="en-US" w:eastAsia="zh-CN" w:bidi="ar"/>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1.采血台1个：</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（1）木质采血台；</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（2）2层台面，台面圆角处理，防酸腐；</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（3）下部有抽屉；</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（4）采血称下方有抽拉托盘，便于擦拭清洁；</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（5）采血台插座≥3个，便于给采血称、PDA充电；</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2.热合台1个：木制热合台，带柜体和抽屉；</w:t>
      </w:r>
      <w:r>
        <w:rPr>
          <w:rFonts w:ascii="Times New Roman" w:hAnsi="Times New Roman" w:eastAsia="宋体" w:cs="Times New Roman"/>
          <w:sz w:val="21"/>
          <w:szCs w:val="21"/>
          <w:lang w:val="en-US" w:eastAsia="zh-CN"/>
        </w:rPr>
      </w:r>
      <w:r/>
    </w:p>
    <w:p>
      <w:pPr>
        <w:pStyle w:val="1214"/>
        <w:ind w:left="0" w:firstLine="420"/>
        <w:jc w:val="both"/>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3.L型工作台2个：木制工作台，带柜体和抽屉；</w:t>
      </w:r>
      <w:r>
        <w:rPr>
          <w:rFonts w:ascii="Times New Roman" w:hAnsi="Times New Roman" w:eastAsia="宋体" w:cs="Times New Roman"/>
          <w:sz w:val="21"/>
          <w:szCs w:val="21"/>
          <w:lang w:val="en-US" w:eastAsia="zh-CN"/>
        </w:rPr>
      </w:r>
      <w:r/>
    </w:p>
    <w:p>
      <w:pPr>
        <w:pStyle w:val="1175"/>
        <w:ind w:left="0" w:firstLine="420"/>
        <w:keepLines w:val="0"/>
        <w:keepNext w:val="0"/>
        <w:pageBreakBefore w:val="0"/>
        <w:spacing w:line="360" w:lineRule="auto"/>
        <w:widowControl w:val="off"/>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4.饮水机、微波炉组合柜1个；木制组合柜；</w:t>
      </w:r>
      <w:r>
        <w:rPr>
          <w:rFonts w:ascii="Times New Roman" w:hAnsi="Times New Roman" w:eastAsia="宋体" w:cs="Times New Roman"/>
          <w:b w:val="0"/>
          <w:bCs/>
          <w:sz w:val="21"/>
          <w:szCs w:val="21"/>
          <w:lang w:val="en-US" w:eastAsia="zh-CN"/>
        </w:rPr>
      </w:r>
      <w:r/>
    </w:p>
    <w:p>
      <w:pPr>
        <w:pStyle w:val="1175"/>
        <w:ind w:left="0" w:firstLine="420"/>
        <w:keepLines w:val="0"/>
        <w:keepNext w:val="0"/>
        <w:pageBreakBefore w:val="0"/>
        <w:spacing w:line="360" w:lineRule="auto"/>
        <w:widowControl w:val="off"/>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5.储物柜：</w:t>
      </w:r>
      <w:r>
        <w:rPr>
          <w:rFonts w:ascii="Times New Roman" w:hAnsi="Times New Roman" w:eastAsia="宋体" w:cs="Times New Roman"/>
          <w:b w:val="0"/>
          <w:bCs/>
          <w:sz w:val="21"/>
          <w:szCs w:val="21"/>
          <w:lang w:val="en-US" w:eastAsia="zh-CN"/>
        </w:rPr>
      </w:r>
      <w:r/>
    </w:p>
    <w:p>
      <w:pPr>
        <w:pStyle w:val="1175"/>
        <w:ind w:left="0" w:firstLine="420"/>
        <w:keepLines w:val="0"/>
        <w:keepNext w:val="0"/>
        <w:pageBreakBefore w:val="0"/>
        <w:spacing w:line="360" w:lineRule="auto"/>
        <w:widowControl w:val="off"/>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（1）吊柜2组(木质，车身两侧均有吊柜)；</w:t>
      </w:r>
      <w:r>
        <w:rPr>
          <w:rFonts w:ascii="Times New Roman" w:hAnsi="Times New Roman" w:eastAsia="宋体" w:cs="Times New Roman"/>
          <w:b w:val="0"/>
          <w:bCs/>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b w:val="0"/>
          <w:bCs/>
          <w:sz w:val="21"/>
          <w:szCs w:val="21"/>
          <w:lang w:val="en-US" w:eastAsia="zh-CN"/>
        </w:rPr>
      </w:pPr>
      <w:r>
        <w:rPr>
          <w:rFonts w:ascii="Times New Roman" w:hAnsi="Times New Roman" w:eastAsia="宋体" w:cs="Times New Roman"/>
          <w:b w:val="0"/>
          <w:bCs/>
          <w:sz w:val="21"/>
          <w:szCs w:val="21"/>
          <w:lang w:val="en-US" w:eastAsia="zh-CN"/>
        </w:rPr>
        <w:t xml:space="preserve">（2）驾驶区上储物柜(推拉门)1组；</w:t>
      </w:r>
      <w:r>
        <w:rPr>
          <w:rFonts w:ascii="Times New Roman" w:hAnsi="Times New Roman" w:eastAsia="宋体" w:cs="Times New Roman"/>
          <w:b w:val="0"/>
          <w:bCs/>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6.采血椅2件：前后滑移，扶手、靠背可调，采用抗污、耐用高质量面料：</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rPr>
        <w:t xml:space="preserve">▲</w:t>
      </w:r>
      <w:r>
        <w:rPr>
          <w:rFonts w:ascii="Times New Roman" w:hAnsi="Times New Roman" w:eastAsia="宋体" w:cs="Times New Roman"/>
          <w:sz w:val="21"/>
          <w:szCs w:val="21"/>
          <w:lang w:val="en-US" w:eastAsia="zh-CN"/>
        </w:rPr>
        <w:t xml:space="preserve">（1）抗污性和耐化学性能：根据ISO 26987:2008采用无水乙醇、丙酮、丁酮、汽油、84消毒液，将污染物涂覆在样品中间位置，接触2h，清除掉污染物后影响指数为0；</w:t>
      </w: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需</w:t>
      </w:r>
      <w:r>
        <w:rPr>
          <w:rFonts w:ascii="Times New Roman" w:hAnsi="Times New Roman" w:eastAsia="宋体" w:cs="Times New Roman"/>
          <w:b/>
          <w:bCs/>
          <w:sz w:val="21"/>
          <w:szCs w:val="21"/>
        </w:rPr>
        <w:t xml:space="preserve">提供第三方检测报告</w:t>
      </w:r>
      <w:r>
        <w:rPr>
          <w:rFonts w:hint="eastAsia" w:ascii="Times New Roman" w:hAnsi="Times New Roman" w:eastAsia="宋体" w:cs="Times New Roman"/>
          <w:b/>
          <w:bCs/>
          <w:sz w:val="21"/>
          <w:szCs w:val="21"/>
          <w:lang w:val="en-US" w:eastAsia="zh-CN"/>
        </w:rPr>
        <w:t xml:space="preserve">复印件并加盖公章</w:t>
      </w:r>
      <w:r>
        <w:rPr>
          <w:rFonts w:ascii="Times New Roman" w:hAnsi="Times New Roman" w:eastAsia="宋体" w:cs="Times New Roman"/>
          <w:b/>
          <w:bCs/>
          <w:sz w:val="21"/>
          <w:szCs w:val="21"/>
        </w:rPr>
        <w:t xml:space="preserve">）</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（2）耐磨性能：根据ISO12947-2：2016，负载12kPa，使用耐磨仪，样品耐磨测试结果≥100000Rubs；</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（3）色牢度：耐摩色牢度等级≥4.5，耐汗渍色牢度等级≥4.5，耐光照色牢度≥4.5；</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rPr>
        <w:t xml:space="preserve">▲</w:t>
      </w:r>
      <w:r>
        <w:rPr>
          <w:rFonts w:ascii="Times New Roman" w:hAnsi="Times New Roman" w:eastAsia="宋体" w:cs="Times New Roman"/>
          <w:sz w:val="21"/>
          <w:szCs w:val="21"/>
          <w:lang w:val="en-US" w:eastAsia="zh-CN"/>
        </w:rPr>
        <w:t xml:space="preserve">（4）防霉性能：黑曲霉、土曲霉、球毛壳、绳状青霉、宛氏拟青霉、出芽短梗霉等进行28天试验，无霉菌生长，具有极强防霉性；</w:t>
      </w: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需</w:t>
      </w:r>
      <w:r>
        <w:rPr>
          <w:rFonts w:ascii="Times New Roman" w:hAnsi="Times New Roman" w:eastAsia="宋体" w:cs="Times New Roman"/>
          <w:b/>
          <w:bCs/>
          <w:sz w:val="21"/>
          <w:szCs w:val="21"/>
        </w:rPr>
        <w:t xml:space="preserve">提供第三方检测报告</w:t>
      </w:r>
      <w:r>
        <w:rPr>
          <w:rFonts w:hint="eastAsia" w:ascii="Times New Roman" w:hAnsi="Times New Roman" w:eastAsia="宋体" w:cs="Times New Roman"/>
          <w:b/>
          <w:bCs/>
          <w:sz w:val="21"/>
          <w:szCs w:val="21"/>
          <w:lang w:val="en-US" w:eastAsia="zh-CN"/>
        </w:rPr>
        <w:t xml:space="preserve">复印件并加盖公章</w:t>
      </w:r>
      <w:r>
        <w:rPr>
          <w:rFonts w:ascii="Times New Roman" w:hAnsi="Times New Roman" w:eastAsia="宋体" w:cs="Times New Roman"/>
          <w:b/>
          <w:bCs/>
          <w:sz w:val="21"/>
          <w:szCs w:val="21"/>
        </w:rPr>
        <w:t xml:space="preserve">）</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（5）阻燃性能：阻燃性能可以达到 GB8410《汽车内饰材料的燃烧特性》要求；</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（6）抗外力性能：要求最大力≥1350N，撕裂力≥160N；</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（7）光牢度性能：紫外线辐射暴露1000h，灰标等级≥4；</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7.休息沙发1套：上铺坐垫，下设储物空间；</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8.工作圆凳2个：不锈钢，可升降；</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9.市电配电设施：配电箱（含漏电保护器，空气开关、插座），服务电瓶；</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10.医疗舱空气调节系统：搭载市电空调，总制冷量≥3P；</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11.照明系统：车内照明灯一套，其中采血台上方一盏 LED 射灯，射灯技术要求如下：</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（1）功率≥8.5W；</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（2）工作环境温度：-40~55℃；</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（3）灯圈颜色：镀铬，外透镜：雾化透镜；</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（4）光色：6000-6500K 纯白，LED 光通量：850lm，出光角度：160 度，泛光型；</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12.辅助设施：</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（1）液晶电视1台；</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（2）微波炉1台</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（3）饮水机1台</w:t>
      </w:r>
      <w:r>
        <w:rPr>
          <w:rFonts w:ascii="Times New Roman" w:hAnsi="Times New Roman" w:eastAsia="宋体" w:cs="Times New Roman"/>
          <w:sz w:val="21"/>
          <w:szCs w:val="21"/>
          <w:lang w:val="en-US" w:eastAsia="zh-CN"/>
        </w:rPr>
      </w:r>
      <w:r/>
    </w:p>
    <w:p>
      <w:pPr>
        <w:pStyle w:val="1166"/>
        <w:numPr>
          <w:ilvl w:val="0"/>
          <w:numId w:val="0"/>
        </w:numPr>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val="en-US" w:eastAsia="zh-CN" w:bidi="ar"/>
        </w:rPr>
        <w:t xml:space="preserve">（六）</w:t>
      </w:r>
      <w:r>
        <w:rPr>
          <w:rFonts w:ascii="Times New Roman" w:hAnsi="Times New Roman" w:eastAsia="宋体" w:cs="Times New Roman"/>
          <w:b/>
          <w:bCs/>
          <w:color w:val="000000"/>
          <w:sz w:val="21"/>
          <w:szCs w:val="21"/>
          <w:lang w:val="en-US" w:eastAsia="zh-CN" w:bidi="ar"/>
        </w:rPr>
        <w:t xml:space="preserve">储血冰箱1台：</w:t>
      </w:r>
      <w:r>
        <w:rPr>
          <w:rFonts w:ascii="Times New Roman" w:hAnsi="Times New Roman" w:eastAsia="宋体" w:cs="Times New Roman"/>
          <w:b/>
          <w:bCs/>
          <w:color w:val="000000"/>
          <w:sz w:val="21"/>
          <w:szCs w:val="21"/>
          <w:lang w:val="en-US" w:eastAsia="zh-CN" w:bidi="ar"/>
        </w:rPr>
      </w:r>
      <w:r/>
    </w:p>
    <w:p>
      <w:pPr>
        <w:pStyle w:val="1166"/>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储血冰箱 1 台，技术要求如下：</w:t>
      </w:r>
      <w:r>
        <w:rPr>
          <w:rFonts w:ascii="Times New Roman" w:hAnsi="Times New Roman" w:eastAsia="宋体" w:cs="Times New Roman"/>
          <w:sz w:val="21"/>
          <w:szCs w:val="21"/>
        </w:rPr>
      </w:r>
      <w:r/>
    </w:p>
    <w:p>
      <w:pPr>
        <w:pStyle w:val="1166"/>
        <w:ind w:left="840" w:hanging="420"/>
        <w:keepLines w:val="0"/>
        <w:keepNext w:val="0"/>
        <w:pageBreakBefore w:val="0"/>
        <w:spacing w:line="360" w:lineRule="auto"/>
        <w:rPr>
          <w:rFonts w:hint="eastAsia" w:ascii="Times New Roman" w:hAnsi="Times New Roman" w:eastAsia="宋体" w:cs="Times New Roman"/>
          <w:sz w:val="21"/>
          <w:szCs w:val="21"/>
          <w:lang w:val="en-US" w:eastAsia="zh-CN"/>
        </w:rPr>
      </w:pP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val="en-US" w:eastAsia="zh-CN"/>
        </w:rPr>
        <w:t xml:space="preserve">1）</w:t>
      </w:r>
      <w:r>
        <w:rPr>
          <w:rFonts w:ascii="Times New Roman" w:hAnsi="Times New Roman" w:eastAsia="宋体" w:cs="Times New Roman"/>
          <w:sz w:val="21"/>
          <w:szCs w:val="21"/>
        </w:rPr>
        <w:t xml:space="preserve">温度控制：风冷，电加热补偿系统，微电脑控制，箱内温度控制在 4±1℃范围内</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存血量（400ml/袋）：≥5</w:t>
      </w:r>
      <w:r>
        <w:rPr>
          <w:rFonts w:hint="eastAsia" w:ascii="Times New Roman" w:hAnsi="Times New Roman" w:eastAsia="宋体" w:cs="Times New Roman"/>
          <w:sz w:val="21"/>
          <w:szCs w:val="21"/>
          <w:lang w:val="en-US" w:eastAsia="zh-CN"/>
        </w:rPr>
        <w:t xml:space="preserve">0</w:t>
      </w:r>
      <w:r>
        <w:rPr>
          <w:rFonts w:hint="eastAsia"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val="en-US" w:eastAsia="zh-CN"/>
        </w:rPr>
        <w:t xml:space="preserve">2）</w:t>
      </w:r>
      <w:r>
        <w:rPr>
          <w:rFonts w:ascii="Times New Roman" w:hAnsi="Times New Roman" w:eastAsia="宋体" w:cs="Times New Roman"/>
          <w:sz w:val="21"/>
          <w:szCs w:val="21"/>
        </w:rPr>
        <w:t xml:space="preserve">内置蓄电池，断电后可持续显示箱内温度及声光报警 48 小时</w:t>
      </w:r>
      <w:r>
        <w:rPr>
          <w:rFonts w:ascii="Times New Roman" w:hAnsi="Times New Roman" w:eastAsia="宋体" w:cs="Times New Roman"/>
          <w:sz w:val="21"/>
          <w:szCs w:val="21"/>
        </w:rPr>
      </w:r>
      <w:r/>
    </w:p>
    <w:p>
      <w:pPr>
        <w:pStyle w:val="1166"/>
        <w:numPr>
          <w:ilvl w:val="0"/>
          <w:numId w:val="0"/>
        </w:numPr>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val="en-US" w:eastAsia="zh-CN" w:bidi="ar"/>
        </w:rPr>
        <w:t xml:space="preserve">（七）</w:t>
      </w:r>
      <w:r>
        <w:rPr>
          <w:rFonts w:ascii="Times New Roman" w:hAnsi="Times New Roman" w:eastAsia="宋体" w:cs="Times New Roman"/>
          <w:b/>
          <w:bCs/>
          <w:color w:val="000000"/>
          <w:sz w:val="21"/>
          <w:szCs w:val="21"/>
          <w:lang w:val="en-US" w:eastAsia="zh-CN" w:bidi="ar"/>
        </w:rPr>
        <w:t xml:space="preserve">空气消毒机1台：</w:t>
      </w:r>
      <w:r>
        <w:rPr>
          <w:rFonts w:ascii="Times New Roman" w:hAnsi="Times New Roman" w:eastAsia="宋体" w:cs="Times New Roman"/>
          <w:b/>
          <w:bCs/>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空气消毒机1件，技术要求如下：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（1）人机共存，设备对人体无害，设备可以在有人的环境中使用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w:t>
      </w:r>
      <w:r>
        <w:rPr>
          <w:rFonts w:hint="eastAsia" w:ascii="Times New Roman" w:hAnsi="Times New Roman" w:eastAsia="宋体" w:cs="Times New Roman"/>
          <w:color w:val="000000"/>
          <w:sz w:val="21"/>
          <w:szCs w:val="21"/>
          <w:lang w:val="en-US" w:eastAsia="zh-CN" w:bidi="ar"/>
        </w:rPr>
        <w:t xml:space="preserve">2</w:t>
      </w:r>
      <w:r>
        <w:rPr>
          <w:rFonts w:ascii="Times New Roman" w:hAnsi="Times New Roman" w:eastAsia="宋体" w:cs="Times New Roman"/>
          <w:color w:val="000000"/>
          <w:sz w:val="21"/>
          <w:szCs w:val="21"/>
          <w:lang w:val="en-US" w:eastAsia="zh-CN" w:bidi="ar"/>
        </w:rPr>
        <w:t xml:space="preserve">）外形尺寸≤410*180*90mm </w:t>
      </w:r>
      <w:r>
        <w:rPr>
          <w:rFonts w:ascii="Times New Roman" w:hAnsi="Times New Roman" w:eastAsia="宋体" w:cs="Times New Roman"/>
          <w:color w:val="000000"/>
          <w:sz w:val="21"/>
          <w:szCs w:val="21"/>
          <w:lang w:val="en-US" w:eastAsia="zh-CN" w:bidi="ar"/>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 xml:space="preserve">（八）</w:t>
      </w:r>
      <w:r>
        <w:rPr>
          <w:rFonts w:ascii="Times New Roman" w:hAnsi="Times New Roman" w:eastAsia="宋体" w:cs="Times New Roman"/>
          <w:b/>
          <w:bCs/>
          <w:sz w:val="21"/>
          <w:szCs w:val="21"/>
          <w:lang w:val="en-US" w:eastAsia="zh-CN"/>
        </w:rPr>
        <w:t xml:space="preserve">医用血压计：</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sz w:val="21"/>
          <w:szCs w:val="21"/>
        </w:rPr>
        <w:t xml:space="preserve">医用臂筒式血压仪</w:t>
      </w:r>
      <w:r>
        <w:rPr>
          <w:rFonts w:ascii="Times New Roman" w:hAnsi="Times New Roman" w:eastAsia="宋体" w:cs="Times New Roman"/>
          <w:b w:val="0"/>
          <w:bCs w:val="0"/>
          <w:sz w:val="21"/>
          <w:szCs w:val="21"/>
          <w:lang w:val="en-US" w:eastAsia="zh-CN"/>
        </w:rPr>
        <w:t xml:space="preserve">4台，要求如下：</w:t>
      </w:r>
      <w:r>
        <w:rPr>
          <w:rFonts w:ascii="Times New Roman" w:hAnsi="Times New Roman" w:eastAsia="宋体" w:cs="Times New Roman"/>
          <w:b w:val="0"/>
          <w:bCs w:val="0"/>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1.测量方式：示波法</w:t>
      </w:r>
      <w:r>
        <w:rPr>
          <w:rFonts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2.脉率测量范围：40-200次/分</w:t>
      </w:r>
      <w:r>
        <w:rPr>
          <w:rFonts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3.压力测量范围：0-300mmHg/0-40kpa</w:t>
      </w:r>
      <w:r>
        <w:rPr>
          <w:rFonts w:ascii="Times New Roman" w:hAnsi="Times New Roman" w:eastAsia="宋体" w:cs="Times New Roman"/>
          <w:sz w:val="21"/>
          <w:szCs w:val="21"/>
          <w:lang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 xml:space="preserve">（九）</w:t>
      </w:r>
      <w:r>
        <w:rPr>
          <w:rFonts w:ascii="Times New Roman" w:hAnsi="Times New Roman" w:eastAsia="宋体" w:cs="Times New Roman"/>
          <w:b/>
          <w:bCs/>
          <w:sz w:val="21"/>
          <w:szCs w:val="21"/>
          <w:lang w:val="en-US" w:eastAsia="zh-CN"/>
        </w:rPr>
        <w:t xml:space="preserve">热合机：</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热合机1台，具体要求如下：</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1.射频源类型：高频晶体管</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2.封管时间：</w:t>
      </w:r>
      <w:r>
        <w:rPr>
          <w:rFonts w:hint="eastAsia" w:ascii="Times New Roman" w:hAnsi="Times New Roman" w:eastAsia="宋体" w:cs="Times New Roman"/>
          <w:b w:val="0"/>
          <w:bCs w:val="0"/>
          <w:sz w:val="21"/>
          <w:szCs w:val="21"/>
          <w:lang w:val="en-US" w:eastAsia="zh-CN"/>
        </w:rPr>
        <w:t xml:space="preserve">≤</w:t>
      </w:r>
      <w:r>
        <w:rPr>
          <w:rFonts w:ascii="Times New Roman" w:hAnsi="Times New Roman" w:eastAsia="宋体" w:cs="Times New Roman"/>
          <w:b w:val="0"/>
          <w:bCs w:val="0"/>
          <w:sz w:val="21"/>
          <w:szCs w:val="21"/>
          <w:lang w:val="en-US" w:eastAsia="zh-CN"/>
        </w:rPr>
        <w:t xml:space="preserve">1秒</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3.热合管路直径：2-6mm</w:t>
      </w:r>
      <w:r>
        <w:rPr>
          <w:rFonts w:ascii="Times New Roman" w:hAnsi="Times New Roman" w:eastAsia="宋体" w:cs="Times New Roman"/>
          <w:b w:val="0"/>
          <w:bCs w:val="0"/>
          <w:sz w:val="21"/>
          <w:szCs w:val="21"/>
          <w:lang w:val="en-US"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 xml:space="preserve">（十）</w:t>
      </w:r>
      <w:r>
        <w:rPr>
          <w:rFonts w:ascii="Times New Roman" w:hAnsi="Times New Roman" w:eastAsia="宋体" w:cs="Times New Roman"/>
          <w:b/>
          <w:bCs/>
          <w:sz w:val="21"/>
          <w:szCs w:val="21"/>
          <w:lang w:val="en-US" w:eastAsia="zh-CN"/>
        </w:rPr>
        <w:t xml:space="preserve">采血秤：</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采血秤2台，要求如下：</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1.采 液 量：0～1000ml</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2.液体比重：</w:t>
      </w:r>
      <w:r>
        <w:rPr>
          <w:rFonts w:hint="eastAsia" w:ascii="Times New Roman" w:hAnsi="Times New Roman" w:eastAsia="宋体" w:cs="Times New Roman"/>
          <w:b w:val="0"/>
          <w:bCs w:val="0"/>
          <w:sz w:val="21"/>
          <w:szCs w:val="21"/>
          <w:lang w:val="en-US" w:eastAsia="zh-CN"/>
        </w:rPr>
        <w:t xml:space="preserve">≥</w:t>
      </w:r>
      <w:r>
        <w:rPr>
          <w:rFonts w:ascii="Times New Roman" w:hAnsi="Times New Roman" w:eastAsia="宋体" w:cs="Times New Roman"/>
          <w:b w:val="0"/>
          <w:bCs w:val="0"/>
          <w:sz w:val="21"/>
          <w:szCs w:val="21"/>
          <w:lang w:val="en-US" w:eastAsia="zh-CN"/>
        </w:rPr>
        <w:t xml:space="preserve">1.05g/ml</w:t>
      </w:r>
      <w:r>
        <w:rPr>
          <w:rFonts w:ascii="Times New Roman" w:hAnsi="Times New Roman" w:eastAsia="宋体" w:cs="Times New Roman"/>
          <w:b w:val="0"/>
          <w:bCs w:val="0"/>
          <w:sz w:val="21"/>
          <w:szCs w:val="21"/>
          <w:lang w:val="en-US"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十一</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多功能人证核验设备：</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多功能人证核验设备1台，要求如下：</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1.自动识别二代证：在献血者登记、献血者筛查等功能界面中的身份证号输入时，能通过联接的第二代居民身份证阅读器，自动识别第二代居民身份证。</w:t>
      </w:r>
      <w:r>
        <w:rPr>
          <w:rFonts w:ascii="Times New Roman" w:hAnsi="Times New Roman" w:eastAsia="宋体" w:cs="Times New Roman"/>
          <w:b w:val="0"/>
          <w:bCs w:val="0"/>
          <w:sz w:val="21"/>
          <w:szCs w:val="21"/>
          <w:lang w:val="en-US"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十二</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生化分析仪：</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生化分析仪1台，具体要求如下：</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1.检测方法学：在37℃恒温条件下的干式化学法。</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2.检测项目：谷丙转氨酶（ALT）、谷草转氨酶（AST）。</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3.标本类型：全血、血清、血浆</w:t>
      </w:r>
      <w:r>
        <w:rPr>
          <w:rFonts w:ascii="Times New Roman" w:hAnsi="Times New Roman" w:eastAsia="宋体" w:cs="Times New Roman"/>
          <w:b w:val="0"/>
          <w:bCs w:val="0"/>
          <w:sz w:val="21"/>
          <w:szCs w:val="21"/>
          <w:lang w:val="en-US"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十三</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常温离心机：</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常温离心机1台，要求如下：</w:t>
      </w:r>
      <w:r>
        <w:rPr>
          <w:rFonts w:ascii="Times New Roman" w:hAnsi="Times New Roman" w:eastAsia="宋体" w:cs="Times New Roman"/>
          <w:b w:val="0"/>
          <w:bCs w:val="0"/>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1.最高转速≥5000r/min，转速精度≤±30r/min；</w:t>
      </w:r>
      <w:r>
        <w:rPr>
          <w:rFonts w:ascii="Times New Roman" w:hAnsi="Times New Roman" w:eastAsia="宋体" w:cs="Times New Roman"/>
          <w:sz w:val="21"/>
          <w:szCs w:val="21"/>
          <w:lang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2.最大相对离心力≥4030×g； </w:t>
      </w:r>
      <w:r>
        <w:rPr>
          <w:rFonts w:ascii="Times New Roman" w:hAnsi="Times New Roman" w:eastAsia="宋体" w:cs="Times New Roman"/>
          <w:sz w:val="21"/>
          <w:szCs w:val="21"/>
          <w:lang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十四</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血红蛋白仪：</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血红蛋白仪2台，要求如下：</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1.检测原理及检测项目：分光光度法定量检测血红蛋白；</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2.样本类型：静脉全血、毛细管全血；</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3.样本加样量：≤8μL；</w:t>
      </w:r>
      <w:r>
        <w:rPr>
          <w:rFonts w:ascii="Times New Roman" w:hAnsi="Times New Roman" w:eastAsia="宋体" w:cs="Times New Roman"/>
          <w:b w:val="0"/>
          <w:bCs w:val="0"/>
          <w:sz w:val="21"/>
          <w:szCs w:val="21"/>
          <w:lang w:val="en-US"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十</w:t>
      </w:r>
      <w:r>
        <w:rPr>
          <w:rFonts w:hint="eastAsia" w:ascii="Times New Roman" w:hAnsi="Times New Roman" w:eastAsia="宋体" w:cs="Times New Roman"/>
          <w:b/>
          <w:bCs/>
          <w:sz w:val="21"/>
          <w:szCs w:val="21"/>
          <w:lang w:val="en-US" w:eastAsia="zh-CN"/>
        </w:rPr>
        <w:t xml:space="preserve">五</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身高体重秤：</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身高体重秤1台，要求如下：</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1.身高测量：超声波自动感应测量；</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2.体重分度值：50g</w:t>
      </w:r>
      <w:r>
        <w:rPr>
          <w:rFonts w:ascii="Times New Roman" w:hAnsi="Times New Roman" w:eastAsia="宋体" w:cs="Times New Roman"/>
          <w:b w:val="0"/>
          <w:bCs w:val="0"/>
          <w:sz w:val="21"/>
          <w:szCs w:val="21"/>
          <w:lang w:val="en-US"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十</w:t>
      </w:r>
      <w:r>
        <w:rPr>
          <w:rFonts w:hint="eastAsia" w:ascii="Times New Roman" w:hAnsi="Times New Roman" w:eastAsia="宋体" w:cs="Times New Roman"/>
          <w:b/>
          <w:bCs/>
          <w:sz w:val="21"/>
          <w:szCs w:val="21"/>
          <w:lang w:val="en-US" w:eastAsia="zh-CN"/>
        </w:rPr>
        <w:t xml:space="preserve">六</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PDA：</w:t>
      </w:r>
      <w:r>
        <w:rPr>
          <w:rFonts w:ascii="Times New Roman" w:hAnsi="Times New Roman" w:eastAsia="宋体" w:cs="Times New Roman"/>
          <w:b/>
          <w:bCs/>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PDA2台，具体要求如下：</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1.软硬一体化系统，打造终端、操作系统、应用和服务一体化的生态系统。</w:t>
      </w:r>
      <w:r>
        <w:rPr>
          <w:rFonts w:ascii="Times New Roman" w:hAnsi="Times New Roman" w:eastAsia="宋体" w:cs="Times New Roman"/>
          <w:b w:val="0"/>
          <w:bCs w:val="0"/>
          <w:sz w:val="21"/>
          <w:szCs w:val="21"/>
          <w:lang w:val="en-US" w:eastAsia="zh-CN"/>
        </w:rPr>
      </w:r>
      <w:r/>
    </w:p>
    <w:p>
      <w:pPr>
        <w:pStyle w:val="1166"/>
        <w:numPr>
          <w:ilvl w:val="0"/>
          <w:numId w:val="0"/>
        </w:numPr>
        <w:ind w:firstLine="420"/>
        <w:keepLines w:val="0"/>
        <w:keepNext w:val="0"/>
        <w:pageBreakBefore w:val="0"/>
        <w:spacing w:line="36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2.满足与血站现有业务管理系统的数据对接，采血登记和核对系统采集的采血数据完全实时录入业务管理系统中。</w:t>
      </w:r>
      <w:r>
        <w:rPr>
          <w:rFonts w:ascii="Times New Roman" w:hAnsi="Times New Roman" w:eastAsia="宋体" w:cs="Times New Roman"/>
          <w:b w:val="0"/>
          <w:bCs w:val="0"/>
          <w:sz w:val="21"/>
          <w:szCs w:val="21"/>
          <w:lang w:val="en-US" w:eastAsia="zh-CN"/>
        </w:rPr>
      </w:r>
      <w:r/>
    </w:p>
    <w:p>
      <w:pPr>
        <w:pStyle w:val="1166"/>
        <w:numPr>
          <w:ilvl w:val="0"/>
          <w:numId w:val="0"/>
        </w:numPr>
        <w:keepLines w:val="0"/>
        <w:keepNext w:val="0"/>
        <w:pageBreakBefore w:val="0"/>
        <w:spacing w:line="360" w:lineRule="auto"/>
        <w:widowControl w:val="off"/>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十</w:t>
      </w:r>
      <w:r>
        <w:rPr>
          <w:rFonts w:hint="eastAsia" w:ascii="Times New Roman" w:hAnsi="Times New Roman" w:eastAsia="宋体" w:cs="Times New Roman"/>
          <w:b/>
          <w:bCs/>
          <w:sz w:val="21"/>
          <w:szCs w:val="21"/>
          <w:lang w:val="en-US" w:eastAsia="zh-CN"/>
        </w:rPr>
        <w:t xml:space="preserve">七</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辅助设施：</w:t>
      </w:r>
      <w:r>
        <w:rPr>
          <w:rFonts w:ascii="Times New Roman" w:hAnsi="Times New Roman" w:eastAsia="宋体" w:cs="Times New Roman"/>
          <w:b/>
          <w:bCs/>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1.笔记本电脑1台；</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2.身份证读卡器1台：</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3.扫描枪1把；</w:t>
      </w:r>
      <w:r>
        <w:rPr>
          <w:rFonts w:ascii="Times New Roman" w:hAnsi="Times New Roman" w:eastAsia="宋体" w:cs="Times New Roman"/>
          <w:sz w:val="21"/>
          <w:szCs w:val="21"/>
          <w:lang w:val="en-US" w:eastAsia="zh-CN"/>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4.路由器1台。 </w:t>
      </w:r>
      <w:r>
        <w:rPr>
          <w:rFonts w:ascii="Times New Roman" w:hAnsi="Times New Roman" w:eastAsia="宋体" w:cs="Times New Roman"/>
          <w:sz w:val="21"/>
          <w:szCs w:val="21"/>
          <w:lang w:val="en-US" w:eastAsia="zh-CN"/>
        </w:rPr>
      </w:r>
      <w:r/>
    </w:p>
    <w:p>
      <w:pPr>
        <w:pStyle w:val="1166"/>
        <w:numPr>
          <w:ilvl w:val="0"/>
          <w:numId w:val="0"/>
        </w:numPr>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eastAsia="zh-CN" w:bidi="ar"/>
        </w:rPr>
        <w:t xml:space="preserve">（</w:t>
      </w:r>
      <w:r>
        <w:rPr>
          <w:rFonts w:hint="eastAsia" w:ascii="Times New Roman" w:hAnsi="Times New Roman" w:eastAsia="宋体" w:cs="Times New Roman"/>
          <w:b/>
          <w:bCs/>
          <w:color w:val="000000"/>
          <w:sz w:val="21"/>
          <w:szCs w:val="21"/>
          <w:lang w:val="en-US" w:eastAsia="zh-CN" w:bidi="ar"/>
        </w:rPr>
        <w:t xml:space="preserve">十八</w:t>
      </w:r>
      <w:r>
        <w:rPr>
          <w:rFonts w:hint="eastAsia" w:ascii="Times New Roman" w:hAnsi="Times New Roman" w:eastAsia="宋体" w:cs="Times New Roman"/>
          <w:b/>
          <w:bCs/>
          <w:color w:val="000000"/>
          <w:sz w:val="21"/>
          <w:szCs w:val="21"/>
          <w:lang w:eastAsia="zh-CN" w:bidi="ar"/>
        </w:rPr>
        <w:t xml:space="preserve">）</w:t>
      </w:r>
      <w:r>
        <w:rPr>
          <w:rFonts w:ascii="Times New Roman" w:hAnsi="Times New Roman" w:eastAsia="宋体" w:cs="Times New Roman"/>
          <w:b/>
          <w:bCs/>
          <w:color w:val="000000"/>
          <w:sz w:val="21"/>
          <w:szCs w:val="21"/>
          <w:lang w:val="en-US" w:eastAsia="zh-CN" w:bidi="ar"/>
        </w:rPr>
        <w:t xml:space="preserve">备用储能锂电：</w:t>
      </w:r>
      <w:r>
        <w:rPr>
          <w:rFonts w:ascii="Times New Roman" w:hAnsi="Times New Roman" w:eastAsia="宋体" w:cs="Times New Roman"/>
          <w:b/>
          <w:bCs/>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（1）▲采用磷酸铁锂电池组，额定存储能量≥11kWh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（2）循环寿命：电池组循环寿命≥2000 次；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（3）工作温度范围- 20℃~+55℃，确保低温、高温环境下正常运行；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（4）▲智能管理系统（BMS）：配置 1 套专用磷酸铁锂电池智能管理系统（BMS），具体技术要求如下：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显示与报警：显示剩余电量、电压、电流等参数；报警涵盖充电单体过压、充电单体欠压、充电单体压差、总压过压、总压欠压、充电温度低、充电温度高、充电过流等场景；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（5）常温（25℃±5℃），电池放电率&gt;93%，储存8年电池电量衰减率≤30%；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（6）▲安全性能： 保护功能：具备完整的充放循环，具有过充、过放、过温过流保护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（7）▲电源箱体性能： 电源箱体采用高刚性结构设计，强度与刚度满足车辆工况需求，可有效抵抗行驶过程中的拉伸、弯曲及扭转变形；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（8）触摸屏≥7 英寸。</w:t>
      </w:r>
      <w:r>
        <w:rPr>
          <w:rFonts w:ascii="Times New Roman" w:hAnsi="Times New Roman" w:eastAsia="宋体" w:cs="Times New Roman"/>
          <w:color w:val="000000"/>
          <w:sz w:val="21"/>
          <w:szCs w:val="21"/>
          <w:lang w:val="en-US" w:eastAsia="zh-CN" w:bidi="ar"/>
        </w:rPr>
      </w:r>
      <w:r/>
    </w:p>
    <w:p>
      <w:pPr>
        <w:pStyle w:val="1166"/>
        <w:numPr>
          <w:ilvl w:val="0"/>
          <w:numId w:val="0"/>
        </w:numPr>
        <w:jc w:val="left"/>
        <w:keepLines w:val="0"/>
        <w:keepNext w:val="0"/>
        <w:pageBreakBefore w:val="0"/>
        <w:spacing w:line="360" w:lineRule="auto"/>
        <w:widowControl/>
        <w:rPr>
          <w:rFonts w:ascii="Times New Roman" w:hAnsi="Times New Roman" w:eastAsia="宋体" w:cs="Times New Roman"/>
          <w:b/>
          <w:bCs/>
          <w:color w:val="000000"/>
          <w:sz w:val="21"/>
          <w:szCs w:val="21"/>
          <w:lang w:val="en-US" w:eastAsia="zh-CN" w:bidi="ar"/>
        </w:rPr>
        <w:suppressLineNumbers w:val="0"/>
      </w:pPr>
      <w:r>
        <w:rPr>
          <w:rFonts w:hint="eastAsia" w:ascii="Times New Roman" w:hAnsi="Times New Roman" w:eastAsia="宋体" w:cs="Times New Roman"/>
          <w:b/>
          <w:bCs/>
          <w:color w:val="000000"/>
          <w:sz w:val="21"/>
          <w:szCs w:val="21"/>
          <w:lang w:eastAsia="zh-CN" w:bidi="ar"/>
        </w:rPr>
        <w:t xml:space="preserve">（</w:t>
      </w:r>
      <w:r>
        <w:rPr>
          <w:rFonts w:ascii="Times New Roman" w:hAnsi="Times New Roman" w:eastAsia="宋体" w:cs="Times New Roman"/>
          <w:b/>
          <w:bCs/>
          <w:color w:val="000000"/>
          <w:sz w:val="21"/>
          <w:szCs w:val="21"/>
          <w:lang w:eastAsia="zh-CN" w:bidi="ar"/>
        </w:rPr>
        <w:t xml:space="preserve">二十</w:t>
      </w:r>
      <w:r>
        <w:rPr>
          <w:rFonts w:hint="eastAsia" w:ascii="Times New Roman" w:hAnsi="Times New Roman" w:eastAsia="宋体" w:cs="Times New Roman"/>
          <w:b/>
          <w:bCs/>
          <w:color w:val="000000"/>
          <w:sz w:val="21"/>
          <w:szCs w:val="21"/>
          <w:lang w:eastAsia="zh-CN" w:bidi="ar"/>
        </w:rPr>
        <w:t xml:space="preserve">）</w:t>
      </w:r>
      <w:r>
        <w:rPr>
          <w:rFonts w:ascii="Times New Roman" w:hAnsi="Times New Roman" w:eastAsia="宋体" w:cs="Times New Roman"/>
          <w:b/>
          <w:bCs/>
          <w:color w:val="000000"/>
          <w:sz w:val="21"/>
          <w:szCs w:val="21"/>
          <w:lang w:val="en-US" w:eastAsia="zh-CN" w:bidi="ar"/>
        </w:rPr>
        <w:t xml:space="preserve">加装线束及线束防护要求：</w:t>
      </w:r>
      <w:r>
        <w:rPr>
          <w:rFonts w:ascii="Times New Roman" w:hAnsi="Times New Roman" w:eastAsia="宋体" w:cs="Times New Roman"/>
          <w:b/>
          <w:bCs/>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采用汽车用薄壁绝缘低压电线。 </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1. 加装低压线束采用汽车用薄壁绝缘低压电线，电线为镀锡铜线。</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sz w:val="21"/>
          <w:szCs w:val="21"/>
        </w:rPr>
        <w:t xml:space="preserve">▲</w:t>
      </w:r>
      <w:r>
        <w:rPr>
          <w:rFonts w:ascii="Times New Roman" w:hAnsi="Times New Roman" w:eastAsia="宋体" w:cs="Times New Roman"/>
          <w:color w:val="000000"/>
          <w:sz w:val="21"/>
          <w:szCs w:val="21"/>
          <w:lang w:val="en-US" w:eastAsia="zh-CN" w:bidi="ar"/>
        </w:rPr>
        <w:t xml:space="preserve">2.线束耐温性能：高温压力（150℃，4h）--耐压（3%NaCl 盐水中浸渍10min后，1kV，1min）、低温冲击（-15℃，4h）--（100g，100mm）--冲击后耐压（3%NaCl 盐水中浸渍 10min 后，1kV，1min）、低温卷绕（-40℃，4h）--卷烧（10mm，0.5kg，3 圈）--卷烧后耐压（3%NaCl 盐水中浸渍 10min后，1kV，1min），按照 GB/T 25085 标准进行测试，无裂纹，无击穿。</w:t>
      </w:r>
      <w:r>
        <w:rPr>
          <w:rFonts w:ascii="Times New Roman" w:hAnsi="Times New Roman" w:eastAsia="宋体" w:cs="Times New Roman"/>
          <w:b/>
          <w:bCs/>
          <w:sz w:val="21"/>
          <w:szCs w:val="21"/>
        </w:rPr>
        <w:t xml:space="preserve">（</w:t>
      </w:r>
      <w:r>
        <w:rPr>
          <w:rFonts w:hint="eastAsia" w:ascii="Times New Roman" w:hAnsi="Times New Roman" w:eastAsia="宋体" w:cs="Times New Roman"/>
          <w:b/>
          <w:bCs/>
          <w:sz w:val="21"/>
          <w:szCs w:val="21"/>
          <w:lang w:val="en-US" w:eastAsia="zh-CN"/>
        </w:rPr>
        <w:t xml:space="preserve">需</w:t>
      </w:r>
      <w:r>
        <w:rPr>
          <w:rFonts w:ascii="Times New Roman" w:hAnsi="Times New Roman" w:eastAsia="宋体" w:cs="Times New Roman"/>
          <w:b/>
          <w:bCs/>
          <w:sz w:val="21"/>
          <w:szCs w:val="21"/>
        </w:rPr>
        <w:t xml:space="preserve">提供第三方检测报告</w:t>
      </w:r>
      <w:r>
        <w:rPr>
          <w:rFonts w:hint="eastAsia" w:ascii="Times New Roman" w:hAnsi="Times New Roman" w:eastAsia="宋体" w:cs="Times New Roman"/>
          <w:b/>
          <w:bCs/>
          <w:sz w:val="21"/>
          <w:szCs w:val="21"/>
          <w:lang w:val="en-US" w:eastAsia="zh-CN"/>
        </w:rPr>
        <w:t xml:space="preserve">复印件并加盖公章</w:t>
      </w:r>
      <w:r>
        <w:rPr>
          <w:rFonts w:ascii="Times New Roman" w:hAnsi="Times New Roman" w:eastAsia="宋体" w:cs="Times New Roman"/>
          <w:b/>
          <w:bCs/>
          <w:sz w:val="21"/>
          <w:szCs w:val="21"/>
        </w:rPr>
        <w:t xml:space="preserve">）</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3. 线束耐压性能：耐电压试验（3%NaCl 盐水中浸渍 4h 后，1kV，30min），按照 GB/T 25085 标准进行测试，无击穿。</w:t>
      </w:r>
      <w:r>
        <w:rPr>
          <w:rFonts w:ascii="Times New Roman" w:hAnsi="Times New Roman" w:eastAsia="宋体" w:cs="Times New Roman"/>
          <w:color w:val="000000"/>
          <w:sz w:val="21"/>
          <w:szCs w:val="21"/>
          <w:lang w:val="en-US" w:eastAsia="zh-CN" w:bidi="ar"/>
        </w:rPr>
      </w:r>
      <w:r/>
    </w:p>
    <w:p>
      <w:pPr>
        <w:pStyle w:val="1166"/>
        <w:ind w:firstLine="420"/>
        <w:jc w:val="left"/>
        <w:keepLines w:val="0"/>
        <w:keepNext w:val="0"/>
        <w:pageBreakBefore w:val="0"/>
        <w:spacing w:line="360" w:lineRule="auto"/>
        <w:widowControl/>
        <w:rPr>
          <w:rFonts w:ascii="Times New Roman" w:hAnsi="Times New Roman" w:eastAsia="宋体" w:cs="Times New Roman"/>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4.防护波纹管燃烧性能：水平燃烧特性和垂直燃烧特性分别满足 GB/T 2408中的 HB 级和 V-0 级。</w:t>
      </w:r>
      <w:r>
        <w:rPr>
          <w:rFonts w:ascii="Times New Roman" w:hAnsi="Times New Roman" w:eastAsia="宋体" w:cs="Times New Roman"/>
          <w:color w:val="000000"/>
          <w:sz w:val="21"/>
          <w:szCs w:val="21"/>
          <w:lang w:val="en-US" w:eastAsia="zh-CN" w:bidi="ar"/>
        </w:rPr>
      </w:r>
      <w:r/>
    </w:p>
    <w:p>
      <w:pPr>
        <w:pStyle w:val="1175"/>
        <w:numPr>
          <w:ilvl w:val="0"/>
          <w:numId w:val="0"/>
        </w:numPr>
        <w:keepLines w:val="0"/>
        <w:keepNext w:val="0"/>
        <w:pageBreakBefore w:val="0"/>
        <w:spacing w:line="360" w:lineRule="auto"/>
        <w:rPr>
          <w:rFonts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eastAsia="zh-CN"/>
        </w:rPr>
        <w:t xml:space="preserve">二十</w:t>
      </w:r>
      <w:r>
        <w:rPr>
          <w:rFonts w:hint="eastAsia" w:ascii="Times New Roman" w:hAnsi="Times New Roman" w:eastAsia="宋体" w:cs="Times New Roman"/>
          <w:b/>
          <w:bCs/>
          <w:sz w:val="21"/>
          <w:szCs w:val="21"/>
          <w:lang w:val="en-US" w:eastAsia="zh-CN"/>
        </w:rPr>
        <w:t xml:space="preserve">一</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整车图案要求：</w:t>
      </w:r>
      <w:r>
        <w:rPr>
          <w:rFonts w:ascii="Times New Roman" w:hAnsi="Times New Roman" w:eastAsia="宋体" w:cs="Times New Roman"/>
          <w:b/>
          <w:bCs/>
          <w:sz w:val="21"/>
          <w:szCs w:val="21"/>
          <w:lang w:val="en-US" w:eastAsia="zh-CN"/>
        </w:rPr>
      </w:r>
      <w:r/>
    </w:p>
    <w:p>
      <w:pPr>
        <w:pStyle w:val="1166"/>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车身外观图案可根据客户需求设计喷涂，具体性能要求如下：</w:t>
      </w:r>
      <w:r>
        <w:rPr>
          <w:rFonts w:ascii="Times New Roman" w:hAnsi="Times New Roman" w:eastAsia="宋体" w:cs="Times New Roman"/>
          <w:sz w:val="21"/>
          <w:szCs w:val="21"/>
        </w:rPr>
      </w:r>
      <w:r/>
    </w:p>
    <w:p>
      <w:pPr>
        <w:pStyle w:val="1166"/>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（1）延伸率：取25.4 mm×200 mm 尺寸的样品， 使用中部的100mm 进行测试，以300mm/分钟的速度进行拉伸，记录断裂处的延伸率，要求铸造级≥130%；拉伸强度≥0.9kg/cm</w:t>
      </w:r>
      <w:r>
        <w:rPr>
          <w:rFonts w:ascii="Times New Roman" w:hAnsi="Times New Roman" w:eastAsia="宋体" w:cs="Times New Roman"/>
          <w:sz w:val="21"/>
          <w:szCs w:val="21"/>
        </w:rPr>
      </w:r>
      <w:r/>
    </w:p>
    <w:p>
      <w:pPr>
        <w:pStyle w:val="1166"/>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（2）粘接强度采用300mm/min 的速度进行180°方向的剥离，测量其剥离力作为实验值，包含初始粘结强度、最终粘结强度、热老化后粘结强度、耐湿性、热循环</w:t>
      </w:r>
      <w:r>
        <w:rPr>
          <w:rFonts w:ascii="Times New Roman" w:hAnsi="Times New Roman" w:eastAsia="宋体" w:cs="Times New Roman"/>
          <w:sz w:val="21"/>
          <w:szCs w:val="21"/>
        </w:rPr>
      </w:r>
      <w:r/>
    </w:p>
    <w:p>
      <w:pPr>
        <w:pStyle w:val="1166"/>
        <w:ind w:firstLine="420"/>
        <w:keepLines w:val="0"/>
        <w:keepNext w:val="0"/>
        <w:pageBreakBefore w:val="0"/>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（3）模拟环境，检测热老化、耐潮湿性、中性盐雾试验、耐酸性、耐溶剂性、叉痕收缩试验</w:t>
      </w:r>
      <w:r>
        <w:rPr>
          <w:rFonts w:ascii="Times New Roman" w:hAnsi="Times New Roman" w:eastAsia="宋体" w:cs="Times New Roman"/>
          <w:sz w:val="21"/>
          <w:szCs w:val="21"/>
        </w:rPr>
      </w:r>
      <w:r/>
    </w:p>
    <w:p>
      <w:pPr>
        <w:pStyle w:val="1166"/>
        <w:ind w:firstLine="420"/>
        <w:spacing w:line="360" w:lineRule="auto"/>
        <w:rPr>
          <w:rFonts w:hint="eastAsia"/>
          <w:color w:val="000000"/>
          <w:szCs w:val="21"/>
          <w:highlight w:val="none"/>
        </w:rPr>
      </w:pPr>
      <w:r>
        <w:rPr>
          <w:rFonts w:ascii="Times New Roman" w:hAnsi="Times New Roman" w:eastAsia="宋体" w:cs="Times New Roman"/>
          <w:sz w:val="21"/>
          <w:szCs w:val="21"/>
        </w:rPr>
        <w:t xml:space="preserve">（4）检测碎石试验、冲击试验、耐油性、耐高温性、加速模拟环境老化、耐冲洗性能。</w:t>
      </w:r>
      <w:r>
        <w:rPr>
          <w:rFonts w:hint="eastAsia"/>
          <w:color w:val="000000"/>
          <w:szCs w:val="21"/>
          <w:highlight w:val="none"/>
        </w:rPr>
      </w:r>
      <w:r/>
    </w:p>
    <w:p>
      <w:pPr>
        <w:pStyle w:val="1166"/>
        <w:spacing w:line="360" w:lineRule="auto"/>
        <w:rPr>
          <w:color w:val="000000"/>
          <w:szCs w:val="21"/>
          <w:highlight w:val="none"/>
        </w:rPr>
      </w:pPr>
      <w:r>
        <w:rPr>
          <w:color w:val="000000"/>
          <w:szCs w:val="21"/>
          <w:highlight w:val="none"/>
        </w:rPr>
      </w:r>
      <w:r/>
    </w:p>
    <w:p>
      <w:pPr>
        <w:pStyle w:val="1166"/>
        <w:spacing w:line="360" w:lineRule="auto"/>
        <w:rPr>
          <w:b/>
          <w:bCs/>
          <w:color w:val="000000"/>
          <w:szCs w:val="21"/>
          <w:highlight w:val="none"/>
        </w:rPr>
        <w:outlineLvl w:val="1"/>
      </w:pPr>
      <w:r/>
      <w:bookmarkStart w:id="230" w:name="_Toc6080"/>
      <w:r/>
      <w:bookmarkStart w:id="231" w:name="_Toc24516"/>
      <w:r/>
      <w:bookmarkStart w:id="232" w:name="_Toc31827"/>
      <w:r>
        <w:rPr>
          <w:b/>
          <w:bCs/>
          <w:color w:val="000000"/>
          <w:szCs w:val="21"/>
          <w:highlight w:val="none"/>
        </w:rPr>
        <w:t xml:space="preserve">分包3：</w:t>
      </w:r>
      <w:bookmarkEnd w:id="230"/>
      <w:r/>
      <w:bookmarkEnd w:id="231"/>
      <w:r>
        <w:rPr>
          <w:rFonts w:hint="eastAsia"/>
          <w:b/>
          <w:bCs/>
          <w:color w:val="000000"/>
          <w:szCs w:val="21"/>
          <w:highlight w:val="none"/>
        </w:rPr>
        <w:t xml:space="preserve">运血冷藏车</w:t>
      </w:r>
      <w:bookmarkEnd w:id="232"/>
      <w:r>
        <w:rPr>
          <w:b/>
          <w:bCs/>
          <w:color w:val="000000"/>
          <w:szCs w:val="21"/>
          <w:highlight w:val="none"/>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一</w:t>
      </w: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rPr>
        <w:t xml:space="preserve">车型公告</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sz w:val="21"/>
          <w:szCs w:val="21"/>
        </w:rPr>
        <w:t xml:space="preserve">车辆必须是在国家工信部公告目录内的冷藏车，提供工信部公告及公告参数证明；</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rPr>
        <w:t xml:space="preserve">2、所投车辆整车底盘为同一品牌。</w:t>
      </w:r>
      <w:r>
        <w:rPr>
          <w:rFonts w:hint="eastAsia" w:ascii="Times New Roman" w:hAnsi="Times New Roman" w:eastAsia="宋体" w:cs="Times New Roman"/>
          <w:sz w:val="21"/>
          <w:szCs w:val="21"/>
          <w:lang w:eastAsia="zh-CN"/>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二</w:t>
      </w: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rPr>
        <w:t xml:space="preserve">车辆参数</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w:t>
      </w:r>
      <w:r>
        <w:rPr>
          <w:rFonts w:ascii="Times New Roman" w:hAnsi="Times New Roman" w:eastAsia="宋体" w:cs="Times New Roman"/>
          <w:sz w:val="21"/>
          <w:szCs w:val="21"/>
        </w:rPr>
        <w:t xml:space="preserve">车长</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≥5341mm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2、</w:t>
      </w:r>
      <w:r>
        <w:rPr>
          <w:rFonts w:ascii="Times New Roman" w:hAnsi="Times New Roman" w:eastAsia="宋体" w:cs="Times New Roman"/>
          <w:sz w:val="21"/>
          <w:szCs w:val="21"/>
        </w:rPr>
        <w:t xml:space="preserve">车宽</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≥2040mm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3、</w:t>
      </w:r>
      <w:r>
        <w:rPr>
          <w:rFonts w:ascii="Times New Roman" w:hAnsi="Times New Roman" w:eastAsia="宋体" w:cs="Times New Roman"/>
          <w:sz w:val="21"/>
          <w:szCs w:val="21"/>
        </w:rPr>
        <w:t xml:space="preserve">车高</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≤2675mm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4、</w:t>
      </w:r>
      <w:r>
        <w:rPr>
          <w:rFonts w:ascii="Times New Roman" w:hAnsi="Times New Roman" w:eastAsia="宋体" w:cs="Times New Roman"/>
          <w:sz w:val="21"/>
          <w:szCs w:val="21"/>
        </w:rPr>
        <w:t xml:space="preserve">总质量</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≥3510kg</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5、</w:t>
      </w:r>
      <w:r>
        <w:rPr>
          <w:rFonts w:ascii="Times New Roman" w:hAnsi="Times New Roman" w:eastAsia="宋体" w:cs="Times New Roman"/>
          <w:sz w:val="21"/>
          <w:szCs w:val="21"/>
        </w:rPr>
        <w:t xml:space="preserve">整备质量</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≤2720kg</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6、</w:t>
      </w:r>
      <w:r>
        <w:rPr>
          <w:rFonts w:ascii="Times New Roman" w:hAnsi="Times New Roman" w:eastAsia="宋体" w:cs="Times New Roman"/>
          <w:sz w:val="21"/>
          <w:szCs w:val="21"/>
        </w:rPr>
        <w:t xml:space="preserve">乘员人数</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≥3人</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7、</w:t>
      </w:r>
      <w:r>
        <w:rPr>
          <w:rFonts w:ascii="Times New Roman" w:hAnsi="Times New Roman" w:eastAsia="宋体" w:cs="Times New Roman"/>
          <w:sz w:val="21"/>
          <w:szCs w:val="21"/>
        </w:rPr>
        <w:t xml:space="preserve">轴距</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≥3300mm</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b/>
          <w:bCs/>
          <w:sz w:val="21"/>
          <w:szCs w:val="21"/>
        </w:rPr>
      </w:pPr>
      <w:r>
        <w:rPr>
          <w:rFonts w:hint="eastAsia" w:ascii="Times New Roman" w:hAnsi="Times New Roman" w:eastAsia="宋体" w:cs="Times New Roman"/>
          <w:sz w:val="21"/>
          <w:szCs w:val="21"/>
          <w:lang w:val="en-US" w:eastAsia="zh-CN"/>
        </w:rPr>
        <w:t xml:space="preserve">8、</w:t>
      </w:r>
      <w:r>
        <w:rPr>
          <w:rFonts w:ascii="Times New Roman" w:hAnsi="Times New Roman" w:eastAsia="宋体" w:cs="Times New Roman"/>
          <w:sz w:val="21"/>
          <w:szCs w:val="21"/>
        </w:rPr>
        <w:t xml:space="preserve">保温厢容积</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≥4.3m</w:t>
      </w:r>
      <w:r>
        <w:rPr>
          <w:rFonts w:ascii="Times New Roman" w:hAnsi="Times New Roman" w:eastAsia="宋体" w:cs="Times New Roman"/>
          <w:sz w:val="21"/>
          <w:szCs w:val="21"/>
          <w:vertAlign w:val="superscript"/>
        </w:rPr>
        <w:t xml:space="preserve">2</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9、</w:t>
      </w:r>
      <w:r>
        <w:rPr>
          <w:rFonts w:ascii="Times New Roman" w:hAnsi="Times New Roman" w:eastAsia="宋体" w:cs="Times New Roman"/>
          <w:sz w:val="21"/>
          <w:szCs w:val="21"/>
        </w:rPr>
        <w:t xml:space="preserve">发动机排量</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 ≥1.996L(涡轮增压)</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10、</w:t>
      </w:r>
      <w:r>
        <w:rPr>
          <w:rFonts w:ascii="Times New Roman" w:hAnsi="Times New Roman" w:eastAsia="宋体" w:cs="Times New Roman"/>
          <w:sz w:val="21"/>
          <w:szCs w:val="21"/>
        </w:rPr>
        <w:t xml:space="preserve">排放标准</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柴油 国六</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11、</w:t>
      </w:r>
      <w:r>
        <w:rPr>
          <w:rFonts w:ascii="Times New Roman" w:hAnsi="Times New Roman" w:eastAsia="宋体" w:cs="Times New Roman"/>
          <w:sz w:val="21"/>
          <w:szCs w:val="21"/>
        </w:rPr>
        <w:t xml:space="preserve">额定功率</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≥105KW</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12、</w:t>
      </w:r>
      <w:r>
        <w:rPr>
          <w:rFonts w:ascii="Times New Roman" w:hAnsi="Times New Roman" w:eastAsia="宋体" w:cs="Times New Roman"/>
          <w:sz w:val="21"/>
          <w:szCs w:val="21"/>
        </w:rPr>
        <w:t xml:space="preserve">驱动型式</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前置后驱</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13、</w:t>
      </w:r>
      <w:r>
        <w:rPr>
          <w:rFonts w:ascii="Times New Roman" w:hAnsi="Times New Roman" w:eastAsia="宋体" w:cs="Times New Roman"/>
          <w:sz w:val="21"/>
          <w:szCs w:val="21"/>
        </w:rPr>
        <w:t xml:space="preserve">变速箱</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自动挡</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14、</w:t>
      </w:r>
      <w:r>
        <w:rPr>
          <w:rFonts w:ascii="Times New Roman" w:hAnsi="Times New Roman" w:eastAsia="宋体" w:cs="Times New Roman"/>
          <w:sz w:val="21"/>
          <w:szCs w:val="21"/>
        </w:rPr>
        <w:t xml:space="preserve">制动型式</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前后盘式</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三</w:t>
      </w: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rPr>
        <w:t xml:space="preserve">电源配置:</w:t>
      </w:r>
      <w:r>
        <w:rPr>
          <w:rFonts w:ascii="Times New Roman" w:hAnsi="Times New Roman" w:eastAsia="宋体" w:cs="Times New Roman"/>
          <w:b/>
          <w:bCs/>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w:t>
      </w:r>
      <w:r>
        <w:rPr>
          <w:rFonts w:ascii="Times New Roman" w:hAnsi="Times New Roman" w:eastAsia="宋体" w:cs="Times New Roman"/>
          <w:sz w:val="21"/>
          <w:szCs w:val="21"/>
        </w:rPr>
        <w:t xml:space="preserve">车上配备≥1000W双逆变电源(一用一备)，12V、220V插座各两个(固定在后排能座椅位置)</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2、冷藏箱内部设置不锈钢货架(可拆卸)</w:t>
      </w:r>
      <w:r>
        <w:rPr>
          <w:rFonts w:ascii="Times New Roman" w:hAnsi="Times New Roman" w:eastAsia="宋体" w:cs="Times New Roman"/>
          <w:sz w:val="21"/>
          <w:szCs w:val="21"/>
        </w:rPr>
      </w:r>
      <w:r/>
    </w:p>
    <w:p>
      <w:pPr>
        <w:pStyle w:val="1166"/>
        <w:ind w:firstLine="420"/>
        <w:keepLines w:val="0"/>
        <w:keepNext w:val="0"/>
        <w:pageBreakBefore w:val="0"/>
        <w:spacing w:line="36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3、冷藏箱后柜门增加限位器(开门后不能与车身干涉，开启度&gt;90°)</w:t>
      </w:r>
      <w:r>
        <w:rPr>
          <w:rFonts w:ascii="Times New Roman" w:hAnsi="Times New Roman" w:eastAsia="宋体" w:cs="Times New Roman"/>
          <w:sz w:val="21"/>
          <w:szCs w:val="21"/>
        </w:rPr>
      </w:r>
      <w:r/>
    </w:p>
    <w:p>
      <w:pPr>
        <w:pStyle w:val="1166"/>
        <w:keepLines w:val="0"/>
        <w:keepNext w:val="0"/>
        <w:pageBreakBefore w:val="0"/>
        <w:spacing w:line="360" w:lineRule="auto"/>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lang w:val="en-US" w:eastAsia="zh-CN"/>
        </w:rPr>
        <w:t xml:space="preserve">四</w:t>
      </w:r>
      <w:r>
        <w:rPr>
          <w:rFonts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rPr>
        <w:t xml:space="preserve">外观及冷箱</w:t>
      </w:r>
      <w:r>
        <w:rPr>
          <w:rFonts w:ascii="Times New Roman" w:hAnsi="Times New Roman" w:eastAsia="宋体" w:cs="Times New Roman"/>
          <w:b/>
          <w:bCs/>
          <w:sz w:val="21"/>
          <w:szCs w:val="21"/>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1.</w:t>
      </w:r>
      <w:r>
        <w:rPr>
          <w:rFonts w:ascii="Times New Roman" w:hAnsi="Times New Roman" w:eastAsia="宋体" w:cs="Times New Roman"/>
          <w:b w:val="0"/>
          <w:bCs w:val="0"/>
          <w:sz w:val="21"/>
          <w:szCs w:val="21"/>
        </w:rPr>
        <w:t xml:space="preserve">前顶玻璃钢凹台</w:t>
      </w:r>
      <w:r>
        <w:rPr>
          <w:rFonts w:hint="eastAsia" w:ascii="Times New Roman" w:hAnsi="Times New Roman" w:eastAsia="宋体" w:cs="Times New Roman"/>
          <w:b w:val="0"/>
          <w:bCs w:val="0"/>
          <w:sz w:val="21"/>
          <w:szCs w:val="21"/>
          <w:lang w:eastAsia="zh-CN"/>
        </w:rPr>
        <w:t xml:space="preserve">：</w:t>
      </w:r>
      <w:r>
        <w:rPr>
          <w:rFonts w:ascii="Times New Roman" w:hAnsi="Times New Roman" w:eastAsia="宋体" w:cs="Times New Roman"/>
          <w:b w:val="0"/>
          <w:bCs w:val="0"/>
          <w:sz w:val="21"/>
          <w:szCs w:val="21"/>
        </w:rPr>
        <w:t xml:space="preserve">下沉式安装方式，提高车辆通过性</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2.</w:t>
      </w:r>
      <w:r>
        <w:rPr>
          <w:rFonts w:ascii="Times New Roman" w:hAnsi="Times New Roman" w:eastAsia="宋体" w:cs="Times New Roman"/>
          <w:b w:val="0"/>
          <w:bCs w:val="0"/>
          <w:sz w:val="21"/>
          <w:szCs w:val="21"/>
        </w:rPr>
        <w:t xml:space="preserve">后舱照明灯</w:t>
      </w:r>
      <w:r>
        <w:rPr>
          <w:rFonts w:hint="eastAsia" w:ascii="Times New Roman" w:hAnsi="Times New Roman" w:eastAsia="宋体" w:cs="Times New Roman"/>
          <w:b w:val="0"/>
          <w:bCs w:val="0"/>
          <w:sz w:val="21"/>
          <w:szCs w:val="21"/>
          <w:lang w:eastAsia="zh-CN"/>
        </w:rPr>
        <w:t xml:space="preserve">：</w:t>
      </w:r>
      <w:r>
        <w:rPr>
          <w:rFonts w:ascii="Times New Roman" w:hAnsi="Times New Roman" w:eastAsia="宋体" w:cs="Times New Roman"/>
          <w:b w:val="0"/>
          <w:bCs w:val="0"/>
          <w:sz w:val="21"/>
          <w:szCs w:val="21"/>
        </w:rPr>
        <w:t xml:space="preserve">为工作人员提供充足的亮度</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3.</w:t>
      </w:r>
      <w:r>
        <w:rPr>
          <w:rFonts w:ascii="Times New Roman" w:hAnsi="Times New Roman" w:eastAsia="宋体" w:cs="Times New Roman"/>
          <w:b w:val="0"/>
          <w:bCs w:val="0"/>
          <w:sz w:val="21"/>
          <w:szCs w:val="21"/>
        </w:rPr>
        <w:t xml:space="preserve">紫外线消毒灯</w:t>
      </w:r>
      <w:r>
        <w:rPr>
          <w:rFonts w:hint="eastAsia" w:ascii="Times New Roman" w:hAnsi="Times New Roman" w:eastAsia="宋体" w:cs="Times New Roman"/>
          <w:b w:val="0"/>
          <w:bCs w:val="0"/>
          <w:sz w:val="21"/>
          <w:szCs w:val="21"/>
          <w:lang w:eastAsia="zh-CN"/>
        </w:rPr>
        <w:t xml:space="preserve">：</w:t>
      </w:r>
      <w:r>
        <w:rPr>
          <w:rFonts w:ascii="Times New Roman" w:hAnsi="Times New Roman" w:eastAsia="宋体" w:cs="Times New Roman"/>
          <w:b w:val="0"/>
          <w:bCs w:val="0"/>
          <w:sz w:val="21"/>
          <w:szCs w:val="21"/>
        </w:rPr>
        <w:t xml:space="preserve">能够有效保证对厢体的消毒</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4.</w:t>
      </w:r>
      <w:r>
        <w:rPr>
          <w:rFonts w:ascii="Times New Roman" w:hAnsi="Times New Roman" w:eastAsia="宋体" w:cs="Times New Roman"/>
          <w:b w:val="0"/>
          <w:bCs w:val="0"/>
          <w:sz w:val="21"/>
          <w:szCs w:val="21"/>
        </w:rPr>
        <w:t xml:space="preserve">尾门蜂鸣报警器</w:t>
      </w:r>
      <w:r>
        <w:rPr>
          <w:rFonts w:hint="eastAsia" w:ascii="Times New Roman" w:hAnsi="Times New Roman" w:eastAsia="宋体" w:cs="Times New Roman"/>
          <w:b w:val="0"/>
          <w:bCs w:val="0"/>
          <w:sz w:val="21"/>
          <w:szCs w:val="21"/>
          <w:lang w:eastAsia="zh-CN"/>
        </w:rPr>
        <w:t xml:space="preserve">：</w:t>
      </w:r>
      <w:r>
        <w:rPr>
          <w:rFonts w:ascii="Times New Roman" w:hAnsi="Times New Roman" w:eastAsia="宋体" w:cs="Times New Roman"/>
          <w:b w:val="0"/>
          <w:bCs w:val="0"/>
          <w:sz w:val="21"/>
          <w:szCs w:val="21"/>
        </w:rPr>
        <w:t xml:space="preserve">方便被困冷藏厢内人员通知外界进行救助</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5.</w:t>
      </w:r>
      <w:r>
        <w:rPr>
          <w:rFonts w:ascii="Times New Roman" w:hAnsi="Times New Roman" w:eastAsia="宋体" w:cs="Times New Roman"/>
          <w:b w:val="0"/>
          <w:bCs w:val="0"/>
          <w:sz w:val="21"/>
          <w:szCs w:val="21"/>
        </w:rPr>
        <w:t xml:space="preserve">T型地板导风槽</w:t>
      </w:r>
      <w:r>
        <w:rPr>
          <w:rFonts w:hint="eastAsia" w:ascii="Times New Roman" w:hAnsi="Times New Roman" w:eastAsia="宋体" w:cs="Times New Roman"/>
          <w:b w:val="0"/>
          <w:bCs w:val="0"/>
          <w:sz w:val="21"/>
          <w:szCs w:val="21"/>
          <w:lang w:eastAsia="zh-CN"/>
        </w:rPr>
        <w:t xml:space="preserve">：</w:t>
      </w:r>
      <w:r>
        <w:rPr>
          <w:rFonts w:ascii="Times New Roman" w:hAnsi="Times New Roman" w:eastAsia="宋体" w:cs="Times New Roman"/>
          <w:b w:val="0"/>
          <w:bCs w:val="0"/>
          <w:sz w:val="21"/>
          <w:szCs w:val="21"/>
        </w:rPr>
        <w:t xml:space="preserve">≥5CM高导风槽(氧化处理)，抗氧化、耐磨，有利于厢体底部冷气循环后厢加热系统:配后厢加热系统后，可给保温厢提升温度。</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b w:val="0"/>
          <w:bCs w:val="0"/>
          <w:sz w:val="21"/>
          <w:szCs w:val="21"/>
          <w:lang w:eastAsia="zh-CN"/>
        </w:rPr>
      </w:pPr>
      <w:r>
        <w:rPr>
          <w:rFonts w:ascii="Times New Roman" w:hAnsi="Times New Roman" w:eastAsia="宋体" w:cs="Times New Roman"/>
          <w:b w:val="0"/>
          <w:bCs w:val="0"/>
          <w:sz w:val="21"/>
          <w:szCs w:val="21"/>
          <w:lang w:val="en-US" w:eastAsia="zh-CN" w:bidi="ar-SA"/>
        </w:rPr>
        <w:t xml:space="preserve">6.</w:t>
      </w:r>
      <w:r>
        <w:rPr>
          <w:rFonts w:ascii="Times New Roman" w:hAnsi="Times New Roman" w:eastAsia="宋体" w:cs="Times New Roman"/>
          <w:b w:val="0"/>
          <w:bCs w:val="0"/>
          <w:sz w:val="21"/>
          <w:szCs w:val="21"/>
        </w:rPr>
        <w:t xml:space="preserve">保温厢体</w:t>
      </w:r>
      <w:r>
        <w:rPr>
          <w:rFonts w:hint="eastAsia" w:ascii="Times New Roman" w:hAnsi="Times New Roman" w:eastAsia="宋体" w:cs="Times New Roman"/>
          <w:b w:val="0"/>
          <w:bCs w:val="0"/>
          <w:sz w:val="21"/>
          <w:szCs w:val="21"/>
          <w:lang w:eastAsia="zh-CN"/>
        </w:rPr>
        <w:t xml:space="preserve">：</w:t>
      </w:r>
      <w:r>
        <w:rPr>
          <w:rFonts w:ascii="Times New Roman" w:hAnsi="Times New Roman" w:eastAsia="宋体" w:cs="Times New Roman"/>
          <w:b w:val="0"/>
          <w:bCs w:val="0"/>
          <w:sz w:val="21"/>
          <w:szCs w:val="21"/>
        </w:rPr>
        <w:t xml:space="preserve">保温厢体内表面采用304#食品级不锈钢、厢体采用弓弧结构拼装，具有良好的防腐耐磨，易清洗无异味、抗冲击性，使用寿命长，造型美观大气</w:t>
      </w:r>
      <w:r>
        <w:rPr>
          <w:rFonts w:hint="eastAsia" w:ascii="Times New Roman" w:hAnsi="Times New Roman" w:eastAsia="宋体" w:cs="Times New Roman"/>
          <w:b w:val="0"/>
          <w:bCs w:val="0"/>
          <w:sz w:val="21"/>
          <w:szCs w:val="21"/>
          <w:lang w:eastAsia="zh-CN"/>
        </w:rPr>
        <w:t xml:space="preserve">；</w:t>
      </w:r>
      <w:r>
        <w:rPr>
          <w:rFonts w:hint="eastAsia" w:ascii="Times New Roman" w:hAnsi="Times New Roman" w:eastAsia="宋体" w:cs="Times New Roman"/>
          <w:b w:val="0"/>
          <w:bCs w:val="0"/>
          <w:sz w:val="21"/>
          <w:szCs w:val="21"/>
          <w:lang w:eastAsia="zh-CN"/>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7.</w:t>
      </w:r>
      <w:r>
        <w:rPr>
          <w:rFonts w:ascii="Times New Roman" w:hAnsi="Times New Roman" w:eastAsia="宋体" w:cs="Times New Roman"/>
          <w:b w:val="0"/>
          <w:bCs w:val="0"/>
          <w:sz w:val="21"/>
          <w:szCs w:val="21"/>
        </w:rPr>
        <w:t xml:space="preserve">柜门</w:t>
      </w:r>
      <w:r>
        <w:rPr>
          <w:rFonts w:hint="eastAsia" w:ascii="Times New Roman" w:hAnsi="Times New Roman" w:eastAsia="宋体" w:cs="Times New Roman"/>
          <w:b w:val="0"/>
          <w:bCs w:val="0"/>
          <w:sz w:val="21"/>
          <w:szCs w:val="21"/>
          <w:lang w:eastAsia="zh-CN"/>
        </w:rPr>
        <w:t xml:space="preserve">：</w:t>
      </w:r>
      <w:r>
        <w:rPr>
          <w:rFonts w:ascii="Times New Roman" w:hAnsi="Times New Roman" w:eastAsia="宋体" w:cs="Times New Roman"/>
          <w:b w:val="0"/>
          <w:bCs w:val="0"/>
          <w:sz w:val="21"/>
          <w:szCs w:val="21"/>
        </w:rPr>
        <w:t xml:space="preserve">冷藏柜门选用4层密封条</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b w:val="0"/>
          <w:bCs w:val="0"/>
          <w:sz w:val="21"/>
          <w:szCs w:val="21"/>
          <w:lang w:eastAsia="zh-CN"/>
        </w:rPr>
      </w:pPr>
      <w:r>
        <w:rPr>
          <w:rFonts w:ascii="Times New Roman" w:hAnsi="Times New Roman" w:eastAsia="宋体" w:cs="Times New Roman"/>
          <w:b w:val="0"/>
          <w:bCs w:val="0"/>
          <w:sz w:val="21"/>
          <w:szCs w:val="21"/>
          <w:lang w:val="en-US" w:eastAsia="zh-CN" w:bidi="ar-SA"/>
        </w:rPr>
        <w:t xml:space="preserve">8.</w:t>
      </w:r>
      <w:r>
        <w:rPr>
          <w:rFonts w:ascii="Times New Roman" w:hAnsi="Times New Roman" w:eastAsia="宋体" w:cs="Times New Roman"/>
          <w:b w:val="0"/>
          <w:bCs w:val="0"/>
          <w:sz w:val="21"/>
          <w:szCs w:val="21"/>
        </w:rPr>
        <w:t xml:space="preserve">冷链智能管理系统</w:t>
      </w:r>
      <w:r>
        <w:rPr>
          <w:rFonts w:hint="eastAsia" w:ascii="Times New Roman" w:hAnsi="Times New Roman" w:eastAsia="宋体" w:cs="Times New Roman"/>
          <w:b w:val="0"/>
          <w:bCs w:val="0"/>
          <w:sz w:val="21"/>
          <w:szCs w:val="21"/>
          <w:lang w:eastAsia="zh-CN"/>
        </w:rPr>
        <w:t xml:space="preserve">：</w:t>
      </w:r>
      <w:r>
        <w:rPr>
          <w:rFonts w:hint="eastAsia" w:ascii="Times New Roman" w:hAnsi="Times New Roman" w:eastAsia="宋体" w:cs="Times New Roman"/>
          <w:b w:val="0"/>
          <w:bCs w:val="0"/>
          <w:sz w:val="21"/>
          <w:szCs w:val="21"/>
          <w:lang w:eastAsia="zh-CN"/>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9.</w:t>
      </w:r>
      <w:r>
        <w:rPr>
          <w:rFonts w:ascii="Times New Roman" w:hAnsi="Times New Roman" w:eastAsia="宋体" w:cs="Times New Roman"/>
          <w:b w:val="0"/>
          <w:bCs w:val="0"/>
          <w:sz w:val="21"/>
          <w:szCs w:val="21"/>
        </w:rPr>
        <w:t xml:space="preserve">以车载终端M5为中心，主机≥3.5寸触摸彩色液晶屏显示、无线温湿度一体探头、蓝牙打印机进行智能监测。</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ascii="Times New Roman" w:hAnsi="Times New Roman" w:eastAsia="宋体" w:cs="Times New Roman"/>
          <w:b w:val="0"/>
          <w:bCs w:val="0"/>
          <w:sz w:val="21"/>
          <w:szCs w:val="21"/>
        </w:rPr>
      </w:pPr>
      <w:r>
        <w:rPr>
          <w:rFonts w:ascii="Times New Roman" w:hAnsi="Times New Roman" w:eastAsia="宋体" w:cs="Times New Roman"/>
          <w:b w:val="0"/>
          <w:bCs w:val="0"/>
          <w:sz w:val="21"/>
          <w:szCs w:val="21"/>
          <w:lang w:val="en-US" w:eastAsia="zh-CN" w:bidi="ar-SA"/>
        </w:rPr>
        <w:t xml:space="preserve">10.</w:t>
      </w:r>
      <w:r>
        <w:rPr>
          <w:rFonts w:ascii="Times New Roman" w:hAnsi="Times New Roman" w:eastAsia="宋体" w:cs="Times New Roman"/>
          <w:b w:val="0"/>
          <w:bCs w:val="0"/>
          <w:sz w:val="21"/>
          <w:szCs w:val="21"/>
        </w:rPr>
        <w:t xml:space="preserve">车辆定位、温度记录、打印、报警、曲线显示等功能，实现冷链车全面智能运作。</w:t>
      </w:r>
      <w:r>
        <w:rPr>
          <w:rFonts w:ascii="Times New Roman" w:hAnsi="Times New Roman" w:eastAsia="宋体" w:cs="Times New Roman"/>
          <w:b w:val="0"/>
          <w:bCs w:val="0"/>
          <w:sz w:val="21"/>
          <w:szCs w:val="21"/>
        </w:rPr>
      </w:r>
      <w:r/>
    </w:p>
    <w:p>
      <w:pPr>
        <w:pStyle w:val="1166"/>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b w:val="0"/>
          <w:bCs w:val="0"/>
          <w:sz w:val="21"/>
          <w:szCs w:val="21"/>
          <w:lang w:eastAsia="zh-CN"/>
        </w:rPr>
      </w:pPr>
      <w:r>
        <w:rPr>
          <w:rFonts w:ascii="Times New Roman" w:hAnsi="Times New Roman" w:eastAsia="宋体" w:cs="Times New Roman"/>
          <w:b w:val="0"/>
          <w:bCs w:val="0"/>
          <w:sz w:val="21"/>
          <w:szCs w:val="21"/>
          <w:lang w:val="en-US" w:eastAsia="zh-CN" w:bidi="ar-SA"/>
        </w:rPr>
        <w:t xml:space="preserve">11.</w:t>
      </w:r>
      <w:r>
        <w:rPr>
          <w:rFonts w:ascii="Times New Roman" w:hAnsi="Times New Roman" w:eastAsia="宋体" w:cs="Times New Roman"/>
          <w:b w:val="0"/>
          <w:bCs w:val="0"/>
          <w:sz w:val="21"/>
          <w:szCs w:val="21"/>
        </w:rPr>
        <w:t xml:space="preserve">制冷系统</w:t>
      </w:r>
      <w:r>
        <w:rPr>
          <w:rFonts w:hint="eastAsia" w:ascii="Times New Roman" w:hAnsi="Times New Roman" w:eastAsia="宋体" w:cs="Times New Roman"/>
          <w:b w:val="0"/>
          <w:bCs w:val="0"/>
          <w:sz w:val="21"/>
          <w:szCs w:val="21"/>
          <w:lang w:eastAsia="zh-CN"/>
        </w:rPr>
        <w:t xml:space="preserve">：</w:t>
      </w:r>
      <w:r>
        <w:rPr>
          <w:rFonts w:hint="eastAsia" w:ascii="Times New Roman" w:hAnsi="Times New Roman" w:eastAsia="宋体" w:cs="Times New Roman"/>
          <w:b w:val="0"/>
          <w:bCs w:val="0"/>
          <w:sz w:val="21"/>
          <w:szCs w:val="21"/>
          <w:lang w:eastAsia="zh-CN"/>
        </w:rPr>
      </w:r>
      <w:r/>
    </w:p>
    <w:p>
      <w:pPr>
        <w:pStyle w:val="1166"/>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lang w:val="en-US" w:eastAsia="zh-CN" w:bidi="ar-SA"/>
        </w:rPr>
        <w:t xml:space="preserve">12.</w:t>
      </w:r>
      <w:r>
        <w:rPr>
          <w:rFonts w:ascii="Times New Roman" w:hAnsi="Times New Roman" w:eastAsia="宋体" w:cs="Times New Roman"/>
          <w:sz w:val="21"/>
          <w:szCs w:val="21"/>
        </w:rPr>
        <w:t xml:space="preserve">(顶置)制冷机，最低温度可达-18°C</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lang w:val="en-US" w:eastAsia="zh-CN" w:bidi="ar-SA"/>
        </w:rPr>
        <w:t xml:space="preserve">13.</w:t>
      </w:r>
      <w:r>
        <w:rPr>
          <w:rFonts w:ascii="Times New Roman" w:hAnsi="Times New Roman" w:eastAsia="宋体" w:cs="Times New Roman"/>
          <w:sz w:val="21"/>
          <w:szCs w:val="21"/>
        </w:rPr>
        <w:t xml:space="preserve">配备加热系统功能，冷藏箱温度可控制在-18°C到+20°C之间</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numPr>
          <w:ilvl w:val="0"/>
          <w:numId w:val="0"/>
        </w:numPr>
        <w:ind w:left="0" w:firstLine="420"/>
        <w:keepLines w:val="0"/>
        <w:keepNext w:val="0"/>
        <w:pageBreakBefore w:val="0"/>
        <w:spacing w:line="360" w:lineRule="auto"/>
        <w:widowControl w:val="off"/>
        <w:rPr>
          <w:rFonts w:hint="eastAsia" w:ascii="Times New Roman" w:hAnsi="Times New Roman" w:eastAsia="宋体" w:cs="Times New Roman"/>
          <w:sz w:val="21"/>
          <w:szCs w:val="21"/>
          <w:lang w:eastAsia="zh-CN"/>
        </w:rPr>
      </w:pPr>
      <w:r>
        <w:rPr>
          <w:rFonts w:ascii="Times New Roman" w:hAnsi="Times New Roman" w:eastAsia="宋体" w:cs="Times New Roman"/>
          <w:sz w:val="21"/>
          <w:szCs w:val="21"/>
          <w:lang w:val="en-US" w:eastAsia="zh-CN" w:bidi="ar-SA"/>
        </w:rPr>
        <w:t xml:space="preserve">14.</w:t>
      </w:r>
      <w:r>
        <w:rPr>
          <w:rFonts w:ascii="Times New Roman" w:hAnsi="Times New Roman" w:eastAsia="宋体" w:cs="Times New Roman"/>
          <w:sz w:val="21"/>
          <w:szCs w:val="21"/>
        </w:rPr>
        <w:t xml:space="preserve">采用12v电压、用量为1.2kg的R404A制冷剂、热气除霜方式</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eastAsia="zh-CN"/>
        </w:rPr>
      </w:r>
      <w:r/>
    </w:p>
    <w:p>
      <w:pPr>
        <w:pStyle w:val="1166"/>
        <w:numPr>
          <w:ilvl w:val="0"/>
          <w:numId w:val="0"/>
        </w:numPr>
        <w:ind w:left="0" w:firstLine="420"/>
        <w:jc w:val="left"/>
        <w:keepLines w:val="0"/>
        <w:keepNext w:val="0"/>
        <w:pageBreakBefore w:val="0"/>
        <w:spacing w:line="360" w:lineRule="auto"/>
        <w:widowControl w:val="off"/>
        <w:rPr>
          <w:b/>
          <w:bCs/>
          <w:color w:val="000000"/>
          <w:szCs w:val="21"/>
          <w:highlight w:val="none"/>
        </w:rPr>
      </w:pPr>
      <w:r>
        <w:rPr>
          <w:b w:val="0"/>
          <w:bCs w:val="0"/>
          <w:color w:val="000000"/>
          <w:sz w:val="21"/>
          <w:szCs w:val="21"/>
          <w:lang w:val="en-US" w:eastAsia="zh-CN" w:bidi="ar-SA"/>
        </w:rPr>
        <w:t xml:space="preserve">15.</w:t>
      </w:r>
      <w:r>
        <w:rPr>
          <w:rFonts w:ascii="Times New Roman" w:hAnsi="Times New Roman" w:eastAsia="宋体" w:cs="Times New Roman"/>
          <w:sz w:val="21"/>
          <w:szCs w:val="21"/>
        </w:rPr>
        <w:t xml:space="preserve">在环境温度为35°C的情况下，厢体达到0°C不超过45分钟，达到-18°C不超过120分钟。</w:t>
      </w:r>
      <w:r>
        <w:rPr>
          <w:b/>
          <w:bCs/>
          <w:color w:val="000000"/>
          <w:szCs w:val="21"/>
          <w:highlight w:val="none"/>
        </w:rPr>
      </w:r>
      <w:r/>
    </w:p>
    <w:p>
      <w:pPr>
        <w:pStyle w:val="1166"/>
        <w:jc w:val="left"/>
        <w:spacing w:line="360" w:lineRule="auto"/>
        <w:rPr>
          <w:b/>
          <w:bCs/>
          <w:color w:val="000000"/>
          <w:szCs w:val="21"/>
          <w:highlight w:val="none"/>
        </w:rPr>
      </w:pPr>
      <w:r>
        <w:rPr>
          <w:b/>
          <w:bCs/>
          <w:color w:val="000000"/>
          <w:szCs w:val="21"/>
          <w:highlight w:val="none"/>
        </w:rPr>
      </w:r>
      <w:r/>
    </w:p>
    <w:p>
      <w:pPr>
        <w:pStyle w:val="1244"/>
        <w:ind w:firstLine="0"/>
        <w:spacing w:line="360" w:lineRule="auto"/>
        <w:tabs>
          <w:tab w:val="left" w:pos="851" w:leader="none"/>
          <w:tab w:val="left" w:pos="1276" w:leader="none"/>
          <w:tab w:val="left" w:pos="1418" w:leader="none"/>
        </w:tabs>
        <w:rPr>
          <w:rFonts w:ascii="Times New Roman" w:hAnsi="Times New Roman"/>
          <w:b/>
          <w:bCs/>
          <w:color w:val="000000"/>
          <w:highlight w:val="none"/>
        </w:rPr>
      </w:pPr>
      <w:r>
        <w:rPr>
          <w:rFonts w:ascii="Times New Roman" w:hAnsi="Times New Roman"/>
          <w:b/>
          <w:bCs/>
          <w:color w:val="000000"/>
          <w:highlight w:val="none"/>
        </w:rPr>
        <w:t xml:space="preserve">三、★付款方式</w:t>
      </w:r>
      <w:r>
        <w:rPr>
          <w:rFonts w:ascii="Times New Roman" w:hAnsi="Times New Roman"/>
          <w:b/>
          <w:bCs/>
          <w:color w:val="000000"/>
          <w:highlight w:val="none"/>
        </w:rPr>
      </w:r>
      <w:r/>
    </w:p>
    <w:p>
      <w:pPr>
        <w:pStyle w:val="1244"/>
        <w:spacing w:line="360" w:lineRule="auto"/>
        <w:tabs>
          <w:tab w:val="left" w:pos="851" w:leader="none"/>
          <w:tab w:val="left" w:pos="1276" w:leader="none"/>
          <w:tab w:val="left" w:pos="1418" w:leader="none"/>
        </w:tabs>
        <w:rPr>
          <w:rFonts w:ascii="Times New Roman" w:hAnsi="Times New Roman"/>
          <w:color w:val="000000"/>
          <w:highlight w:val="none"/>
        </w:rPr>
      </w:pPr>
      <w:r/>
      <w:bookmarkStart w:id="233" w:name="_Hlk198051516"/>
      <w:r/>
      <w:bookmarkStart w:id="234" w:name="_Hlk101195961"/>
      <w:r>
        <w:rPr>
          <w:rFonts w:ascii="Times New Roman" w:hAnsi="Times New Roman"/>
          <w:color w:val="000000"/>
          <w:highlight w:val="none"/>
        </w:rPr>
        <w:t xml:space="preserve">（1）中标人向采购方开具合法票据，发票上的货物和技术服务名称须与投标文件及合同所列示的内容完全一致，发票不得由第三方代开，中标方未提供符合上述要求票据的，采购方有权拒绝支付合同款项，由此引起的一切责任由中标方负责。</w:t>
      </w:r>
      <w:r>
        <w:rPr>
          <w:rFonts w:ascii="Times New Roman" w:hAnsi="Times New Roman"/>
          <w:color w:val="000000"/>
          <w:highlight w:val="none"/>
        </w:rPr>
      </w:r>
      <w:r/>
    </w:p>
    <w:p>
      <w:pPr>
        <w:pStyle w:val="1244"/>
        <w:spacing w:line="360" w:lineRule="auto"/>
        <w:tabs>
          <w:tab w:val="left" w:pos="851" w:leader="none"/>
          <w:tab w:val="left" w:pos="1276" w:leader="none"/>
          <w:tab w:val="left" w:pos="1418" w:leader="none"/>
        </w:tabs>
        <w:rPr>
          <w:rFonts w:ascii="Times New Roman" w:hAnsi="Times New Roman"/>
          <w:color w:val="000000"/>
          <w:highlight w:val="none"/>
        </w:rPr>
      </w:pPr>
      <w:r>
        <w:rPr>
          <w:rFonts w:ascii="Times New Roman" w:hAnsi="Times New Roman"/>
          <w:color w:val="000000"/>
          <w:highlight w:val="none"/>
        </w:rPr>
        <w:t xml:space="preserve">（2）付款条件：合同签署后，中标方按采购方质量和时间要求完成本项目规定所有内容，经采购方验收合格，采购方收到中标方开具的合法发票后支付合同总额的100%。</w:t>
      </w:r>
      <w:r>
        <w:rPr>
          <w:rFonts w:ascii="Times New Roman" w:hAnsi="Times New Roman"/>
          <w:color w:val="000000"/>
          <w:highlight w:val="none"/>
        </w:rPr>
      </w:r>
      <w:r/>
    </w:p>
    <w:p>
      <w:pPr>
        <w:pStyle w:val="1244"/>
        <w:spacing w:line="360" w:lineRule="auto"/>
        <w:tabs>
          <w:tab w:val="left" w:pos="851" w:leader="none"/>
          <w:tab w:val="left" w:pos="1276" w:leader="none"/>
          <w:tab w:val="left" w:pos="1418" w:leader="none"/>
        </w:tabs>
        <w:rPr>
          <w:rFonts w:ascii="Times New Roman" w:hAnsi="Times New Roman"/>
          <w:color w:val="000000"/>
          <w:highlight w:val="none"/>
          <w:lang w:val="zh-CN"/>
        </w:rPr>
      </w:pPr>
      <w:r>
        <w:rPr>
          <w:rFonts w:ascii="Times New Roman" w:hAnsi="Times New Roman"/>
          <w:color w:val="000000"/>
          <w:highlight w:val="none"/>
        </w:rPr>
        <w:t xml:space="preserve">（3）</w:t>
      </w:r>
      <w:r>
        <w:rPr>
          <w:rFonts w:hint="eastAsia" w:ascii="宋体" w:hAnsi="宋体" w:cs="宋体"/>
          <w:color w:val="000000"/>
          <w:szCs w:val="21"/>
          <w:highlight w:val="none"/>
        </w:rPr>
        <w:t xml:space="preserve">中标方</w:t>
      </w:r>
      <w:r>
        <w:rPr>
          <w:rFonts w:hint="eastAsia"/>
          <w:color w:val="000000"/>
          <w:szCs w:val="21"/>
          <w:highlight w:val="none"/>
          <w:lang w:val="zh-CN"/>
        </w:rPr>
        <w:t xml:space="preserve">同意，如</w:t>
      </w:r>
      <w:r>
        <w:rPr>
          <w:rFonts w:hint="eastAsia" w:ascii="宋体" w:hAnsi="宋体" w:cs="宋体"/>
          <w:color w:val="000000"/>
          <w:szCs w:val="21"/>
          <w:highlight w:val="none"/>
        </w:rPr>
        <w:t xml:space="preserve">中标方</w:t>
      </w:r>
      <w:r>
        <w:rPr>
          <w:rFonts w:hint="eastAsia"/>
          <w:color w:val="000000"/>
          <w:szCs w:val="21"/>
          <w:highlight w:val="none"/>
          <w:lang w:val="zh-CN"/>
        </w:rPr>
        <w:t xml:space="preserve">在本协议项下应支付违约金或赔偿</w:t>
      </w:r>
      <w:r>
        <w:rPr>
          <w:rFonts w:hint="eastAsia" w:ascii="宋体" w:hAnsi="宋体" w:cs="宋体"/>
          <w:color w:val="000000"/>
          <w:szCs w:val="21"/>
          <w:highlight w:val="none"/>
        </w:rPr>
        <w:t xml:space="preserve">采购人</w:t>
      </w:r>
      <w:r>
        <w:rPr>
          <w:rFonts w:hint="eastAsia"/>
          <w:color w:val="000000"/>
          <w:szCs w:val="21"/>
          <w:highlight w:val="none"/>
          <w:lang w:val="zh-CN"/>
        </w:rPr>
        <w:t xml:space="preserve">经济损失，</w:t>
      </w:r>
      <w:r>
        <w:rPr>
          <w:rFonts w:hint="eastAsia" w:ascii="宋体" w:hAnsi="宋体" w:cs="宋体"/>
          <w:color w:val="000000"/>
          <w:szCs w:val="21"/>
          <w:highlight w:val="none"/>
        </w:rPr>
        <w:t xml:space="preserve">采购人</w:t>
      </w:r>
      <w:r>
        <w:rPr>
          <w:rFonts w:hint="eastAsia"/>
          <w:color w:val="000000"/>
          <w:szCs w:val="21"/>
          <w:highlight w:val="none"/>
          <w:lang w:val="zh-CN"/>
        </w:rPr>
        <w:t xml:space="preserve">有权从上述未付款项中直接扣除。</w:t>
      </w:r>
      <w:r>
        <w:rPr>
          <w:rFonts w:ascii="Times New Roman" w:hAnsi="Times New Roman"/>
          <w:color w:val="000000"/>
          <w:highlight w:val="none"/>
          <w:lang w:val="zh-CN"/>
        </w:rPr>
      </w:r>
      <w:r/>
    </w:p>
    <w:p>
      <w:pPr>
        <w:pStyle w:val="1166"/>
        <w:spacing w:line="360" w:lineRule="auto"/>
        <w:rPr>
          <w:color w:val="000000"/>
          <w:highlight w:val="none"/>
        </w:rPr>
      </w:pPr>
      <w:r/>
      <w:bookmarkEnd w:id="233"/>
      <w:r>
        <w:rPr>
          <w:color w:val="000000"/>
          <w:highlight w:val="none"/>
        </w:rPr>
      </w:r>
      <w:r/>
    </w:p>
    <w:p>
      <w:pPr>
        <w:pStyle w:val="1166"/>
        <w:spacing w:line="360" w:lineRule="auto"/>
        <w:rPr>
          <w:b/>
          <w:bCs/>
          <w:color w:val="000000"/>
          <w:szCs w:val="21"/>
          <w:highlight w:val="none"/>
        </w:rPr>
      </w:pPr>
      <w:r/>
      <w:bookmarkEnd w:id="234"/>
      <w:r>
        <w:rPr>
          <w:b/>
          <w:bCs/>
          <w:color w:val="000000"/>
          <w:szCs w:val="21"/>
          <w:highlight w:val="none"/>
        </w:rPr>
        <w:t xml:space="preserve">四、 交货期及交货地点</w:t>
      </w:r>
      <w:r>
        <w:rPr>
          <w:b/>
          <w:bCs/>
          <w:color w:val="000000"/>
          <w:szCs w:val="21"/>
          <w:highlight w:val="none"/>
        </w:rPr>
      </w:r>
      <w:r/>
    </w:p>
    <w:p>
      <w:pPr>
        <w:pStyle w:val="1166"/>
        <w:ind w:firstLine="422"/>
        <w:jc w:val="left"/>
        <w:spacing w:line="360" w:lineRule="auto"/>
        <w:rPr>
          <w:color w:val="000000"/>
          <w:szCs w:val="21"/>
          <w:highlight w:val="none"/>
        </w:rPr>
      </w:pPr>
      <w:r>
        <w:rPr>
          <w:b/>
          <w:bCs/>
          <w:color w:val="000000"/>
          <w:szCs w:val="21"/>
          <w:highlight w:val="none"/>
        </w:rPr>
        <w:t xml:space="preserve">1、交货期：详见本章招标项目简要说明</w:t>
      </w:r>
      <w:r>
        <w:rPr>
          <w:color w:val="000000"/>
          <w:szCs w:val="21"/>
          <w:highlight w:val="none"/>
        </w:rPr>
        <w:t xml:space="preserve">。</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2、交货地点：</w:t>
      </w:r>
      <w:r>
        <w:rPr>
          <w:b/>
          <w:bCs/>
          <w:color w:val="000000"/>
          <w:szCs w:val="21"/>
          <w:highlight w:val="none"/>
        </w:rPr>
        <w:t xml:space="preserve">采购人</w:t>
      </w:r>
      <w:r>
        <w:rPr>
          <w:b/>
          <w:bCs/>
          <w:color w:val="000000"/>
          <w:szCs w:val="21"/>
          <w:highlight w:val="none"/>
          <w:shd w:val="clear" w:color="auto" w:fill="ffffff"/>
        </w:rPr>
        <w:t xml:space="preserve">指定地点</w:t>
      </w:r>
      <w:r>
        <w:rPr>
          <w:color w:val="000000"/>
          <w:szCs w:val="21"/>
          <w:highlight w:val="none"/>
        </w:rPr>
        <w:t xml:space="preserve">，</w:t>
      </w:r>
      <w:bookmarkStart w:id="235" w:name="_Hlk130989127"/>
      <w:r>
        <w:rPr>
          <w:color w:val="000000"/>
          <w:szCs w:val="21"/>
          <w:highlight w:val="none"/>
        </w:rPr>
        <w:t xml:space="preserve">由采购人组织验收，检验不合格或不符合质量要求。供应商应无条件更换符合要求的新品。如供应商不能或拒绝提供的，采购人有权要求供应商无条件退货并承担采购人的一切损失。</w:t>
      </w:r>
      <w:r>
        <w:rPr>
          <w:color w:val="000000"/>
          <w:szCs w:val="21"/>
          <w:highlight w:val="none"/>
        </w:rPr>
      </w:r>
      <w:r/>
    </w:p>
    <w:p>
      <w:pPr>
        <w:pStyle w:val="1244"/>
        <w:spacing w:line="360" w:lineRule="auto"/>
        <w:tabs>
          <w:tab w:val="left" w:pos="851" w:leader="none"/>
          <w:tab w:val="left" w:pos="1276" w:leader="none"/>
          <w:tab w:val="left" w:pos="1418" w:leader="none"/>
        </w:tabs>
        <w:rPr>
          <w:rFonts w:ascii="Times New Roman" w:hAnsi="Times New Roman"/>
          <w:color w:val="000000"/>
          <w:szCs w:val="21"/>
          <w:highlight w:val="none"/>
        </w:rPr>
      </w:pPr>
      <w:r/>
      <w:bookmarkEnd w:id="235"/>
      <w:r>
        <w:rPr>
          <w:rFonts w:ascii="Times New Roman" w:hAnsi="Times New Roman"/>
          <w:color w:val="000000"/>
          <w:highlight w:val="none"/>
        </w:rPr>
        <w:t xml:space="preserve">3、包装和运输：</w:t>
      </w:r>
      <w:r>
        <w:rPr>
          <w:rFonts w:ascii="Times New Roman" w:hAnsi="Times New Roman"/>
          <w:color w:val="000000"/>
          <w:szCs w:val="21"/>
          <w:highlight w:val="none"/>
        </w:rPr>
      </w:r>
      <w:r/>
    </w:p>
    <w:p>
      <w:pPr>
        <w:pStyle w:val="1166"/>
        <w:numPr>
          <w:ilvl w:val="0"/>
          <w:numId w:val="3"/>
        </w:numPr>
        <w:ind w:firstLine="420"/>
        <w:spacing w:line="360" w:lineRule="auto"/>
        <w:rPr>
          <w:color w:val="000000"/>
          <w:szCs w:val="21"/>
          <w:highlight w:val="none"/>
        </w:rPr>
      </w:pPr>
      <w:r>
        <w:rPr>
          <w:rFonts w:hint="eastAsia" w:ascii="宋体" w:hAnsi="宋体" w:cs="宋体"/>
          <w:bCs/>
          <w:color w:val="000000"/>
          <w:highlight w:val="none"/>
        </w:rPr>
        <w:t xml:space="preserve">包装和运输：供应商提供的货物均应按采购文件、投标（响应）文件要求的包装材料、包装标准、包装方式进行包装，若采购文件、投标（响应）文件无特殊说明，</w:t>
      </w:r>
      <w:r>
        <w:rPr>
          <w:color w:val="000000"/>
          <w:highlight w:val="none"/>
        </w:rPr>
        <w:t xml:space="preserve">按</w:t>
      </w:r>
      <w:r>
        <w:rPr>
          <w:rFonts w:hint="eastAsia"/>
          <w:color w:val="000000"/>
          <w:highlight w:val="none"/>
        </w:rPr>
        <w:t xml:space="preserve">货物属性及运输方式的特点，对产品进行符合行业最佳实践的包装</w:t>
      </w:r>
      <w:r>
        <w:rPr>
          <w:color w:val="000000"/>
          <w:highlight w:val="none"/>
        </w:rPr>
        <w:t xml:space="preserve">。</w:t>
      </w:r>
      <w:r>
        <w:rPr>
          <w:rFonts w:hint="eastAsia" w:ascii="宋体" w:hAnsi="宋体" w:cs="宋体"/>
          <w:bCs/>
          <w:color w:val="000000"/>
          <w:highlight w:val="none"/>
        </w:rPr>
        <w:t xml:space="preserve">该包装应适应于远距离运输、防潮、防震、防锈和防野蛮装卸，以确保货物安全无损运抵上述交货地点。由于包装不善所引起的货物锈蚀、损坏和损失均由供应商承担。</w:t>
      </w:r>
      <w:r>
        <w:rPr>
          <w:color w:val="000000"/>
          <w:szCs w:val="21"/>
          <w:highlight w:val="none"/>
        </w:rPr>
      </w:r>
      <w:r/>
    </w:p>
    <w:p>
      <w:pPr>
        <w:pStyle w:val="1244"/>
        <w:spacing w:line="360" w:lineRule="auto"/>
        <w:tabs>
          <w:tab w:val="left" w:pos="851" w:leader="none"/>
          <w:tab w:val="left" w:pos="1276" w:leader="none"/>
          <w:tab w:val="left" w:pos="1418" w:leader="none"/>
        </w:tabs>
        <w:rPr>
          <w:rFonts w:ascii="Times New Roman" w:hAnsi="Times New Roman"/>
          <w:color w:val="000000"/>
          <w:szCs w:val="21"/>
          <w:highlight w:val="none"/>
        </w:rPr>
      </w:pPr>
      <w:r>
        <w:rPr>
          <w:rFonts w:ascii="Times New Roman" w:hAnsi="Times New Roman"/>
          <w:color w:val="000000"/>
          <w:szCs w:val="21"/>
          <w:highlight w:val="none"/>
        </w:rPr>
        <w:t xml:space="preserve">每一包装单元内应附详细的装箱单和质量合格凭证。</w:t>
      </w:r>
      <w:r>
        <w:rPr>
          <w:rFonts w:ascii="Times New Roman" w:hAnsi="Times New Roman"/>
          <w:color w:val="000000"/>
          <w:szCs w:val="21"/>
          <w:highlight w:val="none"/>
        </w:rPr>
      </w:r>
      <w:r/>
    </w:p>
    <w:p>
      <w:pPr>
        <w:pStyle w:val="1244"/>
        <w:spacing w:line="360" w:lineRule="auto"/>
        <w:tabs>
          <w:tab w:val="left" w:pos="851" w:leader="none"/>
          <w:tab w:val="left" w:pos="1276" w:leader="none"/>
          <w:tab w:val="left" w:pos="1418" w:leader="none"/>
        </w:tabs>
        <w:rPr>
          <w:rFonts w:ascii="Times New Roman" w:hAnsi="Times New Roman"/>
          <w:color w:val="000000"/>
          <w:szCs w:val="21"/>
          <w:highlight w:val="none"/>
        </w:rPr>
      </w:pPr>
      <w:r>
        <w:rPr>
          <w:rFonts w:ascii="Times New Roman" w:hAnsi="Times New Roman"/>
          <w:color w:val="000000"/>
          <w:szCs w:val="21"/>
          <w:highlight w:val="none"/>
        </w:rPr>
      </w:r>
      <w:r/>
    </w:p>
    <w:p>
      <w:pPr>
        <w:pStyle w:val="1166"/>
        <w:spacing w:line="360" w:lineRule="auto"/>
        <w:rPr>
          <w:b/>
          <w:bCs/>
          <w:color w:val="000000"/>
          <w:szCs w:val="21"/>
          <w:highlight w:val="none"/>
        </w:rPr>
      </w:pPr>
      <w:r>
        <w:rPr>
          <w:b/>
          <w:bCs/>
          <w:color w:val="000000"/>
          <w:szCs w:val="21"/>
          <w:highlight w:val="none"/>
        </w:rPr>
        <w:t xml:space="preserve">五、安装、调试服务要求：</w:t>
      </w:r>
      <w:r>
        <w:rPr>
          <w:b/>
          <w:bCs/>
          <w:color w:val="000000"/>
          <w:szCs w:val="21"/>
          <w:highlight w:val="none"/>
        </w:rPr>
      </w:r>
      <w:r/>
    </w:p>
    <w:p>
      <w:pPr>
        <w:pStyle w:val="1166"/>
        <w:ind w:firstLine="420"/>
        <w:spacing w:line="360" w:lineRule="auto"/>
        <w:rPr>
          <w:color w:val="000000"/>
          <w:szCs w:val="21"/>
          <w:highlight w:val="none"/>
        </w:rPr>
      </w:pPr>
      <w:r/>
      <w:bookmarkStart w:id="236" w:name="_Hlk130282163"/>
      <w:r/>
      <w:bookmarkStart w:id="237" w:name="_Hlk130999466"/>
      <w:r>
        <w:rPr>
          <w:color w:val="000000"/>
          <w:szCs w:val="21"/>
          <w:highlight w:val="none"/>
        </w:rPr>
        <w:t xml:space="preserve">1、供应商负责提供免费规范、达标的安装、调试及培训工作。应有专业技术团队保障设备安装质量和售后服务质量。安装工作所需的仪器和专用工具由投标人自备。安装、调试、培训、</w:t>
      </w:r>
      <w:bookmarkStart w:id="238" w:name="_Hlk130999247"/>
      <w:r>
        <w:rPr>
          <w:color w:val="000000"/>
          <w:szCs w:val="21"/>
          <w:highlight w:val="none"/>
        </w:rPr>
        <w:t xml:space="preserve">系统对接、垃圾清理</w:t>
      </w:r>
      <w:bookmarkEnd w:id="238"/>
      <w:r>
        <w:rPr>
          <w:color w:val="000000"/>
          <w:szCs w:val="21"/>
          <w:highlight w:val="none"/>
        </w:rPr>
        <w:t xml:space="preserve">等费用均包含在投标总价中。</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2、</w:t>
      </w:r>
      <w:r>
        <w:rPr>
          <w:color w:val="000000"/>
          <w:highlight w:val="none"/>
        </w:rPr>
        <w:t xml:space="preserve">供应商在装机后必须对</w:t>
      </w:r>
      <w:r>
        <w:rPr>
          <w:color w:val="000000"/>
          <w:szCs w:val="21"/>
          <w:highlight w:val="none"/>
        </w:rPr>
        <w:t xml:space="preserve">设备</w:t>
      </w:r>
      <w:r>
        <w:rPr>
          <w:color w:val="000000"/>
          <w:highlight w:val="none"/>
        </w:rPr>
        <w:t xml:space="preserve">装机所产生的垃圾及包装拆除物进行清理。因包装拆除物原因引起的事故和纠纷，由供应商承担全部法律和经济责任。</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3、供应商负责派人员到现场进行安装调试，</w:t>
      </w:r>
      <w:r>
        <w:rPr>
          <w:color w:val="000000"/>
          <w:szCs w:val="21"/>
          <w:highlight w:val="none"/>
          <w:lang w:val="zh-CN"/>
        </w:rPr>
        <w:t xml:space="preserve">并确保正常使用，</w:t>
      </w:r>
      <w:r>
        <w:rPr>
          <w:color w:val="000000"/>
          <w:szCs w:val="21"/>
          <w:highlight w:val="none"/>
        </w:rPr>
        <w:t xml:space="preserve">直至验收合格；应在货物运抵现场前，与采购人共同制定安装调试的进度计划表。</w:t>
      </w:r>
      <w:r>
        <w:rPr>
          <w:color w:val="000000"/>
          <w:szCs w:val="21"/>
          <w:highlight w:val="none"/>
        </w:rPr>
      </w:r>
      <w:r/>
    </w:p>
    <w:p>
      <w:pPr>
        <w:pStyle w:val="1166"/>
        <w:ind w:firstLine="420"/>
        <w:spacing w:line="360" w:lineRule="auto"/>
        <w:rPr>
          <w:color w:val="000000"/>
          <w:highlight w:val="none"/>
        </w:rPr>
      </w:pPr>
      <w:r>
        <w:rPr>
          <w:color w:val="000000"/>
          <w:szCs w:val="21"/>
          <w:highlight w:val="none"/>
        </w:rPr>
        <w:t xml:space="preserve">4、设备有</w:t>
      </w:r>
      <w:r>
        <w:rPr>
          <w:color w:val="000000"/>
          <w:szCs w:val="21"/>
          <w:highlight w:val="none"/>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rPr>
          <w:color w:val="000000"/>
          <w:highlight w:val="none"/>
        </w:rPr>
      </w:r>
      <w:r/>
    </w:p>
    <w:p>
      <w:pPr>
        <w:pStyle w:val="1166"/>
        <w:ind w:firstLine="420"/>
        <w:spacing w:line="360" w:lineRule="auto"/>
        <w:rPr>
          <w:color w:val="000000"/>
          <w:szCs w:val="21"/>
          <w:highlight w:val="none"/>
        </w:rPr>
      </w:pPr>
      <w:r/>
      <w:bookmarkEnd w:id="236"/>
      <w:r>
        <w:rPr>
          <w:color w:val="000000"/>
          <w:szCs w:val="21"/>
          <w:highlight w:val="none"/>
        </w:rPr>
        <w:t xml:space="preserve">5、供应商免费提供设备使用相关培训工作。应有专业技术人员对采购人指定人员进行现场培训，</w:t>
      </w:r>
      <w:r>
        <w:rPr>
          <w:rFonts w:hint="eastAsia"/>
          <w:color w:val="000000"/>
          <w:szCs w:val="21"/>
          <w:highlight w:val="none"/>
        </w:rPr>
        <w:t xml:space="preserve">培训费用包含在报价中</w:t>
      </w:r>
      <w:r>
        <w:rPr>
          <w:color w:val="000000"/>
          <w:szCs w:val="21"/>
          <w:highlight w:val="none"/>
        </w:rPr>
        <w:t xml:space="preserve">。培训的内容应包括但不限于：</w:t>
      </w:r>
      <w:r>
        <w:rPr>
          <w:color w:val="000000"/>
          <w:szCs w:val="21"/>
          <w:highlight w:val="none"/>
        </w:rPr>
        <w:t xml:space="preserve">货物的基本结构、性能、主要部件的构造及处理，</w:t>
      </w:r>
      <w:r>
        <w:rPr>
          <w:color w:val="000000"/>
          <w:szCs w:val="21"/>
          <w:highlight w:val="none"/>
        </w:rPr>
        <w:t xml:space="preserve">日常操作使用、日常维护和保养方法、</w:t>
      </w:r>
      <w:r>
        <w:rPr>
          <w:color w:val="000000"/>
          <w:szCs w:val="21"/>
          <w:highlight w:val="none"/>
        </w:rPr>
        <w:t xml:space="preserve">常见故障的排除、</w:t>
      </w:r>
      <w:r>
        <w:rPr>
          <w:color w:val="000000"/>
          <w:szCs w:val="21"/>
          <w:highlight w:val="none"/>
        </w:rPr>
        <w:t xml:space="preserve">安全注意事项及</w:t>
      </w:r>
      <w:r>
        <w:rPr>
          <w:color w:val="000000"/>
          <w:szCs w:val="21"/>
          <w:highlight w:val="none"/>
        </w:rPr>
        <w:t xml:space="preserve">紧急情况的处理</w:t>
      </w:r>
      <w:r>
        <w:rPr>
          <w:color w:val="000000"/>
          <w:szCs w:val="21"/>
          <w:highlight w:val="none"/>
        </w:rPr>
        <w:t xml:space="preserve">等</w:t>
      </w:r>
      <w:r>
        <w:rPr>
          <w:color w:val="000000"/>
          <w:szCs w:val="21"/>
          <w:highlight w:val="none"/>
        </w:rPr>
        <w:t xml:space="preserve">内容，供应商出具培训记录单。培训地点主要在货物安装现场或由甲方安排。</w:t>
      </w:r>
      <w:r>
        <w:rPr>
          <w:color w:val="000000"/>
          <w:szCs w:val="21"/>
          <w:highlight w:val="none"/>
        </w:rPr>
      </w:r>
      <w:r/>
    </w:p>
    <w:p>
      <w:pPr>
        <w:pStyle w:val="1166"/>
        <w:spacing w:line="360" w:lineRule="auto"/>
        <w:rPr>
          <w:b/>
          <w:bCs/>
          <w:color w:val="000000"/>
          <w:szCs w:val="21"/>
          <w:highlight w:val="none"/>
        </w:rPr>
      </w:pPr>
      <w:r/>
      <w:bookmarkEnd w:id="237"/>
      <w:r>
        <w:rPr>
          <w:b/>
          <w:bCs/>
          <w:color w:val="000000"/>
          <w:szCs w:val="21"/>
          <w:highlight w:val="none"/>
        </w:rPr>
        <w:t xml:space="preserve">六、 售后服务要求</w:t>
      </w:r>
      <w:r>
        <w:rPr>
          <w:b/>
          <w:bCs/>
          <w:color w:val="000000"/>
          <w:szCs w:val="21"/>
          <w:highlight w:val="none"/>
        </w:rPr>
      </w:r>
      <w:r/>
    </w:p>
    <w:p>
      <w:pPr>
        <w:pStyle w:val="1166"/>
        <w:ind w:firstLine="420"/>
        <w:jc w:val="left"/>
        <w:spacing w:line="360" w:lineRule="auto"/>
        <w:rPr>
          <w:b/>
          <w:bCs/>
          <w:color w:val="000000"/>
          <w:szCs w:val="21"/>
          <w:highlight w:val="none"/>
        </w:rPr>
      </w:pPr>
      <w:r>
        <w:rPr>
          <w:bCs/>
          <w:color w:val="000000"/>
          <w:szCs w:val="21"/>
          <w:highlight w:val="none"/>
        </w:rPr>
        <w:t xml:space="preserve">1、</w:t>
      </w:r>
      <w:bookmarkStart w:id="239" w:name="_Hlk198051634"/>
      <w:r>
        <w:rPr>
          <w:bCs/>
          <w:color w:val="000000"/>
          <w:szCs w:val="21"/>
          <w:highlight w:val="none"/>
        </w:rPr>
        <w:t xml:space="preserve">质保期：</w:t>
      </w:r>
      <w:r>
        <w:rPr>
          <w:color w:val="000000"/>
          <w:highlight w:val="none"/>
        </w:rPr>
        <w:t xml:space="preserve">设备整体（包含配套设备和配件）质保期</w:t>
      </w:r>
      <w:r>
        <w:rPr>
          <w:b/>
          <w:color w:val="000000"/>
          <w:szCs w:val="21"/>
          <w:highlight w:val="none"/>
        </w:rPr>
        <w:t xml:space="preserve">详见本章项目概况。</w:t>
      </w:r>
      <w:bookmarkStart w:id="240" w:name="_Hlk197957919"/>
      <w:r>
        <w:rPr>
          <w:b/>
          <w:bCs/>
          <w:color w:val="000000"/>
          <w:szCs w:val="21"/>
          <w:highlight w:val="none"/>
        </w:rPr>
        <w:t xml:space="preserve">提供售后服务方案并</w:t>
      </w:r>
      <w:r>
        <w:rPr>
          <w:b/>
          <w:bCs/>
          <w:color w:val="000000"/>
          <w:highlight w:val="none"/>
        </w:rPr>
        <w:t xml:space="preserve">承诺中标后提供制造商或总代</w:t>
      </w:r>
      <w:r>
        <w:rPr>
          <w:b/>
          <w:bCs/>
          <w:color w:val="000000"/>
          <w:szCs w:val="21"/>
          <w:highlight w:val="none"/>
        </w:rPr>
        <w:t xml:space="preserve">出具的针对本项目售后服务承诺书（原件）</w:t>
      </w:r>
      <w:r>
        <w:rPr>
          <w:b/>
          <w:bCs/>
          <w:color w:val="000000"/>
          <w:highlight w:val="none"/>
        </w:rPr>
        <w:t xml:space="preserve">。</w:t>
      </w:r>
      <w:r>
        <w:rPr>
          <w:b/>
          <w:bCs/>
          <w:color w:val="000000"/>
          <w:szCs w:val="21"/>
          <w:highlight w:val="none"/>
        </w:rPr>
      </w:r>
      <w:r/>
    </w:p>
    <w:p>
      <w:pPr>
        <w:pStyle w:val="1166"/>
        <w:ind w:firstLine="420"/>
        <w:spacing w:line="360" w:lineRule="auto"/>
        <w:rPr>
          <w:color w:val="000000"/>
          <w:szCs w:val="21"/>
          <w:highlight w:val="none"/>
        </w:rPr>
      </w:pPr>
      <w:r/>
      <w:bookmarkEnd w:id="239"/>
      <w:r/>
      <w:bookmarkEnd w:id="240"/>
      <w:r>
        <w:rPr>
          <w:rFonts w:ascii="宋体" w:hAnsi="宋体" w:cs="宋体"/>
          <w:bCs/>
          <w:color w:val="000000"/>
          <w:highlight w:val="none"/>
        </w:rPr>
        <w:t xml:space="preserve">质保期自项目验收合格之日起开始计算</w:t>
      </w:r>
      <w:r>
        <w:rPr>
          <w:rFonts w:hint="eastAsia" w:ascii="宋体" w:hAnsi="宋体" w:cs="宋体"/>
          <w:bCs/>
          <w:color w:val="000000"/>
          <w:highlight w:val="none"/>
        </w:rPr>
        <w:t xml:space="preserve">。</w:t>
      </w:r>
      <w:r>
        <w:rPr>
          <w:rFonts w:hint="eastAsia"/>
          <w:color w:val="000000"/>
          <w:szCs w:val="21"/>
          <w:highlight w:val="none"/>
        </w:rPr>
        <w:t xml:space="preserve">在质量保证期内，货物出现运行故障的，</w:t>
      </w:r>
      <w:r>
        <w:rPr>
          <w:rFonts w:hint="eastAsia" w:ascii="宋体" w:hAnsi="宋体" w:cs="宋体"/>
          <w:bCs/>
          <w:color w:val="000000"/>
          <w:highlight w:val="none"/>
        </w:rPr>
        <w:t xml:space="preserve">供应商</w:t>
      </w:r>
      <w:r>
        <w:rPr>
          <w:rFonts w:hint="eastAsia"/>
          <w:color w:val="000000"/>
          <w:szCs w:val="21"/>
          <w:highlight w:val="none"/>
        </w:rPr>
        <w:t xml:space="preserve">应在收到采购人通知后无条件提供保修服务，因此发生一切费用</w:t>
      </w:r>
      <w:r>
        <w:rPr>
          <w:bCs/>
          <w:color w:val="000000"/>
          <w:szCs w:val="21"/>
          <w:highlight w:val="none"/>
        </w:rPr>
        <w:t xml:space="preserve">（包括人工费、差旅费、备件费、部件更换、全部的保养、维修、维护、更换和技术支持等所有费用）</w:t>
      </w:r>
      <w:r>
        <w:rPr>
          <w:rFonts w:hint="eastAsia"/>
          <w:color w:val="000000"/>
          <w:szCs w:val="21"/>
          <w:highlight w:val="none"/>
        </w:rPr>
        <w:t xml:space="preserve">由</w:t>
      </w:r>
      <w:r>
        <w:rPr>
          <w:rFonts w:hint="eastAsia" w:ascii="宋体" w:hAnsi="宋体" w:cs="宋体"/>
          <w:bCs/>
          <w:color w:val="000000"/>
          <w:highlight w:val="none"/>
        </w:rPr>
        <w:t xml:space="preserve">供应商</w:t>
      </w:r>
      <w:r>
        <w:rPr>
          <w:rFonts w:hint="eastAsia"/>
          <w:color w:val="000000"/>
          <w:szCs w:val="21"/>
          <w:highlight w:val="none"/>
        </w:rPr>
        <w:t xml:space="preserve">承担</w:t>
      </w:r>
      <w:r>
        <w:rPr>
          <w:color w:val="000000"/>
          <w:szCs w:val="21"/>
          <w:highlight w:val="none"/>
        </w:rPr>
        <w:t xml:space="preserve">，</w:t>
      </w:r>
      <w:r>
        <w:rPr>
          <w:rFonts w:hint="eastAsia"/>
          <w:color w:val="000000"/>
          <w:szCs w:val="21"/>
          <w:highlight w:val="none"/>
        </w:rPr>
        <w:t xml:space="preserve">且乙方应</w:t>
      </w:r>
      <w:r>
        <w:rPr>
          <w:bCs/>
          <w:color w:val="000000"/>
          <w:szCs w:val="21"/>
          <w:highlight w:val="none"/>
        </w:rPr>
        <w:t xml:space="preserve">每年</w:t>
      </w:r>
      <w:r>
        <w:rPr>
          <w:color w:val="000000"/>
          <w:szCs w:val="21"/>
          <w:highlight w:val="none"/>
        </w:rPr>
        <w:t xml:space="preserve">提供不少于1次的免费现场</w:t>
      </w:r>
      <w:r>
        <w:rPr>
          <w:rFonts w:hint="eastAsia" w:ascii="宋体" w:hAnsi="宋体" w:cs="宋体"/>
          <w:color w:val="000000"/>
          <w:szCs w:val="21"/>
          <w:highlight w:val="none"/>
        </w:rPr>
        <w:t xml:space="preserve">预防性维护和安全风险排查</w:t>
      </w:r>
      <w:r>
        <w:rPr>
          <w:color w:val="000000"/>
          <w:highlight w:val="none"/>
        </w:rPr>
        <w:t xml:space="preserve">服务并出具服务报告。</w:t>
      </w:r>
      <w:r>
        <w:rPr>
          <w:rFonts w:hint="eastAsia"/>
          <w:color w:val="000000"/>
          <w:highlight w:val="none"/>
        </w:rPr>
        <w:t xml:space="preserve">供应商每年免费提供一次性能校验，出具校验报告，相关费用包含在总价中</w:t>
      </w:r>
      <w:r>
        <w:rPr>
          <w:rFonts w:hint="eastAsia" w:ascii="宋体" w:hAnsi="宋体" w:cs="宋体"/>
          <w:color w:val="000000"/>
          <w:szCs w:val="21"/>
          <w:highlight w:val="none"/>
        </w:rPr>
        <w:t xml:space="preserve">。</w:t>
      </w:r>
      <w:r>
        <w:rPr>
          <w:bCs/>
          <w:color w:val="000000"/>
          <w:szCs w:val="21"/>
          <w:highlight w:val="none"/>
        </w:rPr>
        <w:t xml:space="preserve">供应商及原厂需有服务人员和备品备件库，确保设备正常运行。在保修期内由于产品本身质量原因造成的任何损伤或损坏，投标人须免费负责更换或修理。</w:t>
      </w:r>
      <w:r>
        <w:rPr>
          <w:rFonts w:hint="eastAsia"/>
          <w:color w:val="000000"/>
          <w:szCs w:val="21"/>
          <w:highlight w:val="none"/>
        </w:rPr>
        <w:t xml:space="preserve">如该等出现运行故障的货物，经</w:t>
      </w:r>
      <w:r>
        <w:rPr>
          <w:rFonts w:hint="eastAsia" w:ascii="宋体" w:hAnsi="宋体" w:cs="宋体"/>
          <w:bCs/>
          <w:color w:val="000000"/>
          <w:highlight w:val="none"/>
        </w:rPr>
        <w:t xml:space="preserve">供应商</w:t>
      </w:r>
      <w:r>
        <w:rPr>
          <w:rFonts w:hint="eastAsia"/>
          <w:color w:val="000000"/>
          <w:szCs w:val="21"/>
          <w:highlight w:val="none"/>
        </w:rPr>
        <w:t xml:space="preserve">维修后仍无法正常投入使用，</w:t>
      </w:r>
      <w:r>
        <w:rPr>
          <w:rFonts w:hint="eastAsia" w:ascii="宋体" w:hAnsi="宋体" w:cs="宋体"/>
          <w:bCs/>
          <w:color w:val="000000"/>
          <w:highlight w:val="none"/>
        </w:rPr>
        <w:t xml:space="preserve">供应商</w:t>
      </w:r>
      <w:r>
        <w:rPr>
          <w:rFonts w:hint="eastAsia"/>
          <w:color w:val="000000"/>
          <w:szCs w:val="21"/>
          <w:highlight w:val="none"/>
        </w:rPr>
        <w:t xml:space="preserve">应当立即无条件更换同款型号的新货物，由此产生的一切费用由</w:t>
      </w:r>
      <w:r>
        <w:rPr>
          <w:rFonts w:hint="eastAsia" w:ascii="宋体" w:hAnsi="宋体" w:cs="宋体"/>
          <w:bCs/>
          <w:color w:val="000000"/>
          <w:highlight w:val="none"/>
        </w:rPr>
        <w:t xml:space="preserve">供应商</w:t>
      </w:r>
      <w:r>
        <w:rPr>
          <w:rFonts w:hint="eastAsia"/>
          <w:color w:val="000000"/>
          <w:szCs w:val="21"/>
          <w:highlight w:val="none"/>
        </w:rPr>
        <w:t xml:space="preserve">承担，因此造成</w:t>
      </w:r>
      <w:r>
        <w:rPr>
          <w:rFonts w:hint="eastAsia" w:ascii="宋体" w:hAnsi="宋体" w:cs="宋体"/>
          <w:bCs/>
          <w:color w:val="000000"/>
          <w:highlight w:val="none"/>
        </w:rPr>
        <w:t xml:space="preserve">采购人</w:t>
      </w:r>
      <w:r>
        <w:rPr>
          <w:rFonts w:hint="eastAsia"/>
          <w:color w:val="000000"/>
          <w:szCs w:val="21"/>
          <w:highlight w:val="none"/>
        </w:rPr>
        <w:t xml:space="preserve">无法如期将货物投入使用的，</w:t>
      </w:r>
      <w:r>
        <w:rPr>
          <w:rFonts w:hint="eastAsia" w:ascii="宋体" w:hAnsi="宋体" w:cs="宋体"/>
          <w:bCs/>
          <w:color w:val="000000"/>
          <w:highlight w:val="none"/>
        </w:rPr>
        <w:t xml:space="preserve">供应商</w:t>
      </w:r>
      <w:r>
        <w:rPr>
          <w:rFonts w:hint="eastAsia"/>
          <w:color w:val="000000"/>
          <w:szCs w:val="21"/>
          <w:highlight w:val="none"/>
        </w:rPr>
        <w:t xml:space="preserve">还应当赔偿</w:t>
      </w:r>
      <w:r>
        <w:rPr>
          <w:rFonts w:hint="eastAsia" w:ascii="宋体" w:hAnsi="宋体" w:cs="宋体"/>
          <w:bCs/>
          <w:color w:val="000000"/>
          <w:highlight w:val="none"/>
        </w:rPr>
        <w:t xml:space="preserve">采购人</w:t>
      </w:r>
      <w:r>
        <w:rPr>
          <w:rFonts w:hint="eastAsia"/>
          <w:color w:val="000000"/>
          <w:szCs w:val="21"/>
          <w:highlight w:val="none"/>
        </w:rPr>
        <w:t xml:space="preserve">损失。</w:t>
      </w:r>
      <w:r>
        <w:rPr>
          <w:color w:val="000000"/>
          <w:szCs w:val="21"/>
          <w:highlight w:val="none"/>
        </w:rPr>
      </w:r>
      <w:r/>
    </w:p>
    <w:p>
      <w:pPr>
        <w:pStyle w:val="1166"/>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2、售后服务响应时间：供应商应提供</w:t>
      </w:r>
      <w:r>
        <w:rPr>
          <w:rFonts w:ascii="宋体" w:hAnsi="宋体" w:cs="宋体"/>
          <w:color w:val="000000"/>
          <w:szCs w:val="21"/>
          <w:highlight w:val="none"/>
        </w:rPr>
        <w:t xml:space="preserve"> 7×24 小时人工技术</w:t>
      </w:r>
      <w:r>
        <w:rPr>
          <w:rFonts w:hint="eastAsia"/>
          <w:color w:val="000000"/>
          <w:szCs w:val="21"/>
          <w:highlight w:val="none"/>
        </w:rPr>
        <w:t xml:space="preserve">支持</w:t>
      </w:r>
      <w:r>
        <w:rPr>
          <w:rFonts w:ascii="宋体" w:hAnsi="宋体" w:cs="宋体"/>
          <w:color w:val="000000"/>
          <w:szCs w:val="21"/>
          <w:highlight w:val="none"/>
        </w:rPr>
        <w:t xml:space="preserve">，全天候受理故障报修</w:t>
      </w:r>
      <w:r>
        <w:rPr>
          <w:rFonts w:hint="eastAsia"/>
          <w:color w:val="000000"/>
          <w:szCs w:val="21"/>
          <w:highlight w:val="none"/>
        </w:rPr>
        <w:t xml:space="preserve">，有针对采购人的应急保障方案。</w:t>
      </w:r>
      <w:r>
        <w:rPr>
          <w:rFonts w:hint="eastAsia" w:ascii="宋体" w:hAnsi="宋体" w:cs="宋体"/>
          <w:bCs/>
          <w:color w:val="000000"/>
          <w:highlight w:val="none"/>
        </w:rPr>
        <w:t xml:space="preserve">在接到采购人设备报修通知后，响应时间不超过</w:t>
      </w:r>
      <w:r>
        <w:rPr>
          <w:rFonts w:ascii="宋体" w:hAnsi="宋体" w:cs="宋体"/>
          <w:bCs/>
          <w:color w:val="000000"/>
          <w:highlight w:val="none"/>
        </w:rPr>
        <w:t xml:space="preserve">2</w:t>
      </w:r>
      <w:r>
        <w:rPr>
          <w:rFonts w:hint="eastAsia" w:ascii="宋体" w:hAnsi="宋体" w:cs="宋体"/>
          <w:bCs/>
          <w:color w:val="000000"/>
          <w:highlight w:val="none"/>
        </w:rPr>
        <w:t xml:space="preserve">小时，查找原因，提出解决方案，若设备需要进行现场维修，</w:t>
      </w:r>
      <w:bookmarkStart w:id="241" w:name="_Hlk198115646"/>
      <w:r>
        <w:rPr>
          <w:rFonts w:hint="eastAsia" w:ascii="宋体" w:hAnsi="宋体" w:cs="宋体"/>
          <w:color w:val="000000"/>
          <w:szCs w:val="21"/>
          <w:highlight w:val="none"/>
        </w:rPr>
        <w:t xml:space="preserve">当发生</w:t>
      </w:r>
      <w:r>
        <w:rPr>
          <w:rFonts w:hint="eastAsia"/>
          <w:color w:val="000000"/>
          <w:highlight w:val="none"/>
        </w:rPr>
        <w:t xml:space="preserve">设备关键部件或系统故障</w:t>
      </w:r>
      <w:r>
        <w:rPr>
          <w:rFonts w:hint="eastAsia" w:ascii="宋体" w:hAnsi="宋体" w:cs="宋体"/>
          <w:color w:val="000000"/>
          <w:highlight w:val="none"/>
        </w:rPr>
        <w:t xml:space="preserve">时</w:t>
      </w:r>
      <w:r>
        <w:rPr>
          <w:rFonts w:hint="eastAsia"/>
          <w:color w:val="000000"/>
          <w:highlight w:val="none"/>
        </w:rPr>
        <w:t xml:space="preserve">，</w:t>
      </w:r>
      <w:r>
        <w:rPr>
          <w:rFonts w:hint="eastAsia" w:ascii="宋体" w:hAnsi="宋体" w:cs="宋体"/>
          <w:bCs/>
          <w:color w:val="000000"/>
          <w:highlight w:val="none"/>
        </w:rPr>
        <w:t xml:space="preserve">供应商必须提供应急故障维修，工程师</w:t>
      </w:r>
      <w:r>
        <w:rPr>
          <w:rFonts w:hint="eastAsia"/>
          <w:color w:val="000000"/>
          <w:highlight w:val="none"/>
        </w:rPr>
        <w:t xml:space="preserve">应不超过</w:t>
      </w:r>
      <w:r>
        <w:rPr>
          <w:color w:val="000000"/>
          <w:highlight w:val="none"/>
        </w:rPr>
        <w:t xml:space="preserve">12</w:t>
      </w:r>
      <w:r>
        <w:rPr>
          <w:rFonts w:hint="eastAsia"/>
          <w:color w:val="000000"/>
          <w:highlight w:val="none"/>
        </w:rPr>
        <w:t xml:space="preserve">小时修复故障，</w:t>
      </w:r>
      <w:r>
        <w:rPr>
          <w:rFonts w:hint="eastAsia" w:ascii="宋体" w:hAnsi="宋体" w:cs="宋体"/>
          <w:color w:val="000000"/>
          <w:highlight w:val="none"/>
        </w:rPr>
        <w:t xml:space="preserve">如为</w:t>
      </w:r>
      <w:r>
        <w:rPr>
          <w:rFonts w:hint="eastAsia"/>
          <w:color w:val="000000"/>
          <w:highlight w:val="none"/>
        </w:rPr>
        <w:t xml:space="preserve">一般故障</w:t>
      </w:r>
      <w:r>
        <w:rPr>
          <w:color w:val="000000"/>
          <w:highlight w:val="none"/>
        </w:rPr>
        <w:t xml:space="preserve">，</w:t>
      </w:r>
      <w:bookmarkEnd w:id="241"/>
      <w:r>
        <w:rPr>
          <w:rFonts w:hint="eastAsia" w:ascii="宋体" w:hAnsi="宋体" w:cs="宋体"/>
          <w:bCs/>
          <w:color w:val="000000"/>
          <w:highlight w:val="none"/>
        </w:rPr>
        <w:t xml:space="preserve">工程师应</w:t>
      </w:r>
      <w:r>
        <w:rPr>
          <w:rFonts w:hint="eastAsia"/>
          <w:color w:val="000000"/>
          <w:highlight w:val="none"/>
        </w:rPr>
        <w:t xml:space="preserve">不超过</w:t>
      </w:r>
      <w:r>
        <w:rPr>
          <w:rFonts w:ascii="宋体" w:hAnsi="宋体" w:cs="宋体"/>
          <w:bCs/>
          <w:color w:val="000000"/>
          <w:highlight w:val="none"/>
        </w:rPr>
        <w:t xml:space="preserve">24</w:t>
      </w:r>
      <w:r>
        <w:rPr>
          <w:rFonts w:hint="eastAsia" w:ascii="宋体" w:hAnsi="宋体" w:cs="宋体"/>
          <w:bCs/>
          <w:color w:val="000000"/>
          <w:highlight w:val="none"/>
        </w:rPr>
        <w:t xml:space="preserve">小时到达现场，</w:t>
      </w:r>
      <w:r>
        <w:rPr>
          <w:rFonts w:hint="eastAsia"/>
          <w:color w:val="000000"/>
          <w:highlight w:val="none"/>
        </w:rPr>
        <w:t xml:space="preserve">不超过</w:t>
      </w:r>
      <w:r>
        <w:rPr>
          <w:rFonts w:ascii="宋体" w:hAnsi="宋体" w:cs="宋体"/>
          <w:bCs/>
          <w:color w:val="000000"/>
          <w:highlight w:val="none"/>
        </w:rPr>
        <w:t xml:space="preserve">48</w:t>
      </w:r>
      <w:r>
        <w:rPr>
          <w:rFonts w:hint="eastAsia" w:ascii="宋体" w:hAnsi="宋体" w:cs="宋体"/>
          <w:bCs/>
          <w:color w:val="000000"/>
          <w:highlight w:val="none"/>
        </w:rPr>
        <w:t xml:space="preserve">小时修复或免费提供备用机，否则采购人可自行采取必要的措施，由此产生的风险和费用由供应商承担。如有特殊情况，供应商应立即电话通知采购人不能响应的原因，在获得采购人同意后，才可推迟响应时间。</w:t>
      </w:r>
      <w:r>
        <w:rPr>
          <w:rFonts w:ascii="宋体" w:hAnsi="宋体" w:cs="宋体"/>
          <w:bCs/>
          <w:color w:val="000000"/>
          <w:highlight w:val="none"/>
        </w:rPr>
      </w:r>
      <w:r/>
    </w:p>
    <w:p>
      <w:pPr>
        <w:pStyle w:val="1166"/>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3、无论是否在产品质量保证期内，如经双方确认或双方认可的第三方检测机构确认，是由于供应商产品存在安全隐患或产品设计缺陷的，供应商应当无条件对有安全隐患的产品根据实际情况采取升级改造、更换或者召回等补救措施，由此产生的一切费用由供应商承担，供应商赔偿采购人因此造成一切损失（声誉损失及/或经济损失）。</w:t>
      </w:r>
      <w:r>
        <w:rPr>
          <w:rFonts w:ascii="宋体" w:hAnsi="宋体" w:cs="宋体"/>
          <w:bCs/>
          <w:color w:val="000000"/>
          <w:highlight w:val="none"/>
        </w:rPr>
      </w:r>
      <w:r/>
    </w:p>
    <w:p>
      <w:pPr>
        <w:pStyle w:val="1166"/>
        <w:ind w:firstLine="420"/>
        <w:jc w:val="left"/>
        <w:spacing w:line="360" w:lineRule="auto"/>
        <w:rPr>
          <w:bCs/>
          <w:color w:val="000000"/>
          <w:szCs w:val="21"/>
          <w:highlight w:val="none"/>
        </w:rPr>
      </w:pPr>
      <w:r>
        <w:rPr>
          <w:rFonts w:hint="eastAsia" w:ascii="宋体" w:hAnsi="宋体" w:cs="宋体"/>
          <w:bCs/>
          <w:color w:val="000000"/>
          <w:highlight w:val="none"/>
        </w:rPr>
        <w:t xml:space="preserve">4、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bCs/>
          <w:color w:val="000000"/>
          <w:szCs w:val="21"/>
          <w:highlight w:val="none"/>
        </w:rPr>
      </w:r>
      <w:r/>
    </w:p>
    <w:p>
      <w:pPr>
        <w:pStyle w:val="1166"/>
        <w:ind w:firstLine="420"/>
        <w:spacing w:line="360" w:lineRule="auto"/>
        <w:rPr>
          <w:color w:val="000000"/>
          <w:highlight w:val="none"/>
        </w:rPr>
      </w:pPr>
      <w:r/>
      <w:bookmarkStart w:id="242" w:name="_Hlk198051803"/>
      <w:r>
        <w:rPr>
          <w:rFonts w:hint="eastAsia"/>
          <w:color w:val="000000"/>
          <w:highlight w:val="none"/>
        </w:rPr>
        <w:t xml:space="preserve">5、</w:t>
      </w:r>
      <w:bookmarkStart w:id="243" w:name="_Hlk233975558"/>
      <w:r/>
      <w:bookmarkStart w:id="244" w:name="_Hlk233975013"/>
      <w:r>
        <w:rPr>
          <w:rFonts w:hint="eastAsia"/>
          <w:color w:val="000000"/>
          <w:highlight w:val="none"/>
        </w:rPr>
        <w:t xml:space="preserve">售后服务方案：投标人须提供售后服务方案，</w:t>
      </w:r>
      <w:r>
        <w:rPr>
          <w:rFonts w:hint="eastAsia" w:ascii="宋体" w:hAnsi="宋体"/>
          <w:color w:val="000000"/>
          <w:highlight w:val="none"/>
        </w:rPr>
        <w:t xml:space="preserve">售后服务机制、服务架构、响应时间等，以上要素完备齐全且适用于本项目并有利于所述方案具体落地实施操作。</w:t>
      </w:r>
      <w:r>
        <w:rPr>
          <w:rFonts w:hint="eastAsia"/>
          <w:color w:val="000000"/>
          <w:highlight w:val="none"/>
        </w:rPr>
        <w:t xml:space="preserve">内容包括但不限于：</w:t>
      </w:r>
      <w:r>
        <w:rPr>
          <w:rFonts w:hint="eastAsia" w:ascii="宋体" w:hAnsi="宋体"/>
          <w:color w:val="000000"/>
          <w:highlight w:val="none"/>
        </w:rPr>
        <w:t xml:space="preserve">有明确的售后服务范围，售后服务人员配备齐全；提供明确的响应电话，</w:t>
      </w:r>
      <w:r>
        <w:rPr>
          <w:rFonts w:hint="eastAsia" w:ascii="宋体" w:hAnsi="宋体"/>
          <w:color w:val="000000"/>
          <w:highlight w:val="none"/>
          <w:lang w:bidi="ar"/>
        </w:rPr>
        <w:t xml:space="preserve">响应时效</w:t>
      </w:r>
      <w:r>
        <w:rPr>
          <w:rFonts w:hint="eastAsia" w:ascii="宋体" w:hAnsi="宋体"/>
          <w:color w:val="000000"/>
          <w:highlight w:val="none"/>
        </w:rPr>
        <w:t xml:space="preserve">、到达现场时间，有明确的</w:t>
      </w:r>
      <w:r>
        <w:rPr>
          <w:rFonts w:hint="eastAsia" w:ascii="宋体" w:hAnsi="宋体"/>
          <w:color w:val="000000"/>
          <w:highlight w:val="none"/>
          <w:lang w:bidi="ar"/>
        </w:rPr>
        <w:t xml:space="preserve">故障处理时间</w:t>
      </w:r>
      <w:r>
        <w:rPr>
          <w:rFonts w:hint="eastAsia" w:ascii="宋体" w:hAnsi="宋体"/>
          <w:color w:val="000000"/>
          <w:highlight w:val="none"/>
        </w:rPr>
        <w:t xml:space="preserve">，并提供备用设备供临时使用；有</w:t>
      </w:r>
      <w:r>
        <w:rPr>
          <w:rFonts w:hint="eastAsia" w:ascii="宋体" w:hAnsi="宋体"/>
          <w:color w:val="000000"/>
          <w:highlight w:val="none"/>
          <w:lang w:bidi="ar"/>
        </w:rPr>
        <w:t xml:space="preserve">额外免费延保服务，免费上门巡检服务；有备品备件供应服务；质保期满后维修、维保、校准等各项服务优惠情况等</w:t>
      </w:r>
      <w:r>
        <w:rPr>
          <w:rFonts w:hint="eastAsia" w:ascii="宋体" w:hAnsi="宋体"/>
          <w:color w:val="000000"/>
          <w:highlight w:val="none"/>
        </w:rPr>
        <w:t xml:space="preserve">。</w:t>
      </w:r>
      <w:bookmarkEnd w:id="243"/>
      <w:r>
        <w:rPr>
          <w:color w:val="000000"/>
          <w:highlight w:val="none"/>
        </w:rPr>
      </w:r>
      <w:r/>
    </w:p>
    <w:p>
      <w:pPr>
        <w:pStyle w:val="1166"/>
        <w:ind w:firstLine="420"/>
        <w:spacing w:line="360" w:lineRule="auto"/>
        <w:rPr>
          <w:color w:val="000000"/>
          <w:highlight w:val="none"/>
        </w:rPr>
      </w:pPr>
      <w:r>
        <w:rPr>
          <w:rFonts w:hint="eastAsia"/>
          <w:color w:val="000000"/>
          <w:highlight w:val="none"/>
        </w:rPr>
        <w:t xml:space="preserve">6、</w:t>
      </w:r>
      <w:bookmarkStart w:id="245" w:name="_Hlk233975575"/>
      <w:r>
        <w:rPr>
          <w:rFonts w:hint="eastAsia"/>
          <w:color w:val="000000"/>
          <w:highlight w:val="none"/>
        </w:rPr>
        <w:t xml:space="preserve">应急方案：投标人有针对采购人的应急保障方案和风险管理等措施，应能有效应对可能出现的风险，保证供货和售后服务的及时性、稳定性和可靠性。供应商须详尽列明设备投入使用后可能发生的紧急情况及对不可预见因素的预测，并提供针对这些情况制定的完善的风险管理方案、应急处理措施、应急响应时间、应急人员安排、时效性、采取的补救措施、和风险管控措施等。</w:t>
      </w:r>
      <w:bookmarkEnd w:id="245"/>
      <w:r>
        <w:rPr>
          <w:color w:val="000000"/>
          <w:highlight w:val="none"/>
        </w:rPr>
      </w:r>
      <w:r/>
    </w:p>
    <w:p>
      <w:pPr>
        <w:pStyle w:val="1166"/>
        <w:ind w:firstLine="420"/>
        <w:spacing w:line="360" w:lineRule="auto"/>
        <w:rPr>
          <w:color w:val="000000"/>
          <w:highlight w:val="none"/>
        </w:rPr>
      </w:pPr>
      <w:r>
        <w:rPr>
          <w:color w:val="000000"/>
          <w:highlight w:val="none"/>
        </w:rPr>
        <w:t xml:space="preserve">7</w:t>
      </w:r>
      <w:r>
        <w:rPr>
          <w:rFonts w:hint="eastAsia"/>
          <w:color w:val="000000"/>
          <w:highlight w:val="none"/>
        </w:rPr>
        <w:t xml:space="preserve">、供应商须提供质保期满后设备维修保养服务、校准服务及易损零配件报价，包含年度维保服务费、维修服务费、校准服务费以及易损零配件单价，</w:t>
      </w:r>
      <w:bookmarkStart w:id="246" w:name="_Hlk233888144"/>
      <w:r>
        <w:rPr>
          <w:rFonts w:hint="eastAsia"/>
          <w:color w:val="000000"/>
          <w:highlight w:val="none"/>
        </w:rPr>
        <w:t xml:space="preserve">格式自拟并加盖投标人公章</w:t>
      </w:r>
      <w:r>
        <w:rPr>
          <w:color w:val="000000"/>
          <w:highlight w:val="none"/>
        </w:rPr>
        <w:t xml:space="preserve">。</w:t>
      </w:r>
      <w:bookmarkEnd w:id="246"/>
      <w:r>
        <w:rPr>
          <w:color w:val="000000"/>
          <w:highlight w:val="none"/>
        </w:rPr>
      </w:r>
      <w:r/>
    </w:p>
    <w:p>
      <w:pPr>
        <w:pStyle w:val="1166"/>
        <w:ind w:firstLine="420"/>
        <w:spacing w:line="360" w:lineRule="auto"/>
        <w:rPr>
          <w:color w:val="000000"/>
          <w:highlight w:val="none"/>
        </w:rPr>
      </w:pPr>
      <w:r/>
      <w:bookmarkEnd w:id="244"/>
      <w:r>
        <w:rPr>
          <w:color w:val="000000"/>
          <w:highlight w:val="none"/>
        </w:rPr>
        <w:t xml:space="preserve">8</w:t>
      </w:r>
      <w:r>
        <w:rPr>
          <w:rFonts w:hint="eastAsia"/>
          <w:color w:val="000000"/>
          <w:highlight w:val="none"/>
        </w:rPr>
        <w:t xml:space="preserve">、供应商须提供设备所有配套专用试剂、耗材及其他用品等相关材料（如有），须提供名称、规格型号、单价、是否纳入江苏省或南京市试剂耗材集中采购平台等信息。</w:t>
      </w:r>
      <w:bookmarkStart w:id="247" w:name="_Hlk233888120"/>
      <w:r>
        <w:rPr>
          <w:rFonts w:hint="eastAsia"/>
          <w:color w:val="000000"/>
          <w:highlight w:val="none"/>
        </w:rPr>
        <w:t xml:space="preserve">格式自拟并</w:t>
      </w:r>
      <w:bookmarkEnd w:id="247"/>
      <w:r>
        <w:rPr>
          <w:rFonts w:hint="eastAsia"/>
          <w:color w:val="000000"/>
          <w:highlight w:val="none"/>
        </w:rPr>
        <w:t xml:space="preserve">加盖投标人公章。</w:t>
      </w:r>
      <w:r>
        <w:rPr>
          <w:color w:val="000000"/>
          <w:highlight w:val="none"/>
        </w:rPr>
      </w:r>
      <w:r/>
    </w:p>
    <w:p>
      <w:pPr>
        <w:pStyle w:val="1166"/>
        <w:ind w:firstLine="422"/>
        <w:spacing w:line="360" w:lineRule="auto"/>
        <w:rPr>
          <w:b/>
          <w:bCs/>
          <w:color w:val="000000"/>
          <w:highlight w:val="none"/>
        </w:rPr>
      </w:pPr>
      <w:r>
        <w:rPr>
          <w:rFonts w:hint="eastAsia"/>
          <w:b/>
          <w:bCs/>
          <w:color w:val="000000"/>
          <w:highlight w:val="none"/>
        </w:rPr>
        <w:t xml:space="preserve">七、验收要求：</w:t>
      </w:r>
      <w:r>
        <w:rPr>
          <w:b/>
          <w:bCs/>
          <w:color w:val="000000"/>
          <w:highlight w:val="none"/>
        </w:rPr>
      </w:r>
      <w:r/>
    </w:p>
    <w:p>
      <w:pPr>
        <w:pStyle w:val="1166"/>
        <w:ind w:firstLine="420"/>
        <w:spacing w:line="360" w:lineRule="auto"/>
        <w:rPr>
          <w:color w:val="000000"/>
          <w:highlight w:val="none"/>
        </w:rPr>
      </w:pPr>
      <w:r>
        <w:rPr>
          <w:rFonts w:hint="eastAsia"/>
          <w:color w:val="000000"/>
          <w:highlight w:val="none"/>
        </w:rPr>
        <w:t xml:space="preserve">1、</w:t>
      </w:r>
      <w:r>
        <w:rPr>
          <w:color w:val="000000"/>
          <w:highlight w:val="none"/>
        </w:rPr>
        <w:t xml:space="preserve">设备安装、调试、验收：</w:t>
      </w:r>
      <w:bookmarkStart w:id="248" w:name="_Hlk129865242"/>
      <w:r>
        <w:rPr>
          <w:color w:val="000000"/>
          <w:highlight w:val="none"/>
        </w:rPr>
        <w:t xml:space="preserve">供应商提供的货物（含配件）应是全新的、未使用过的</w:t>
      </w:r>
      <w:r>
        <w:rPr>
          <w:rFonts w:hint="eastAsia"/>
          <w:color w:val="000000"/>
          <w:highlight w:val="none"/>
        </w:rPr>
        <w:t xml:space="preserve">、制造商出厂</w:t>
      </w:r>
      <w:r>
        <w:rPr>
          <w:color w:val="000000"/>
          <w:highlight w:val="none"/>
        </w:rPr>
        <w:t xml:space="preserve">原装合格正品，</w:t>
      </w:r>
      <w:r>
        <w:rPr>
          <w:rFonts w:hint="eastAsia"/>
          <w:color w:val="000000"/>
          <w:highlight w:val="none"/>
        </w:rPr>
        <w:t xml:space="preserve">各项技术指标完全符合国家有关质量检测、环保标准及产品出厂标准。</w:t>
      </w:r>
      <w:r>
        <w:rPr>
          <w:color w:val="000000"/>
          <w:highlight w:val="none"/>
        </w:rPr>
        <w:t xml:space="preserve">供应商</w:t>
      </w:r>
      <w:r>
        <w:rPr>
          <w:rFonts w:hint="eastAsia"/>
          <w:color w:val="000000"/>
          <w:highlight w:val="none"/>
        </w:rPr>
        <w:t xml:space="preserve">应</w:t>
      </w:r>
      <w:r>
        <w:rPr>
          <w:color w:val="000000"/>
          <w:highlight w:val="none"/>
        </w:rPr>
        <w:t xml:space="preserve">保证所提供货物的开箱合格率为100%，外观和内在质量都不得有任何问题，</w:t>
      </w:r>
      <w:bookmarkEnd w:id="248"/>
      <w:r>
        <w:rPr>
          <w:color w:val="000000"/>
          <w:highlight w:val="none"/>
        </w:rPr>
        <w:t xml:space="preserve">应当完全符合招标（采购）文件规定、投标（响应）文件所承诺的数量和规格要求。</w:t>
      </w:r>
      <w:bookmarkStart w:id="249" w:name="_Hlk129865272"/>
      <w:r>
        <w:rPr>
          <w:color w:val="000000"/>
          <w:highlight w:val="none"/>
        </w:rPr>
        <w:t xml:space="preserve">供方提供的货物不符合招标（采购）文件、投标（响应）文件和合同规定的</w:t>
      </w:r>
      <w:r>
        <w:rPr>
          <w:rFonts w:hint="eastAsia"/>
          <w:color w:val="000000"/>
          <w:highlight w:val="none"/>
        </w:rPr>
        <w:t xml:space="preserve">或有任何质量问题</w:t>
      </w:r>
      <w:r>
        <w:rPr>
          <w:color w:val="000000"/>
          <w:highlight w:val="none"/>
        </w:rPr>
        <w:t xml:space="preserve">，</w:t>
      </w:r>
      <w:bookmarkEnd w:id="249"/>
      <w:r>
        <w:rPr>
          <w:rFonts w:hint="eastAsia"/>
          <w:color w:val="000000"/>
          <w:highlight w:val="none"/>
        </w:rPr>
        <w:t xml:space="preserve">采购人</w:t>
      </w:r>
      <w:r>
        <w:rPr>
          <w:color w:val="000000"/>
          <w:highlight w:val="none"/>
        </w:rPr>
        <w:t xml:space="preserve">有权拒收货物，供应商</w:t>
      </w:r>
      <w:r>
        <w:rPr>
          <w:rFonts w:hint="eastAsia"/>
          <w:color w:val="000000"/>
          <w:highlight w:val="none"/>
        </w:rPr>
        <w:t xml:space="preserve">应无条件换货物并承担因此产生的所有运输费用，并承担相应逾期责任</w:t>
      </w:r>
      <w:r>
        <w:rPr>
          <w:color w:val="000000"/>
          <w:highlight w:val="none"/>
        </w:rPr>
        <w:t xml:space="preserve">。造成</w:t>
      </w:r>
      <w:r>
        <w:rPr>
          <w:rFonts w:hint="eastAsia"/>
          <w:color w:val="000000"/>
          <w:highlight w:val="none"/>
        </w:rPr>
        <w:t xml:space="preserve">采购人</w:t>
      </w:r>
      <w:r>
        <w:rPr>
          <w:color w:val="000000"/>
          <w:highlight w:val="none"/>
        </w:rPr>
        <w:t xml:space="preserve">损失的，供应商应当承担赔偿责任。</w:t>
      </w:r>
      <w:r>
        <w:rPr>
          <w:color w:val="000000"/>
          <w:highlight w:val="none"/>
        </w:rPr>
      </w:r>
      <w:r/>
    </w:p>
    <w:p>
      <w:pPr>
        <w:pStyle w:val="1166"/>
        <w:ind w:firstLine="560"/>
        <w:jc w:val="left"/>
        <w:spacing w:line="360" w:lineRule="auto"/>
        <w:rPr>
          <w:color w:val="000000"/>
          <w:szCs w:val="21"/>
          <w:highlight w:val="none"/>
        </w:rPr>
      </w:pPr>
      <w:r>
        <w:rPr>
          <w:rFonts w:hint="eastAsia"/>
          <w:color w:val="000000"/>
          <w:highlight w:val="none"/>
        </w:rPr>
        <w:t xml:space="preserve">2、验收标准依照</w:t>
      </w:r>
      <w:r>
        <w:rPr>
          <w:color w:val="000000"/>
          <w:highlight w:val="none"/>
        </w:rPr>
        <w:t xml:space="preserve">招标（采购）文件规定、投标（响应）文件所承诺</w:t>
      </w:r>
      <w:r>
        <w:rPr>
          <w:rFonts w:hint="eastAsia" w:ascii="宋体" w:hAnsi="宋体" w:cs="宋体"/>
          <w:color w:val="000000"/>
          <w:szCs w:val="21"/>
          <w:highlight w:val="none"/>
        </w:rPr>
        <w:t xml:space="preserve">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color w:val="000000"/>
          <w:szCs w:val="21"/>
          <w:highlight w:val="none"/>
        </w:rPr>
      </w:r>
      <w:r/>
    </w:p>
    <w:p>
      <w:pPr>
        <w:pStyle w:val="1166"/>
        <w:ind w:firstLine="560"/>
        <w:spacing w:line="360" w:lineRule="auto"/>
        <w:rPr>
          <w:color w:val="000000"/>
          <w:szCs w:val="21"/>
          <w:highlight w:val="none"/>
        </w:rPr>
      </w:pPr>
      <w:r>
        <w:rPr>
          <w:rFonts w:hint="eastAsia" w:ascii="宋体" w:hAnsi="宋体" w:cs="宋体"/>
          <w:color w:val="000000"/>
          <w:szCs w:val="21"/>
          <w:highlight w:val="none"/>
        </w:rPr>
        <w:t xml:space="preserve">货物和系统调试验收的标准：按行业通行标准、厂方出厂标准和</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投标文</w:t>
      </w:r>
      <w:r>
        <w:rPr>
          <w:color w:val="000000"/>
          <w:szCs w:val="21"/>
          <w:highlight w:val="none"/>
        </w:rPr>
        <w:t xml:space="preserve">件的承诺。</w:t>
      </w:r>
      <w:r>
        <w:rPr>
          <w:color w:val="000000"/>
          <w:szCs w:val="21"/>
          <w:highlight w:val="none"/>
        </w:rPr>
      </w:r>
      <w:r/>
    </w:p>
    <w:p>
      <w:pPr>
        <w:pStyle w:val="1166"/>
        <w:ind w:firstLine="525"/>
        <w:jc w:val="left"/>
        <w:spacing w:line="360" w:lineRule="auto"/>
        <w:rPr>
          <w:color w:val="000000"/>
          <w:szCs w:val="21"/>
          <w:highlight w:val="none"/>
        </w:rPr>
      </w:pPr>
      <w:r>
        <w:rPr>
          <w:color w:val="000000"/>
          <w:szCs w:val="21"/>
          <w:highlight w:val="none"/>
        </w:rPr>
        <w:t xml:space="preserve">3、</w:t>
      </w:r>
      <w:r>
        <w:rPr>
          <w:rFonts w:ascii="宋体" w:hAnsi="宋体" w:cs="宋体"/>
          <w:bCs/>
          <w:color w:val="000000"/>
          <w:highlight w:val="none"/>
        </w:rPr>
        <w:t xml:space="preserve">供应商所提供的技术资料应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w:t>
      </w:r>
      <w:r>
        <w:rPr>
          <w:rFonts w:hint="eastAsia" w:ascii="宋体" w:hAnsi="宋体" w:cs="宋体"/>
          <w:bCs/>
          <w:color w:val="000000"/>
          <w:highlight w:val="none"/>
        </w:rPr>
        <w:t xml:space="preserve">，</w:t>
      </w:r>
      <w:r>
        <w:rPr>
          <w:rFonts w:ascii="宋体" w:hAnsi="宋体" w:cs="宋体"/>
          <w:bCs/>
          <w:color w:val="000000"/>
          <w:highlight w:val="none"/>
        </w:rPr>
        <w:t xml:space="preserve">如发生破损、缺件等问题，供方应及时解决。</w:t>
      </w:r>
      <w:r>
        <w:rPr>
          <w:color w:val="000000"/>
          <w:szCs w:val="21"/>
          <w:highlight w:val="none"/>
        </w:rPr>
      </w:r>
      <w:r/>
    </w:p>
    <w:p>
      <w:pPr>
        <w:pStyle w:val="1166"/>
        <w:ind w:firstLine="525"/>
        <w:jc w:val="left"/>
        <w:spacing w:line="360" w:lineRule="auto"/>
        <w:rPr>
          <w:color w:val="000000"/>
          <w:szCs w:val="21"/>
          <w:highlight w:val="none"/>
        </w:rPr>
      </w:pPr>
      <w:r>
        <w:rPr>
          <w:color w:val="000000"/>
          <w:szCs w:val="21"/>
          <w:highlight w:val="none"/>
        </w:rPr>
        <w:t xml:space="preserve">4、</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应保证产品合格书、技术性能检测报告、货物的装箱清单、用户手册、原厂保修卡、随机资料及配件、随机工具等资料齐全。</w:t>
      </w:r>
      <w:bookmarkStart w:id="250" w:name="_Hlk129864696"/>
      <w:r>
        <w:rPr>
          <w:rFonts w:hint="eastAsia" w:ascii="宋体" w:hAnsi="宋体" w:cs="宋体"/>
          <w:color w:val="000000"/>
          <w:szCs w:val="21"/>
          <w:highlight w:val="none"/>
        </w:rPr>
        <w:t xml:space="preserve">进口设备还需提供进口报关单。</w:t>
      </w:r>
      <w:bookmarkEnd w:id="250"/>
      <w:r>
        <w:rPr>
          <w:rFonts w:ascii="宋体" w:hAnsi="宋体" w:cs="宋体"/>
          <w:bCs/>
          <w:color w:val="000000"/>
          <w:highlight w:val="none"/>
        </w:rPr>
        <w:t xml:space="preserve">供应商</w:t>
      </w:r>
      <w:r>
        <w:rPr>
          <w:rFonts w:hint="eastAsia" w:ascii="宋体" w:hAnsi="宋体" w:cs="宋体"/>
          <w:color w:val="000000"/>
          <w:szCs w:val="21"/>
          <w:highlight w:val="none"/>
        </w:rPr>
        <w:t xml:space="preserve">不能完整交付货物及本款规定的单证和工具的，视为未按合同约定交货，</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负责补齐，因此导致逾期交付的，由</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承担相关的违约责任。</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5、</w:t>
      </w:r>
      <w:r>
        <w:rPr>
          <w:color w:val="000000"/>
          <w:highlight w:val="none"/>
        </w:rPr>
        <w:t xml:space="preserve">供应商负责在货物到达采购人交货地点或者指定地点</w:t>
      </w:r>
      <w:r>
        <w:rPr>
          <w:rFonts w:hint="eastAsia"/>
          <w:color w:val="000000"/>
          <w:highlight w:val="none"/>
        </w:rPr>
        <w:t xml:space="preserve">三个工作</w:t>
      </w:r>
      <w:r>
        <w:rPr>
          <w:color w:val="000000"/>
          <w:highlight w:val="none"/>
        </w:rPr>
        <w:t xml:space="preserve">日内到</w:t>
      </w:r>
      <w:r>
        <w:rPr>
          <w:rFonts w:hint="eastAsia"/>
          <w:color w:val="000000"/>
          <w:highlight w:val="none"/>
        </w:rPr>
        <w:t xml:space="preserve">采购人</w:t>
      </w:r>
      <w:r>
        <w:rPr>
          <w:color w:val="000000"/>
          <w:highlight w:val="none"/>
        </w:rPr>
        <w:t xml:space="preserve">现场</w:t>
      </w:r>
      <w:r>
        <w:rPr>
          <w:rFonts w:hint="eastAsia"/>
          <w:color w:val="000000"/>
          <w:highlight w:val="none"/>
        </w:rPr>
        <w:t xml:space="preserve">提供安装</w:t>
      </w:r>
      <w:r>
        <w:rPr>
          <w:color w:val="000000"/>
          <w:highlight w:val="none"/>
        </w:rPr>
        <w:t xml:space="preserve">调试服务，</w:t>
      </w:r>
      <w:bookmarkStart w:id="251" w:name="_Hlk233888613"/>
      <w:r>
        <w:rPr>
          <w:rFonts w:hint="eastAsia"/>
          <w:color w:val="000000"/>
          <w:highlight w:val="none"/>
        </w:rPr>
        <w:t xml:space="preserve">供应商应派技术人员配合采购人开展设备性能确认和验证等相关工作。</w:t>
      </w:r>
      <w:bookmarkEnd w:id="251"/>
      <w:r>
        <w:rPr>
          <w:color w:val="000000"/>
          <w:highlight w:val="none"/>
        </w:rPr>
        <w:t xml:space="preserve">采购人在调试过程中</w:t>
      </w:r>
      <w:r>
        <w:rPr>
          <w:rFonts w:hint="eastAsia"/>
          <w:color w:val="000000"/>
          <w:highlight w:val="none"/>
        </w:rPr>
        <w:t xml:space="preserve">发现</w:t>
      </w:r>
      <w:r>
        <w:rPr>
          <w:color w:val="000000"/>
          <w:highlight w:val="none"/>
        </w:rPr>
        <w:t xml:space="preserve">调试</w:t>
      </w:r>
      <w:r>
        <w:rPr>
          <w:rFonts w:hint="eastAsia"/>
          <w:color w:val="000000"/>
          <w:highlight w:val="none"/>
        </w:rPr>
        <w:t xml:space="preserve">结果或性能验证结果未达到</w:t>
      </w:r>
      <w:r>
        <w:rPr>
          <w:color w:val="000000"/>
          <w:highlight w:val="none"/>
        </w:rPr>
        <w:t xml:space="preserve">验收合格</w:t>
      </w:r>
      <w:r>
        <w:rPr>
          <w:rFonts w:hint="eastAsia"/>
          <w:color w:val="000000"/>
          <w:highlight w:val="none"/>
        </w:rPr>
        <w:t xml:space="preserve">标准，</w:t>
      </w:r>
      <w:r>
        <w:rPr>
          <w:color w:val="000000"/>
          <w:highlight w:val="none"/>
        </w:rPr>
        <w:t xml:space="preserve">则由采购人出具书面通知，并责令供应商限期整改</w:t>
      </w:r>
      <w:r>
        <w:rPr>
          <w:rFonts w:hint="eastAsia"/>
          <w:color w:val="000000"/>
          <w:highlight w:val="none"/>
        </w:rPr>
        <w:t xml:space="preserve">，供应商应无条件更换符合要求的新产品，</w:t>
      </w:r>
      <w:r>
        <w:rPr>
          <w:color w:val="000000"/>
          <w:highlight w:val="none"/>
        </w:rPr>
        <w:t xml:space="preserve">供应商应自收到采购人书面</w:t>
      </w:r>
      <w:r>
        <w:rPr>
          <w:rFonts w:hint="eastAsia"/>
          <w:color w:val="000000"/>
          <w:highlight w:val="none"/>
        </w:rPr>
        <w:t xml:space="preserve">通知</w:t>
      </w:r>
      <w:r>
        <w:rPr>
          <w:color w:val="000000"/>
          <w:highlight w:val="none"/>
        </w:rPr>
        <w:t xml:space="preserve">后</w:t>
      </w:r>
      <w:r>
        <w:rPr>
          <w:rFonts w:hint="eastAsia"/>
          <w:color w:val="000000"/>
          <w:highlight w:val="none"/>
        </w:rPr>
        <w:t xml:space="preserve">五个工作</w:t>
      </w:r>
      <w:r>
        <w:rPr>
          <w:color w:val="000000"/>
          <w:highlight w:val="none"/>
        </w:rPr>
        <w:t xml:space="preserve">日内及时予以解决</w:t>
      </w:r>
      <w:r>
        <w:rPr>
          <w:rFonts w:hint="eastAsia"/>
          <w:color w:val="000000"/>
          <w:highlight w:val="none"/>
        </w:rPr>
        <w:t xml:space="preserve">并承担相应费用</w:t>
      </w:r>
      <w:r>
        <w:rPr>
          <w:color w:val="000000"/>
          <w:highlight w:val="none"/>
        </w:rPr>
        <w:t xml:space="preserve">。</w:t>
      </w:r>
      <w:r>
        <w:rPr>
          <w:rFonts w:hint="eastAsia"/>
          <w:color w:val="000000"/>
          <w:highlight w:val="none"/>
        </w:rPr>
        <w:t xml:space="preserve">若供应商拒绝退换货，采购人有权拒绝支付货款，追究供应商的违约责任，供应商应承担由此给采购人造成的一切损失。</w:t>
      </w:r>
      <w:r>
        <w:rPr>
          <w:color w:val="000000"/>
          <w:szCs w:val="21"/>
          <w:highlight w:val="none"/>
        </w:rPr>
      </w:r>
      <w:r/>
    </w:p>
    <w:p>
      <w:pPr>
        <w:pStyle w:val="1166"/>
        <w:ind w:firstLine="525"/>
        <w:jc w:val="left"/>
        <w:spacing w:line="360" w:lineRule="auto"/>
        <w:rPr>
          <w:color w:val="000000"/>
          <w:szCs w:val="21"/>
          <w:highlight w:val="none"/>
        </w:rPr>
      </w:pPr>
      <w:r>
        <w:rPr>
          <w:color w:val="000000"/>
          <w:szCs w:val="21"/>
          <w:highlight w:val="none"/>
        </w:rPr>
        <w:t xml:space="preserve">6、</w:t>
      </w:r>
      <w:r>
        <w:rPr>
          <w:rFonts w:ascii="宋体" w:hAnsi="宋体" w:cs="宋体"/>
          <w:bCs/>
          <w:color w:val="000000"/>
          <w:highlight w:val="none"/>
        </w:rPr>
        <w:t xml:space="preserve">供应商</w:t>
      </w:r>
      <w:r>
        <w:rPr>
          <w:rFonts w:hint="eastAsia" w:ascii="宋体" w:hAnsi="宋体" w:cs="宋体"/>
          <w:bCs/>
          <w:color w:val="000000"/>
          <w:highlight w:val="none"/>
        </w:rPr>
        <w:t xml:space="preserve">在约定期限内</w:t>
      </w:r>
      <w:r>
        <w:rPr>
          <w:rFonts w:ascii="宋体" w:hAnsi="宋体" w:cs="宋体"/>
          <w:bCs/>
          <w:color w:val="000000"/>
          <w:highlight w:val="none"/>
        </w:rPr>
        <w:t xml:space="preserve">完成设备安装、调试、培训，</w:t>
      </w:r>
      <w:bookmarkStart w:id="252" w:name="_Hlk233888631"/>
      <w:r>
        <w:rPr>
          <w:rFonts w:hint="eastAsia"/>
          <w:color w:val="000000"/>
          <w:highlight w:val="none"/>
        </w:rPr>
        <w:t xml:space="preserve">经性能确认和验证合格，</w:t>
      </w:r>
      <w:bookmarkEnd w:id="252"/>
      <w:r>
        <w:rPr>
          <w:rFonts w:hint="eastAsia"/>
          <w:bCs/>
          <w:color w:val="000000"/>
          <w:highlight w:val="none"/>
        </w:rPr>
        <w:t xml:space="preserve">满足</w:t>
      </w:r>
      <w:r>
        <w:rPr>
          <w:rFonts w:ascii="宋体" w:hAnsi="宋体" w:cs="宋体"/>
          <w:bCs/>
          <w:color w:val="000000"/>
          <w:highlight w:val="none"/>
        </w:rPr>
        <w:t xml:space="preserve">正常使用要求并移交相关技术资料后，设备试运行30天，试用期间发生</w:t>
      </w:r>
      <w:r>
        <w:rPr>
          <w:rFonts w:hint="eastAsia" w:ascii="宋体" w:hAnsi="宋体" w:cs="宋体"/>
          <w:bCs/>
          <w:color w:val="000000"/>
          <w:highlight w:val="none"/>
        </w:rPr>
        <w:t xml:space="preserve">任何</w:t>
      </w:r>
      <w:r>
        <w:rPr>
          <w:rFonts w:ascii="宋体" w:hAnsi="宋体" w:cs="宋体"/>
          <w:bCs/>
          <w:color w:val="000000"/>
          <w:highlight w:val="none"/>
        </w:rPr>
        <w:t xml:space="preserve">质量问题，</w:t>
      </w:r>
      <w:r>
        <w:rPr>
          <w:rFonts w:hint="eastAsia" w:ascii="宋体" w:hAnsi="宋体" w:cs="宋体"/>
          <w:bCs/>
          <w:color w:val="000000"/>
          <w:highlight w:val="none"/>
        </w:rPr>
        <w:t xml:space="preserve">供应商应无条件</w:t>
      </w:r>
      <w:r>
        <w:rPr>
          <w:rFonts w:ascii="宋体" w:hAnsi="宋体" w:cs="宋体"/>
          <w:bCs/>
          <w:color w:val="000000"/>
          <w:highlight w:val="none"/>
        </w:rPr>
        <w:t xml:space="preserve">退换货</w:t>
      </w:r>
      <w:r>
        <w:rPr>
          <w:rFonts w:hint="eastAsia" w:ascii="宋体" w:hAnsi="宋体" w:cs="宋体"/>
          <w:bCs/>
          <w:color w:val="000000"/>
          <w:highlight w:val="none"/>
        </w:rPr>
        <w:t xml:space="preserve">，</w:t>
      </w:r>
      <w:r>
        <w:rPr>
          <w:rFonts w:ascii="宋体" w:hAnsi="宋体" w:cs="宋体"/>
          <w:bCs/>
          <w:color w:val="000000"/>
          <w:highlight w:val="none"/>
        </w:rPr>
        <w:t xml:space="preserve">试用期相应顺延。试运行结束无质量问题办理验收手续</w:t>
      </w:r>
      <w:r>
        <w:rPr>
          <w:rFonts w:hint="eastAsia" w:ascii="宋体" w:hAnsi="宋体" w:cs="宋体"/>
          <w:bCs/>
          <w:color w:val="000000"/>
          <w:highlight w:val="none"/>
        </w:rPr>
        <w:t xml:space="preserve">，由</w:t>
      </w:r>
      <w:r>
        <w:rPr>
          <w:rFonts w:ascii="宋体" w:hAnsi="宋体" w:cs="宋体"/>
          <w:bCs/>
          <w:color w:val="000000"/>
          <w:highlight w:val="none"/>
        </w:rPr>
        <w:t xml:space="preserve">采购人</w:t>
      </w:r>
      <w:r>
        <w:rPr>
          <w:rFonts w:hint="eastAsia" w:ascii="宋体" w:hAnsi="宋体" w:cs="宋体"/>
          <w:bCs/>
          <w:color w:val="000000"/>
          <w:highlight w:val="none"/>
        </w:rPr>
        <w:t xml:space="preserve">出具验收单</w:t>
      </w:r>
      <w:r>
        <w:rPr>
          <w:rFonts w:ascii="宋体" w:hAnsi="宋体" w:cs="宋体"/>
          <w:bCs/>
          <w:color w:val="000000"/>
          <w:highlight w:val="none"/>
        </w:rPr>
        <w:t xml:space="preserve">。</w:t>
      </w:r>
      <w:r>
        <w:rPr>
          <w:color w:val="000000"/>
          <w:szCs w:val="21"/>
          <w:highlight w:val="none"/>
        </w:rPr>
      </w:r>
      <w:r/>
    </w:p>
    <w:p>
      <w:pPr>
        <w:pStyle w:val="1166"/>
        <w:ind w:firstLine="560"/>
        <w:jc w:val="left"/>
        <w:spacing w:line="360" w:lineRule="auto"/>
        <w:rPr>
          <w:rFonts w:ascii="宋体" w:hAnsi="宋体" w:cs="宋体"/>
          <w:color w:val="000000"/>
          <w:szCs w:val="21"/>
          <w:highlight w:val="none"/>
        </w:rPr>
      </w:pPr>
      <w:r>
        <w:rPr>
          <w:color w:val="000000"/>
          <w:szCs w:val="21"/>
          <w:highlight w:val="none"/>
        </w:rPr>
        <w:t xml:space="preserve">7、</w:t>
      </w:r>
      <w:r>
        <w:rPr>
          <w:rFonts w:ascii="宋体" w:hAnsi="宋体" w:cs="宋体"/>
          <w:color w:val="000000"/>
          <w:szCs w:val="21"/>
          <w:highlight w:val="none"/>
        </w:rPr>
        <w:t xml:space="preserve">验收时间以验收单上签署的时间为准，验收结果以该项目验收单结论为准。在验收过程中发现</w:t>
      </w:r>
      <w:r>
        <w:rPr>
          <w:rFonts w:ascii="宋体" w:hAnsi="宋体" w:cs="宋体"/>
          <w:bCs/>
          <w:color w:val="000000"/>
          <w:highlight w:val="none"/>
        </w:rPr>
        <w:t xml:space="preserve">供应商</w:t>
      </w:r>
      <w:r>
        <w:rPr>
          <w:rFonts w:ascii="宋体" w:hAnsi="宋体" w:cs="宋体"/>
          <w:color w:val="000000"/>
          <w:szCs w:val="21"/>
          <w:highlight w:val="none"/>
        </w:rPr>
        <w:t xml:space="preserve">有违约问题，可暂缓资金结算，待违约问题解决后，方可办理资金结算事宜。</w:t>
      </w:r>
      <w:r>
        <w:rPr>
          <w:rFonts w:ascii="宋体" w:hAnsi="宋体" w:cs="宋体"/>
          <w:color w:val="000000"/>
          <w:szCs w:val="21"/>
          <w:highlight w:val="none"/>
        </w:rPr>
      </w:r>
      <w:r/>
    </w:p>
    <w:p>
      <w:pPr>
        <w:pStyle w:val="1166"/>
        <w:ind w:firstLine="422"/>
        <w:spacing w:line="360" w:lineRule="auto"/>
        <w:rPr>
          <w:b/>
          <w:bCs/>
          <w:color w:val="000000"/>
          <w:highlight w:val="none"/>
        </w:rPr>
      </w:pPr>
      <w:r>
        <w:rPr>
          <w:rFonts w:hint="eastAsia"/>
          <w:b/>
          <w:bCs/>
          <w:color w:val="000000"/>
          <w:highlight w:val="none"/>
        </w:rPr>
        <w:t xml:space="preserve">九、</w:t>
      </w:r>
      <w:r>
        <w:rPr>
          <w:b/>
          <w:bCs/>
          <w:color w:val="000000"/>
          <w:highlight w:val="none"/>
        </w:rPr>
        <w:t xml:space="preserve">质量保证</w:t>
      </w:r>
      <w:r>
        <w:rPr>
          <w:b/>
          <w:bCs/>
          <w:color w:val="000000"/>
          <w:highlight w:val="none"/>
        </w:rPr>
      </w:r>
      <w:r/>
    </w:p>
    <w:p>
      <w:pPr>
        <w:pStyle w:val="1166"/>
        <w:ind w:firstLine="420"/>
        <w:spacing w:line="360" w:lineRule="auto"/>
        <w:rPr>
          <w:color w:val="000000"/>
          <w:highlight w:val="none"/>
        </w:rPr>
      </w:pPr>
      <w:r>
        <w:rPr>
          <w:color w:val="000000"/>
          <w:highlight w:val="none"/>
        </w:rPr>
        <w:t xml:space="preserve">1、供应商所提供的货物型号、技术规格、技术参数</w:t>
      </w:r>
      <w:r>
        <w:rPr>
          <w:rFonts w:hint="eastAsia"/>
          <w:color w:val="000000"/>
          <w:highlight w:val="none"/>
        </w:rPr>
        <w:t xml:space="preserve">及性能</w:t>
      </w:r>
      <w:r>
        <w:rPr>
          <w:color w:val="000000"/>
          <w:highlight w:val="none"/>
        </w:rPr>
        <w:t xml:space="preserve">质量必须与采购文件、响应文件和承诺相一致。若技术性能无特殊说明，则按国家有关部门最新颁布的标准及规范为准。</w:t>
      </w:r>
      <w:r>
        <w:rPr>
          <w:color w:val="000000"/>
          <w:highlight w:val="none"/>
        </w:rPr>
      </w:r>
      <w:r/>
    </w:p>
    <w:p>
      <w:pPr>
        <w:pStyle w:val="1166"/>
        <w:ind w:firstLine="420"/>
        <w:spacing w:line="360" w:lineRule="auto"/>
        <w:rPr>
          <w:color w:val="000000"/>
          <w:highlight w:val="none"/>
        </w:rPr>
      </w:pPr>
      <w:r>
        <w:rPr>
          <w:color w:val="000000"/>
          <w:highlight w:val="none"/>
        </w:rPr>
        <w:t xml:space="preserve">2、供应商将货物送至采购人指定地点、安装调试完成并经最终验收合格视为交付。供应商应保证货物是全新、未使用过的</w:t>
      </w:r>
      <w:r>
        <w:rPr>
          <w:rFonts w:hint="eastAsia"/>
          <w:color w:val="000000"/>
          <w:highlight w:val="none"/>
        </w:rPr>
        <w:t xml:space="preserve">且为近一年内生产的</w:t>
      </w:r>
      <w:r>
        <w:rPr>
          <w:color w:val="000000"/>
          <w:highlight w:val="none"/>
        </w:rPr>
        <w:t xml:space="preserve">原装合格正品，并完全符合采购文件、响应文件和承诺规定的质量、规格和性能的要求。货物交付前由供应商承担货物损毁灭失的风险。</w:t>
      </w:r>
      <w:r>
        <w:rPr>
          <w:color w:val="000000"/>
          <w:highlight w:val="none"/>
        </w:rPr>
      </w:r>
      <w:r/>
    </w:p>
    <w:p>
      <w:pPr>
        <w:pStyle w:val="1166"/>
        <w:ind w:firstLine="420"/>
        <w:spacing w:line="360" w:lineRule="auto"/>
        <w:rPr>
          <w:color w:val="000000"/>
          <w:highlight w:val="none"/>
        </w:rPr>
      </w:pPr>
      <w:r>
        <w:rPr>
          <w:rFonts w:hint="eastAsia"/>
          <w:color w:val="000000"/>
          <w:highlight w:val="none"/>
        </w:rPr>
        <w:t xml:space="preserve">3、</w:t>
      </w:r>
      <w:bookmarkStart w:id="253" w:name="_Hlk233973014"/>
      <w:r>
        <w:rPr>
          <w:color w:val="000000"/>
          <w:highlight w:val="none"/>
        </w:rPr>
        <w:t xml:space="preserve">供应商应保证其提供的货物</w:t>
      </w:r>
      <w:r>
        <w:rPr>
          <w:rFonts w:hint="eastAsia"/>
          <w:color w:val="000000"/>
          <w:highlight w:val="none"/>
        </w:rPr>
        <w:t xml:space="preserve">及主要部件必须为成熟的产品，在其使用寿命内能提供备件、附件和耗材的供应。货物</w:t>
      </w:r>
      <w:r>
        <w:rPr>
          <w:color w:val="000000"/>
          <w:highlight w:val="none"/>
        </w:rPr>
        <w:t xml:space="preserve">在正确安装、正常使用和保养条件下，在其使用寿命内具有良好的性能。</w:t>
      </w:r>
      <w:bookmarkEnd w:id="253"/>
      <w:r>
        <w:rPr>
          <w:color w:val="000000"/>
          <w:highlight w:val="none"/>
        </w:rPr>
      </w:r>
      <w:r/>
    </w:p>
    <w:p>
      <w:pPr>
        <w:pStyle w:val="1166"/>
        <w:ind w:firstLine="420"/>
        <w:jc w:val="left"/>
        <w:spacing w:line="360" w:lineRule="auto"/>
        <w:rPr>
          <w:color w:val="000000"/>
          <w:highlight w:val="none"/>
        </w:rPr>
      </w:pPr>
      <w:r>
        <w:rPr>
          <w:rFonts w:hint="eastAsia"/>
          <w:color w:val="000000"/>
          <w:highlight w:val="none"/>
        </w:rPr>
        <w:t xml:space="preserve">4、</w:t>
      </w:r>
      <w:r>
        <w:rPr>
          <w:color w:val="000000"/>
          <w:highlight w:val="none"/>
        </w:rPr>
        <w:t xml:space="preserve">供应商应保证货物不存在已有的或可预见的权利负担，包括但不限于出租、抵押、留置权等有损于货物物权的其他权利。</w:t>
      </w:r>
      <w:r>
        <w:rPr>
          <w:color w:val="000000"/>
          <w:highlight w:val="none"/>
        </w:rPr>
      </w:r>
      <w:r/>
    </w:p>
    <w:p>
      <w:pPr>
        <w:pStyle w:val="1222"/>
        <w:rPr>
          <w:rFonts w:ascii="宋体" w:eastAsia="宋体"/>
          <w:b/>
          <w:bCs/>
          <w:color w:val="000000"/>
          <w:szCs w:val="24"/>
          <w:highlight w:val="none"/>
        </w:rPr>
      </w:pPr>
      <w:r>
        <w:rPr>
          <w:rFonts w:hint="eastAsia"/>
          <w:color w:val="000000"/>
          <w:highlight w:val="none"/>
        </w:rPr>
        <w:t xml:space="preserve">十、</w:t>
      </w:r>
      <w:r>
        <w:rPr>
          <w:rFonts w:hint="eastAsia" w:ascii="宋体" w:eastAsia="宋体"/>
          <w:b/>
          <w:bCs/>
          <w:color w:val="000000"/>
          <w:szCs w:val="24"/>
          <w:highlight w:val="none"/>
        </w:rPr>
        <w:t xml:space="preserve">实施要求</w:t>
      </w:r>
      <w:r>
        <w:rPr>
          <w:rFonts w:ascii="宋体" w:eastAsia="宋体"/>
          <w:b/>
          <w:bCs/>
          <w:color w:val="000000"/>
          <w:szCs w:val="24"/>
          <w:highlight w:val="none"/>
        </w:rPr>
      </w:r>
      <w:r/>
    </w:p>
    <w:p>
      <w:pPr>
        <w:pStyle w:val="1166"/>
        <w:ind w:firstLine="420"/>
        <w:spacing w:line="360" w:lineRule="auto"/>
        <w:rPr>
          <w:color w:val="000000"/>
          <w:highlight w:val="none"/>
        </w:rPr>
      </w:pPr>
      <w:r>
        <w:rPr>
          <w:rFonts w:hint="eastAsia"/>
          <w:color w:val="000000"/>
          <w:highlight w:val="none"/>
        </w:rPr>
        <w:t xml:space="preserve">1、供应商中标后与采购人签订合同前须验证成交产品的功能、技术要求、产品检测报告及业绩合同原件等投标资料，如发现与采购要求偏离太大或发现成交供应商虚假应标，采购人有权取消其成交资格，并记入不良信用记录。</w:t>
      </w:r>
      <w:r>
        <w:rPr>
          <w:color w:val="000000"/>
          <w:highlight w:val="none"/>
        </w:rPr>
      </w:r>
      <w:r/>
    </w:p>
    <w:p>
      <w:pPr>
        <w:pStyle w:val="1166"/>
        <w:ind w:firstLine="420"/>
        <w:spacing w:line="360" w:lineRule="auto"/>
        <w:rPr>
          <w:color w:val="000000"/>
          <w:highlight w:val="none"/>
        </w:rPr>
      </w:pPr>
      <w:r/>
      <w:bookmarkEnd w:id="242"/>
      <w:r/>
      <w:bookmarkStart w:id="254" w:name="_Hlk233975502"/>
      <w:r/>
      <w:bookmarkStart w:id="255" w:name="_Toc4696425"/>
      <w:r>
        <w:rPr>
          <w:rFonts w:hint="eastAsia"/>
          <w:color w:val="000000"/>
          <w:highlight w:val="none"/>
        </w:rPr>
        <w:t xml:space="preserve">2、</w:t>
      </w:r>
      <w:bookmarkStart w:id="256" w:name="_Hlk233976713"/>
      <w:r>
        <w:rPr>
          <w:rFonts w:hint="eastAsia"/>
          <w:color w:val="000000"/>
          <w:highlight w:val="none"/>
        </w:rPr>
        <w:t xml:space="preserve">实施方案：投标人须</w:t>
      </w:r>
      <w:r>
        <w:rPr>
          <w:color w:val="000000"/>
          <w:highlight w:val="none"/>
        </w:rPr>
        <w:t xml:space="preserve">根据实施项目供货计划、安装工期安排、安装技术人员配备、现场安装流程、安装质量要求、项目验收方案等编制方案。</w:t>
      </w:r>
      <w:r>
        <w:rPr>
          <w:rFonts w:hint="eastAsia"/>
          <w:color w:val="000000"/>
          <w:highlight w:val="none"/>
        </w:rPr>
        <w:t xml:space="preserve">方案</w:t>
      </w:r>
      <w:r>
        <w:rPr>
          <w:color w:val="000000"/>
          <w:highlight w:val="none"/>
        </w:rPr>
        <w:t xml:space="preserve">内容</w:t>
      </w:r>
      <w:r>
        <w:rPr>
          <w:rFonts w:hint="eastAsia"/>
          <w:color w:val="000000"/>
          <w:highlight w:val="none"/>
        </w:rPr>
        <w:t xml:space="preserve">包括但不限于</w:t>
      </w:r>
      <w:r>
        <w:rPr>
          <w:color w:val="000000"/>
          <w:highlight w:val="none"/>
        </w:rPr>
        <w:t xml:space="preserve">：时间进度安排（进度计划、进度计划保障措施、有明确的时间节点和应急安排等确保按期交付使用）；安装及调试方案（安装的步骤、方法、调试、测试、调优、检测；人员的职责架构及分工、项目管理运行机制等）；</w:t>
      </w:r>
      <w:r>
        <w:rPr>
          <w:rFonts w:hint="eastAsia"/>
          <w:color w:val="000000"/>
          <w:highlight w:val="none"/>
        </w:rPr>
        <w:t xml:space="preserve">系统对接方案和数据安全保障措施；</w:t>
      </w:r>
      <w:r>
        <w:rPr>
          <w:color w:val="000000"/>
          <w:highlight w:val="none"/>
        </w:rPr>
        <w:t xml:space="preserve">安全保证措施（施工安全机构设置、</w:t>
      </w:r>
      <w:r>
        <w:rPr>
          <w:rFonts w:hint="eastAsia"/>
          <w:color w:val="000000"/>
          <w:highlight w:val="none"/>
        </w:rPr>
        <w:t xml:space="preserve">现场安全管理、</w:t>
      </w:r>
      <w:r>
        <w:rPr>
          <w:color w:val="000000"/>
          <w:highlight w:val="none"/>
        </w:rPr>
        <w:t xml:space="preserve">安全防护措施等）；质量保证措施（质量控制目标、质量控制方法等）</w:t>
      </w:r>
      <w:r>
        <w:rPr>
          <w:rFonts w:hint="eastAsia"/>
          <w:color w:val="000000"/>
          <w:highlight w:val="none"/>
        </w:rPr>
        <w:t xml:space="preserve">、</w:t>
      </w:r>
      <w:r>
        <w:rPr>
          <w:rFonts w:hint="eastAsia" w:ascii="宋体" w:hAnsi="宋体"/>
          <w:color w:val="000000"/>
          <w:highlight w:val="none"/>
        </w:rPr>
        <w:t xml:space="preserve">货物出现质量问题时的响应和处理方案；货物验收安排，指定专人配合进行性能验证和验收，含验收资料准备、现场演示、问题整改闭环机制等；</w:t>
      </w:r>
      <w:r>
        <w:rPr>
          <w:rFonts w:hint="eastAsia"/>
          <w:color w:val="000000"/>
          <w:highlight w:val="none"/>
        </w:rPr>
        <w:t xml:space="preserve">售后服务</w:t>
      </w:r>
      <w:r>
        <w:rPr>
          <w:color w:val="000000"/>
          <w:highlight w:val="none"/>
        </w:rPr>
        <w:t xml:space="preserve">。各工作环节衔接紧凑、要点要求细致全面，配置人员专业有匹配度，响应完成招标文件要求。</w:t>
      </w:r>
      <w:bookmarkEnd w:id="256"/>
      <w:r>
        <w:rPr>
          <w:color w:val="000000"/>
          <w:highlight w:val="none"/>
        </w:rPr>
      </w:r>
      <w:r/>
    </w:p>
    <w:p>
      <w:pPr>
        <w:pStyle w:val="1166"/>
        <w:ind w:firstLine="420"/>
        <w:spacing w:line="360" w:lineRule="auto"/>
        <w:rPr>
          <w:color w:val="000000"/>
          <w:highlight w:val="none"/>
        </w:rPr>
      </w:pPr>
      <w:r/>
      <w:bookmarkEnd w:id="254"/>
      <w:r>
        <w:rPr>
          <w:color w:val="000000"/>
          <w:highlight w:val="none"/>
        </w:rPr>
        <w:br w:type="page" w:clear="all"/>
      </w:r>
      <w:r>
        <w:rPr>
          <w:color w:val="000000"/>
          <w:highlight w:val="none"/>
        </w:rPr>
      </w:r>
      <w:r/>
    </w:p>
    <w:p>
      <w:pPr>
        <w:pStyle w:val="1166"/>
        <w:jc w:val="center"/>
        <w:spacing w:line="360" w:lineRule="auto"/>
        <w:rPr>
          <w:b/>
          <w:color w:val="000000"/>
          <w:sz w:val="28"/>
          <w:szCs w:val="28"/>
          <w:highlight w:val="none"/>
        </w:rPr>
        <w:outlineLvl w:val="0"/>
      </w:pPr>
      <w:r/>
      <w:bookmarkStart w:id="257" w:name="_Toc25137"/>
      <w:r>
        <w:rPr>
          <w:b/>
          <w:color w:val="000000"/>
          <w:sz w:val="28"/>
          <w:szCs w:val="28"/>
          <w:highlight w:val="none"/>
        </w:rPr>
        <w:t xml:space="preserve">第五章 </w:t>
      </w:r>
      <w:bookmarkEnd w:id="221"/>
      <w:r>
        <w:rPr>
          <w:b/>
          <w:color w:val="000000"/>
          <w:sz w:val="28"/>
          <w:szCs w:val="28"/>
          <w:highlight w:val="none"/>
        </w:rPr>
        <w:t xml:space="preserve">拟签订的合同文本</w:t>
      </w:r>
      <w:bookmarkEnd w:id="255"/>
      <w:r/>
      <w:bookmarkEnd w:id="257"/>
      <w:r>
        <w:rPr>
          <w:b/>
          <w:color w:val="000000"/>
          <w:sz w:val="28"/>
          <w:szCs w:val="28"/>
          <w:highlight w:val="none"/>
        </w:rPr>
      </w:r>
      <w:r/>
    </w:p>
    <w:p>
      <w:pPr>
        <w:pStyle w:val="1166"/>
        <w:jc w:val="center"/>
        <w:spacing w:line="440" w:lineRule="exact"/>
        <w:rPr>
          <w:b/>
          <w:color w:val="000000"/>
          <w:sz w:val="28"/>
          <w:szCs w:val="28"/>
          <w:highlight w:val="none"/>
        </w:rPr>
      </w:pPr>
      <w:r/>
      <w:bookmarkStart w:id="258" w:name="_Toc6085"/>
      <w:r/>
      <w:bookmarkStart w:id="259" w:name="_Toc4696426"/>
      <w:r/>
      <w:bookmarkStart w:id="260" w:name="_Toc19"/>
      <w:r/>
      <w:bookmarkStart w:id="261" w:name="_Toc11219"/>
      <w:r>
        <w:rPr>
          <w:b/>
          <w:color w:val="000000"/>
          <w:sz w:val="28"/>
          <w:szCs w:val="28"/>
          <w:highlight w:val="none"/>
        </w:rPr>
        <w:t xml:space="preserve">（参考格式，本合同内容条款在正式签署前可具体补充细化，仅作参考，最终合同以采购人法务审查通过的版本为准）</w:t>
      </w:r>
      <w:bookmarkEnd w:id="258"/>
      <w:r>
        <w:rPr>
          <w:b/>
          <w:color w:val="000000"/>
          <w:sz w:val="28"/>
          <w:szCs w:val="28"/>
          <w:highlight w:val="none"/>
        </w:rPr>
      </w:r>
      <w:r/>
    </w:p>
    <w:p>
      <w:pPr>
        <w:pStyle w:val="1166"/>
        <w:rPr>
          <w:b/>
          <w:color w:val="000000"/>
          <w:szCs w:val="21"/>
          <w:highlight w:val="none"/>
        </w:rPr>
      </w:pPr>
      <w:r>
        <w:rPr>
          <w:b/>
          <w:color w:val="000000"/>
          <w:szCs w:val="21"/>
          <w:highlight w:val="none"/>
        </w:rPr>
        <w:t xml:space="preserve">    </w:t>
      </w:r>
      <w:r>
        <w:rPr>
          <w:b/>
          <w:color w:val="000000"/>
          <w:szCs w:val="21"/>
          <w:highlight w:val="none"/>
        </w:rPr>
      </w:r>
      <w:r/>
    </w:p>
    <w:p>
      <w:pPr>
        <w:pStyle w:val="1166"/>
        <w:rPr>
          <w:b/>
          <w:color w:val="000000"/>
          <w:szCs w:val="21"/>
          <w:highlight w:val="none"/>
          <w:u w:val="single"/>
        </w:rPr>
      </w:pPr>
      <w:r>
        <w:rPr>
          <w:b/>
          <w:color w:val="000000"/>
          <w:szCs w:val="21"/>
          <w:highlight w:val="none"/>
        </w:rPr>
        <w:t xml:space="preserve"> </w:t>
      </w:r>
      <w:bookmarkStart w:id="262" w:name="_Hlk198052200"/>
      <w:r>
        <w:rPr>
          <w:b/>
          <w:color w:val="000000"/>
          <w:szCs w:val="21"/>
          <w:highlight w:val="none"/>
        </w:rPr>
        <w:t xml:space="preserve">合同编号：</w:t>
      </w:r>
      <w:r>
        <w:rPr>
          <w:b/>
          <w:color w:val="000000"/>
          <w:szCs w:val="21"/>
          <w:highlight w:val="none"/>
          <w:u w:val="single"/>
        </w:rPr>
        <w:t xml:space="preserve">             </w:t>
      </w:r>
      <w:r>
        <w:rPr>
          <w:b/>
          <w:color w:val="000000"/>
          <w:szCs w:val="21"/>
          <w:highlight w:val="none"/>
          <w:u w:val="single"/>
        </w:rPr>
      </w:r>
      <w:r/>
    </w:p>
    <w:p>
      <w:pPr>
        <w:pStyle w:val="1166"/>
        <w:jc w:val="center"/>
        <w:rPr>
          <w:b/>
          <w:color w:val="000000"/>
          <w:sz w:val="24"/>
          <w:highlight w:val="none"/>
        </w:rPr>
      </w:pPr>
      <w:r>
        <w:rPr>
          <w:b/>
          <w:color w:val="000000"/>
          <w:sz w:val="24"/>
          <w:highlight w:val="none"/>
          <w:u w:val="single"/>
        </w:rPr>
        <w:t xml:space="preserve">（采购人）（项目名称）</w:t>
      </w:r>
      <w:r>
        <w:rPr>
          <w:b/>
          <w:color w:val="000000"/>
          <w:sz w:val="24"/>
          <w:highlight w:val="none"/>
        </w:rPr>
        <w:t xml:space="preserve">采购合同</w:t>
      </w:r>
      <w:r>
        <w:rPr>
          <w:b/>
          <w:color w:val="000000"/>
          <w:sz w:val="24"/>
          <w:highlight w:val="none"/>
        </w:rPr>
      </w:r>
      <w:r/>
    </w:p>
    <w:p>
      <w:pPr>
        <w:pStyle w:val="1166"/>
        <w:jc w:val="center"/>
        <w:rPr>
          <w:b/>
          <w:color w:val="000000"/>
          <w:sz w:val="24"/>
          <w:highlight w:val="none"/>
        </w:rPr>
      </w:pPr>
      <w:r>
        <w:rPr>
          <w:b/>
          <w:color w:val="000000"/>
          <w:sz w:val="24"/>
          <w:highlight w:val="none"/>
        </w:rPr>
        <w:t xml:space="preserve">（货物类）</w:t>
      </w:r>
      <w:r>
        <w:rPr>
          <w:b/>
          <w:color w:val="000000"/>
          <w:sz w:val="24"/>
          <w:highlight w:val="none"/>
        </w:rPr>
      </w:r>
      <w:r/>
    </w:p>
    <w:p>
      <w:pPr>
        <w:pStyle w:val="1166"/>
        <w:jc w:val="center"/>
        <w:rPr>
          <w:color w:val="000000"/>
          <w:szCs w:val="21"/>
          <w:highlight w:val="none"/>
        </w:rPr>
      </w:pPr>
      <w:r/>
      <w:bookmarkStart w:id="263" w:name="_Hlk196398995"/>
      <w:r>
        <w:rPr>
          <w:color w:val="000000"/>
          <w:szCs w:val="21"/>
          <w:highlight w:val="none"/>
        </w:rPr>
        <w:t xml:space="preserve">    </w:t>
      </w:r>
      <w:r>
        <w:rPr>
          <w:color w:val="000000"/>
          <w:szCs w:val="21"/>
          <w:highlight w:val="none"/>
        </w:rPr>
      </w:r>
      <w:r/>
    </w:p>
    <w:p>
      <w:pPr>
        <w:pStyle w:val="1166"/>
        <w:jc w:val="left"/>
        <w:rPr>
          <w:color w:val="000000"/>
          <w:szCs w:val="21"/>
          <w:highlight w:val="none"/>
          <w:u w:val="single"/>
        </w:rPr>
      </w:pPr>
      <w:r/>
      <w:bookmarkEnd w:id="263"/>
      <w:r>
        <w:rPr>
          <w:b/>
          <w:color w:val="000000"/>
          <w:szCs w:val="21"/>
          <w:highlight w:val="none"/>
        </w:rPr>
        <w:t xml:space="preserve">甲方（采购人）</w:t>
      </w:r>
      <w:r>
        <w:rPr>
          <w:color w:val="000000"/>
          <w:szCs w:val="21"/>
          <w:highlight w:val="none"/>
        </w:rPr>
        <w:t xml:space="preserve">：</w:t>
      </w:r>
      <w:r>
        <w:rPr>
          <w:color w:val="000000"/>
          <w:szCs w:val="21"/>
          <w:highlight w:val="none"/>
          <w:u w:val="single"/>
        </w:rPr>
        <w:t xml:space="preserve">                          </w:t>
      </w:r>
      <w:r>
        <w:rPr>
          <w:color w:val="000000"/>
          <w:szCs w:val="21"/>
          <w:highlight w:val="none"/>
        </w:rPr>
        <w:t xml:space="preserve">      </w:t>
      </w:r>
      <w:r>
        <w:rPr>
          <w:color w:val="000000"/>
          <w:szCs w:val="21"/>
          <w:highlight w:val="none"/>
          <w:u w:val="single"/>
        </w:rPr>
      </w:r>
      <w:r/>
    </w:p>
    <w:p>
      <w:pPr>
        <w:pStyle w:val="1166"/>
        <w:jc w:val="left"/>
        <w:rPr>
          <w:color w:val="000000"/>
          <w:szCs w:val="21"/>
          <w:highlight w:val="none"/>
          <w:u w:val="single"/>
        </w:rPr>
      </w:pPr>
      <w:r>
        <w:rPr>
          <w:b/>
          <w:color w:val="000000"/>
          <w:szCs w:val="21"/>
          <w:highlight w:val="none"/>
        </w:rPr>
        <w:t xml:space="preserve">乙方（供应商）</w:t>
      </w:r>
      <w:r>
        <w:rPr>
          <w:color w:val="000000"/>
          <w:szCs w:val="21"/>
          <w:highlight w:val="none"/>
        </w:rPr>
        <w:t xml:space="preserve">：</w:t>
      </w:r>
      <w:r>
        <w:rPr>
          <w:b/>
          <w:color w:val="000000"/>
          <w:szCs w:val="21"/>
          <w:highlight w:val="none"/>
          <w:u w:val="single"/>
        </w:rPr>
        <w:t xml:space="preserve">                          </w:t>
      </w:r>
      <w:r>
        <w:rPr>
          <w:color w:val="000000"/>
          <w:szCs w:val="21"/>
          <w:highlight w:val="none"/>
          <w:u w:val="single"/>
        </w:rPr>
      </w:r>
      <w:r/>
    </w:p>
    <w:p>
      <w:pPr>
        <w:pStyle w:val="1166"/>
        <w:jc w:val="left"/>
        <w:rPr>
          <w:color w:val="000000"/>
          <w:szCs w:val="21"/>
          <w:highlight w:val="none"/>
          <w:u w:val="single"/>
        </w:rPr>
      </w:pPr>
      <w:r>
        <w:rPr>
          <w:b/>
          <w:color w:val="000000"/>
          <w:szCs w:val="21"/>
          <w:highlight w:val="none"/>
        </w:rPr>
        <w:t xml:space="preserve">招标编号</w:t>
      </w:r>
      <w:r>
        <w:rPr>
          <w:color w:val="000000"/>
          <w:szCs w:val="21"/>
          <w:highlight w:val="none"/>
        </w:rPr>
        <w:t xml:space="preserve">：</w:t>
      </w:r>
      <w:r>
        <w:rPr>
          <w:color w:val="000000"/>
          <w:szCs w:val="21"/>
          <w:highlight w:val="none"/>
          <w:u w:val="single"/>
        </w:rPr>
        <w:t xml:space="preserve">                  </w:t>
      </w:r>
      <w:r>
        <w:rPr>
          <w:color w:val="000000"/>
          <w:szCs w:val="21"/>
          <w:highlight w:val="none"/>
          <w:u w:val="single"/>
        </w:rPr>
      </w:r>
      <w:r/>
    </w:p>
    <w:p>
      <w:pPr>
        <w:pStyle w:val="1166"/>
        <w:jc w:val="left"/>
        <w:rPr>
          <w:b/>
          <w:color w:val="000000"/>
          <w:szCs w:val="21"/>
          <w:highlight w:val="none"/>
          <w:u w:val="single"/>
        </w:rPr>
      </w:pPr>
      <w:r>
        <w:rPr>
          <w:b/>
          <w:color w:val="000000"/>
          <w:szCs w:val="21"/>
          <w:highlight w:val="none"/>
        </w:rPr>
        <w:t xml:space="preserve">签订</w:t>
      </w:r>
      <w:r>
        <w:rPr>
          <w:rFonts w:hint="eastAsia"/>
          <w:b/>
          <w:color w:val="000000"/>
          <w:szCs w:val="21"/>
          <w:highlight w:val="none"/>
        </w:rPr>
        <w:t xml:space="preserve">地点</w:t>
      </w:r>
      <w:r>
        <w:rPr>
          <w:b/>
          <w:color w:val="000000"/>
          <w:szCs w:val="21"/>
          <w:highlight w:val="none"/>
        </w:rPr>
        <w:t xml:space="preserve">：</w:t>
      </w:r>
      <w:r>
        <w:rPr>
          <w:color w:val="000000"/>
          <w:szCs w:val="21"/>
          <w:highlight w:val="none"/>
          <w:u w:val="single"/>
        </w:rPr>
        <w:t xml:space="preserve">               </w:t>
      </w:r>
      <w:r>
        <w:rPr>
          <w:b/>
          <w:color w:val="000000"/>
          <w:szCs w:val="21"/>
          <w:highlight w:val="none"/>
          <w:u w:val="single"/>
        </w:rPr>
      </w:r>
      <w:r/>
    </w:p>
    <w:p>
      <w:pPr>
        <w:pStyle w:val="1166"/>
        <w:jc w:val="left"/>
        <w:rPr>
          <w:color w:val="000000"/>
          <w:szCs w:val="21"/>
          <w:highlight w:val="none"/>
        </w:rPr>
      </w:pP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鉴于：</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 甲方根据《中华人民共和国政府采购法》《</w:t>
      </w:r>
      <w:bookmarkStart w:id="264" w:name="OLE_LINK1"/>
      <w:r>
        <w:rPr>
          <w:color w:val="000000"/>
          <w:szCs w:val="21"/>
          <w:highlight w:val="none"/>
        </w:rPr>
        <w:t xml:space="preserve">中华人民共和国</w:t>
      </w:r>
      <w:bookmarkEnd w:id="264"/>
      <w:r>
        <w:rPr>
          <w:color w:val="000000"/>
          <w:szCs w:val="21"/>
          <w:highlight w:val="none"/>
        </w:rPr>
        <w:t xml:space="preserve">民法典》等法律法规，于[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]日，依法就[</w:t>
      </w:r>
      <w:r>
        <w:rPr>
          <w:color w:val="000000"/>
          <w:szCs w:val="21"/>
          <w:highlight w:val="none"/>
          <w:u w:val="single"/>
        </w:rPr>
        <w:t xml:space="preserve"> 请填入招投标/竞争性谈判的事项 </w:t>
      </w:r>
      <w:r>
        <w:rPr>
          <w:color w:val="000000"/>
          <w:szCs w:val="21"/>
          <w:highlight w:val="none"/>
        </w:rPr>
        <w:t xml:space="preserve">] 进行了招投标/竞争性谈判，乙方中标/入围。</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 甲、乙双方根据招投标文件/竞争性谈判文件，就[</w:t>
      </w:r>
      <w:r>
        <w:rPr>
          <w:color w:val="000000"/>
          <w:szCs w:val="21"/>
          <w:highlight w:val="none"/>
          <w:u w:val="single"/>
        </w:rPr>
        <w:t xml:space="preserve"> 请填入招投标/竞争性谈判的事项 </w:t>
      </w:r>
      <w:r>
        <w:rPr>
          <w:color w:val="000000"/>
          <w:szCs w:val="21"/>
          <w:highlight w:val="none"/>
        </w:rPr>
        <w:t xml:space="preserve">]事项达成本采购合同，以资双方共同遵照执行。</w:t>
      </w:r>
      <w:r>
        <w:rPr>
          <w:color w:val="000000"/>
          <w:szCs w:val="21"/>
          <w:highlight w:val="none"/>
        </w:rPr>
      </w:r>
      <w:r/>
    </w:p>
    <w:p>
      <w:pPr>
        <w:pStyle w:val="1166"/>
        <w:ind w:firstLine="560"/>
        <w:jc w:val="left"/>
        <w:spacing w:line="360" w:lineRule="auto"/>
        <w:rPr>
          <w:color w:val="000000"/>
          <w:szCs w:val="21"/>
          <w:highlight w:val="none"/>
        </w:rPr>
      </w:pPr>
      <w:r>
        <w:rPr>
          <w:b/>
          <w:color w:val="000000"/>
          <w:szCs w:val="21"/>
          <w:highlight w:val="none"/>
        </w:rPr>
        <w:t xml:space="preserve">第一条  合同签订依据</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下列文件（包括依法不时作出的修订）构成甲方与乙方就[</w:t>
      </w:r>
      <w:r>
        <w:rPr>
          <w:color w:val="000000"/>
          <w:szCs w:val="21"/>
          <w:highlight w:val="none"/>
          <w:u w:val="single"/>
        </w:rPr>
        <w:t xml:space="preserve"> 请填入招投标/竞争性谈判的事项 </w:t>
      </w:r>
      <w:r>
        <w:rPr>
          <w:color w:val="000000"/>
          <w:szCs w:val="21"/>
          <w:highlight w:val="none"/>
        </w:rPr>
        <w:t xml:space="preserve">]的《招投标文件》：</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（1）乙方提供的投标文件和投标报价表；（2）供货一览表；</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（3）交货地点一览表；                （4）技术规格响应表；</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（5）投标承诺；                      （6）服务承诺；</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（7）中标或成交通知书；              （8）甲乙双方商定的其他文件。</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本合同与上述招投标文件之间有冲突的，在不违反《中华人民共和国政府采购法》及其实施条例的范围内，以本合同为准。</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第二条  合同标的   </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乙方根据甲方需求提供下列货物，货物名称、规格及数量详见货物清单 “供货一览表”（格式可自拟）：</w:t>
      </w:r>
      <w:r>
        <w:rPr>
          <w:color w:val="000000"/>
          <w:szCs w:val="21"/>
          <w:highlight w:val="none"/>
        </w:rPr>
      </w:r>
      <w:r/>
    </w:p>
    <w:tbl>
      <w:tblPr>
        <w:tblW w:w="50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325"/>
        <w:gridCol w:w="1327"/>
        <w:gridCol w:w="1328"/>
        <w:gridCol w:w="1328"/>
        <w:gridCol w:w="1328"/>
        <w:gridCol w:w="1328"/>
        <w:gridCol w:w="1338"/>
      </w:tblGrid>
      <w:tr>
        <w:trPr>
          <w:cantSplit/>
          <w:trHeight w:val="645"/>
        </w:trPr>
        <w:tc>
          <w:tcPr>
            <w:tcW w:w="341" w:type="dxa"/>
            <w:vAlign w:val="center"/>
            <w:textDirection w:val="lrTb"/>
            <w:noWrap w:val="false"/>
          </w:tcPr>
          <w:p>
            <w:pPr>
              <w:pStyle w:val="1166"/>
              <w:jc w:val="center"/>
              <w:rPr>
                <w:color w:val="000000"/>
                <w:szCs w:val="21"/>
                <w:highlight w:val="none"/>
              </w:rPr>
            </w:pPr>
            <w:r>
              <w:rPr>
                <w:color w:val="000000"/>
                <w:szCs w:val="21"/>
                <w:highlight w:val="none"/>
              </w:rPr>
              <w:t xml:space="preserve">序号</w:t>
            </w:r>
            <w:r>
              <w:rPr>
                <w:color w:val="000000"/>
                <w:szCs w:val="21"/>
                <w:highlight w:val="none"/>
              </w:rPr>
            </w:r>
            <w:r/>
          </w:p>
        </w:tc>
        <w:tc>
          <w:tcPr>
            <w:tcW w:w="664" w:type="dxa"/>
            <w:vAlign w:val="center"/>
            <w:textDirection w:val="lrTb"/>
            <w:noWrap w:val="false"/>
          </w:tcPr>
          <w:p>
            <w:pPr>
              <w:pStyle w:val="1166"/>
              <w:jc w:val="center"/>
              <w:rPr>
                <w:color w:val="000000"/>
                <w:szCs w:val="21"/>
                <w:highlight w:val="none"/>
              </w:rPr>
            </w:pPr>
            <w:r>
              <w:rPr>
                <w:color w:val="000000"/>
                <w:szCs w:val="21"/>
                <w:highlight w:val="none"/>
              </w:rPr>
              <w:t xml:space="preserve">货物名称</w:t>
            </w: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t xml:space="preserve">商标品牌</w:t>
            </w: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t xml:space="preserve">规格型号</w:t>
            </w: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t xml:space="preserve">生产厂家</w:t>
            </w: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t xml:space="preserve">数量</w:t>
            </w:r>
            <w:r>
              <w:rPr>
                <w:color w:val="000000"/>
                <w:szCs w:val="21"/>
                <w:highlight w:val="none"/>
              </w:rPr>
            </w:r>
            <w:r/>
          </w:p>
          <w:p>
            <w:pPr>
              <w:pStyle w:val="1166"/>
              <w:jc w:val="center"/>
              <w:rPr>
                <w:color w:val="000000"/>
                <w:szCs w:val="21"/>
                <w:highlight w:val="none"/>
              </w:rPr>
            </w:pPr>
            <w:r>
              <w:rPr>
                <w:color w:val="000000"/>
                <w:szCs w:val="21"/>
                <w:highlight w:val="none"/>
              </w:rPr>
              <w:t xml:space="preserve">及单位</w:t>
            </w: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t xml:space="preserve">单价</w:t>
            </w:r>
            <w:r>
              <w:rPr>
                <w:color w:val="000000"/>
                <w:szCs w:val="21"/>
                <w:highlight w:val="none"/>
              </w:rPr>
            </w:r>
            <w:r/>
          </w:p>
          <w:p>
            <w:pPr>
              <w:pStyle w:val="1166"/>
              <w:jc w:val="center"/>
              <w:rPr>
                <w:color w:val="000000"/>
                <w:szCs w:val="21"/>
                <w:highlight w:val="none"/>
              </w:rPr>
            </w:pPr>
            <w:r>
              <w:rPr>
                <w:color w:val="000000"/>
                <w:szCs w:val="21"/>
                <w:highlight w:val="none"/>
              </w:rPr>
              <w:t xml:space="preserve">（元）</w:t>
            </w:r>
            <w:r>
              <w:rPr>
                <w:color w:val="000000"/>
                <w:szCs w:val="21"/>
                <w:highlight w:val="none"/>
              </w:rPr>
            </w:r>
            <w:r/>
          </w:p>
        </w:tc>
        <w:tc>
          <w:tcPr>
            <w:tcW w:w="668" w:type="dxa"/>
            <w:vAlign w:val="center"/>
            <w:textDirection w:val="lrTb"/>
            <w:noWrap w:val="false"/>
          </w:tcPr>
          <w:p>
            <w:pPr>
              <w:pStyle w:val="1166"/>
              <w:jc w:val="center"/>
              <w:rPr>
                <w:color w:val="000000"/>
                <w:szCs w:val="21"/>
                <w:highlight w:val="none"/>
              </w:rPr>
            </w:pPr>
            <w:r>
              <w:rPr>
                <w:color w:val="000000"/>
                <w:szCs w:val="21"/>
                <w:highlight w:val="none"/>
              </w:rPr>
              <w:t xml:space="preserve">金额</w:t>
            </w:r>
            <w:r>
              <w:rPr>
                <w:color w:val="000000"/>
                <w:szCs w:val="21"/>
                <w:highlight w:val="none"/>
              </w:rPr>
            </w:r>
            <w:r/>
          </w:p>
          <w:p>
            <w:pPr>
              <w:pStyle w:val="1166"/>
              <w:jc w:val="center"/>
              <w:rPr>
                <w:color w:val="000000"/>
                <w:szCs w:val="21"/>
                <w:highlight w:val="none"/>
              </w:rPr>
            </w:pPr>
            <w:r>
              <w:rPr>
                <w:color w:val="000000"/>
                <w:szCs w:val="21"/>
                <w:highlight w:val="none"/>
              </w:rPr>
              <w:t xml:space="preserve">（元）</w:t>
            </w:r>
            <w:r>
              <w:rPr>
                <w:color w:val="000000"/>
                <w:szCs w:val="21"/>
                <w:highlight w:val="none"/>
              </w:rPr>
            </w:r>
            <w:r/>
          </w:p>
        </w:tc>
      </w:tr>
      <w:tr>
        <w:trPr>
          <w:cantSplit/>
          <w:trHeight w:val="465"/>
        </w:trPr>
        <w:tc>
          <w:tcPr>
            <w:tcW w:w="341" w:type="dxa"/>
            <w:vAlign w:val="center"/>
            <w:textDirection w:val="lrTb"/>
            <w:noWrap w:val="false"/>
          </w:tcPr>
          <w:p>
            <w:pPr>
              <w:pStyle w:val="1166"/>
              <w:jc w:val="center"/>
              <w:rPr>
                <w:color w:val="000000"/>
                <w:szCs w:val="21"/>
                <w:highlight w:val="none"/>
              </w:rPr>
            </w:pPr>
            <w:r>
              <w:rPr>
                <w:color w:val="000000"/>
                <w:szCs w:val="21"/>
                <w:highlight w:val="none"/>
              </w:rPr>
              <w:t xml:space="preserve">1</w:t>
            </w:r>
            <w:r>
              <w:rPr>
                <w:color w:val="000000"/>
                <w:szCs w:val="21"/>
                <w:highlight w:val="none"/>
              </w:rPr>
            </w:r>
            <w:r/>
          </w:p>
        </w:tc>
        <w:tc>
          <w:tcPr>
            <w:tcW w:w="664"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8" w:type="dxa"/>
            <w:vAlign w:val="center"/>
            <w:textDirection w:val="lrTb"/>
            <w:noWrap w:val="false"/>
          </w:tcPr>
          <w:p>
            <w:pPr>
              <w:pStyle w:val="116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166"/>
              <w:jc w:val="center"/>
              <w:rPr>
                <w:color w:val="000000"/>
                <w:szCs w:val="21"/>
                <w:highlight w:val="none"/>
              </w:rPr>
            </w:pPr>
            <w:r>
              <w:rPr>
                <w:color w:val="000000"/>
                <w:szCs w:val="21"/>
                <w:highlight w:val="none"/>
              </w:rPr>
              <w:t xml:space="preserve">2</w:t>
            </w:r>
            <w:r>
              <w:rPr>
                <w:color w:val="000000"/>
                <w:szCs w:val="21"/>
                <w:highlight w:val="none"/>
              </w:rPr>
            </w:r>
            <w:r/>
          </w:p>
        </w:tc>
        <w:tc>
          <w:tcPr>
            <w:tcW w:w="664"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8" w:type="dxa"/>
            <w:vAlign w:val="center"/>
            <w:textDirection w:val="lrTb"/>
            <w:noWrap w:val="false"/>
          </w:tcPr>
          <w:p>
            <w:pPr>
              <w:pStyle w:val="116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166"/>
              <w:jc w:val="center"/>
              <w:rPr>
                <w:color w:val="000000"/>
                <w:szCs w:val="21"/>
                <w:highlight w:val="none"/>
              </w:rPr>
            </w:pPr>
            <w:r>
              <w:rPr>
                <w:color w:val="000000"/>
                <w:szCs w:val="21"/>
                <w:highlight w:val="none"/>
              </w:rPr>
              <w:t xml:space="preserve">3</w:t>
            </w:r>
            <w:r>
              <w:rPr>
                <w:color w:val="000000"/>
                <w:szCs w:val="21"/>
                <w:highlight w:val="none"/>
              </w:rPr>
            </w:r>
            <w:r/>
          </w:p>
        </w:tc>
        <w:tc>
          <w:tcPr>
            <w:tcW w:w="664"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8" w:type="dxa"/>
            <w:vAlign w:val="center"/>
            <w:textDirection w:val="lrTb"/>
            <w:noWrap w:val="false"/>
          </w:tcPr>
          <w:p>
            <w:pPr>
              <w:pStyle w:val="116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166"/>
              <w:jc w:val="center"/>
              <w:rPr>
                <w:color w:val="000000"/>
                <w:szCs w:val="21"/>
                <w:highlight w:val="none"/>
              </w:rPr>
            </w:pPr>
            <w:r>
              <w:rPr>
                <w:color w:val="000000"/>
                <w:szCs w:val="21"/>
                <w:highlight w:val="none"/>
              </w:rPr>
              <w:t xml:space="preserve">4</w:t>
            </w:r>
            <w:r>
              <w:rPr>
                <w:color w:val="000000"/>
                <w:szCs w:val="21"/>
                <w:highlight w:val="none"/>
              </w:rPr>
            </w:r>
            <w:r/>
          </w:p>
        </w:tc>
        <w:tc>
          <w:tcPr>
            <w:tcW w:w="664"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8" w:type="dxa"/>
            <w:vAlign w:val="center"/>
            <w:textDirection w:val="lrTb"/>
            <w:noWrap w:val="false"/>
          </w:tcPr>
          <w:p>
            <w:pPr>
              <w:pStyle w:val="116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166"/>
              <w:jc w:val="center"/>
              <w:rPr>
                <w:color w:val="000000"/>
                <w:szCs w:val="21"/>
                <w:highlight w:val="none"/>
              </w:rPr>
            </w:pPr>
            <w:r>
              <w:rPr>
                <w:color w:val="000000"/>
                <w:szCs w:val="21"/>
                <w:highlight w:val="none"/>
              </w:rPr>
              <w:t xml:space="preserve">5</w:t>
            </w:r>
            <w:r>
              <w:rPr>
                <w:color w:val="000000"/>
                <w:szCs w:val="21"/>
                <w:highlight w:val="none"/>
              </w:rPr>
            </w:r>
            <w:r/>
          </w:p>
        </w:tc>
        <w:tc>
          <w:tcPr>
            <w:tcW w:w="664"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8" w:type="dxa"/>
            <w:vAlign w:val="center"/>
            <w:textDirection w:val="lrTb"/>
            <w:noWrap w:val="false"/>
          </w:tcPr>
          <w:p>
            <w:pPr>
              <w:pStyle w:val="116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1166"/>
              <w:jc w:val="center"/>
              <w:rPr>
                <w:color w:val="000000"/>
                <w:szCs w:val="21"/>
                <w:highlight w:val="none"/>
              </w:rPr>
            </w:pPr>
            <w:r>
              <w:rPr>
                <w:color w:val="000000"/>
                <w:szCs w:val="21"/>
                <w:highlight w:val="none"/>
              </w:rPr>
              <w:t xml:space="preserve">6</w:t>
            </w:r>
            <w:r>
              <w:rPr>
                <w:color w:val="000000"/>
                <w:szCs w:val="21"/>
                <w:highlight w:val="none"/>
              </w:rPr>
            </w:r>
            <w:r/>
          </w:p>
        </w:tc>
        <w:tc>
          <w:tcPr>
            <w:tcW w:w="664"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top"/>
            <w:textDirection w:val="lrTb"/>
            <w:noWrap w:val="false"/>
          </w:tcPr>
          <w:p>
            <w:pPr>
              <w:pStyle w:val="1166"/>
              <w:jc w:val="center"/>
              <w:rPr>
                <w:color w:val="000000"/>
                <w:szCs w:val="21"/>
                <w:highlight w:val="none"/>
              </w:rPr>
            </w:pPr>
            <w:r>
              <w:rPr>
                <w:color w:val="000000"/>
                <w:szCs w:val="21"/>
                <w:highlight w:val="none"/>
              </w:rPr>
            </w:r>
            <w:r/>
          </w:p>
        </w:tc>
        <w:tc>
          <w:tcPr>
            <w:tcW w:w="665" w:type="dxa"/>
            <w:vAlign w:val="center"/>
            <w:textDirection w:val="lrTb"/>
            <w:noWrap w:val="false"/>
          </w:tcPr>
          <w:p>
            <w:pPr>
              <w:pStyle w:val="1166"/>
              <w:jc w:val="center"/>
              <w:rPr>
                <w:color w:val="000000"/>
                <w:szCs w:val="21"/>
                <w:highlight w:val="none"/>
              </w:rPr>
            </w:pPr>
            <w:r>
              <w:rPr>
                <w:color w:val="000000"/>
                <w:szCs w:val="21"/>
                <w:highlight w:val="none"/>
              </w:rPr>
            </w:r>
            <w:r/>
          </w:p>
        </w:tc>
        <w:tc>
          <w:tcPr>
            <w:tcW w:w="668" w:type="dxa"/>
            <w:vAlign w:val="center"/>
            <w:textDirection w:val="lrTb"/>
            <w:noWrap w:val="false"/>
          </w:tcPr>
          <w:p>
            <w:pPr>
              <w:pStyle w:val="1166"/>
              <w:jc w:val="center"/>
              <w:rPr>
                <w:color w:val="000000"/>
                <w:szCs w:val="21"/>
                <w:highlight w:val="none"/>
              </w:rPr>
            </w:pPr>
            <w:r>
              <w:rPr>
                <w:color w:val="000000"/>
                <w:szCs w:val="21"/>
                <w:highlight w:val="none"/>
              </w:rPr>
            </w:r>
            <w:r/>
          </w:p>
        </w:tc>
      </w:tr>
      <w:tr>
        <w:trPr>
          <w:cantSplit/>
          <w:trHeight w:val="465"/>
        </w:trPr>
        <w:tc>
          <w:tcPr>
            <w:gridSpan w:val="8"/>
            <w:tcW w:w="9982" w:type="dxa"/>
            <w:vAlign w:val="center"/>
            <w:textDirection w:val="lrTb"/>
            <w:noWrap w:val="false"/>
          </w:tcPr>
          <w:p>
            <w:pPr>
              <w:pStyle w:val="1166"/>
              <w:rPr>
                <w:color w:val="000000"/>
                <w:szCs w:val="21"/>
                <w:highlight w:val="none"/>
              </w:rPr>
            </w:pPr>
            <w:r>
              <w:rPr>
                <w:color w:val="000000"/>
                <w:szCs w:val="21"/>
                <w:highlight w:val="none"/>
              </w:rPr>
              <w:t xml:space="preserve">人民币合计金额（大写）（小写）</w:t>
            </w:r>
            <w:r>
              <w:rPr>
                <w:color w:val="000000"/>
                <w:szCs w:val="21"/>
                <w:highlight w:val="none"/>
              </w:rPr>
            </w:r>
            <w:r/>
          </w:p>
        </w:tc>
      </w:tr>
    </w:tbl>
    <w:p>
      <w:pPr>
        <w:pStyle w:val="1166"/>
        <w:ind w:firstLine="560"/>
        <w:jc w:val="left"/>
        <w:spacing w:line="360" w:lineRule="auto"/>
        <w:rPr>
          <w:b/>
          <w:color w:val="000000"/>
          <w:szCs w:val="21"/>
          <w:highlight w:val="none"/>
        </w:rPr>
      </w:pPr>
      <w:r>
        <w:rPr>
          <w:b/>
          <w:color w:val="000000"/>
          <w:szCs w:val="21"/>
          <w:highlight w:val="none"/>
        </w:rPr>
        <w:t xml:space="preserve">第三条  合同总价款    </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本合同项下货物总价款为人民币</w:t>
      </w:r>
      <w:r>
        <w:rPr>
          <w:b/>
          <w:color w:val="000000"/>
          <w:szCs w:val="21"/>
          <w:highlight w:val="none"/>
          <w:u w:val="single"/>
        </w:rPr>
        <w:t xml:space="preserve">         </w:t>
      </w:r>
      <w:r>
        <w:rPr>
          <w:color w:val="000000"/>
          <w:szCs w:val="21"/>
          <w:highlight w:val="none"/>
        </w:rPr>
        <w:t xml:space="preserve">元（大写</w:t>
      </w:r>
      <w:r>
        <w:rPr>
          <w:color w:val="000000"/>
          <w:szCs w:val="21"/>
          <w:highlight w:val="none"/>
          <w:u w:val="single"/>
        </w:rPr>
        <w:t xml:space="preserve">              </w:t>
      </w:r>
      <w:r>
        <w:rPr>
          <w:color w:val="000000"/>
          <w:szCs w:val="21"/>
          <w:highlight w:val="none"/>
        </w:rPr>
        <w:t xml:space="preserve">）（含税）；分项价款在“投标报价表”中有明确规定。</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为避免疑义，本合同总价款包含了乙方在本合同下供应货物而发生的一切费用，包括但不限于合同涉及的全部货物的设计、制造、包装、仓储、运输、专用工具、安装、调试、检验、技术培训及相关资料、以及验收合格之前及保修期内备品备件发生的所有含税费用，同时还包含乙方应当提供的售后服务等费用。乙方确认除该合同总价款（含税）之外，甲方无需因本协议项下的货物采购向乙方支付任何其他款项，本协议另有约定的除外。</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第四条  权利保证</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乙方应保证甲方在使用该货物或其任何一部分时不受第三方提出侵犯其专利权、版权、商标权或其他权利的起诉。一旦出现侵权，乙方应承担全部责任。乙</w:t>
      </w:r>
      <w:r>
        <w:rPr>
          <w:color w:val="000000"/>
          <w:szCs w:val="21"/>
          <w:highlight w:val="none"/>
        </w:rPr>
        <w:t xml:space="preserve">方在本项目中提供的任何软硬件产品都不得侵犯任何第三方的知识产权，否则应承担由此带来的所有责任。如甲方因乙方提供货物的使用而面临第三方提起诉讼、索赔、指控等，乙方应积极与第三方交涉并承担甲方因此支出的一切费用（包括但不限于诉讼费、调查费、律师费、差旅费等合理开支），且在谈判、诉讼期间及最终决定以前，乙方应做出必要的安排，以保证提供给甲方的服务不会因此而中断（除非甲方要求中止服务）。甲方因使用本合同项下乙方提供的货物而造成损失的，乙方应承担甲方的一切损失（包括但不限于诉讼费、调查费、律师费、差旅费等合理开支）。</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第五条  质量保证</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1、乙方所提供的货物型号、技术规格、技术参数等质量必须与采购文件、投标（响应）文件和承诺相一致。若技术性能无特殊说明，则按国家有关部门最新颁布的标准及规范为准。</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乙方将货物送至甲方指定地点、安装调试完成并经最终验收合格视为交付。乙方应保证货物是全新、未使用过的原装合格正品，并完全符合合同、采购文件、投标（响应）文件和承诺规定的质量、规格和性能的要求。货物交付前由乙方承担货物损毁灭失的风险。乙方应保证其提供的货物在正确安装、正常使用和保养条件下，在其使用寿命内具有良好的性能。</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3、乙方应保证货物不存在已有的或可预见的权利负担，包括但不限于出租、抵押、留置权等有损于货物物权的其他权利。</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4、如乙方提供的货物造成第三方人身或财产损害，乙方应承担由此产生的一切法律责任。如甲方因乙方提供货物的使用而面临第三方提起诉讼、索赔、指控等，乙方应积极与第三方交涉并承担甲方因此支出的一切费用（包括但不限于诉讼费、调查费、律师费、差旅费等合理开支），且在谈判、诉讼期间及最终决定以前，乙方应做出必要的安排，以保证提供给甲方的服务不会因此而中断（除非甲方要求中止服务）。甲方因接受本合同项下乙方提供的货物而造成损失的，乙方应承担甲方的一切损失（包括但不限于诉讼费、调查费、律师费、差旅费等合理开支）。</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第六条  包装要求</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乙方提供的货物均应按采购文件、投标（响应）文件要求的包装材料、包装标准、包装方式进行包装，若采购文件、投标（响应）文件无特殊说明，则按货物属性及运输方式的特点，对产品进行符合行业最佳实践的包装。该包装应适应于远距离运输、防潮、防震、防锈和防野蛮装卸，以确保货物安全无损运抵甲方指定地点。由于包装不善所引起的货物损失均由乙方承担。</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2、每一包装单元内应附详细的装箱单和质量合格凭证。</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第七条  交货和验收</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1、交货时间地点</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（1）交货时间：</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日，也可以甲方书面通知的具体时间为准。</w:t>
      </w:r>
      <w:r>
        <w:rPr>
          <w:color w:val="000000"/>
          <w:szCs w:val="21"/>
          <w:highlight w:val="none"/>
        </w:rPr>
      </w:r>
      <w:r/>
    </w:p>
    <w:p>
      <w:pPr>
        <w:pStyle w:val="1166"/>
        <w:ind w:firstLine="420"/>
        <w:jc w:val="left"/>
        <w:spacing w:line="360" w:lineRule="auto"/>
        <w:rPr>
          <w:color w:val="000000"/>
          <w:szCs w:val="21"/>
          <w:highlight w:val="none"/>
          <w:u w:val="single"/>
        </w:rPr>
      </w:pPr>
      <w:r>
        <w:rPr>
          <w:color w:val="000000"/>
          <w:szCs w:val="21"/>
          <w:highlight w:val="none"/>
        </w:rPr>
        <w:t xml:space="preserve">乙方应按照本合同或采购文件规定的时间和方式向甲方交付货物，如招投标文件对交货时间未明确规定，则乙方应当在</w:t>
      </w:r>
      <w:r>
        <w:rPr>
          <w:b/>
          <w:color w:val="000000"/>
          <w:szCs w:val="21"/>
          <w:highlight w:val="none"/>
          <w:u w:val="single"/>
        </w:rPr>
        <w:t xml:space="preserve">          </w:t>
      </w:r>
      <w:r>
        <w:rPr>
          <w:color w:val="000000"/>
          <w:szCs w:val="21"/>
          <w:highlight w:val="none"/>
        </w:rPr>
        <w:t xml:space="preserve">（期间）前将货物交付甲方。</w:t>
      </w:r>
      <w:r>
        <w:rPr>
          <w:color w:val="000000"/>
          <w:szCs w:val="21"/>
          <w:highlight w:val="none"/>
          <w:u w:val="single"/>
        </w:rPr>
      </w:r>
      <w:r/>
    </w:p>
    <w:p>
      <w:pPr>
        <w:pStyle w:val="1166"/>
        <w:numPr>
          <w:ilvl w:val="0"/>
          <w:numId w:val="4"/>
        </w:numPr>
        <w:ind w:firstLine="560"/>
        <w:jc w:val="left"/>
        <w:spacing w:line="360" w:lineRule="auto"/>
        <w:rPr>
          <w:color w:val="000000"/>
          <w:szCs w:val="21"/>
          <w:highlight w:val="none"/>
        </w:rPr>
      </w:pPr>
      <w:r>
        <w:rPr>
          <w:color w:val="000000"/>
          <w:szCs w:val="21"/>
          <w:highlight w:val="none"/>
        </w:rPr>
        <w:t xml:space="preserve">交货地点由甲方指定，交货地点：</w:t>
      </w:r>
      <w:r>
        <w:rPr>
          <w:color w:val="000000"/>
          <w:szCs w:val="21"/>
          <w:highlight w:val="none"/>
          <w:u w:val="single"/>
        </w:rPr>
        <w:t xml:space="preserve">                    </w:t>
      </w:r>
      <w:r>
        <w:rPr>
          <w:color w:val="000000"/>
          <w:szCs w:val="21"/>
          <w:highlight w:val="none"/>
        </w:rPr>
        <w:t xml:space="preserve">。</w:t>
      </w:r>
      <w:r>
        <w:rPr>
          <w:color w:val="000000"/>
          <w:szCs w:val="21"/>
          <w:highlight w:val="none"/>
        </w:rPr>
      </w:r>
      <w:r/>
    </w:p>
    <w:p>
      <w:pPr>
        <w:pStyle w:val="1166"/>
        <w:numPr>
          <w:ilvl w:val="0"/>
          <w:numId w:val="4"/>
        </w:numPr>
        <w:ind w:firstLine="560"/>
        <w:jc w:val="left"/>
        <w:spacing w:line="360" w:lineRule="auto"/>
        <w:rPr>
          <w:color w:val="000000"/>
          <w:szCs w:val="21"/>
          <w:highlight w:val="none"/>
        </w:rPr>
      </w:pPr>
      <w:r>
        <w:rPr>
          <w:color w:val="000000"/>
          <w:szCs w:val="21"/>
          <w:highlight w:val="none"/>
        </w:rPr>
        <w:t xml:space="preserve">交货方式：</w:t>
      </w:r>
      <w:r>
        <w:rPr>
          <w:color w:val="000000"/>
          <w:szCs w:val="21"/>
          <w:highlight w:val="none"/>
          <w:u w:val="single"/>
        </w:rPr>
        <w:t xml:space="preserve">现场安装、                    </w:t>
      </w:r>
      <w:r>
        <w:rPr>
          <w:color w:val="000000"/>
          <w:szCs w:val="21"/>
          <w:highlight w:val="none"/>
        </w:rPr>
        <w:t xml:space="preserve">。</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2、验收标准</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乙方交付的货物应当完全符合本合同或者招投标文件所规定的货物、数量和规格要求。乙方不得少交或多交货物。乙方提供的货物不符合招投标文件和合同规定的，甲方有权拒收货物，乙方应及时安排替换货物并承担因此产生的所有运输费用，并按照本协议第十三条承担相应逾期责任。造成甲方损失的，乙方应当承担赔偿责任。</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（3）货物和系统调试验收的标准：按行业通行标准、厂方出厂标准和乙方投标文件的承诺（详见合同附件载明的标准，并不低于国家相关标准）。</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color w:val="000000"/>
          <w:szCs w:val="21"/>
          <w:highlight w:val="none"/>
        </w:rPr>
      </w:r>
      <w:r/>
    </w:p>
    <w:p>
      <w:pPr>
        <w:pStyle w:val="1166"/>
        <w:ind w:firstLine="525"/>
        <w:jc w:val="left"/>
        <w:spacing w:line="360" w:lineRule="auto"/>
        <w:rPr>
          <w:color w:val="000000"/>
          <w:szCs w:val="21"/>
          <w:highlight w:val="none"/>
        </w:rPr>
      </w:pPr>
      <w:r/>
      <w:bookmarkStart w:id="265" w:name="_Hlk130909560"/>
      <w:r>
        <w:rPr>
          <w:color w:val="000000"/>
          <w:highlight w:val="none"/>
        </w:rPr>
        <w:t xml:space="preserve">4、</w:t>
      </w:r>
      <w:bookmarkStart w:id="266" w:name="_Hlk130920321"/>
      <w:r>
        <w:rPr>
          <w:color w:val="000000"/>
          <w:szCs w:val="21"/>
          <w:highlight w:val="none"/>
        </w:rPr>
        <w:t xml:space="preserve">乙方所提供的技术资料完整正确，数据和资料准确无误，能够保证设备按时正确地安装、调试和验收，并能满足正常运行和维修保养的需要。供方安装人员与采购人共同开箱，</w:t>
      </w:r>
      <w:r>
        <w:rPr>
          <w:color w:val="000000"/>
          <w:szCs w:val="21"/>
          <w:highlight w:val="none"/>
          <w:lang w:val="zh-CN"/>
        </w:rPr>
        <w:t xml:space="preserve">货物的到货验收包括：型号、规格、数量、外观质量及货物包装是否完好，</w:t>
      </w:r>
      <w:r>
        <w:rPr>
          <w:color w:val="000000"/>
          <w:szCs w:val="21"/>
          <w:highlight w:val="none"/>
        </w:rPr>
        <w:t xml:space="preserve">设备及附件是否全新、完整无损，产品合格书、</w:t>
      </w:r>
      <w:r>
        <w:rPr>
          <w:color w:val="000000"/>
          <w:highlight w:val="none"/>
        </w:rPr>
        <w:t xml:space="preserve">医疗器械注册证、</w:t>
      </w:r>
      <w:r>
        <w:rPr>
          <w:color w:val="000000"/>
          <w:szCs w:val="21"/>
          <w:highlight w:val="none"/>
          <w:lang w:val="zh-CN"/>
        </w:rPr>
        <w:t xml:space="preserve">技术性能检测报告、货物的装箱清单、用户手册、原厂保修卡、随机资料及配件、随机工具</w:t>
      </w:r>
      <w:r>
        <w:rPr>
          <w:color w:val="000000"/>
          <w:szCs w:val="21"/>
          <w:highlight w:val="none"/>
        </w:rPr>
        <w:t xml:space="preserve">等资料是否齐全。进口设备还需提供进口报关单。如果乙方交付的上述资料出现损毁、短缺或无法辨认，乙方应在</w:t>
      </w:r>
      <w:r>
        <w:rPr>
          <w:color w:val="000000"/>
          <w:szCs w:val="21"/>
          <w:highlight w:val="none"/>
          <w:u w:val="single"/>
        </w:rPr>
        <w:t xml:space="preserve">    </w:t>
      </w:r>
      <w:r>
        <w:rPr>
          <w:color w:val="000000"/>
          <w:szCs w:val="21"/>
          <w:highlight w:val="none"/>
        </w:rPr>
        <w:t xml:space="preserve">个工作日内，为甲方补供所缺的、清晰的、正确的资料，由此发生的一切费用由乙方承担，乙方应同时按照本协议第十三条承担相应逾期责任。</w:t>
      </w:r>
      <w:r>
        <w:rPr>
          <w:color w:val="000000"/>
          <w:szCs w:val="21"/>
          <w:highlight w:val="none"/>
        </w:rPr>
      </w:r>
      <w:r/>
    </w:p>
    <w:p>
      <w:pPr>
        <w:pStyle w:val="1166"/>
        <w:ind w:firstLine="560"/>
        <w:jc w:val="left"/>
        <w:spacing w:line="360" w:lineRule="auto"/>
        <w:rPr>
          <w:color w:val="000000"/>
          <w:szCs w:val="21"/>
          <w:highlight w:val="none"/>
        </w:rPr>
      </w:pPr>
      <w:r/>
      <w:bookmarkEnd w:id="266"/>
      <w:r>
        <w:rPr>
          <w:color w:val="000000"/>
          <w:szCs w:val="21"/>
          <w:highlight w:val="none"/>
        </w:rPr>
        <w:t xml:space="preserve">5、乙方负责在货物到达甲方交货地点或者指定地点</w:t>
      </w:r>
      <w:r>
        <w:rPr>
          <w:color w:val="000000"/>
          <w:szCs w:val="21"/>
          <w:highlight w:val="none"/>
          <w:u w:val="single"/>
        </w:rPr>
        <w:t xml:space="preserve">____</w:t>
      </w:r>
      <w:r>
        <w:rPr>
          <w:color w:val="000000"/>
          <w:szCs w:val="21"/>
          <w:highlight w:val="none"/>
        </w:rPr>
        <w:t xml:space="preserve">日内到甲方现场调试服务，甲方在调试过程中作整体验收，如在验收过程中甲方发现调试结果未达到验收合格标准，则由甲方出具书面通知，并责令乙方限期整改，乙方应自收到甲方书面通知后</w:t>
      </w:r>
      <w:r>
        <w:rPr>
          <w:color w:val="000000"/>
          <w:szCs w:val="21"/>
          <w:highlight w:val="none"/>
          <w:u w:val="single"/>
        </w:rPr>
        <w:t xml:space="preserve">   </w:t>
      </w:r>
      <w:r>
        <w:rPr>
          <w:color w:val="000000"/>
          <w:szCs w:val="21"/>
          <w:highlight w:val="none"/>
        </w:rPr>
        <w:t xml:space="preserve">日内及时予以解决并承担相应费用。</w:t>
      </w:r>
      <w:r>
        <w:rPr>
          <w:color w:val="000000"/>
          <w:szCs w:val="21"/>
          <w:highlight w:val="none"/>
        </w:rPr>
      </w:r>
      <w:r/>
    </w:p>
    <w:p>
      <w:pPr>
        <w:pStyle w:val="1166"/>
        <w:ind w:firstLine="525"/>
        <w:jc w:val="left"/>
        <w:spacing w:line="360" w:lineRule="auto"/>
        <w:rPr>
          <w:color w:val="000000"/>
          <w:szCs w:val="21"/>
          <w:highlight w:val="none"/>
        </w:rPr>
      </w:pPr>
      <w:r>
        <w:rPr>
          <w:color w:val="000000"/>
          <w:szCs w:val="21"/>
          <w:highlight w:val="none"/>
        </w:rPr>
        <w:t xml:space="preserve">6、</w:t>
      </w:r>
      <w:bookmarkStart w:id="267" w:name="_Hlk129951325"/>
      <w:r>
        <w:rPr>
          <w:color w:val="000000"/>
          <w:szCs w:val="21"/>
          <w:highlight w:val="none"/>
        </w:rPr>
        <w:t xml:space="preserve">乙方完成设备安装、调试、培训，达到正常使用要求并移交相关技术资料后，设备试运行</w:t>
      </w:r>
      <w:r>
        <w:rPr>
          <w:color w:val="000000"/>
          <w:szCs w:val="21"/>
          <w:highlight w:val="none"/>
          <w:u w:val="single"/>
        </w:rPr>
        <w:t xml:space="preserve">____</w:t>
      </w:r>
      <w:r>
        <w:rPr>
          <w:color w:val="000000"/>
          <w:szCs w:val="21"/>
          <w:highlight w:val="none"/>
        </w:rPr>
        <w:t xml:space="preserve">天，试用期间发生质量问题，退换货或修复后试用期相应顺延。试运行结束无质量问题办理验收手续，由甲方出具验收单。</w:t>
      </w:r>
      <w:r>
        <w:rPr>
          <w:color w:val="000000"/>
          <w:szCs w:val="21"/>
          <w:highlight w:val="none"/>
        </w:rPr>
      </w:r>
      <w:r/>
    </w:p>
    <w:p>
      <w:pPr>
        <w:pStyle w:val="1166"/>
        <w:ind w:firstLine="560"/>
        <w:jc w:val="left"/>
        <w:spacing w:line="360" w:lineRule="auto"/>
        <w:rPr>
          <w:color w:val="000000"/>
          <w:szCs w:val="21"/>
          <w:highlight w:val="none"/>
        </w:rPr>
      </w:pPr>
      <w:r/>
      <w:bookmarkEnd w:id="267"/>
      <w:r>
        <w:rPr>
          <w:color w:val="000000"/>
          <w:szCs w:val="21"/>
          <w:highlight w:val="none"/>
        </w:rPr>
        <w:t xml:space="preserve">7、验收时间以验收单上签署的时间为准，验收结果以该项目验收单结论为准。在验收过程中发现乙方有违约问题，可暂缓资金结算，待违约问题解决后，方可办理资金结算事宜。</w:t>
      </w:r>
      <w:r>
        <w:rPr>
          <w:color w:val="000000"/>
          <w:szCs w:val="21"/>
          <w:highlight w:val="none"/>
        </w:rPr>
      </w:r>
      <w:r/>
    </w:p>
    <w:p>
      <w:pPr>
        <w:pStyle w:val="1166"/>
        <w:ind w:firstLine="560"/>
        <w:jc w:val="left"/>
        <w:spacing w:line="360" w:lineRule="auto"/>
        <w:rPr>
          <w:b/>
          <w:color w:val="000000"/>
          <w:szCs w:val="21"/>
          <w:highlight w:val="none"/>
        </w:rPr>
      </w:pPr>
      <w:r/>
      <w:bookmarkEnd w:id="265"/>
      <w:r>
        <w:rPr>
          <w:b/>
          <w:color w:val="000000"/>
          <w:szCs w:val="21"/>
          <w:highlight w:val="none"/>
        </w:rPr>
        <w:t xml:space="preserve">第八条 付款方式和期限</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1、本合同所有款项均以人民币支付，合同执行期间合同总价不变，该价格已经包含本合同第三条约定的所有费用。</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2、付款条件</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乙方要求付款应提交下列单证和文件：</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A、国家税务机关监制的正式发票（中标人向采购方开具合法票据，发票上的货物和技术服务名称须与投标文件及合同所列示的内容完全一致，发票不得由第三方代开，中标方未提供符合上述要求票据的，采购方有权拒绝支付合同款项，由此引起的一切责任由乙方负责）。</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B、制造厂家出具的货物质量合格证书。</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C、甲方已收讫货物的验收凭证。</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D、甲方签发的验收合格文件。</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3、付款方式</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甲乙双方协商，选定的货物交货付款方式是</w:t>
      </w:r>
      <w:r>
        <w:rPr>
          <w:color w:val="000000"/>
          <w:szCs w:val="21"/>
          <w:highlight w:val="none"/>
          <w:u w:val="single"/>
        </w:rPr>
        <w:t xml:space="preserve">           </w:t>
      </w:r>
      <w:r>
        <w:rPr>
          <w:color w:val="000000"/>
          <w:szCs w:val="21"/>
          <w:highlight w:val="none"/>
        </w:rPr>
        <w:t xml:space="preserve">（必选择项）</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3.1一次性全部付款方式：</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全部货物交货并经验收合格后</w:t>
      </w:r>
      <w:r>
        <w:rPr>
          <w:color w:val="000000"/>
          <w:szCs w:val="21"/>
          <w:highlight w:val="none"/>
          <w:u w:val="single"/>
        </w:rPr>
        <w:t xml:space="preserve">___</w:t>
      </w:r>
      <w:r>
        <w:rPr>
          <w:color w:val="000000"/>
          <w:szCs w:val="21"/>
          <w:highlight w:val="none"/>
        </w:rPr>
        <w:t xml:space="preserve">日内，甲方凭乙方根据本条第2款提供的完整单据和文件向乙方一次性支付</w:t>
      </w:r>
      <w:r>
        <w:rPr>
          <w:color w:val="000000"/>
          <w:szCs w:val="21"/>
          <w:highlight w:val="none"/>
          <w:u w:val="single"/>
        </w:rPr>
        <w:t xml:space="preserve">____</w:t>
      </w:r>
      <w:r>
        <w:rPr>
          <w:color w:val="000000"/>
          <w:szCs w:val="21"/>
          <w:highlight w:val="none"/>
        </w:rPr>
        <w:t xml:space="preserve">的货物价款。</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3.2有尾款的付款方式：  </w:t>
      </w:r>
      <w:r>
        <w:rPr>
          <w:color w:val="000000"/>
          <w:szCs w:val="21"/>
          <w:highlight w:val="none"/>
        </w:rPr>
      </w:r>
      <w:r/>
    </w:p>
    <w:p>
      <w:pPr>
        <w:pStyle w:val="1166"/>
        <w:ind w:firstLine="420"/>
        <w:jc w:val="left"/>
        <w:spacing w:line="440" w:lineRule="exact"/>
        <w:rPr>
          <w:color w:val="000000"/>
          <w:szCs w:val="21"/>
          <w:highlight w:val="none"/>
        </w:rPr>
      </w:pPr>
      <w:r/>
      <w:bookmarkStart w:id="268" w:name="_Hlk101377252"/>
      <w:r>
        <w:rPr>
          <w:color w:val="000000"/>
          <w:szCs w:val="21"/>
          <w:highlight w:val="none"/>
        </w:rPr>
        <w:t xml:space="preserve">合同签署后，中标方按采购方质量和时间要求完成本项目规定所有内容，经采购方验收合格，采购方收到中标方开具的合法发票后</w:t>
      </w:r>
      <w:r>
        <w:rPr>
          <w:color w:val="000000"/>
          <w:szCs w:val="21"/>
          <w:highlight w:val="none"/>
          <w:u w:val="single"/>
        </w:rPr>
        <w:t xml:space="preserve">___</w:t>
      </w:r>
      <w:r>
        <w:rPr>
          <w:color w:val="000000"/>
          <w:szCs w:val="21"/>
          <w:highlight w:val="none"/>
        </w:rPr>
        <w:t xml:space="preserve">日内支付90%合同款，质保期满无质量问题付清余款。</w:t>
      </w:r>
      <w:bookmarkEnd w:id="268"/>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4、扣除/抵销</w:t>
      </w:r>
      <w:r>
        <w:rPr>
          <w:color w:val="000000"/>
          <w:szCs w:val="21"/>
          <w:highlight w:val="none"/>
        </w:rPr>
      </w:r>
      <w:r/>
    </w:p>
    <w:p>
      <w:pPr>
        <w:pStyle w:val="1166"/>
        <w:ind w:firstLine="420"/>
        <w:jc w:val="left"/>
        <w:spacing w:line="440" w:lineRule="exact"/>
        <w:rPr>
          <w:color w:val="000000"/>
          <w:szCs w:val="21"/>
          <w:highlight w:val="none"/>
          <w:lang w:val="zh-CN"/>
        </w:rPr>
      </w:pPr>
      <w:r>
        <w:rPr>
          <w:color w:val="000000"/>
          <w:szCs w:val="21"/>
          <w:highlight w:val="none"/>
          <w:lang w:val="zh-CN"/>
        </w:rPr>
        <w:t xml:space="preserve">乙方同意，如乙方在本协议项下应支付违约金或赔偿甲方经济损失，甲方有权从上述未付款项中直接扣除。</w:t>
      </w:r>
      <w:r>
        <w:rPr>
          <w:color w:val="000000"/>
          <w:szCs w:val="21"/>
          <w:highlight w:val="none"/>
          <w:lang w:val="zh-CN"/>
        </w:rPr>
      </w:r>
      <w:r/>
    </w:p>
    <w:p>
      <w:pPr>
        <w:pStyle w:val="1166"/>
        <w:ind w:firstLine="560"/>
        <w:jc w:val="left"/>
        <w:spacing w:line="360" w:lineRule="auto"/>
        <w:rPr>
          <w:b/>
          <w:color w:val="000000"/>
          <w:szCs w:val="21"/>
          <w:highlight w:val="none"/>
        </w:rPr>
      </w:pPr>
      <w:r>
        <w:rPr>
          <w:b/>
          <w:color w:val="000000"/>
          <w:szCs w:val="21"/>
          <w:highlight w:val="none"/>
        </w:rPr>
        <w:t xml:space="preserve">第九条   履约保证金</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乙方在签订本合同之前，按合同总价款（_</w:t>
      </w:r>
      <w:r>
        <w:rPr>
          <w:color w:val="000000"/>
          <w:szCs w:val="21"/>
          <w:highlight w:val="none"/>
          <w:u w:val="single"/>
        </w:rPr>
        <w:t xml:space="preserve">_无</w:t>
      </w:r>
      <w:r>
        <w:rPr>
          <w:color w:val="000000"/>
          <w:szCs w:val="21"/>
          <w:highlight w:val="none"/>
        </w:rPr>
        <w:t xml:space="preserve">__）比例向甲方提交履约保证金。</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第十条  安装和培训</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1、甲方应提供必要安装条件（如场地、电源、水源等，产生费用由乙方承担）。</w:t>
      </w:r>
      <w:r>
        <w:rPr>
          <w:color w:val="000000"/>
          <w:szCs w:val="21"/>
          <w:highlight w:val="none"/>
        </w:rPr>
      </w:r>
      <w:r/>
    </w:p>
    <w:p>
      <w:pPr>
        <w:pStyle w:val="1166"/>
        <w:ind w:firstLine="525"/>
        <w:spacing w:line="360" w:lineRule="auto"/>
        <w:rPr>
          <w:color w:val="000000"/>
          <w:szCs w:val="21"/>
          <w:highlight w:val="none"/>
        </w:rPr>
      </w:pPr>
      <w:r>
        <w:rPr>
          <w:color w:val="000000"/>
          <w:szCs w:val="21"/>
          <w:highlight w:val="none"/>
        </w:rPr>
        <w:t xml:space="preserve">2、</w:t>
      </w:r>
      <w:bookmarkStart w:id="269" w:name="_Hlk130920535"/>
      <w:r>
        <w:rPr>
          <w:color w:val="000000"/>
          <w:szCs w:val="21"/>
          <w:highlight w:val="none"/>
        </w:rPr>
        <w:t xml:space="preserve">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bookmarkEnd w:id="269"/>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3、</w:t>
      </w:r>
      <w:bookmarkStart w:id="270" w:name="_Hlk130920563"/>
      <w:r>
        <w:rPr>
          <w:color w:val="000000"/>
          <w:highlight w:val="none"/>
        </w:rPr>
        <w:t xml:space="preserve">供应商在装机后必须对</w:t>
      </w:r>
      <w:r>
        <w:rPr>
          <w:color w:val="000000"/>
          <w:szCs w:val="21"/>
          <w:highlight w:val="none"/>
        </w:rPr>
        <w:t xml:space="preserve">设备</w:t>
      </w:r>
      <w:r>
        <w:rPr>
          <w:color w:val="000000"/>
          <w:highlight w:val="none"/>
        </w:rPr>
        <w:t xml:space="preserve">装机所产生的垃圾及包装拆除物进行清理。因包装拆除物原因引起的事故和纠纷，由供应商承担全部法律和经济责任。</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4、供应商负责派人员到现场进行安装调试，</w:t>
      </w:r>
      <w:r>
        <w:rPr>
          <w:color w:val="000000"/>
          <w:szCs w:val="21"/>
          <w:highlight w:val="none"/>
          <w:lang w:val="zh-CN"/>
        </w:rPr>
        <w:t xml:space="preserve">并确保正常使用，</w:t>
      </w:r>
      <w:r>
        <w:rPr>
          <w:color w:val="000000"/>
          <w:szCs w:val="21"/>
          <w:highlight w:val="none"/>
        </w:rPr>
        <w:t xml:space="preserve">直至验收合格；应在货物运抵现场前，与采购人共同制定安装调试的进度计划表。</w:t>
      </w:r>
      <w:r>
        <w:rPr>
          <w:color w:val="000000"/>
          <w:szCs w:val="21"/>
          <w:highlight w:val="none"/>
        </w:rPr>
      </w:r>
      <w:r/>
    </w:p>
    <w:p>
      <w:pPr>
        <w:pStyle w:val="1166"/>
        <w:ind w:firstLine="420"/>
        <w:spacing w:line="360" w:lineRule="auto"/>
        <w:rPr>
          <w:color w:val="000000"/>
          <w:highlight w:val="none"/>
        </w:rPr>
      </w:pPr>
      <w:r>
        <w:rPr>
          <w:color w:val="000000"/>
          <w:szCs w:val="21"/>
          <w:highlight w:val="none"/>
        </w:rPr>
        <w:t xml:space="preserve">5、设备有</w:t>
      </w:r>
      <w:r>
        <w:rPr>
          <w:color w:val="000000"/>
          <w:szCs w:val="21"/>
          <w:highlight w:val="none"/>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rPr>
          <w:color w:val="000000"/>
          <w:highlight w:val="none"/>
        </w:rPr>
      </w:r>
      <w:r/>
    </w:p>
    <w:p>
      <w:pPr>
        <w:pStyle w:val="1166"/>
        <w:ind w:firstLine="420"/>
        <w:spacing w:line="360" w:lineRule="auto"/>
        <w:rPr>
          <w:color w:val="000000"/>
          <w:szCs w:val="21"/>
          <w:highlight w:val="none"/>
        </w:rPr>
      </w:pPr>
      <w:r/>
      <w:bookmarkEnd w:id="270"/>
      <w:r>
        <w:rPr>
          <w:color w:val="000000"/>
          <w:szCs w:val="21"/>
          <w:highlight w:val="none"/>
        </w:rPr>
        <w:t xml:space="preserve">6、</w:t>
      </w:r>
      <w:bookmarkStart w:id="271" w:name="_Hlk130920582"/>
      <w:r>
        <w:rPr>
          <w:color w:val="000000"/>
          <w:szCs w:val="21"/>
          <w:highlight w:val="none"/>
        </w:rPr>
        <w:t xml:space="preserve">供应商免费提供设备使用相关培训工作。应有专业技术人员对采购人指定人员进行现场培训，</w:t>
      </w:r>
      <w:r>
        <w:rPr>
          <w:color w:val="000000"/>
          <w:szCs w:val="21"/>
          <w:highlight w:val="none"/>
        </w:rPr>
        <w:t xml:space="preserve">供应商应根据需要，提供详细的培训方案、计划、课程、人员及期限报采购方认可，费用已包括在合同金额中。培训的内容应包括但不限于：</w:t>
      </w:r>
      <w:r>
        <w:rPr>
          <w:color w:val="000000"/>
          <w:szCs w:val="21"/>
          <w:highlight w:val="none"/>
        </w:rPr>
        <w:t xml:space="preserve">货物的基本结构、性能、主要部件的构造及处理，</w:t>
      </w:r>
      <w:r>
        <w:rPr>
          <w:color w:val="000000"/>
          <w:szCs w:val="21"/>
          <w:highlight w:val="none"/>
        </w:rPr>
        <w:t xml:space="preserve">日常操作使用、日常维护和保养方法、</w:t>
      </w:r>
      <w:r>
        <w:rPr>
          <w:color w:val="000000"/>
          <w:szCs w:val="21"/>
          <w:highlight w:val="none"/>
        </w:rPr>
        <w:t xml:space="preserve">常见故障的排除、</w:t>
      </w:r>
      <w:r>
        <w:rPr>
          <w:color w:val="000000"/>
          <w:szCs w:val="21"/>
          <w:highlight w:val="none"/>
        </w:rPr>
        <w:t xml:space="preserve">安全注意事项及</w:t>
      </w:r>
      <w:r>
        <w:rPr>
          <w:color w:val="000000"/>
          <w:szCs w:val="21"/>
          <w:highlight w:val="none"/>
        </w:rPr>
        <w:t xml:space="preserve">紧急情况的处理</w:t>
      </w:r>
      <w:r>
        <w:rPr>
          <w:color w:val="000000"/>
          <w:szCs w:val="21"/>
          <w:highlight w:val="none"/>
        </w:rPr>
        <w:t xml:space="preserve">等</w:t>
      </w:r>
      <w:r>
        <w:rPr>
          <w:color w:val="000000"/>
          <w:szCs w:val="21"/>
          <w:highlight w:val="none"/>
        </w:rPr>
        <w:t xml:space="preserve">内容，供应商出具培训记录单。如甲方未使用过同类型货物，乙方还需就货物的功能对甲方人员进行相应的技术培训，培训地点主要在货物安装现场或由甲方安排。</w:t>
      </w:r>
      <w:bookmarkEnd w:id="271"/>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第十一条 售后服务</w:t>
      </w:r>
      <w:r>
        <w:rPr>
          <w:b/>
          <w:color w:val="000000"/>
          <w:szCs w:val="21"/>
          <w:highlight w:val="none"/>
        </w:rPr>
      </w:r>
      <w:r/>
    </w:p>
    <w:p>
      <w:pPr>
        <w:pStyle w:val="1166"/>
        <w:ind w:firstLine="560"/>
        <w:jc w:val="left"/>
        <w:spacing w:line="360" w:lineRule="auto"/>
        <w:rPr>
          <w:color w:val="000000"/>
          <w:szCs w:val="21"/>
          <w:highlight w:val="none"/>
        </w:rPr>
      </w:pPr>
      <w:r/>
      <w:bookmarkStart w:id="272" w:name="_Hlk101376949"/>
      <w:r>
        <w:rPr>
          <w:color w:val="000000"/>
          <w:szCs w:val="21"/>
          <w:highlight w:val="none"/>
        </w:rPr>
        <w:t xml:space="preserve">1、乙方应按国家相关法规及采购文件、投标（响应）文件对售后服务的要求和响应提供服务。自甲乙双方签署验收单且加盖甲方公章之日的次日起算。</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w:t>
      </w:r>
      <w:r>
        <w:rPr>
          <w:color w:val="000000"/>
          <w:highlight w:val="none"/>
        </w:rPr>
        <w:t xml:space="preserve">质保期：要求设备整体质保期</w:t>
      </w:r>
      <w:r>
        <w:rPr>
          <w:color w:val="000000"/>
          <w:szCs w:val="21"/>
          <w:highlight w:val="none"/>
          <w:u w:val="single"/>
        </w:rPr>
        <w:t xml:space="preserve">     </w:t>
      </w:r>
      <w:r>
        <w:rPr>
          <w:color w:val="000000"/>
          <w:highlight w:val="none"/>
        </w:rPr>
        <w:t xml:space="preserve">年，质保期自项目验收合格之日起开始计算。</w:t>
      </w:r>
      <w:r>
        <w:rPr>
          <w:color w:val="000000"/>
          <w:szCs w:val="21"/>
          <w:highlight w:val="none"/>
        </w:rPr>
        <w:t xml:space="preserve">在质量保证期内，货物出现运行故障的，乙方应在收到甲方通知后无条件提供保修服务，因此发生一切费用（包括但不限于人工费、差旅费、备件费、部件更换、</w:t>
      </w:r>
      <w:r>
        <w:rPr>
          <w:color w:val="000000"/>
          <w:highlight w:val="none"/>
        </w:rPr>
        <w:t xml:space="preserve">全部的保养、维修、维护、更换和技术支持</w:t>
      </w:r>
      <w:r>
        <w:rPr>
          <w:color w:val="000000"/>
          <w:szCs w:val="21"/>
          <w:highlight w:val="none"/>
        </w:rPr>
        <w:t xml:space="preserve">等所有费用）由乙方承担，</w:t>
      </w:r>
      <w:bookmarkStart w:id="273" w:name="_Hlk130920380"/>
      <w:r>
        <w:rPr>
          <w:color w:val="000000"/>
          <w:szCs w:val="21"/>
          <w:highlight w:val="none"/>
        </w:rPr>
        <w:t xml:space="preserve">且乙方应每年提供不少于</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次</w:t>
      </w:r>
      <w:r>
        <w:rPr>
          <w:color w:val="000000"/>
          <w:highlight w:val="none"/>
        </w:rPr>
        <w:t xml:space="preserve">的免费现场</w:t>
      </w:r>
      <w:r>
        <w:rPr>
          <w:rFonts w:hint="eastAsia"/>
          <w:color w:val="000000"/>
          <w:highlight w:val="none"/>
        </w:rPr>
        <w:t xml:space="preserve">预防性维护</w:t>
      </w:r>
      <w:r>
        <w:rPr>
          <w:rFonts w:hint="eastAsia" w:ascii="宋体" w:hAnsi="宋体" w:cs="宋体"/>
          <w:color w:val="000000"/>
          <w:szCs w:val="21"/>
          <w:highlight w:val="none"/>
        </w:rPr>
        <w:t xml:space="preserve">和安全风险排查</w:t>
      </w:r>
      <w:r>
        <w:rPr>
          <w:color w:val="000000"/>
          <w:highlight w:val="none"/>
        </w:rPr>
        <w:t xml:space="preserve">服务并出具服务报告。</w:t>
      </w:r>
      <w:r>
        <w:rPr>
          <w:rFonts w:hint="eastAsia"/>
          <w:color w:val="000000"/>
          <w:highlight w:val="none"/>
        </w:rPr>
        <w:t xml:space="preserve">每年免费提供一次性能校验</w:t>
      </w:r>
      <w:r>
        <w:rPr>
          <w:color w:val="000000"/>
          <w:szCs w:val="21"/>
          <w:highlight w:val="none"/>
        </w:rPr>
        <w:t xml:space="preserve">，出具校验报告，相关费用包含在总价中。</w:t>
      </w:r>
      <w:bookmarkEnd w:id="273"/>
      <w:r>
        <w:rPr>
          <w:color w:val="000000"/>
          <w:szCs w:val="21"/>
          <w:highlight w:val="none"/>
        </w:rPr>
        <w:t xml:space="preserve">供应商及原厂需有服务人员和备品备件库，确保设备正常运行。如该等出现运行故障的货物，经乙方维修在</w:t>
      </w:r>
      <w:r>
        <w:rPr>
          <w:color w:val="000000"/>
          <w:szCs w:val="21"/>
          <w:highlight w:val="none"/>
          <w:u w:val="single"/>
        </w:rPr>
        <w:t xml:space="preserve">      </w:t>
      </w:r>
      <w:r>
        <w:rPr>
          <w:color w:val="000000"/>
          <w:szCs w:val="21"/>
          <w:highlight w:val="none"/>
        </w:rPr>
        <w:t xml:space="preserve">天内仍无法正常投入使用，乙方应当立即无条件更换同款型号的新货物，由此产生的一切费用由乙方承担，因此造成甲方无法如期将货物投入使用的，乙方还应当赔偿甲方损失。</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3、售后服务的优惠条件及保修的响应时间：供应商应提供技术支持，在接到采购人设备报修通知后，</w:t>
      </w:r>
      <w:r>
        <w:rPr>
          <w:color w:val="000000"/>
          <w:highlight w:val="none"/>
        </w:rPr>
        <w:t xml:space="preserve">在</w:t>
      </w:r>
      <w:r>
        <w:rPr>
          <w:rFonts w:hint="eastAsia"/>
          <w:color w:val="000000"/>
          <w:highlight w:val="none"/>
        </w:rPr>
        <w:t xml:space="preserve"> </w:t>
      </w:r>
      <w:r>
        <w:rPr>
          <w:rFonts w:hint="eastAsia"/>
          <w:color w:val="000000"/>
          <w:highlight w:val="none"/>
          <w:u w:val="single"/>
        </w:rPr>
        <w:t xml:space="preserve">       </w:t>
      </w:r>
      <w:r>
        <w:rPr>
          <w:color w:val="000000"/>
          <w:highlight w:val="none"/>
        </w:rPr>
        <w:t xml:space="preserve">小时内予以应答，查找原因，提出解决方案，若设备需要进行现场维修，</w:t>
      </w:r>
      <w:r>
        <w:rPr>
          <w:rFonts w:hint="eastAsia"/>
          <w:color w:val="000000"/>
          <w:highlight w:val="none"/>
        </w:rPr>
        <w:t xml:space="preserve">如发生设备关键部件或系统故障时，工程师应在</w:t>
      </w:r>
      <w:r>
        <w:rPr>
          <w:rFonts w:hint="eastAsia"/>
          <w:color w:val="000000"/>
          <w:highlight w:val="none"/>
          <w:u w:val="single"/>
        </w:rPr>
        <w:t xml:space="preserve">       </w:t>
      </w:r>
      <w:r>
        <w:rPr>
          <w:rFonts w:hint="eastAsia"/>
          <w:color w:val="000000"/>
          <w:highlight w:val="none"/>
        </w:rPr>
        <w:t xml:space="preserve">小时内修复，如为一般故障，</w:t>
      </w:r>
      <w:r>
        <w:rPr>
          <w:color w:val="000000"/>
          <w:highlight w:val="none"/>
        </w:rPr>
        <w:t xml:space="preserve">工程师须在</w:t>
      </w:r>
      <w:r>
        <w:rPr>
          <w:rFonts w:hint="eastAsia"/>
          <w:color w:val="000000"/>
          <w:highlight w:val="none"/>
          <w:u w:val="single"/>
        </w:rPr>
        <w:t xml:space="preserve">       </w:t>
      </w:r>
      <w:r>
        <w:rPr>
          <w:color w:val="000000"/>
          <w:highlight w:val="none"/>
        </w:rPr>
        <w:t xml:space="preserve">小时内到达现场，</w:t>
      </w:r>
      <w:r>
        <w:rPr>
          <w:rFonts w:hint="eastAsia"/>
          <w:color w:val="000000"/>
          <w:highlight w:val="none"/>
          <w:u w:val="single"/>
        </w:rPr>
        <w:t xml:space="preserve">       </w:t>
      </w:r>
      <w:r>
        <w:rPr>
          <w:color w:val="000000"/>
          <w:highlight w:val="none"/>
        </w:rPr>
        <w:t xml:space="preserve">小时内</w:t>
      </w:r>
      <w:r>
        <w:rPr>
          <w:rFonts w:hint="eastAsia"/>
          <w:color w:val="000000"/>
          <w:highlight w:val="none"/>
        </w:rPr>
        <w:t xml:space="preserve">修复或免费提供备用机，否则甲方可自行采取必要的措施，</w:t>
      </w:r>
      <w:r>
        <w:rPr>
          <w:color w:val="000000"/>
          <w:highlight w:val="none"/>
        </w:rPr>
        <w:t xml:space="preserve">由此产生的风险和费用由乙方承担。如有特殊情况，乙方应立即电话通知甲方不能响应的原因，在获得甲方同意后，才可推迟响应时间。</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4、无论是否在产品质量保证期内，如经双方确认或双方认可的第三方检测机构确认，是由于乙方产品存在安全隐患或产品设计缺陷的，乙方应当无条件对有安全隐患的产品根据实际情况采取升级改造、更换或者召回等补救措施，由此产生的一切费用由乙方承担，乙方赔偿甲方因此造成一切损失（声誉损失及/或经济损失）。</w:t>
      </w:r>
      <w:r>
        <w:rPr>
          <w:color w:val="000000"/>
          <w:szCs w:val="21"/>
          <w:highlight w:val="none"/>
        </w:rPr>
      </w:r>
      <w:r/>
    </w:p>
    <w:p>
      <w:pPr>
        <w:pStyle w:val="1244"/>
        <w:ind w:firstLine="630"/>
        <w:spacing w:line="360" w:lineRule="auto"/>
        <w:tabs>
          <w:tab w:val="left" w:pos="851" w:leader="none"/>
          <w:tab w:val="left" w:pos="1276" w:leader="none"/>
          <w:tab w:val="left" w:pos="1418" w:leader="none"/>
        </w:tabs>
        <w:rPr>
          <w:b/>
          <w:bCs/>
          <w:color w:val="000000"/>
          <w:szCs w:val="21"/>
          <w:highlight w:val="none"/>
        </w:rPr>
      </w:pPr>
      <w:r>
        <w:rPr>
          <w:color w:val="000000"/>
          <w:szCs w:val="21"/>
          <w:highlight w:val="none"/>
        </w:rPr>
        <w:t xml:space="preserve">5、</w:t>
      </w:r>
      <w:bookmarkStart w:id="274" w:name="_Hlk130920393"/>
      <w:r>
        <w:rPr>
          <w:color w:val="000000"/>
          <w:highlight w:val="none"/>
        </w:rPr>
        <w:t xml:space="preserve">质保期外供应商及设备生产厂家对本设备终身负责维修服务和技术支持。</w:t>
      </w:r>
      <w:r>
        <w:rPr>
          <w:color w:val="000000"/>
          <w:szCs w:val="21"/>
          <w:highlight w:val="none"/>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b/>
          <w:bCs/>
          <w:color w:val="000000"/>
          <w:szCs w:val="21"/>
          <w:highlight w:val="none"/>
        </w:rPr>
      </w:r>
      <w:r/>
    </w:p>
    <w:p>
      <w:pPr>
        <w:pStyle w:val="1166"/>
        <w:ind w:firstLine="560"/>
        <w:jc w:val="left"/>
        <w:spacing w:line="360" w:lineRule="auto"/>
        <w:rPr>
          <w:b/>
          <w:color w:val="000000"/>
          <w:szCs w:val="21"/>
          <w:highlight w:val="none"/>
        </w:rPr>
      </w:pPr>
      <w:r/>
      <w:bookmarkEnd w:id="272"/>
      <w:r/>
      <w:bookmarkEnd w:id="274"/>
      <w:r>
        <w:rPr>
          <w:b/>
          <w:color w:val="000000"/>
          <w:szCs w:val="21"/>
          <w:highlight w:val="none"/>
        </w:rPr>
        <w:t xml:space="preserve">第十二条 合同的变更、终止与转让</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1、按照《中华人民共和国政府采购法》第50条规定，本合同一经签订，除本合同约定外，甲乙双方不得擅自变更、中止或终止。</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2、双方除非事先得到对方的书面同意或本合同另有约定，任何一方不得将合同项下的任何权利、义务、责任转让给任何第三方。</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3、乙方逾期未完成约定义务超过</w:t>
      </w:r>
      <w:r>
        <w:rPr>
          <w:color w:val="000000"/>
          <w:szCs w:val="21"/>
          <w:highlight w:val="none"/>
          <w:u w:val="single"/>
        </w:rPr>
        <w:t xml:space="preserve">_____</w:t>
      </w:r>
      <w:r>
        <w:rPr>
          <w:color w:val="000000"/>
          <w:szCs w:val="21"/>
          <w:highlight w:val="none"/>
        </w:rPr>
        <w:t xml:space="preserve">工作日，甲方有权单方解除本合同。</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4、乙方履行本合同约定义务时，未达到甲方要求，修改或整改超过</w:t>
      </w:r>
      <w:r>
        <w:rPr>
          <w:color w:val="000000"/>
          <w:szCs w:val="21"/>
          <w:highlight w:val="none"/>
          <w:u w:val="single"/>
        </w:rPr>
        <w:t xml:space="preserve">___ </w:t>
      </w:r>
      <w:r>
        <w:rPr>
          <w:color w:val="000000"/>
          <w:szCs w:val="21"/>
          <w:highlight w:val="none"/>
        </w:rPr>
        <w:t xml:space="preserve">次，仍然无法达到甲方要求，甲方有权单方解除本合同。</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5、乙方出现下列情形之一的，甲方有权经通知后解除本合同。乙方出现下列情形对甲方造成损失的，应赔偿因此给甲方造成的损失：</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（1）乙方恶意竞标、串通投标、拒绝履行合同义务，或甲方认为乙方存在有意扰乱采购秩序的其他行为；</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（2）乙方存在与甲方集中采购项目相关人员及履约考核人员或亲属发生不正当的经济往来、商业贿赂或商业欺诈等违法违规情况；</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（3）乙方存在经济纠纷、重大违约诉讼，乙方经营者或实际控制人涉及刑事诉讼，或甲方认为乙方存在可能影响其资信或可能危及其履约能力的其他情形；</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（4）乙方泄露甲方商业秘密；</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（5）乙方商业信誉出现问题，或在履约过程中出现责任事故、因质量问题或违约造成甲方损失的；</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（6）甲方认为乙方的后续服务难以满足甲方业务需要，或存在可能给甲方带来重大风险的其他事项；</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（7）甲方认为乙方发生财务危机或业务经营存在严重问题；</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（8）乙方被政府及有关部门查处、曝光或已经进入行业协会禁用名单；</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（9）乙方及其法定代表人被人民法院列入“失信被执行人名单”；</w:t>
      </w:r>
      <w:r>
        <w:rPr>
          <w:color w:val="000000"/>
          <w:szCs w:val="21"/>
          <w:highlight w:val="none"/>
        </w:rPr>
      </w:r>
      <w:r/>
    </w:p>
    <w:p>
      <w:pPr>
        <w:pStyle w:val="1166"/>
        <w:ind w:left="1" w:firstLine="420"/>
        <w:jc w:val="left"/>
        <w:spacing w:line="360" w:lineRule="auto"/>
        <w:rPr>
          <w:color w:val="000000"/>
          <w:szCs w:val="21"/>
          <w:highlight w:val="none"/>
        </w:rPr>
      </w:pPr>
      <w:r>
        <w:rPr>
          <w:color w:val="000000"/>
          <w:szCs w:val="21"/>
          <w:highlight w:val="none"/>
        </w:rPr>
        <w:t xml:space="preserve">（10）乙方存在其他违反本协议或其他违法违规行为。</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第十三条　违约责任</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1、甲方无正当理由拒收货物的，甲方向乙方偿付拒收本合同约定总价款的</w:t>
      </w:r>
      <w:r>
        <w:rPr>
          <w:color w:val="000000"/>
          <w:szCs w:val="21"/>
          <w:highlight w:val="none"/>
          <w:u w:val="single"/>
        </w:rPr>
        <w:t xml:space="preserve">____%</w:t>
      </w:r>
      <w:r>
        <w:rPr>
          <w:color w:val="000000"/>
          <w:szCs w:val="21"/>
          <w:highlight w:val="none"/>
        </w:rPr>
        <w:t xml:space="preserve">违约金。</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2、甲方无故逾期验收和办理价款支付手续的，甲方应按逾期付款总额部分每日</w:t>
      </w:r>
      <w:r>
        <w:rPr>
          <w:color w:val="000000"/>
          <w:szCs w:val="21"/>
          <w:highlight w:val="none"/>
          <w:u w:val="single"/>
        </w:rPr>
        <w:t xml:space="preserve">___%</w:t>
      </w:r>
      <w:r>
        <w:rPr>
          <w:color w:val="000000"/>
          <w:szCs w:val="21"/>
          <w:highlight w:val="none"/>
        </w:rPr>
        <w:t xml:space="preserve">计算，向乙方支付违约金，但累计滞纳金总额不超过欠款总额的</w:t>
      </w:r>
      <w:r>
        <w:rPr>
          <w:color w:val="000000"/>
          <w:szCs w:val="21"/>
          <w:highlight w:val="none"/>
          <w:u w:val="single"/>
        </w:rPr>
        <w:t xml:space="preserve">____%</w:t>
      </w:r>
      <w:r>
        <w:rPr>
          <w:color w:val="000000"/>
          <w:szCs w:val="21"/>
          <w:highlight w:val="none"/>
        </w:rPr>
        <w:t xml:space="preserve"> 。</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3、乙方逾期交付货物的，乙方应按逾期交货部分总价款每日</w:t>
      </w:r>
      <w:r>
        <w:rPr>
          <w:color w:val="000000"/>
          <w:szCs w:val="21"/>
          <w:highlight w:val="none"/>
          <w:u w:val="single"/>
        </w:rPr>
        <w:t xml:space="preserve">___%</w:t>
      </w:r>
      <w:r>
        <w:rPr>
          <w:color w:val="000000"/>
          <w:szCs w:val="21"/>
          <w:highlight w:val="none"/>
        </w:rPr>
        <w:t xml:space="preserve">向甲方支付违约金，不足一天按一天计，由乙方支付给甲方或由甲方从待付价款中直接扣除；逾期超过约定日期</w:t>
      </w:r>
      <w:r>
        <w:rPr>
          <w:color w:val="000000"/>
          <w:szCs w:val="21"/>
          <w:highlight w:val="none"/>
          <w:u w:val="single"/>
        </w:rPr>
        <w:t xml:space="preserve">___个</w:t>
      </w:r>
      <w:r>
        <w:rPr>
          <w:color w:val="000000"/>
          <w:szCs w:val="21"/>
          <w:highlight w:val="none"/>
        </w:rPr>
        <w:t xml:space="preserve">工作日不能交货的，甲方可解除本合同。合同的解除不影响甲方依据上述规定要求乙方支付违约金的权利，也不影响甲方要求乙方承担损害赔偿的权利。</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4、如乙方不能交付货物，甲方有权扣留全部履约保证金；同时乙方应向甲方支付合同总价</w:t>
      </w:r>
      <w:r>
        <w:rPr>
          <w:color w:val="000000"/>
          <w:szCs w:val="21"/>
          <w:highlight w:val="none"/>
          <w:u w:val="single"/>
        </w:rPr>
        <w:t xml:space="preserve">___%</w:t>
      </w:r>
      <w:r>
        <w:rPr>
          <w:color w:val="000000"/>
          <w:szCs w:val="21"/>
          <w:highlight w:val="none"/>
        </w:rPr>
        <w:t xml:space="preserve">的违约金。</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5、乙方因逾期交货或因其他违约行为导致甲方解除合同的，乙方除根据上述第3款支付逾期违约金外应另行应向甲方支付本合同约定总价款</w:t>
      </w:r>
      <w:r>
        <w:rPr>
          <w:color w:val="000000"/>
          <w:szCs w:val="21"/>
          <w:highlight w:val="none"/>
          <w:u w:val="single"/>
        </w:rPr>
        <w:t xml:space="preserve">____%</w:t>
      </w:r>
      <w:r>
        <w:rPr>
          <w:color w:val="000000"/>
          <w:szCs w:val="21"/>
          <w:highlight w:val="none"/>
        </w:rPr>
        <w:t xml:space="preserve">的违约金，如造成甲方损失超过违约金的，超出部分由乙方继续承担赔偿责任。</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6、乙方所交的货物品种、型号、规格、技术参数、质量不符合合同约定及招投标文件规定的标准的，甲方有权拒收该货物，乙方应按本合同总价款的</w:t>
      </w:r>
      <w:r>
        <w:rPr>
          <w:color w:val="000000"/>
          <w:szCs w:val="21"/>
          <w:highlight w:val="none"/>
          <w:u w:val="single"/>
        </w:rPr>
        <w:t xml:space="preserve">____%</w:t>
      </w:r>
      <w:r>
        <w:rPr>
          <w:color w:val="000000"/>
          <w:szCs w:val="21"/>
          <w:highlight w:val="none"/>
        </w:rPr>
        <w:t xml:space="preserve">向甲方支付违约金。乙方愿意更换货物但逾期交货的，按乙方逾期交货处理。乙方拒绝更换货物的，甲方可以单方面解除合同。</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8、乙方未按本合同第九条的规定向甲方交付履约保证金的，应按应交付履约保证金的</w:t>
      </w:r>
      <w:r>
        <w:rPr>
          <w:color w:val="000000"/>
          <w:szCs w:val="21"/>
          <w:highlight w:val="none"/>
          <w:u w:val="single"/>
        </w:rPr>
        <w:t xml:space="preserve">___</w:t>
      </w:r>
      <w:r>
        <w:rPr>
          <w:color w:val="000000"/>
          <w:szCs w:val="21"/>
          <w:highlight w:val="none"/>
        </w:rPr>
        <w:t xml:space="preserve">%向甲方支付违约金，该违约金的支付不影响乙方应承担的其他违约责任。</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9、乙方未按本合同的规定和“服务承诺”提供调试、安装和培训、售后服务的，应按合同总价款的</w:t>
      </w:r>
      <w:r>
        <w:rPr>
          <w:color w:val="000000"/>
          <w:szCs w:val="21"/>
          <w:highlight w:val="none"/>
          <w:u w:val="single"/>
        </w:rPr>
        <w:t xml:space="preserve">_ _</w:t>
      </w:r>
      <w:r>
        <w:rPr>
          <w:color w:val="000000"/>
          <w:szCs w:val="21"/>
          <w:highlight w:val="none"/>
        </w:rPr>
        <w:t xml:space="preserve">%向甲方承担违约责任。</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10、乙方在承担上述5-9款一项或多项违约责任后，仍应继续履行合同规定的义务（甲方解除合同的除外）。甲方未能及时追究乙方的任何一项违约责任并不表明甲方放弃追究乙方该项或其他违约责任。</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11、乙方提供的货物如侵犯了第三方合法权益而引发的任何纠纷或诉讼，均由乙方负责交涉并承担全部责任。</w:t>
      </w:r>
      <w:r>
        <w:rPr>
          <w:color w:val="000000"/>
          <w:szCs w:val="21"/>
          <w:highlight w:val="none"/>
        </w:rPr>
      </w:r>
      <w:r/>
    </w:p>
    <w:p>
      <w:pPr>
        <w:pStyle w:val="1182"/>
        <w:rPr>
          <w:rFonts w:ascii="Times New Roman"/>
          <w:color w:val="000000"/>
          <w:sz w:val="21"/>
          <w:szCs w:val="21"/>
          <w:highlight w:val="none"/>
        </w:rPr>
      </w:pPr>
      <w:r>
        <w:rPr>
          <w:rFonts w:ascii="Times New Roman"/>
          <w:color w:val="000000"/>
          <w:sz w:val="21"/>
          <w:szCs w:val="21"/>
          <w:highlight w:val="none"/>
        </w:rPr>
        <w:t xml:space="preserve">    12、货物送至甲方指定地点，安装调试并验收合格后视为交付。交付前，货物的毁损灭失风险由供应商承担；并付后，该风险由采购人承担。</w:t>
      </w:r>
      <w:r>
        <w:rPr>
          <w:rFonts w:ascii="Times New Roman"/>
          <w:color w:val="000000"/>
          <w:sz w:val="21"/>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第十四条 保密条款</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1、双方对合作及本合同的具体内容负有保密责任。未经对方事先书面同意，任何一方不得将双方的合作及本合同中涉及的商业秘密披露给任何第三方。</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本条所指的商业秘密是指以各种有形或无形形式存贮的观点、计划和信息，包括但不限于：技术或商业性质的信息、标语口号、版权物品、</w:t>
      </w:r>
      <w:r>
        <w:rPr>
          <w:color w:val="000000"/>
          <w:highlight w:val="none"/>
        </w:rPr>
        <w:fldChar w:fldCharType="begin"/>
      </w:r>
      <w:r>
        <w:rPr>
          <w:color w:val="000000"/>
          <w:highlight w:val="none"/>
        </w:rPr>
        <w:instrText xml:space="preserve"> HYPERLINK "http://www.xuexila.com/diannao/" </w:instrText>
      </w:r>
      <w:r>
        <w:rPr>
          <w:color w:val="000000"/>
          <w:highlight w:val="none"/>
        </w:rPr>
        <w:fldChar w:fldCharType="separate"/>
      </w:r>
      <w:r>
        <w:rPr>
          <w:color w:val="000000"/>
          <w:szCs w:val="21"/>
          <w:highlight w:val="none"/>
        </w:rPr>
        <w:t xml:space="preserve">计算机</w:t>
      </w:r>
      <w:r>
        <w:rPr>
          <w:color w:val="000000"/>
          <w:szCs w:val="21"/>
          <w:highlight w:val="none"/>
        </w:rPr>
        <w:fldChar w:fldCharType="end"/>
      </w:r>
      <w:r>
        <w:rPr>
          <w:color w:val="000000"/>
          <w:szCs w:val="21"/>
          <w:highlight w:val="none"/>
        </w:rPr>
        <w:t xml:space="preserve">软件、源代码、目标代码、技术、技术诀窍、数据、营销企划、摘要、报告及邮件列表等。</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2、本合同如有任何部分被视为无效或不可执行，均不影响保密条款的有效性。</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3、本条约定在本合同终止履行后两年内仍然有效。</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第十五条 不可抗力</w:t>
      </w:r>
      <w:r>
        <w:rPr>
          <w:b/>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第十六条  争议的解决</w:t>
      </w:r>
      <w:r>
        <w:rPr>
          <w:b/>
          <w:color w:val="000000"/>
          <w:szCs w:val="21"/>
          <w:highlight w:val="none"/>
        </w:rPr>
      </w:r>
      <w:r/>
    </w:p>
    <w:p>
      <w:pPr>
        <w:pStyle w:val="1272"/>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ascii="Times New Roman" w:hAnsi="Times New Roman"/>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2、因履行本合同引起的或与本合同有关的争议，甲、乙双方应首先通过友好协商解决，如果协商不能解决争议，则采取以下第（ 1 ）种方式解决争议：</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（1）向甲方所在地有管辖权的人民法院提起诉讼；</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t xml:space="preserve">（2）向</w:t>
      </w:r>
      <w:r>
        <w:rPr>
          <w:color w:val="000000"/>
          <w:szCs w:val="21"/>
          <w:highlight w:val="none"/>
          <w:u w:val="single"/>
        </w:rPr>
        <w:t xml:space="preserve">       </w:t>
      </w:r>
      <w:r>
        <w:rPr>
          <w:color w:val="000000"/>
          <w:szCs w:val="21"/>
          <w:highlight w:val="none"/>
        </w:rPr>
        <w:t xml:space="preserve">仲裁委员会按其仲裁规则申请仲裁。</w:t>
      </w:r>
      <w:r>
        <w:rPr>
          <w:color w:val="000000"/>
          <w:szCs w:val="21"/>
          <w:highlight w:val="none"/>
        </w:rPr>
      </w:r>
      <w:r/>
    </w:p>
    <w:p>
      <w:pPr>
        <w:pStyle w:val="1166"/>
        <w:ind w:firstLine="560"/>
        <w:jc w:val="left"/>
        <w:spacing w:line="360" w:lineRule="auto"/>
        <w:rPr>
          <w:b/>
          <w:color w:val="000000"/>
          <w:szCs w:val="21"/>
          <w:highlight w:val="none"/>
        </w:rPr>
      </w:pPr>
      <w:r>
        <w:rPr>
          <w:b/>
          <w:color w:val="000000"/>
          <w:szCs w:val="21"/>
          <w:highlight w:val="none"/>
        </w:rPr>
        <w:t xml:space="preserve">第十七条  合同生效及其他</w:t>
      </w:r>
      <w:r>
        <w:rPr>
          <w:b/>
          <w:color w:val="000000"/>
          <w:szCs w:val="21"/>
          <w:highlight w:val="none"/>
        </w:rPr>
      </w:r>
      <w:r/>
    </w:p>
    <w:p>
      <w:pPr>
        <w:pStyle w:val="1272"/>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1、合同附件是本合同不可分割组成部分，与本合同具有同等法律效力。</w:t>
      </w:r>
      <w:r>
        <w:rPr>
          <w:rFonts w:ascii="Times New Roman" w:hAnsi="Times New Roman"/>
          <w:color w:val="000000"/>
          <w:szCs w:val="21"/>
          <w:highlight w:val="none"/>
        </w:rPr>
      </w:r>
      <w:r/>
    </w:p>
    <w:p>
      <w:pPr>
        <w:pStyle w:val="1272"/>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2、本合同未尽事宜，由甲乙双方协商后产生书面文件，作为本合同的补充条款，具备与本合同同等法律效力。 </w:t>
      </w:r>
      <w:r>
        <w:rPr>
          <w:rFonts w:ascii="Times New Roman" w:hAnsi="Times New Roman"/>
          <w:color w:val="000000"/>
          <w:szCs w:val="21"/>
          <w:highlight w:val="none"/>
        </w:rPr>
      </w:r>
      <w:r/>
    </w:p>
    <w:p>
      <w:pPr>
        <w:pStyle w:val="1272"/>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3、对本合同内容的任何修改和变更需要用书面形式，并经双方签字盖章确认后生效。</w:t>
      </w:r>
      <w:r>
        <w:rPr>
          <w:rFonts w:ascii="Times New Roman" w:hAnsi="Times New Roman"/>
          <w:color w:val="000000"/>
          <w:szCs w:val="21"/>
          <w:highlight w:val="none"/>
        </w:rPr>
      </w:r>
      <w:r/>
    </w:p>
    <w:p>
      <w:pPr>
        <w:pStyle w:val="1272"/>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4、本合同一式</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份，甲方</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份，乙方</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份。本合同自甲乙双方签字盖章后生效。</w:t>
      </w:r>
      <w:r>
        <w:rPr>
          <w:rFonts w:ascii="Times New Roman" w:hAnsi="Times New Roman"/>
          <w:color w:val="000000"/>
          <w:szCs w:val="21"/>
          <w:highlight w:val="none"/>
        </w:rPr>
      </w:r>
      <w:r/>
    </w:p>
    <w:tbl>
      <w:tblPr>
        <w:tblW w:w="499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4"/>
        <w:gridCol w:w="4928"/>
      </w:tblGrid>
      <w:tr>
        <w:trPr>
          <w:cantSplit/>
          <w:trHeight w:val="2475"/>
        </w:trPr>
        <w:tc>
          <w:tcPr>
            <w:tcW w:w="2499" w:type="dxa"/>
            <w:vAlign w:val="center"/>
            <w:textDirection w:val="lrTb"/>
            <w:noWrap w:val="false"/>
          </w:tcPr>
          <w:p>
            <w:pPr>
              <w:pStyle w:val="1166"/>
              <w:jc w:val="left"/>
              <w:spacing w:line="360" w:lineRule="auto"/>
              <w:rPr>
                <w:color w:val="000000"/>
                <w:szCs w:val="21"/>
                <w:highlight w:val="none"/>
              </w:rPr>
            </w:pPr>
            <w:r/>
            <w:bookmarkEnd w:id="262"/>
            <w:r>
              <w:rPr>
                <w:rFonts w:hint="eastAsia"/>
                <w:color w:val="000000"/>
                <w:szCs w:val="21"/>
                <w:highlight w:val="none"/>
              </w:rPr>
              <w:t xml:space="preserve">甲方（公章）</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r>
            <w:r/>
          </w:p>
          <w:p>
            <w:pPr>
              <w:pStyle w:val="1166"/>
              <w:ind w:firstLine="525"/>
              <w:jc w:val="left"/>
              <w:spacing w:line="360" w:lineRule="auto"/>
              <w:rPr>
                <w:color w:val="000000"/>
                <w:szCs w:val="21"/>
                <w:highlight w:val="none"/>
              </w:rPr>
            </w:pPr>
            <w:r>
              <w:rPr>
                <w:rFonts w:hint="eastAsia"/>
                <w:color w:val="000000"/>
                <w:szCs w:val="21"/>
                <w:highlight w:val="none"/>
              </w:rPr>
              <w:t xml:space="preserve">年</w:t>
            </w:r>
            <w:r>
              <w:rPr>
                <w:color w:val="000000"/>
                <w:szCs w:val="21"/>
                <w:highlight w:val="none"/>
              </w:rPr>
              <w:t xml:space="preserve">   </w:t>
            </w:r>
            <w:r>
              <w:rPr>
                <w:rFonts w:hint="eastAsia"/>
                <w:color w:val="000000"/>
                <w:szCs w:val="21"/>
                <w:highlight w:val="none"/>
              </w:rPr>
              <w:t xml:space="preserve">月</w:t>
            </w:r>
            <w:r>
              <w:rPr>
                <w:color w:val="000000"/>
                <w:szCs w:val="21"/>
                <w:highlight w:val="none"/>
              </w:rPr>
              <w:t xml:space="preserve">    </w:t>
            </w:r>
            <w:r>
              <w:rPr>
                <w:rFonts w:hint="eastAsia"/>
                <w:color w:val="000000"/>
                <w:szCs w:val="21"/>
                <w:highlight w:val="none"/>
              </w:rPr>
              <w:t xml:space="preserve">日</w:t>
            </w:r>
            <w:r>
              <w:rPr>
                <w:color w:val="000000"/>
                <w:szCs w:val="21"/>
                <w:highlight w:val="none"/>
              </w:rPr>
            </w:r>
            <w:r/>
          </w:p>
        </w:tc>
        <w:tc>
          <w:tcPr>
            <w:tcW w:w="2501" w:type="dxa"/>
            <w:vAlign w:val="center"/>
            <w:textDirection w:val="lrTb"/>
            <w:noWrap w:val="false"/>
          </w:tcPr>
          <w:p>
            <w:pPr>
              <w:pStyle w:val="1166"/>
              <w:jc w:val="left"/>
              <w:spacing w:line="360" w:lineRule="auto"/>
              <w:rPr>
                <w:color w:val="000000"/>
                <w:szCs w:val="21"/>
                <w:highlight w:val="none"/>
              </w:rPr>
            </w:pPr>
            <w:r>
              <w:rPr>
                <w:rFonts w:hint="eastAsia"/>
                <w:color w:val="000000"/>
                <w:szCs w:val="21"/>
                <w:highlight w:val="none"/>
              </w:rPr>
              <w:t xml:space="preserve">乙方（公章）</w:t>
            </w: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r>
            <w:r/>
          </w:p>
          <w:p>
            <w:pPr>
              <w:pStyle w:val="1166"/>
              <w:ind w:firstLine="560"/>
              <w:jc w:val="left"/>
              <w:spacing w:line="360" w:lineRule="auto"/>
              <w:rPr>
                <w:color w:val="000000"/>
                <w:szCs w:val="21"/>
                <w:highlight w:val="none"/>
              </w:rPr>
            </w:pPr>
            <w:r>
              <w:rPr>
                <w:color w:val="000000"/>
                <w:szCs w:val="21"/>
                <w:highlight w:val="none"/>
              </w:rPr>
            </w:r>
            <w:r/>
          </w:p>
          <w:p>
            <w:pPr>
              <w:pStyle w:val="1166"/>
              <w:ind w:firstLine="525"/>
              <w:jc w:val="left"/>
              <w:spacing w:line="360" w:lineRule="auto"/>
              <w:rPr>
                <w:color w:val="000000"/>
                <w:szCs w:val="21"/>
                <w:highlight w:val="none"/>
              </w:rPr>
            </w:pPr>
            <w:r>
              <w:rPr>
                <w:rFonts w:hint="eastAsia"/>
                <w:color w:val="000000"/>
                <w:szCs w:val="21"/>
                <w:highlight w:val="none"/>
              </w:rPr>
              <w:t xml:space="preserve">年</w:t>
            </w:r>
            <w:r>
              <w:rPr>
                <w:color w:val="000000"/>
                <w:szCs w:val="21"/>
                <w:highlight w:val="none"/>
              </w:rPr>
              <w:t xml:space="preserve">   </w:t>
            </w:r>
            <w:r>
              <w:rPr>
                <w:rFonts w:hint="eastAsia"/>
                <w:color w:val="000000"/>
                <w:szCs w:val="21"/>
                <w:highlight w:val="none"/>
              </w:rPr>
              <w:t xml:space="preserve">月</w:t>
            </w:r>
            <w:r>
              <w:rPr>
                <w:color w:val="000000"/>
                <w:szCs w:val="21"/>
                <w:highlight w:val="none"/>
              </w:rPr>
              <w:t xml:space="preserve">   </w:t>
            </w:r>
            <w:r>
              <w:rPr>
                <w:rFonts w:hint="eastAsia"/>
                <w:color w:val="000000"/>
                <w:szCs w:val="21"/>
                <w:highlight w:val="none"/>
              </w:rPr>
              <w:t xml:space="preserve">日</w:t>
            </w:r>
            <w:r>
              <w:rPr>
                <w:color w:val="000000"/>
                <w:szCs w:val="21"/>
                <w:highlight w:val="none"/>
              </w:rPr>
            </w:r>
            <w:r/>
          </w:p>
        </w:tc>
      </w:tr>
      <w:tr>
        <w:trPr>
          <w:cantSplit/>
          <w:trHeight w:val="1175"/>
        </w:trPr>
        <w:tc>
          <w:tcPr>
            <w:tcW w:w="2499" w:type="dxa"/>
            <w:vAlign w:val="center"/>
            <w:textDirection w:val="lrTb"/>
            <w:noWrap w:val="false"/>
          </w:tcPr>
          <w:p>
            <w:pPr>
              <w:pStyle w:val="1166"/>
              <w:jc w:val="left"/>
              <w:spacing w:before="156" w:line="360" w:lineRule="auto"/>
              <w:rPr>
                <w:color w:val="000000"/>
                <w:szCs w:val="21"/>
                <w:highlight w:val="none"/>
              </w:rPr>
            </w:pPr>
            <w:r>
              <w:rPr>
                <w:rFonts w:hint="eastAsia"/>
                <w:color w:val="000000"/>
                <w:szCs w:val="21"/>
                <w:highlight w:val="none"/>
              </w:rPr>
              <w:t xml:space="preserve">法定代表人（或委托代理人）</w:t>
            </w:r>
            <w:r>
              <w:rPr>
                <w:color w:val="000000"/>
                <w:szCs w:val="21"/>
                <w:highlight w:val="none"/>
              </w:rPr>
            </w:r>
            <w:r/>
          </w:p>
          <w:p>
            <w:pPr>
              <w:pStyle w:val="1166"/>
              <w:jc w:val="left"/>
              <w:spacing w:line="360" w:lineRule="auto"/>
              <w:rPr>
                <w:color w:val="000000"/>
                <w:szCs w:val="21"/>
                <w:highlight w:val="none"/>
              </w:rPr>
            </w:pPr>
            <w:r>
              <w:rPr>
                <w:rFonts w:hint="eastAsia"/>
                <w:color w:val="000000"/>
                <w:szCs w:val="21"/>
                <w:highlight w:val="none"/>
              </w:rPr>
              <w:t xml:space="preserve">（签字）：</w:t>
            </w:r>
            <w:r>
              <w:rPr>
                <w:color w:val="000000"/>
                <w:szCs w:val="21"/>
                <w:highlight w:val="none"/>
              </w:rPr>
            </w:r>
            <w:r/>
          </w:p>
        </w:tc>
        <w:tc>
          <w:tcPr>
            <w:tcW w:w="2501" w:type="dxa"/>
            <w:vAlign w:val="center"/>
            <w:textDirection w:val="lrTb"/>
            <w:noWrap w:val="false"/>
          </w:tcPr>
          <w:p>
            <w:pPr>
              <w:pStyle w:val="1166"/>
              <w:jc w:val="left"/>
              <w:spacing w:before="156" w:line="360" w:lineRule="auto"/>
              <w:rPr>
                <w:color w:val="000000"/>
                <w:szCs w:val="21"/>
                <w:highlight w:val="none"/>
              </w:rPr>
            </w:pPr>
            <w:r>
              <w:rPr>
                <w:rFonts w:hint="eastAsia"/>
                <w:color w:val="000000"/>
                <w:szCs w:val="21"/>
                <w:highlight w:val="none"/>
              </w:rPr>
              <w:t xml:space="preserve">法定代表人（或委托代理人）</w:t>
            </w:r>
            <w:r>
              <w:rPr>
                <w:color w:val="000000"/>
                <w:szCs w:val="21"/>
                <w:highlight w:val="none"/>
              </w:rPr>
            </w:r>
            <w:r/>
          </w:p>
          <w:p>
            <w:pPr>
              <w:pStyle w:val="1166"/>
              <w:jc w:val="left"/>
              <w:spacing w:line="360" w:lineRule="auto"/>
              <w:rPr>
                <w:color w:val="000000"/>
                <w:szCs w:val="21"/>
                <w:highlight w:val="none"/>
              </w:rPr>
            </w:pPr>
            <w:r>
              <w:rPr>
                <w:rFonts w:hint="eastAsia"/>
                <w:color w:val="000000"/>
                <w:szCs w:val="21"/>
                <w:highlight w:val="none"/>
              </w:rPr>
              <w:t xml:space="preserve">（签字）：</w:t>
            </w:r>
            <w:r>
              <w:rPr>
                <w:color w:val="000000"/>
                <w:szCs w:val="21"/>
                <w:highlight w:val="none"/>
              </w:rPr>
            </w:r>
            <w:r/>
          </w:p>
        </w:tc>
      </w:tr>
      <w:tr>
        <w:trPr>
          <w:cantSplit/>
          <w:trHeight w:val="1175"/>
        </w:trPr>
        <w:tc>
          <w:tcPr>
            <w:tcW w:w="2499" w:type="dxa"/>
            <w:vAlign w:val="center"/>
            <w:textDirection w:val="lrTb"/>
            <w:noWrap w:val="false"/>
          </w:tcPr>
          <w:p>
            <w:pPr>
              <w:pStyle w:val="1166"/>
              <w:jc w:val="left"/>
              <w:spacing w:line="360" w:lineRule="auto"/>
              <w:rPr>
                <w:color w:val="000000"/>
                <w:szCs w:val="21"/>
                <w:highlight w:val="none"/>
              </w:rPr>
            </w:pPr>
            <w:r>
              <w:rPr>
                <w:rFonts w:hint="eastAsia"/>
                <w:color w:val="000000"/>
                <w:szCs w:val="21"/>
                <w:highlight w:val="none"/>
              </w:rPr>
              <w:t xml:space="preserve">单位地址：</w:t>
            </w:r>
            <w:r>
              <w:rPr>
                <w:color w:val="000000"/>
                <w:szCs w:val="21"/>
                <w:highlight w:val="none"/>
                <w:u w:val="single"/>
              </w:rPr>
              <w:t xml:space="preserve">                   </w:t>
            </w:r>
            <w:r>
              <w:rPr>
                <w:color w:val="000000"/>
                <w:szCs w:val="21"/>
                <w:highlight w:val="none"/>
              </w:rPr>
            </w:r>
            <w:r/>
          </w:p>
        </w:tc>
        <w:tc>
          <w:tcPr>
            <w:tcW w:w="2501" w:type="dxa"/>
            <w:vAlign w:val="center"/>
            <w:textDirection w:val="lrTb"/>
            <w:noWrap w:val="false"/>
          </w:tcPr>
          <w:p>
            <w:pPr>
              <w:pStyle w:val="1166"/>
              <w:jc w:val="left"/>
              <w:spacing w:line="360" w:lineRule="auto"/>
              <w:rPr>
                <w:color w:val="000000"/>
                <w:szCs w:val="21"/>
                <w:highlight w:val="none"/>
              </w:rPr>
            </w:pPr>
            <w:r>
              <w:rPr>
                <w:rFonts w:hint="eastAsia"/>
                <w:color w:val="000000"/>
                <w:szCs w:val="21"/>
                <w:highlight w:val="none"/>
              </w:rPr>
              <w:t xml:space="preserve">单位地址：</w:t>
            </w:r>
            <w:r>
              <w:rPr>
                <w:color w:val="000000"/>
                <w:szCs w:val="21"/>
                <w:highlight w:val="none"/>
                <w:u w:val="single"/>
              </w:rPr>
              <w:t xml:space="preserve">                   </w:t>
            </w:r>
            <w:r>
              <w:rPr>
                <w:color w:val="000000"/>
                <w:szCs w:val="21"/>
                <w:highlight w:val="none"/>
              </w:rPr>
            </w:r>
            <w:r/>
          </w:p>
        </w:tc>
      </w:tr>
      <w:tr>
        <w:trPr>
          <w:cantSplit/>
          <w:trHeight w:val="1175"/>
        </w:trPr>
        <w:tc>
          <w:tcPr>
            <w:tcW w:w="2499" w:type="dxa"/>
            <w:vAlign w:val="center"/>
            <w:textDirection w:val="lrTb"/>
            <w:noWrap w:val="false"/>
          </w:tcPr>
          <w:p>
            <w:pPr>
              <w:pStyle w:val="1166"/>
              <w:jc w:val="left"/>
              <w:spacing w:line="360" w:lineRule="auto"/>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2501" w:type="dxa"/>
            <w:vAlign w:val="center"/>
            <w:textDirection w:val="lrTb"/>
            <w:noWrap w:val="false"/>
          </w:tcPr>
          <w:p>
            <w:pPr>
              <w:pStyle w:val="1166"/>
              <w:jc w:val="left"/>
              <w:spacing w:line="360" w:lineRule="auto"/>
              <w:rPr>
                <w:color w:val="000000"/>
                <w:szCs w:val="21"/>
                <w:highlight w:val="none"/>
              </w:rPr>
            </w:pPr>
            <w:r>
              <w:rPr>
                <w:rFonts w:hint="eastAsia"/>
                <w:color w:val="000000"/>
                <w:szCs w:val="21"/>
                <w:highlight w:val="none"/>
              </w:rPr>
              <w:t xml:space="preserve">纳税人识别号：</w:t>
            </w:r>
            <w:r>
              <w:rPr>
                <w:color w:val="000000"/>
                <w:szCs w:val="21"/>
                <w:highlight w:val="none"/>
              </w:rPr>
            </w:r>
            <w:r/>
          </w:p>
        </w:tc>
      </w:tr>
      <w:tr>
        <w:trPr>
          <w:cantSplit/>
          <w:trHeight w:val="460"/>
        </w:trPr>
        <w:tc>
          <w:tcPr>
            <w:tcW w:w="2499" w:type="dxa"/>
            <w:vAlign w:val="center"/>
            <w:textDirection w:val="lrTb"/>
            <w:noWrap w:val="false"/>
          </w:tcPr>
          <w:p>
            <w:pPr>
              <w:pStyle w:val="1166"/>
              <w:spacing w:line="360" w:lineRule="auto"/>
              <w:rPr>
                <w:color w:val="000000"/>
                <w:szCs w:val="21"/>
                <w:highlight w:val="none"/>
              </w:rPr>
            </w:pPr>
            <w:r>
              <w:rPr>
                <w:rFonts w:hint="eastAsia"/>
                <w:color w:val="000000"/>
                <w:szCs w:val="21"/>
                <w:highlight w:val="none"/>
              </w:rPr>
              <w:t xml:space="preserve">电话：</w:t>
            </w:r>
            <w:r>
              <w:rPr>
                <w:color w:val="000000"/>
                <w:szCs w:val="21"/>
                <w:highlight w:val="none"/>
              </w:rPr>
            </w:r>
            <w:r/>
          </w:p>
        </w:tc>
        <w:tc>
          <w:tcPr>
            <w:tcW w:w="2501" w:type="dxa"/>
            <w:vAlign w:val="center"/>
            <w:textDirection w:val="lrTb"/>
            <w:noWrap w:val="false"/>
          </w:tcPr>
          <w:p>
            <w:pPr>
              <w:pStyle w:val="1166"/>
              <w:jc w:val="left"/>
              <w:spacing w:line="360" w:lineRule="auto"/>
              <w:rPr>
                <w:color w:val="000000"/>
                <w:szCs w:val="21"/>
                <w:highlight w:val="none"/>
              </w:rPr>
            </w:pPr>
            <w:r>
              <w:rPr>
                <w:rFonts w:hint="eastAsia"/>
                <w:color w:val="000000"/>
                <w:szCs w:val="21"/>
                <w:highlight w:val="none"/>
              </w:rPr>
              <w:t xml:space="preserve">电话：</w:t>
            </w:r>
            <w:r>
              <w:rPr>
                <w:color w:val="000000"/>
                <w:szCs w:val="21"/>
                <w:highlight w:val="none"/>
              </w:rPr>
            </w:r>
            <w:r/>
          </w:p>
        </w:tc>
      </w:tr>
    </w:tbl>
    <w:p>
      <w:pPr>
        <w:pStyle w:val="1166"/>
        <w:ind w:firstLine="315"/>
        <w:jc w:val="left"/>
        <w:spacing w:line="360" w:lineRule="auto"/>
        <w:rPr>
          <w:color w:val="000000"/>
          <w:szCs w:val="21"/>
          <w:highlight w:val="none"/>
        </w:rPr>
      </w:pPr>
      <w:r>
        <w:rPr>
          <w:color w:val="000000"/>
          <w:szCs w:val="21"/>
          <w:highlight w:val="none"/>
        </w:rPr>
      </w:r>
      <w:r/>
    </w:p>
    <w:p>
      <w:pPr>
        <w:pStyle w:val="1166"/>
        <w:jc w:val="center"/>
        <w:spacing w:line="360" w:lineRule="auto"/>
        <w:rPr>
          <w:b/>
          <w:color w:val="000000"/>
          <w:szCs w:val="21"/>
          <w:highlight w:val="none"/>
        </w:rPr>
        <w:sectPr>
          <w:footerReference w:type="default" r:id="rId15"/>
          <w:footnotePr/>
          <w:endnotePr/>
          <w:type w:val="nextPage"/>
          <w:pgSz w:w="11906" w:h="16838" w:orient="portrait"/>
          <w:pgMar w:top="1134" w:right="1134" w:bottom="1134" w:left="1134" w:header="851" w:footer="992" w:gutter="0"/>
          <w:cols w:num="1" w:sep="0" w:space="1701" w:equalWidth="1"/>
          <w:docGrid w:linePitch="360"/>
          <w:titlePg/>
        </w:sectPr>
      </w:pPr>
      <w:r>
        <w:rPr>
          <w:b/>
          <w:color w:val="000000"/>
          <w:szCs w:val="21"/>
          <w:highlight w:val="none"/>
        </w:rPr>
      </w:r>
      <w:r/>
    </w:p>
    <w:p>
      <w:pPr>
        <w:pStyle w:val="1166"/>
        <w:jc w:val="center"/>
        <w:spacing w:line="600" w:lineRule="exact"/>
        <w:rPr>
          <w:rFonts w:eastAsia="方正小标宋_GBK"/>
          <w:color w:val="000000"/>
          <w:sz w:val="36"/>
          <w:szCs w:val="36"/>
          <w:highlight w:val="none"/>
        </w:rPr>
      </w:pPr>
      <w:r>
        <w:rPr>
          <w:rFonts w:eastAsia="方正小标宋_GBK"/>
          <w:color w:val="000000"/>
          <w:sz w:val="36"/>
          <w:szCs w:val="36"/>
          <w:highlight w:val="none"/>
        </w:rPr>
        <w:t xml:space="preserve">南京红十字血液中心廉洁诚信合同</w:t>
      </w:r>
      <w:r>
        <w:rPr>
          <w:rFonts w:eastAsia="方正小标宋_GBK"/>
          <w:color w:val="000000"/>
          <w:sz w:val="36"/>
          <w:szCs w:val="36"/>
          <w:highlight w:val="none"/>
        </w:rPr>
      </w:r>
      <w:r/>
    </w:p>
    <w:p>
      <w:pPr>
        <w:pStyle w:val="1166"/>
        <w:spacing w:line="600" w:lineRule="exact"/>
        <w:rPr>
          <w:color w:val="000000"/>
          <w:sz w:val="24"/>
          <w:szCs w:val="24"/>
          <w:highlight w:val="none"/>
        </w:rPr>
      </w:pPr>
      <w:r>
        <w:rPr>
          <w:color w:val="000000"/>
          <w:sz w:val="24"/>
          <w:szCs w:val="24"/>
          <w:highlight w:val="none"/>
        </w:rPr>
        <w:t xml:space="preserve">甲方：南京红十字血液中心</w:t>
      </w:r>
      <w:r>
        <w:rPr>
          <w:color w:val="000000"/>
          <w:sz w:val="24"/>
          <w:szCs w:val="24"/>
          <w:highlight w:val="none"/>
        </w:rPr>
      </w:r>
      <w:r/>
    </w:p>
    <w:p>
      <w:pPr>
        <w:pStyle w:val="1166"/>
        <w:spacing w:line="600" w:lineRule="exact"/>
        <w:rPr>
          <w:color w:val="000000"/>
          <w:sz w:val="24"/>
          <w:szCs w:val="24"/>
          <w:highlight w:val="none"/>
        </w:rPr>
      </w:pPr>
      <w:r>
        <w:rPr>
          <w:color w:val="000000"/>
          <w:sz w:val="24"/>
          <w:szCs w:val="24"/>
          <w:highlight w:val="none"/>
        </w:rPr>
        <w:t xml:space="preserve">乙方: </w:t>
      </w:r>
      <w:r>
        <w:rPr>
          <w:color w:val="000000"/>
          <w:sz w:val="24"/>
          <w:szCs w:val="24"/>
          <w:highlight w:val="none"/>
        </w:rPr>
      </w:r>
      <w:r/>
    </w:p>
    <w:p>
      <w:pPr>
        <w:pStyle w:val="1166"/>
        <w:ind w:firstLine="420"/>
        <w:spacing w:line="360" w:lineRule="auto"/>
        <w:rPr>
          <w:color w:val="000000"/>
          <w:szCs w:val="21"/>
          <w:highlight w:val="none"/>
        </w:rPr>
      </w:pPr>
      <w:r>
        <w:rPr>
          <w:color w:val="000000"/>
          <w:szCs w:val="21"/>
          <w:highlight w:val="none"/>
        </w:rPr>
        <w:t xml:space="preserve">为进一步加强医疗卫生行风建设，规范南京红十字血液中心廉洁诚信行为，有效防范商业贿赂行为，营造公平交易、诚实守信的环境，经甲、乙双方协商，同意签订本合同，并共同遵守：</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一、甲乙双方按照《民法典》及南京市卫生系统相关要求签订廉洁诚信合同。</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二、甲方严禁接受乙方以任何名义、形式给予的回扣，不得将接受捐赠资助与相关合同内容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三、严禁甲方工作人员利用任何途径和方式，为乙方提供信息，或为乙方提供便利。</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四、乙方不得以回扣、宴请等方式影响甲方工作人员，不得提供旅游、超标准支付食宿费用。</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五、乙方代表必须在工作时间到甲方指定地点联系商谈，不得借故到甲方相关领导、部门负责人及相关工作人员家中访谈并提供任何好处费。</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七、乙方如违反本合同，一经发现，甲方有权终止合同，并向有关卫生计生行政部门报告。如乙方被列入商业贿赂不良记录，则严格按照《国家卫生计生委关于建立医药购销领域商业贿赂不良记录的规定》（国卫法制发〔2013〕50号）等相关规定处理。</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八、本合同作为主体合同的重要组成部分，与主体合同一并执行，具有同等的法律效力。</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九、本合同一式三份，甲、乙双方各执一份，甲方纪检监察部门（基层医疗卫生机构上报上级卫生计生行政部门）执一份，并从签订之日起生效。</w:t>
      </w:r>
      <w:r>
        <w:rPr>
          <w:color w:val="000000"/>
          <w:szCs w:val="21"/>
          <w:highlight w:val="none"/>
        </w:rPr>
      </w:r>
      <w:r/>
    </w:p>
    <w:p>
      <w:pPr>
        <w:pStyle w:val="1166"/>
        <w:spacing w:line="600" w:lineRule="exact"/>
        <w:rPr>
          <w:color w:val="000000"/>
          <w:szCs w:val="21"/>
          <w:highlight w:val="none"/>
        </w:rPr>
      </w:pPr>
      <w:r>
        <w:rPr>
          <w:color w:val="000000"/>
          <w:szCs w:val="21"/>
          <w:highlight w:val="none"/>
        </w:rPr>
      </w:r>
      <w:r/>
    </w:p>
    <w:p>
      <w:pPr>
        <w:pStyle w:val="1166"/>
        <w:ind w:firstLine="420"/>
        <w:spacing w:line="600" w:lineRule="exact"/>
        <w:rPr>
          <w:color w:val="000000"/>
          <w:szCs w:val="21"/>
          <w:highlight w:val="none"/>
        </w:rPr>
      </w:pPr>
      <w:r>
        <w:rPr>
          <w:color w:val="000000"/>
          <w:szCs w:val="21"/>
          <w:highlight w:val="none"/>
        </w:rPr>
        <w:t xml:space="preserve">甲方（盖章）：</w:t>
      </w:r>
      <w:r>
        <w:rPr>
          <w:color w:val="000000"/>
          <w:sz w:val="24"/>
          <w:szCs w:val="24"/>
          <w:highlight w:val="none"/>
        </w:rPr>
        <w:t xml:space="preserve">南京红十字血液中心</w:t>
      </w:r>
      <w:r>
        <w:rPr>
          <w:color w:val="000000"/>
          <w:szCs w:val="21"/>
          <w:highlight w:val="none"/>
        </w:rPr>
        <w:t xml:space="preserve">        乙方（盖章）： </w:t>
      </w:r>
      <w:r>
        <w:rPr>
          <w:color w:val="000000"/>
          <w:szCs w:val="21"/>
          <w:highlight w:val="none"/>
        </w:rPr>
      </w:r>
      <w:r/>
    </w:p>
    <w:p>
      <w:pPr>
        <w:pStyle w:val="1166"/>
        <w:ind w:left="3150" w:hanging="3150"/>
        <w:spacing w:line="600" w:lineRule="exact"/>
        <w:rPr>
          <w:color w:val="000000"/>
          <w:szCs w:val="21"/>
          <w:highlight w:val="none"/>
        </w:rPr>
      </w:pPr>
      <w:r>
        <w:rPr>
          <w:color w:val="000000"/>
          <w:szCs w:val="21"/>
          <w:highlight w:val="none"/>
        </w:rPr>
        <w:t xml:space="preserve">    甲方责任人：                              乙方责任人：</w:t>
      </w:r>
      <w:r>
        <w:rPr>
          <w:color w:val="000000"/>
          <w:szCs w:val="21"/>
          <w:highlight w:val="none"/>
        </w:rPr>
      </w:r>
      <w:r/>
    </w:p>
    <w:p>
      <w:pPr>
        <w:pStyle w:val="1166"/>
        <w:ind w:left="3150" w:hanging="2730"/>
        <w:spacing w:line="600" w:lineRule="exact"/>
        <w:rPr>
          <w:color w:val="000000"/>
          <w:szCs w:val="21"/>
          <w:highlight w:val="none"/>
        </w:rPr>
      </w:pPr>
      <w:r>
        <w:rPr>
          <w:color w:val="000000"/>
          <w:szCs w:val="21"/>
          <w:highlight w:val="none"/>
        </w:rPr>
        <w:t xml:space="preserve">日期：     年   月   日                    日期：     年   月   日</w:t>
      </w:r>
      <w:r>
        <w:rPr>
          <w:color w:val="000000"/>
          <w:szCs w:val="21"/>
          <w:highlight w:val="none"/>
        </w:rPr>
      </w:r>
      <w:r/>
    </w:p>
    <w:p>
      <w:pPr>
        <w:pStyle w:val="1166"/>
        <w:spacing w:line="360" w:lineRule="auto"/>
        <w:rPr>
          <w:b/>
          <w:color w:val="000000"/>
          <w:sz w:val="28"/>
          <w:szCs w:val="28"/>
          <w:highlight w:val="none"/>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outlineLvl w:val="0"/>
      </w:pPr>
      <w:r>
        <w:rPr>
          <w:b/>
          <w:color w:val="000000"/>
          <w:sz w:val="28"/>
          <w:szCs w:val="28"/>
          <w:highlight w:val="none"/>
        </w:rPr>
      </w:r>
      <w:r/>
    </w:p>
    <w:p>
      <w:pPr>
        <w:pStyle w:val="1166"/>
        <w:jc w:val="center"/>
        <w:spacing w:line="440" w:lineRule="exact"/>
        <w:rPr>
          <w:b/>
          <w:color w:val="000000"/>
          <w:sz w:val="28"/>
          <w:szCs w:val="28"/>
          <w:highlight w:val="none"/>
        </w:rPr>
        <w:outlineLvl w:val="0"/>
      </w:pPr>
      <w:r/>
      <w:bookmarkStart w:id="275" w:name="_Toc791"/>
      <w:r>
        <w:rPr>
          <w:b/>
          <w:color w:val="000000"/>
          <w:sz w:val="28"/>
          <w:szCs w:val="28"/>
          <w:highlight w:val="none"/>
        </w:rPr>
        <w:t xml:space="preserve">第六章 投标文件格式及附件</w:t>
      </w:r>
      <w:bookmarkEnd w:id="259"/>
      <w:r/>
      <w:bookmarkEnd w:id="260"/>
      <w:r/>
      <w:bookmarkEnd w:id="261"/>
      <w:r/>
      <w:bookmarkEnd w:id="275"/>
      <w:r>
        <w:rPr>
          <w:b/>
          <w:color w:val="000000"/>
          <w:sz w:val="28"/>
          <w:szCs w:val="28"/>
          <w:highlight w:val="none"/>
        </w:rPr>
      </w:r>
      <w:r/>
    </w:p>
    <w:p>
      <w:pPr>
        <w:pStyle w:val="1166"/>
        <w:spacing w:line="360" w:lineRule="auto"/>
        <w:rPr>
          <w:b/>
          <w:bCs/>
          <w:color w:val="000000"/>
          <w:szCs w:val="21"/>
          <w:highlight w:val="none"/>
        </w:rPr>
      </w:pPr>
      <w:r/>
      <w:bookmarkStart w:id="276" w:name="_Toc29373"/>
      <w:r/>
      <w:bookmarkStart w:id="277" w:name="_Toc4696427"/>
      <w:r/>
      <w:bookmarkStart w:id="278" w:name="_Toc496780634"/>
      <w:r>
        <w:rPr>
          <w:b/>
          <w:bCs/>
          <w:color w:val="000000"/>
          <w:szCs w:val="21"/>
          <w:highlight w:val="none"/>
        </w:rPr>
        <w:t xml:space="preserve">注：</w:t>
      </w:r>
      <w:r>
        <w:rPr>
          <w:b/>
          <w:bCs/>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1.本部分内容仅提供格式参考。 </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2.供应商应按照以下文件的要求格式、内容制作投标文件，并编制目录及页码，混乱的编排导致投标文件被误读或查找不到，后果由供应商承担。 </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3.所附表格中要求回答的全部问题和信息都必须正面回答。 </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4.供应商提交的材料不予退还。 </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5.全部文件应按投标人须知以及前附表中规定的语言和份数提交。 </w:t>
      </w:r>
      <w:r>
        <w:rPr>
          <w:color w:val="000000"/>
          <w:szCs w:val="21"/>
          <w:highlight w:val="none"/>
        </w:rPr>
      </w:r>
      <w:r/>
    </w:p>
    <w:p>
      <w:pPr>
        <w:pStyle w:val="1166"/>
        <w:jc w:val="left"/>
        <w:spacing w:line="440" w:lineRule="exact"/>
        <w:rPr>
          <w:color w:val="000000"/>
          <w:sz w:val="24"/>
          <w:highlight w:val="none"/>
        </w:rPr>
      </w:pPr>
      <w:r>
        <w:rPr>
          <w:color w:val="000000"/>
          <w:szCs w:val="21"/>
          <w:highlight w:val="none"/>
        </w:rPr>
        <w:t xml:space="preserve">6.投标文件应按照投标文件格式逐项填写，无相应内容可填的项应填写“无”“未测试”“没有相应指标”等明确的回答文字。</w:t>
      </w:r>
      <w:r>
        <w:rPr>
          <w:color w:val="000000"/>
          <w:sz w:val="24"/>
          <w:highlight w:val="none"/>
        </w:rPr>
      </w:r>
      <w:r/>
    </w:p>
    <w:p>
      <w:pPr>
        <w:pStyle w:val="1168"/>
        <w:jc w:val="center"/>
        <w:rPr>
          <w:rFonts w:ascii="Times New Roman" w:hAnsi="Times New Roman" w:eastAsia="宋体"/>
          <w:color w:val="000000"/>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eastAsia="宋体"/>
          <w:color w:val="000000"/>
          <w:szCs w:val="24"/>
          <w:highlight w:val="none"/>
        </w:rPr>
      </w:r>
      <w:r/>
    </w:p>
    <w:p>
      <w:pPr>
        <w:pStyle w:val="1168"/>
        <w:jc w:val="center"/>
        <w:rPr>
          <w:rFonts w:ascii="Times New Roman" w:hAnsi="Times New Roman" w:eastAsia="宋体"/>
          <w:color w:val="000000"/>
          <w:szCs w:val="24"/>
          <w:highlight w:val="none"/>
        </w:rPr>
      </w:pPr>
      <w:r/>
      <w:bookmarkEnd w:id="276"/>
      <w:r/>
      <w:bookmarkEnd w:id="277"/>
      <w:r/>
      <w:bookmarkEnd w:id="278"/>
      <w:r/>
      <w:bookmarkStart w:id="279" w:name="_Toc5035"/>
      <w:r/>
      <w:bookmarkStart w:id="280" w:name="_Toc21143"/>
      <w:r/>
      <w:bookmarkStart w:id="281" w:name="_Toc4696428"/>
      <w:r>
        <w:rPr>
          <w:rFonts w:ascii="Times New Roman" w:hAnsi="Times New Roman" w:eastAsia="宋体"/>
          <w:color w:val="000000"/>
          <w:szCs w:val="24"/>
          <w:highlight w:val="none"/>
        </w:rPr>
        <w:t xml:space="preserve">资格审查索引表</w:t>
      </w:r>
      <w:bookmarkEnd w:id="279"/>
      <w:r/>
      <w:bookmarkEnd w:id="280"/>
      <w:r>
        <w:rPr>
          <w:rFonts w:ascii="Times New Roman" w:hAnsi="Times New Roman" w:eastAsia="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tc>
          <w:tcPr>
            <w:gridSpan w:val="2"/>
            <w:tcW w:w="1726" w:type="dxa"/>
            <w:vAlign w:val="center"/>
            <w:textDirection w:val="lrTb"/>
            <w:noWrap w:val="false"/>
          </w:tcPr>
          <w:p>
            <w:pPr>
              <w:pStyle w:val="1166"/>
              <w:jc w:val="center"/>
              <w:spacing w:line="300" w:lineRule="auto"/>
              <w:widowControl/>
              <w:rPr>
                <w:b/>
                <w:color w:val="000000"/>
                <w:sz w:val="24"/>
                <w:szCs w:val="24"/>
                <w:highlight w:val="none"/>
              </w:rPr>
            </w:pPr>
            <w:r>
              <w:rPr>
                <w:b/>
                <w:color w:val="000000"/>
                <w:sz w:val="24"/>
                <w:szCs w:val="24"/>
                <w:highlight w:val="none"/>
              </w:rPr>
              <w:t xml:space="preserve">资审项目</w:t>
            </w:r>
            <w:r>
              <w:rPr>
                <w:b/>
                <w:color w:val="000000"/>
                <w:sz w:val="24"/>
                <w:szCs w:val="24"/>
                <w:highlight w:val="none"/>
              </w:rPr>
            </w:r>
            <w:r/>
          </w:p>
        </w:tc>
        <w:tc>
          <w:tcPr>
            <w:tcW w:w="6604" w:type="dxa"/>
            <w:vAlign w:val="top"/>
            <w:textDirection w:val="lrTb"/>
            <w:noWrap w:val="false"/>
          </w:tcPr>
          <w:p>
            <w:pPr>
              <w:pStyle w:val="1166"/>
              <w:jc w:val="center"/>
              <w:rPr>
                <w:b/>
                <w:color w:val="000000"/>
                <w:sz w:val="24"/>
                <w:szCs w:val="24"/>
                <w:highlight w:val="none"/>
              </w:rPr>
            </w:pPr>
            <w:r>
              <w:rPr>
                <w:b/>
                <w:color w:val="000000"/>
                <w:sz w:val="24"/>
                <w:szCs w:val="24"/>
                <w:highlight w:val="none"/>
              </w:rPr>
              <w:t xml:space="preserve">资格要求</w:t>
            </w:r>
            <w:r>
              <w:rPr>
                <w:b/>
                <w:color w:val="000000"/>
                <w:sz w:val="24"/>
                <w:szCs w:val="24"/>
                <w:highlight w:val="none"/>
              </w:rPr>
            </w:r>
            <w:r/>
          </w:p>
        </w:tc>
        <w:tc>
          <w:tcPr>
            <w:tcW w:w="1524" w:type="dxa"/>
            <w:vAlign w:val="top"/>
            <w:textDirection w:val="lrTb"/>
            <w:noWrap w:val="false"/>
          </w:tcPr>
          <w:p>
            <w:pPr>
              <w:pStyle w:val="1166"/>
              <w:jc w:val="center"/>
              <w:rPr>
                <w:b/>
                <w:color w:val="000000"/>
                <w:sz w:val="24"/>
                <w:szCs w:val="24"/>
                <w:highlight w:val="none"/>
              </w:rPr>
            </w:pPr>
            <w:r>
              <w:rPr>
                <w:b/>
                <w:color w:val="000000"/>
                <w:sz w:val="24"/>
                <w:szCs w:val="24"/>
                <w:highlight w:val="none"/>
              </w:rPr>
              <w:t xml:space="preserve">所在页码</w:t>
            </w:r>
            <w:r>
              <w:rPr>
                <w:b/>
                <w:color w:val="000000"/>
                <w:sz w:val="24"/>
                <w:szCs w:val="24"/>
                <w:highlight w:val="none"/>
              </w:rPr>
            </w:r>
            <w:r/>
          </w:p>
        </w:tc>
      </w:tr>
      <w:tr>
        <w:trPr/>
        <w:tc>
          <w:tcPr>
            <w:tcW w:w="422" w:type="dxa"/>
            <w:vAlign w:val="center"/>
            <w:textDirection w:val="lrTb"/>
            <w:noWrap w:val="false"/>
          </w:tcPr>
          <w:p>
            <w:pPr>
              <w:pStyle w:val="1166"/>
              <w:spacing w:line="360" w:lineRule="auto"/>
              <w:widowControl/>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66"/>
              <w:spacing w:line="360" w:lineRule="auto"/>
              <w:widowControl/>
              <w:rPr>
                <w:color w:val="000000"/>
                <w:sz w:val="24"/>
                <w:szCs w:val="24"/>
                <w:highlight w:val="none"/>
              </w:rPr>
            </w:pPr>
            <w:r>
              <w:rPr>
                <w:color w:val="000000"/>
                <w:sz w:val="24"/>
                <w:szCs w:val="24"/>
                <w:highlight w:val="none"/>
              </w:rPr>
            </w:r>
            <w:r/>
          </w:p>
        </w:tc>
        <w:tc>
          <w:tcPr>
            <w:tcW w:w="66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524" w:type="dxa"/>
            <w:vAlign w:val="top"/>
            <w:textDirection w:val="lrTb"/>
            <w:noWrap w:val="false"/>
          </w:tcPr>
          <w:p>
            <w:pPr>
              <w:pStyle w:val="1166"/>
              <w:ind w:left="613"/>
              <w:spacing w:line="360" w:lineRule="auto"/>
              <w:widowControl/>
              <w:tabs>
                <w:tab w:val="left" w:pos="403" w:leader="none"/>
              </w:tabs>
              <w:rPr>
                <w:color w:val="000000"/>
                <w:sz w:val="24"/>
                <w:szCs w:val="24"/>
                <w:highlight w:val="none"/>
              </w:rPr>
            </w:pPr>
            <w:r>
              <w:rPr>
                <w:color w:val="000000"/>
                <w:sz w:val="24"/>
                <w:szCs w:val="24"/>
                <w:highlight w:val="none"/>
              </w:rPr>
            </w:r>
            <w:r/>
          </w:p>
        </w:tc>
      </w:tr>
      <w:tr>
        <w:trPr>
          <w:trHeight w:val="611"/>
        </w:trPr>
        <w:tc>
          <w:tcPr>
            <w:tcW w:w="422"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66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524" w:type="dxa"/>
            <w:vAlign w:val="top"/>
            <w:textDirection w:val="lrTb"/>
            <w:noWrap w:val="false"/>
          </w:tcPr>
          <w:p>
            <w:pPr>
              <w:pStyle w:val="1166"/>
              <w:spacing w:line="360" w:lineRule="auto"/>
              <w:rPr>
                <w:color w:val="000000"/>
                <w:sz w:val="24"/>
                <w:szCs w:val="24"/>
                <w:highlight w:val="none"/>
              </w:rPr>
            </w:pPr>
            <w:r>
              <w:rPr>
                <w:color w:val="000000"/>
                <w:sz w:val="24"/>
                <w:szCs w:val="24"/>
                <w:highlight w:val="none"/>
              </w:rPr>
            </w:r>
            <w:r/>
          </w:p>
        </w:tc>
      </w:tr>
      <w:tr>
        <w:trPr>
          <w:trHeight w:val="651"/>
        </w:trPr>
        <w:tc>
          <w:tcPr>
            <w:tcW w:w="422"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66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524" w:type="dxa"/>
            <w:vAlign w:val="top"/>
            <w:textDirection w:val="lrTb"/>
            <w:noWrap w:val="false"/>
          </w:tcPr>
          <w:p>
            <w:pPr>
              <w:pStyle w:val="1166"/>
              <w:spacing w:line="360" w:lineRule="auto"/>
              <w:rPr>
                <w:color w:val="000000"/>
                <w:sz w:val="24"/>
                <w:szCs w:val="24"/>
                <w:highlight w:val="none"/>
              </w:rPr>
            </w:pPr>
            <w:r>
              <w:rPr>
                <w:color w:val="000000"/>
                <w:sz w:val="24"/>
                <w:szCs w:val="24"/>
                <w:highlight w:val="none"/>
              </w:rPr>
            </w:r>
            <w:r/>
          </w:p>
        </w:tc>
      </w:tr>
      <w:tr>
        <w:trPr>
          <w:trHeight w:val="651"/>
        </w:trPr>
        <w:tc>
          <w:tcPr>
            <w:tcW w:w="422"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66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524" w:type="dxa"/>
            <w:vAlign w:val="top"/>
            <w:textDirection w:val="lrTb"/>
            <w:noWrap w:val="false"/>
          </w:tcPr>
          <w:p>
            <w:pPr>
              <w:pStyle w:val="1166"/>
              <w:spacing w:line="360" w:lineRule="auto"/>
              <w:rPr>
                <w:color w:val="000000"/>
                <w:sz w:val="24"/>
                <w:szCs w:val="24"/>
                <w:highlight w:val="none"/>
              </w:rPr>
            </w:pPr>
            <w:r>
              <w:rPr>
                <w:color w:val="000000"/>
                <w:sz w:val="24"/>
                <w:szCs w:val="24"/>
                <w:highlight w:val="none"/>
              </w:rPr>
            </w:r>
            <w:r/>
          </w:p>
        </w:tc>
      </w:tr>
      <w:tr>
        <w:trPr>
          <w:trHeight w:val="511"/>
        </w:trPr>
        <w:tc>
          <w:tcPr>
            <w:tcW w:w="422"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6604" w:type="dxa"/>
            <w:vAlign w:val="center"/>
            <w:textDirection w:val="lrTb"/>
            <w:noWrap w:val="false"/>
          </w:tcPr>
          <w:p>
            <w:pPr>
              <w:pStyle w:val="1166"/>
              <w:spacing w:line="360" w:lineRule="auto"/>
              <w:rPr>
                <w:color w:val="000000"/>
                <w:sz w:val="24"/>
                <w:szCs w:val="24"/>
                <w:highlight w:val="none"/>
              </w:rPr>
            </w:pPr>
            <w:r>
              <w:rPr>
                <w:color w:val="000000"/>
                <w:sz w:val="24"/>
                <w:szCs w:val="24"/>
                <w:highlight w:val="none"/>
              </w:rPr>
            </w:r>
            <w:r/>
          </w:p>
        </w:tc>
        <w:tc>
          <w:tcPr>
            <w:tcW w:w="1524" w:type="dxa"/>
            <w:vAlign w:val="top"/>
            <w:textDirection w:val="lrTb"/>
            <w:noWrap w:val="false"/>
          </w:tcPr>
          <w:p>
            <w:pPr>
              <w:pStyle w:val="1166"/>
              <w:spacing w:line="360" w:lineRule="auto"/>
              <w:rPr>
                <w:color w:val="000000"/>
                <w:sz w:val="24"/>
                <w:szCs w:val="24"/>
                <w:highlight w:val="none"/>
              </w:rPr>
            </w:pPr>
            <w:r>
              <w:rPr>
                <w:color w:val="000000"/>
                <w:sz w:val="24"/>
                <w:szCs w:val="24"/>
                <w:highlight w:val="none"/>
              </w:rPr>
            </w:r>
            <w:r/>
          </w:p>
        </w:tc>
      </w:tr>
    </w:tbl>
    <w:p>
      <w:pPr>
        <w:pStyle w:val="1166"/>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color w:val="000000"/>
          <w:sz w:val="24"/>
          <w:highlight w:val="none"/>
        </w:rPr>
      </w:r>
      <w:r/>
    </w:p>
    <w:p>
      <w:pPr>
        <w:pStyle w:val="1168"/>
        <w:jc w:val="center"/>
        <w:rPr>
          <w:rFonts w:ascii="Times New Roman" w:hAnsi="Times New Roman" w:eastAsia="宋体"/>
          <w:color w:val="000000"/>
          <w:szCs w:val="24"/>
          <w:highlight w:val="none"/>
        </w:rPr>
      </w:pPr>
      <w:r/>
      <w:bookmarkStart w:id="282" w:name="_Toc15249"/>
      <w:r/>
      <w:bookmarkStart w:id="283" w:name="_Toc4203"/>
      <w:r>
        <w:rPr>
          <w:rFonts w:ascii="Times New Roman" w:hAnsi="Times New Roman" w:eastAsia="宋体"/>
          <w:color w:val="000000"/>
          <w:szCs w:val="24"/>
          <w:highlight w:val="none"/>
        </w:rPr>
        <w:t xml:space="preserve">评审索引表</w:t>
      </w:r>
      <w:bookmarkEnd w:id="282"/>
      <w:r/>
      <w:bookmarkEnd w:id="283"/>
      <w:r>
        <w:rPr>
          <w:rFonts w:ascii="Times New Roman" w:hAnsi="Times New Roman" w:eastAsia="宋体"/>
          <w:color w:val="000000"/>
          <w:szCs w:val="24"/>
          <w:highlight w:val="none"/>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序号</w:t>
            </w: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评审因素</w:t>
            </w:r>
            <w:r>
              <w:rPr>
                <w:b/>
                <w:color w:val="000000"/>
                <w:szCs w:val="21"/>
                <w:highlight w:val="none"/>
              </w:rPr>
            </w:r>
            <w:r/>
          </w:p>
        </w:tc>
        <w:tc>
          <w:tcPr>
            <w:tcW w:w="6872"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评审标准</w:t>
            </w:r>
            <w:r>
              <w:rPr>
                <w:b/>
                <w:color w:val="000000"/>
                <w:szCs w:val="21"/>
                <w:highlight w:val="none"/>
              </w:rPr>
            </w:r>
            <w:r/>
          </w:p>
        </w:tc>
        <w:tc>
          <w:tcPr>
            <w:tcW w:w="1164"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t xml:space="preserve">所在页码</w:t>
            </w:r>
            <w:r>
              <w:rPr>
                <w:b/>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66"/>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66"/>
              <w:jc w:val="center"/>
              <w:spacing w:line="360" w:lineRule="auto"/>
              <w:widowControl/>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66"/>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213"/>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66"/>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66"/>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213"/>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66"/>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66"/>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213"/>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66"/>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66"/>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213"/>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66"/>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66"/>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66"/>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213"/>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66"/>
              <w:jc w:val="center"/>
              <w:spacing w:line="360" w:lineRule="auto"/>
              <w:rPr>
                <w:color w:val="000000"/>
                <w:szCs w:val="21"/>
                <w:highlight w:val="none"/>
              </w:rPr>
            </w:pPr>
            <w:r>
              <w:rPr>
                <w:color w:val="000000"/>
                <w:szCs w:val="21"/>
                <w:highlight w:val="none"/>
              </w:rPr>
            </w:r>
            <w:r/>
          </w:p>
        </w:tc>
      </w:tr>
    </w:tbl>
    <w:p>
      <w:pPr>
        <w:pStyle w:val="1166"/>
        <w:spacing w:line="440" w:lineRule="exact"/>
        <w:rPr>
          <w:color w:val="000000"/>
          <w:szCs w:val="24"/>
          <w:highlight w:val="none"/>
        </w:rPr>
      </w:pPr>
      <w:r>
        <w:rPr>
          <w:color w:val="000000"/>
          <w:szCs w:val="24"/>
          <w:highlight w:val="none"/>
        </w:rPr>
        <w:br w:type="textWrapping" w:clear="all"/>
      </w:r>
      <w:r>
        <w:rPr>
          <w:color w:val="000000"/>
          <w:szCs w:val="24"/>
          <w:highlight w:val="none"/>
        </w:rPr>
      </w:r>
      <w:r/>
    </w:p>
    <w:p>
      <w:pPr>
        <w:pStyle w:val="1166"/>
        <w:spacing w:line="440" w:lineRule="exact"/>
        <w:rPr>
          <w:b/>
          <w:bCs/>
          <w:color w:val="000000"/>
          <w:sz w:val="24"/>
          <w:highlight w:val="none"/>
        </w:rPr>
        <w:outlineLvl w:val="1"/>
      </w:pPr>
      <w:r>
        <w:rPr>
          <w:color w:val="000000"/>
          <w:szCs w:val="24"/>
          <w:highlight w:val="none"/>
        </w:rPr>
        <w:br w:type="page" w:clear="all"/>
      </w:r>
      <w:bookmarkStart w:id="284" w:name="_Toc18723"/>
      <w:r>
        <w:rPr>
          <w:b/>
          <w:bCs/>
          <w:color w:val="000000"/>
          <w:sz w:val="24"/>
          <w:highlight w:val="none"/>
        </w:rPr>
        <w:t xml:space="preserve">附件一 投标函格式</w:t>
      </w:r>
      <w:bookmarkEnd w:id="281"/>
      <w:r/>
      <w:bookmarkEnd w:id="284"/>
      <w:r>
        <w:rPr>
          <w:b/>
          <w:bCs/>
          <w:color w:val="000000"/>
          <w:sz w:val="24"/>
          <w:highlight w:val="none"/>
        </w:rPr>
      </w:r>
      <w:r/>
    </w:p>
    <w:p>
      <w:pPr>
        <w:pStyle w:val="1166"/>
        <w:jc w:val="center"/>
        <w:spacing w:line="440" w:lineRule="exact"/>
        <w:rPr>
          <w:b/>
          <w:color w:val="000000"/>
          <w:sz w:val="28"/>
          <w:szCs w:val="22"/>
          <w:highlight w:val="none"/>
        </w:rPr>
      </w:pPr>
      <w:r>
        <w:rPr>
          <w:b/>
          <w:color w:val="000000"/>
          <w:sz w:val="28"/>
          <w:szCs w:val="22"/>
          <w:highlight w:val="none"/>
        </w:rPr>
        <w:t xml:space="preserve">投标函</w:t>
      </w:r>
      <w:r>
        <w:rPr>
          <w:b/>
          <w:color w:val="000000"/>
          <w:sz w:val="28"/>
          <w:szCs w:val="22"/>
          <w:highlight w:val="none"/>
        </w:rPr>
      </w:r>
      <w:r/>
    </w:p>
    <w:p>
      <w:pPr>
        <w:pStyle w:val="1166"/>
        <w:spacing w:line="360" w:lineRule="auto"/>
        <w:rPr>
          <w:color w:val="000000"/>
          <w:szCs w:val="21"/>
          <w:highlight w:val="none"/>
        </w:rPr>
      </w:pPr>
      <w:r>
        <w:rPr>
          <w:color w:val="000000"/>
          <w:szCs w:val="21"/>
          <w:highlight w:val="none"/>
        </w:rPr>
        <w:t xml:space="preserve">致：江苏苏美达仪器设备有限公司</w:t>
      </w:r>
      <w:r>
        <w:rPr>
          <w:color w:val="000000"/>
          <w:szCs w:val="21"/>
          <w:highlight w:val="none"/>
        </w:rPr>
      </w:r>
      <w:r/>
    </w:p>
    <w:p>
      <w:pPr>
        <w:pStyle w:val="1166"/>
        <w:ind w:firstLine="420"/>
        <w:spacing w:line="360" w:lineRule="auto"/>
        <w:rPr>
          <w:color w:val="000000"/>
          <w:szCs w:val="21"/>
          <w:highlight w:val="none"/>
          <w:lang w:val="zh-CN"/>
        </w:rPr>
      </w:pPr>
      <w:r>
        <w:rPr>
          <w:color w:val="000000"/>
          <w:szCs w:val="21"/>
          <w:highlight w:val="none"/>
          <w:lang w:val="zh-CN"/>
        </w:rPr>
        <w:t xml:space="preserve">根据贵方</w:t>
      </w:r>
      <w:r>
        <w:rPr>
          <w:color w:val="000000"/>
          <w:szCs w:val="21"/>
          <w:highlight w:val="none"/>
          <w:u w:val="single"/>
          <w:lang w:val="zh-CN"/>
        </w:rPr>
        <w:t xml:space="preserve">         </w:t>
      </w:r>
      <w:r>
        <w:rPr>
          <w:color w:val="000000"/>
          <w:szCs w:val="21"/>
          <w:highlight w:val="none"/>
          <w:lang w:val="zh-CN"/>
        </w:rPr>
        <w:t xml:space="preserve">（项目名称）</w:t>
      </w:r>
      <w:r>
        <w:rPr>
          <w:color w:val="000000"/>
          <w:szCs w:val="21"/>
          <w:highlight w:val="none"/>
          <w:u w:val="single"/>
          <w:lang w:val="zh-CN"/>
        </w:rPr>
        <w:t xml:space="preserve">         </w:t>
      </w:r>
      <w:r>
        <w:rPr>
          <w:color w:val="000000"/>
          <w:szCs w:val="21"/>
          <w:highlight w:val="none"/>
          <w:lang w:val="zh-CN"/>
        </w:rPr>
        <w:t xml:space="preserve">（项目编号）投标邀请，正式授权下述签字人</w:t>
      </w:r>
      <w:r>
        <w:rPr>
          <w:color w:val="000000"/>
          <w:szCs w:val="21"/>
          <w:highlight w:val="none"/>
          <w:u w:val="single"/>
          <w:lang w:val="zh-CN"/>
        </w:rPr>
        <w:t xml:space="preserve">       </w:t>
      </w:r>
      <w:r>
        <w:rPr>
          <w:color w:val="000000"/>
          <w:szCs w:val="21"/>
          <w:highlight w:val="none"/>
          <w:lang w:val="zh-CN"/>
        </w:rPr>
        <w:t xml:space="preserve">(姓名和职务)代表</w:t>
      </w:r>
      <w:r>
        <w:rPr>
          <w:color w:val="000000"/>
          <w:szCs w:val="21"/>
          <w:highlight w:val="none"/>
          <w:u w:val="single"/>
          <w:lang w:val="zh-CN"/>
        </w:rPr>
        <w:t xml:space="preserve">        </w:t>
      </w:r>
      <w:r>
        <w:rPr>
          <w:color w:val="000000"/>
          <w:szCs w:val="21"/>
          <w:highlight w:val="none"/>
          <w:u w:val="single"/>
        </w:rPr>
        <w:t xml:space="preserve">   </w:t>
      </w:r>
      <w:r>
        <w:rPr>
          <w:color w:val="000000"/>
          <w:szCs w:val="21"/>
          <w:highlight w:val="none"/>
          <w:u w:val="single"/>
          <w:lang w:val="zh-CN"/>
        </w:rPr>
        <w:t xml:space="preserve">    </w:t>
      </w:r>
      <w:r>
        <w:rPr>
          <w:color w:val="000000"/>
          <w:szCs w:val="21"/>
          <w:highlight w:val="none"/>
          <w:lang w:val="zh-CN"/>
        </w:rPr>
        <w:t xml:space="preserve">（供应商名称），提交投标文件。</w:t>
      </w:r>
      <w:r>
        <w:rPr>
          <w:color w:val="000000"/>
          <w:szCs w:val="21"/>
          <w:highlight w:val="none"/>
          <w:lang w:val="zh-CN"/>
        </w:rPr>
      </w:r>
      <w:r/>
    </w:p>
    <w:p>
      <w:pPr>
        <w:pStyle w:val="1166"/>
        <w:ind w:firstLine="420"/>
        <w:spacing w:line="360" w:lineRule="auto"/>
        <w:rPr>
          <w:color w:val="000000"/>
          <w:szCs w:val="21"/>
          <w:highlight w:val="none"/>
        </w:rPr>
      </w:pPr>
      <w:r>
        <w:rPr>
          <w:color w:val="000000"/>
          <w:szCs w:val="21"/>
          <w:highlight w:val="none"/>
        </w:rPr>
        <w:t xml:space="preserve">据此函，签字人兹宣布同意如下：</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1．我们的资格条件完全符合《中华人民共和国政府采购法》和本次招标要求，我们同意并向贵方提供了与本次招标活动有关的所有证据和资料。    </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2．我们已详细审核全部招标文件及其有效补充文件，我们放弃对招标文件任何误解的权利，提交投标文件后，</w:t>
      </w:r>
      <w:r>
        <w:rPr>
          <w:b/>
          <w:bCs/>
          <w:color w:val="000000"/>
          <w:szCs w:val="21"/>
          <w:highlight w:val="none"/>
        </w:rPr>
        <w:t xml:space="preserve">不对招标文件本身提出质疑</w:t>
      </w:r>
      <w:r>
        <w:rPr>
          <w:color w:val="000000"/>
          <w:szCs w:val="21"/>
          <w:highlight w:val="none"/>
        </w:rPr>
        <w:t xml:space="preserve">。否则，属于不诚信和故意扰乱政府采购活动行为，我们将无条件接受处罚。</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3．我们同意在本项目招标文件中规定的开标之日起90天内遵守本投标文件中的承诺且在此期限期满之前均具有约束力。</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4．我们愿意向采购代理机构提供任何与本次招标有关的其他资料，并保证已提供和将要提供的文件是真实的、准确的。</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5．我们理解，你们无义务必须接受投标价最低的投标，并有权拒绝所有的投标。</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7．其它说明：</w:t>
      </w:r>
      <w:r>
        <w:rPr>
          <w:color w:val="000000"/>
          <w:szCs w:val="21"/>
          <w:highlight w:val="none"/>
        </w:rPr>
      </w:r>
      <w:r/>
    </w:p>
    <w:p>
      <w:pPr>
        <w:pStyle w:val="1166"/>
        <w:spacing w:line="440" w:lineRule="exact"/>
        <w:rPr>
          <w:color w:val="000000"/>
          <w:szCs w:val="21"/>
          <w:highlight w:val="none"/>
        </w:rPr>
      </w:pP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供应商名称：</w:t>
      </w:r>
      <w:r>
        <w:rPr>
          <w:color w:val="000000"/>
          <w:szCs w:val="21"/>
          <w:highlight w:val="none"/>
          <w:u w:val="single"/>
        </w:rPr>
        <w:t xml:space="preserve">                   （公章）</w:t>
      </w:r>
      <w:r>
        <w:rPr>
          <w:color w:val="000000"/>
          <w:szCs w:val="21"/>
          <w:highlight w:val="none"/>
        </w:rPr>
      </w:r>
      <w:r/>
    </w:p>
    <w:p>
      <w:pPr>
        <w:pStyle w:val="1166"/>
        <w:spacing w:line="360" w:lineRule="auto"/>
        <w:rPr>
          <w:color w:val="000000"/>
          <w:szCs w:val="21"/>
          <w:highlight w:val="none"/>
          <w:u w:val="single"/>
        </w:rPr>
      </w:pPr>
      <w:r>
        <w:rPr>
          <w:color w:val="000000"/>
          <w:szCs w:val="21"/>
          <w:highlight w:val="none"/>
        </w:rPr>
        <w:t xml:space="preserve">地址：</w:t>
      </w:r>
      <w:r>
        <w:rPr>
          <w:color w:val="000000"/>
          <w:szCs w:val="21"/>
          <w:highlight w:val="none"/>
          <w:u w:val="single"/>
        </w:rPr>
        <w:t xml:space="preserve">            </w:t>
      </w:r>
      <w:r>
        <w:rPr>
          <w:color w:val="000000"/>
          <w:szCs w:val="21"/>
          <w:highlight w:val="none"/>
        </w:rPr>
        <w:t xml:space="preserve"> 邮编：</w:t>
      </w:r>
      <w:r>
        <w:rPr>
          <w:color w:val="000000"/>
          <w:szCs w:val="21"/>
          <w:highlight w:val="none"/>
          <w:u w:val="single"/>
        </w:rPr>
        <w:t xml:space="preserve">              </w:t>
      </w:r>
      <w:r>
        <w:rPr>
          <w:color w:val="000000"/>
          <w:szCs w:val="21"/>
          <w:highlight w:val="none"/>
          <w:u w:val="single"/>
        </w:rPr>
      </w:r>
      <w:r/>
    </w:p>
    <w:p>
      <w:pPr>
        <w:pStyle w:val="1166"/>
        <w:spacing w:line="360" w:lineRule="auto"/>
        <w:rPr>
          <w:color w:val="000000"/>
          <w:szCs w:val="21"/>
          <w:highlight w:val="none"/>
          <w:u w:val="single"/>
        </w:rPr>
      </w:pPr>
      <w:r>
        <w:rPr>
          <w:color w:val="000000"/>
          <w:szCs w:val="21"/>
          <w:highlight w:val="none"/>
        </w:rPr>
        <w:t xml:space="preserve">电话：</w:t>
      </w:r>
      <w:r>
        <w:rPr>
          <w:color w:val="000000"/>
          <w:szCs w:val="21"/>
          <w:highlight w:val="none"/>
          <w:u w:val="single"/>
        </w:rPr>
        <w:t xml:space="preserve">            </w:t>
      </w:r>
      <w:r>
        <w:rPr>
          <w:color w:val="000000"/>
          <w:szCs w:val="21"/>
          <w:highlight w:val="none"/>
        </w:rPr>
        <w:t xml:space="preserve"> 传真：</w:t>
      </w:r>
      <w:r>
        <w:rPr>
          <w:color w:val="000000"/>
          <w:szCs w:val="21"/>
          <w:highlight w:val="none"/>
          <w:u w:val="single"/>
        </w:rPr>
        <w:t xml:space="preserve">              </w:t>
      </w:r>
      <w:r>
        <w:rPr>
          <w:color w:val="000000"/>
          <w:szCs w:val="21"/>
          <w:highlight w:val="none"/>
          <w:u w:val="single"/>
        </w:rPr>
      </w:r>
      <w:r/>
    </w:p>
    <w:p>
      <w:pPr>
        <w:pStyle w:val="1166"/>
        <w:spacing w:line="360" w:lineRule="auto"/>
        <w:rPr>
          <w:color w:val="000000"/>
          <w:szCs w:val="21"/>
          <w:highlight w:val="non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1166"/>
        <w:spacing w:line="360" w:lineRule="auto"/>
        <w:rPr>
          <w:color w:val="000000"/>
          <w:sz w:val="24"/>
          <w:highlight w:val="none"/>
        </w:rPr>
      </w:pPr>
      <w:r>
        <w:rPr>
          <w:color w:val="000000"/>
          <w:szCs w:val="21"/>
          <w:highlight w:val="none"/>
        </w:rPr>
        <w:t xml:space="preserve">日期：</w:t>
      </w:r>
      <w:r>
        <w:rPr>
          <w:color w:val="000000"/>
          <w:szCs w:val="21"/>
          <w:highlight w:val="none"/>
          <w:u w:val="single"/>
        </w:rPr>
        <w:t xml:space="preserve">               </w:t>
      </w:r>
      <w:r>
        <w:rPr>
          <w:color w:val="000000"/>
          <w:sz w:val="24"/>
          <w:highlight w:val="none"/>
        </w:rPr>
      </w:r>
      <w:r/>
    </w:p>
    <w:p>
      <w:pPr>
        <w:pStyle w:val="1166"/>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66"/>
        <w:spacing w:line="440" w:lineRule="exact"/>
        <w:rPr>
          <w:b/>
          <w:bCs/>
          <w:color w:val="000000"/>
          <w:sz w:val="24"/>
          <w:szCs w:val="22"/>
          <w:highlight w:val="none"/>
        </w:rPr>
        <w:outlineLvl w:val="1"/>
      </w:pPr>
      <w:r/>
      <w:bookmarkStart w:id="285" w:name="_Toc4696429"/>
      <w:r/>
      <w:bookmarkStart w:id="286" w:name="_Toc8911"/>
      <w:r>
        <w:rPr>
          <w:b/>
          <w:bCs/>
          <w:color w:val="000000"/>
          <w:sz w:val="24"/>
          <w:szCs w:val="22"/>
          <w:highlight w:val="none"/>
        </w:rPr>
        <w:t xml:space="preserve">附件二 开标一览表</w:t>
      </w:r>
      <w:bookmarkEnd w:id="285"/>
      <w:r/>
      <w:bookmarkEnd w:id="286"/>
      <w:r>
        <w:rPr>
          <w:b/>
          <w:bCs/>
          <w:color w:val="000000"/>
          <w:sz w:val="24"/>
          <w:szCs w:val="22"/>
          <w:highlight w:val="none"/>
        </w:rPr>
      </w:r>
      <w:r/>
    </w:p>
    <w:p>
      <w:pPr>
        <w:pStyle w:val="1166"/>
        <w:jc w:val="center"/>
        <w:spacing w:line="440" w:lineRule="exact"/>
        <w:rPr>
          <w:b/>
          <w:color w:val="000000"/>
          <w:sz w:val="28"/>
          <w:szCs w:val="22"/>
          <w:highlight w:val="none"/>
        </w:rPr>
      </w:pPr>
      <w:r>
        <w:rPr>
          <w:b/>
          <w:color w:val="000000"/>
          <w:sz w:val="28"/>
          <w:szCs w:val="22"/>
          <w:highlight w:val="none"/>
        </w:rPr>
        <w:t xml:space="preserve">开标一览表</w:t>
      </w:r>
      <w:r>
        <w:rPr>
          <w:b/>
          <w:color w:val="000000"/>
          <w:sz w:val="28"/>
          <w:szCs w:val="22"/>
          <w:highlight w:val="none"/>
        </w:rPr>
      </w:r>
      <w:r/>
    </w:p>
    <w:p>
      <w:pPr>
        <w:pStyle w:val="1166"/>
        <w:spacing w:line="440" w:lineRule="exact"/>
        <w:rPr>
          <w:color w:val="000000"/>
          <w:highlight w:val="none"/>
        </w:rPr>
      </w:pPr>
      <w:r>
        <w:rPr>
          <w:color w:val="000000"/>
          <w:highlight w:val="none"/>
        </w:rPr>
      </w:r>
      <w:r/>
    </w:p>
    <w:p>
      <w:pPr>
        <w:pStyle w:val="1166"/>
        <w:spacing w:after="156" w:line="440" w:lineRule="exact"/>
        <w:rPr>
          <w:color w:val="000000"/>
          <w:szCs w:val="21"/>
          <w:highlight w:val="none"/>
        </w:rPr>
      </w:pPr>
      <w:r>
        <w:rPr>
          <w:color w:val="000000"/>
          <w:szCs w:val="21"/>
          <w:highlight w:val="none"/>
        </w:rPr>
        <w:t xml:space="preserve">招标编号：</w:t>
      </w:r>
      <w:r>
        <w:rPr>
          <w:rFonts w:hint="eastAsia"/>
          <w:color w:val="000000"/>
          <w:szCs w:val="21"/>
          <w:highlight w:val="none"/>
          <w:lang w:eastAsia="zh-CN"/>
        </w:rPr>
        <w:t xml:space="preserve">JSZC-320100-SMDY-G2026-0071</w:t>
      </w:r>
      <w:r>
        <w:rPr>
          <w:color w:val="000000"/>
          <w:szCs w:val="21"/>
          <w:highlight w:val="none"/>
        </w:rPr>
        <w:t xml:space="preserve">（</w:t>
      </w:r>
      <w:r>
        <w:rPr>
          <w:rFonts w:hint="eastAsia"/>
          <w:color w:val="000000"/>
          <w:szCs w:val="21"/>
          <w:highlight w:val="none"/>
          <w:lang w:eastAsia="zh-CN"/>
        </w:rPr>
        <w:t xml:space="preserve">2640SUMEC/ZWHD2149</w:t>
      </w:r>
      <w:r>
        <w:rPr>
          <w:color w:val="000000"/>
          <w:szCs w:val="21"/>
          <w:highlight w:val="none"/>
        </w:rPr>
        <w:t xml:space="preserve">）                               </w:t>
      </w:r>
      <w:r>
        <w:rPr>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166"/>
              <w:jc w:val="center"/>
              <w:spacing w:line="480" w:lineRule="exact"/>
              <w:rPr>
                <w:color w:val="000000"/>
                <w:szCs w:val="21"/>
                <w:highlight w:val="none"/>
              </w:rPr>
            </w:pPr>
            <w:r>
              <w:rPr>
                <w:color w:val="000000"/>
                <w:szCs w:val="21"/>
                <w:highlight w:val="none"/>
              </w:rPr>
              <w:t xml:space="preserve">项目名称</w:t>
            </w:r>
            <w:r>
              <w:rPr>
                <w:color w:val="000000"/>
                <w:szCs w:val="21"/>
                <w:highlight w:val="none"/>
              </w:rPr>
            </w:r>
            <w:r/>
          </w:p>
        </w:tc>
        <w:tc>
          <w:tcPr>
            <w:tcW w:w="6898" w:type="dxa"/>
            <w:vAlign w:val="center"/>
            <w:textDirection w:val="lrTb"/>
            <w:noWrap w:val="false"/>
          </w:tcPr>
          <w:p>
            <w:pPr>
              <w:pStyle w:val="1166"/>
              <w:ind w:firstLine="105"/>
              <w:spacing w:line="480" w:lineRule="exact"/>
              <w:rPr>
                <w:color w:val="000000"/>
                <w:szCs w:val="21"/>
                <w:highlight w:val="none"/>
              </w:rPr>
            </w:pPr>
            <w:r>
              <w:rPr>
                <w:color w:val="000000"/>
                <w:szCs w:val="21"/>
                <w:highlight w:val="none"/>
              </w:rPr>
            </w:r>
            <w:r/>
          </w:p>
        </w:tc>
      </w:tr>
      <w:tr>
        <w:trPr>
          <w:cantSplit/>
          <w:trHeight w:val="1280"/>
        </w:trPr>
        <w:tc>
          <w:tcPr>
            <w:tcW w:w="2485" w:type="dxa"/>
            <w:vAlign w:val="center"/>
            <w:textDirection w:val="lrTb"/>
            <w:noWrap w:val="false"/>
          </w:tcPr>
          <w:p>
            <w:pPr>
              <w:pStyle w:val="1166"/>
              <w:jc w:val="center"/>
              <w:spacing w:line="480" w:lineRule="exact"/>
              <w:rPr>
                <w:color w:val="000000"/>
                <w:szCs w:val="21"/>
                <w:highlight w:val="none"/>
              </w:rPr>
            </w:pPr>
            <w:r>
              <w:rPr>
                <w:color w:val="000000"/>
                <w:szCs w:val="21"/>
                <w:highlight w:val="none"/>
              </w:rPr>
              <w:t xml:space="preserve">报价（总价）</w:t>
            </w:r>
            <w:r>
              <w:rPr>
                <w:color w:val="000000"/>
                <w:szCs w:val="21"/>
                <w:highlight w:val="none"/>
              </w:rPr>
            </w:r>
            <w:r/>
          </w:p>
        </w:tc>
        <w:tc>
          <w:tcPr>
            <w:tcW w:w="6898" w:type="dxa"/>
            <w:vAlign w:val="center"/>
            <w:textDirection w:val="lrTb"/>
            <w:noWrap w:val="false"/>
          </w:tcPr>
          <w:p>
            <w:pPr>
              <w:pStyle w:val="1166"/>
              <w:spacing w:line="480" w:lineRule="exact"/>
              <w:rPr>
                <w:color w:val="000000"/>
                <w:szCs w:val="21"/>
                <w:highlight w:val="none"/>
              </w:rPr>
            </w:pPr>
            <w:r>
              <w:rPr>
                <w:color w:val="000000"/>
                <w:szCs w:val="21"/>
                <w:highlight w:val="none"/>
              </w:rPr>
              <w:t xml:space="preserve">人民币：</w:t>
            </w:r>
            <w:r>
              <w:rPr>
                <w:color w:val="000000"/>
                <w:szCs w:val="21"/>
                <w:highlight w:val="none"/>
                <w:u w:val="single"/>
              </w:rPr>
              <w:t xml:space="preserve">           </w:t>
            </w:r>
            <w:r>
              <w:rPr>
                <w:color w:val="000000"/>
                <w:szCs w:val="21"/>
                <w:highlight w:val="none"/>
                <w:u w:val="single"/>
              </w:rPr>
              <w:br w:type="textWrapping" w:clear="all"/>
            </w:r>
            <w:r>
              <w:rPr>
                <w:color w:val="000000"/>
                <w:szCs w:val="21"/>
                <w:highlight w:val="none"/>
              </w:rPr>
              <w:t xml:space="preserve">（大写）：</w:t>
            </w:r>
            <w:r>
              <w:rPr>
                <w:color w:val="000000"/>
                <w:szCs w:val="21"/>
                <w:highlight w:val="none"/>
                <w:u w:val="single"/>
              </w:rPr>
              <w:t xml:space="preserve">         </w:t>
            </w:r>
            <w:r>
              <w:rPr>
                <w:color w:val="000000"/>
                <w:szCs w:val="21"/>
                <w:highlight w:val="none"/>
              </w:rPr>
            </w:r>
            <w:r/>
          </w:p>
        </w:tc>
      </w:tr>
      <w:tr>
        <w:trPr>
          <w:cantSplit/>
          <w:trHeight w:val="615"/>
        </w:trPr>
        <w:tc>
          <w:tcPr>
            <w:tcW w:w="2485" w:type="dxa"/>
            <w:vAlign w:val="center"/>
            <w:textDirection w:val="lrTb"/>
            <w:noWrap w:val="false"/>
          </w:tcPr>
          <w:p>
            <w:pPr>
              <w:pStyle w:val="1166"/>
              <w:jc w:val="center"/>
              <w:spacing w:line="480" w:lineRule="exact"/>
              <w:rPr>
                <w:color w:val="000000"/>
                <w:szCs w:val="21"/>
                <w:highlight w:val="none"/>
              </w:rPr>
            </w:pPr>
            <w:r>
              <w:rPr>
                <w:color w:val="000000"/>
                <w:szCs w:val="21"/>
                <w:highlight w:val="none"/>
              </w:rPr>
              <w:t xml:space="preserve">所投品牌和型号</w:t>
            </w:r>
            <w:r>
              <w:rPr>
                <w:color w:val="000000"/>
                <w:szCs w:val="21"/>
                <w:highlight w:val="none"/>
              </w:rPr>
            </w:r>
            <w:r/>
          </w:p>
        </w:tc>
        <w:tc>
          <w:tcPr>
            <w:tcW w:w="6898" w:type="dxa"/>
            <w:vAlign w:val="center"/>
            <w:textDirection w:val="lrTb"/>
            <w:noWrap w:val="false"/>
          </w:tcPr>
          <w:p>
            <w:pPr>
              <w:pStyle w:val="1166"/>
              <w:spacing w:line="480" w:lineRule="exact"/>
              <w:rPr>
                <w:color w:val="000000"/>
                <w:szCs w:val="21"/>
                <w:highlight w:val="none"/>
              </w:rPr>
            </w:pPr>
            <w:r>
              <w:rPr>
                <w:color w:val="000000"/>
                <w:szCs w:val="21"/>
                <w:highlight w:val="none"/>
              </w:rPr>
            </w:r>
            <w:r/>
          </w:p>
        </w:tc>
      </w:tr>
      <w:tr>
        <w:trPr>
          <w:cantSplit/>
          <w:trHeight w:val="389"/>
        </w:trPr>
        <w:tc>
          <w:tcPr>
            <w:tcW w:w="2485" w:type="dxa"/>
            <w:vAlign w:val="center"/>
            <w:textDirection w:val="lrTb"/>
            <w:noWrap w:val="false"/>
          </w:tcPr>
          <w:p>
            <w:pPr>
              <w:pStyle w:val="1166"/>
              <w:jc w:val="center"/>
              <w:spacing w:line="480" w:lineRule="exact"/>
              <w:rPr>
                <w:color w:val="000000"/>
                <w:szCs w:val="21"/>
                <w:highlight w:val="none"/>
              </w:rPr>
            </w:pPr>
            <w:r>
              <w:rPr>
                <w:color w:val="000000"/>
                <w:szCs w:val="21"/>
                <w:highlight w:val="none"/>
              </w:rPr>
              <w:t xml:space="preserve">合同履行期限</w:t>
            </w:r>
            <w:r>
              <w:rPr>
                <w:color w:val="000000"/>
                <w:szCs w:val="21"/>
                <w:highlight w:val="none"/>
              </w:rPr>
            </w:r>
            <w:r/>
          </w:p>
        </w:tc>
        <w:tc>
          <w:tcPr>
            <w:tcW w:w="6898" w:type="dxa"/>
            <w:vAlign w:val="center"/>
            <w:textDirection w:val="lrTb"/>
            <w:noWrap w:val="false"/>
          </w:tcPr>
          <w:p>
            <w:pPr>
              <w:pStyle w:val="1166"/>
              <w:ind w:firstLine="105"/>
              <w:spacing w:line="480" w:lineRule="exact"/>
              <w:rPr>
                <w:color w:val="000000"/>
                <w:szCs w:val="21"/>
                <w:highlight w:val="none"/>
              </w:rPr>
            </w:pPr>
            <w:r>
              <w:rPr>
                <w:color w:val="000000"/>
                <w:szCs w:val="21"/>
                <w:highlight w:val="none"/>
              </w:rPr>
            </w:r>
            <w:r/>
          </w:p>
        </w:tc>
      </w:tr>
      <w:tr>
        <w:trPr>
          <w:cantSplit/>
          <w:trHeight w:val="389"/>
        </w:trPr>
        <w:tc>
          <w:tcPr>
            <w:tcW w:w="2485" w:type="dxa"/>
            <w:vAlign w:val="top"/>
            <w:textDirection w:val="lrTb"/>
            <w:noWrap w:val="false"/>
          </w:tcPr>
          <w:p>
            <w:pPr>
              <w:pStyle w:val="1166"/>
              <w:jc w:val="center"/>
              <w:spacing w:line="480" w:lineRule="exact"/>
              <w:rPr>
                <w:color w:val="000000"/>
                <w:highlight w:val="none"/>
              </w:rPr>
            </w:pPr>
            <w:r>
              <w:rPr>
                <w:color w:val="000000"/>
                <w:highlight w:val="none"/>
              </w:rPr>
              <w:t xml:space="preserve">是否属于小微型企业</w:t>
            </w:r>
            <w:r>
              <w:rPr>
                <w:color w:val="000000"/>
                <w:highlight w:val="none"/>
              </w:rPr>
            </w:r>
            <w:r/>
          </w:p>
        </w:tc>
        <w:tc>
          <w:tcPr>
            <w:tcW w:w="6898" w:type="dxa"/>
            <w:vAlign w:val="top"/>
            <w:textDirection w:val="lrTb"/>
            <w:noWrap w:val="false"/>
          </w:tcPr>
          <w:p>
            <w:pPr>
              <w:pStyle w:val="1175"/>
              <w:ind w:firstLine="210"/>
              <w:spacing w:line="440" w:lineRule="exact"/>
              <w:rPr>
                <w:color w:val="000000"/>
                <w:szCs w:val="21"/>
                <w:highlight w:val="none"/>
              </w:rPr>
            </w:pP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是                       </w:t>
            </w: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否</w:t>
            </w:r>
            <w:r>
              <w:rPr>
                <w:color w:val="000000"/>
                <w:szCs w:val="21"/>
                <w:highlight w:val="none"/>
              </w:rPr>
            </w:r>
            <w:r/>
          </w:p>
        </w:tc>
      </w:tr>
      <w:tr>
        <w:trPr>
          <w:cantSplit/>
          <w:trHeight w:val="389"/>
        </w:trPr>
        <w:tc>
          <w:tcPr>
            <w:gridSpan w:val="2"/>
            <w:tcW w:w="9383" w:type="dxa"/>
            <w:vAlign w:val="top"/>
            <w:textDirection w:val="lrTb"/>
            <w:noWrap w:val="false"/>
          </w:tcPr>
          <w:p>
            <w:pPr>
              <w:pStyle w:val="1166"/>
              <w:ind w:firstLine="105"/>
              <w:spacing w:line="480" w:lineRule="exact"/>
              <w:rPr>
                <w:color w:val="000000"/>
                <w:szCs w:val="21"/>
                <w:highlight w:val="none"/>
              </w:rPr>
            </w:pPr>
            <w:r>
              <w:rPr>
                <w:b/>
                <w:color w:val="000000"/>
                <w:szCs w:val="21"/>
                <w:highlight w:val="none"/>
              </w:rPr>
              <w:t xml:space="preserve">“是否属于小微型企业</w:t>
            </w:r>
            <w:r>
              <w:rPr>
                <w:b/>
                <w:color w:val="000000"/>
                <w:szCs w:val="21"/>
                <w:highlight w:val="none"/>
                <w:lang w:val="zh-CN"/>
              </w:rPr>
              <w:t xml:space="preserve">”栏内</w:t>
            </w:r>
            <w:r>
              <w:rPr>
                <w:b/>
                <w:color w:val="000000"/>
                <w:szCs w:val="21"/>
                <w:highlight w:val="none"/>
              </w:rPr>
              <w:t xml:space="preserve">请勾选</w:t>
            </w:r>
            <w:r>
              <w:rPr>
                <w:b/>
                <w:color w:val="000000"/>
                <w:szCs w:val="21"/>
                <w:highlight w:val="none"/>
                <w:lang w:val="zh-CN"/>
              </w:rPr>
              <w:t xml:space="preserve">“是”或“否”。如</w:t>
            </w:r>
            <w:r>
              <w:rPr>
                <w:b/>
                <w:color w:val="000000"/>
                <w:szCs w:val="21"/>
                <w:highlight w:val="none"/>
              </w:rPr>
              <w:t xml:space="preserve">勾选</w:t>
            </w:r>
            <w:r>
              <w:rPr>
                <w:b/>
                <w:color w:val="000000"/>
                <w:szCs w:val="21"/>
                <w:highlight w:val="none"/>
                <w:lang w:val="zh-CN"/>
              </w:rPr>
              <w:t xml:space="preserve">“是”，</w:t>
            </w:r>
            <w:r>
              <w:rPr>
                <w:b/>
                <w:color w:val="000000"/>
                <w:szCs w:val="21"/>
                <w:highlight w:val="none"/>
              </w:rPr>
              <w:t xml:space="preserve">投标人需同时提供附件六所要求的对应文件。</w:t>
            </w:r>
            <w:r>
              <w:rPr>
                <w:color w:val="000000"/>
                <w:szCs w:val="21"/>
                <w:highlight w:val="none"/>
              </w:rPr>
            </w:r>
            <w:r/>
          </w:p>
        </w:tc>
      </w:tr>
    </w:tbl>
    <w:p>
      <w:pPr>
        <w:pStyle w:val="1166"/>
        <w:spacing w:line="440" w:lineRule="exact"/>
        <w:rPr>
          <w:color w:val="000000"/>
          <w:szCs w:val="21"/>
          <w:highlight w:val="none"/>
        </w:rPr>
      </w:pP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spacing w:line="440" w:lineRule="exact"/>
        <w:rPr>
          <w:color w:val="000000"/>
          <w:szCs w:val="21"/>
          <w:highlight w:val="none"/>
        </w:rPr>
      </w:pP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注：1、此表中，投标总价合计应和分项报价表中的总价一致。</w:t>
      </w:r>
      <w:r>
        <w:rPr>
          <w:color w:val="000000"/>
          <w:szCs w:val="21"/>
          <w:highlight w:val="none"/>
        </w:rPr>
      </w:r>
      <w:r/>
    </w:p>
    <w:p>
      <w:pPr>
        <w:pStyle w:val="1166"/>
        <w:spacing w:line="440" w:lineRule="exact"/>
        <w:rPr>
          <w:color w:val="000000"/>
          <w:szCs w:val="21"/>
          <w:highlight w:val="none"/>
        </w:rPr>
      </w:pPr>
      <w:r>
        <w:rPr>
          <w:color w:val="000000"/>
          <w:szCs w:val="21"/>
          <w:highlight w:val="none"/>
        </w:rPr>
      </w:r>
      <w:r/>
    </w:p>
    <w:p>
      <w:pPr>
        <w:pStyle w:val="1166"/>
        <w:spacing w:after="156" w:line="440" w:lineRule="exact"/>
        <w:rPr>
          <w:b/>
          <w:bCs/>
          <w:color w:val="000000"/>
          <w:sz w:val="24"/>
          <w:szCs w:val="22"/>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87" w:name="_Toc4696430"/>
      <w:r>
        <w:rPr>
          <w:b/>
          <w:bCs/>
          <w:color w:val="000000"/>
          <w:sz w:val="24"/>
          <w:szCs w:val="22"/>
          <w:highlight w:val="none"/>
        </w:rPr>
      </w:r>
      <w:r/>
    </w:p>
    <w:p>
      <w:pPr>
        <w:pStyle w:val="1166"/>
        <w:spacing w:line="440" w:lineRule="exact"/>
        <w:rPr>
          <w:b/>
          <w:bCs/>
          <w:color w:val="000000"/>
          <w:sz w:val="24"/>
          <w:szCs w:val="22"/>
          <w:highlight w:val="none"/>
        </w:rPr>
        <w:outlineLvl w:val="1"/>
      </w:pPr>
      <w:r/>
      <w:bookmarkStart w:id="288" w:name="_Toc15102"/>
      <w:r>
        <w:rPr>
          <w:b/>
          <w:bCs/>
          <w:color w:val="000000"/>
          <w:sz w:val="24"/>
          <w:szCs w:val="22"/>
          <w:highlight w:val="none"/>
        </w:rPr>
        <w:t xml:space="preserve">附件三 分项报价表</w:t>
      </w:r>
      <w:bookmarkEnd w:id="288"/>
      <w:r>
        <w:rPr>
          <w:b/>
          <w:bCs/>
          <w:color w:val="000000"/>
          <w:sz w:val="24"/>
          <w:szCs w:val="22"/>
          <w:highlight w:val="none"/>
        </w:rPr>
      </w:r>
      <w:r/>
    </w:p>
    <w:p>
      <w:pPr>
        <w:pStyle w:val="1166"/>
        <w:spacing w:line="440" w:lineRule="exact"/>
        <w:rPr>
          <w:b/>
          <w:bCs/>
          <w:color w:val="000000"/>
          <w:sz w:val="24"/>
          <w:szCs w:val="22"/>
          <w:highlight w:val="none"/>
        </w:rPr>
      </w:pPr>
      <w:r>
        <w:rPr>
          <w:b/>
          <w:bCs/>
          <w:color w:val="000000"/>
          <w:sz w:val="24"/>
          <w:szCs w:val="22"/>
          <w:highlight w:val="none"/>
        </w:rPr>
      </w:r>
      <w:r/>
    </w:p>
    <w:p>
      <w:pPr>
        <w:pStyle w:val="1166"/>
        <w:spacing w:line="440" w:lineRule="exact"/>
        <w:rPr>
          <w:color w:val="000000"/>
          <w:highlight w:val="none"/>
        </w:rPr>
      </w:pPr>
      <w:r>
        <w:rPr>
          <w:color w:val="000000"/>
          <w:szCs w:val="21"/>
          <w:highlight w:val="none"/>
        </w:rPr>
        <w:t xml:space="preserve">项目名称：</w:t>
      </w:r>
      <w:r>
        <w:rPr>
          <w:color w:val="000000"/>
          <w:szCs w:val="21"/>
          <w:highlight w:val="none"/>
          <w:u w:val="single"/>
        </w:rPr>
        <w:t xml:space="preserve">                  </w:t>
      </w:r>
      <w:r>
        <w:rPr>
          <w:color w:val="000000"/>
          <w:highlight w:val="none"/>
        </w:rPr>
        <w:t xml:space="preserve">招标编号：</w:t>
      </w:r>
      <w:r>
        <w:rPr>
          <w:color w:val="000000"/>
          <w:highlight w:val="none"/>
          <w:u w:val="single"/>
        </w:rPr>
        <w:t xml:space="preserve">                     </w:t>
      </w:r>
      <w:r>
        <w:rPr>
          <w:color w:val="000000"/>
          <w:highlight w:val="none"/>
        </w:rPr>
        <w:t xml:space="preserve"> </w:t>
      </w:r>
      <w:r>
        <w:rPr>
          <w:color w:val="000000"/>
          <w:highlight w:val="none"/>
        </w:rPr>
      </w:r>
      <w:r/>
    </w:p>
    <w:p>
      <w:pPr>
        <w:pStyle w:val="1166"/>
        <w:spacing w:line="440" w:lineRule="exact"/>
        <w:rPr>
          <w:color w:val="000000"/>
          <w:highlight w:val="none"/>
        </w:rPr>
      </w:pP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1223"/>
        <w:gridCol w:w="1020"/>
        <w:gridCol w:w="1470"/>
        <w:gridCol w:w="1487"/>
        <w:gridCol w:w="988"/>
        <w:gridCol w:w="1459"/>
        <w:gridCol w:w="1460"/>
        <w:gridCol w:w="8"/>
      </w:tblGrid>
      <w:tr>
        <w:trPr>
          <w:gridAfter w:val="1"/>
        </w:trPr>
        <w:tc>
          <w:tcPr>
            <w:tcW w:w="738"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tcW w:w="1223"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名称</w:t>
            </w:r>
            <w:r>
              <w:rPr>
                <w:color w:val="000000"/>
                <w:szCs w:val="21"/>
                <w:highlight w:val="none"/>
              </w:rPr>
            </w:r>
            <w:r/>
          </w:p>
        </w:tc>
        <w:tc>
          <w:tcPr>
            <w:tcW w:w="1020"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品牌</w:t>
            </w:r>
            <w:r>
              <w:rPr>
                <w:color w:val="000000"/>
                <w:szCs w:val="21"/>
                <w:highlight w:val="none"/>
              </w:rPr>
            </w:r>
            <w:r/>
          </w:p>
        </w:tc>
        <w:tc>
          <w:tcPr>
            <w:tcW w:w="1470"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规格或型号</w:t>
            </w:r>
            <w:r>
              <w:rPr>
                <w:color w:val="000000"/>
                <w:szCs w:val="21"/>
                <w:highlight w:val="none"/>
              </w:rPr>
            </w:r>
            <w:r/>
          </w:p>
        </w:tc>
        <w:tc>
          <w:tcPr>
            <w:tcW w:w="1487"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原产地和</w:t>
            </w:r>
            <w:r>
              <w:rPr>
                <w:color w:val="000000"/>
                <w:szCs w:val="21"/>
                <w:highlight w:val="none"/>
              </w:rPr>
            </w:r>
            <w:r/>
          </w:p>
          <w:p>
            <w:pPr>
              <w:pStyle w:val="1166"/>
              <w:jc w:val="center"/>
              <w:spacing w:line="440" w:lineRule="exact"/>
              <w:rPr>
                <w:color w:val="000000"/>
                <w:szCs w:val="21"/>
                <w:highlight w:val="none"/>
              </w:rPr>
            </w:pPr>
            <w:r>
              <w:rPr>
                <w:color w:val="000000"/>
                <w:szCs w:val="21"/>
                <w:highlight w:val="none"/>
              </w:rPr>
              <w:t xml:space="preserve">制造商名称</w:t>
            </w:r>
            <w:r>
              <w:rPr>
                <w:color w:val="000000"/>
                <w:szCs w:val="21"/>
                <w:highlight w:val="none"/>
              </w:rPr>
            </w:r>
            <w:r/>
          </w:p>
        </w:tc>
        <w:tc>
          <w:tcPr>
            <w:tcW w:w="988"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数量</w:t>
            </w:r>
            <w:r>
              <w:rPr>
                <w:color w:val="000000"/>
                <w:szCs w:val="21"/>
                <w:highlight w:val="none"/>
              </w:rPr>
            </w:r>
            <w:r/>
          </w:p>
        </w:tc>
        <w:tc>
          <w:tcPr>
            <w:tcW w:w="1459"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单项金额（元）</w:t>
            </w:r>
            <w:r>
              <w:rPr>
                <w:color w:val="000000"/>
                <w:szCs w:val="21"/>
                <w:highlight w:val="none"/>
              </w:rPr>
            </w:r>
            <w:r/>
          </w:p>
        </w:tc>
        <w:tc>
          <w:tcPr>
            <w:tcW w:w="1460" w:type="dxa"/>
            <w:vAlign w:val="center"/>
            <w:textDirection w:val="lrTb"/>
            <w:noWrap w:val="false"/>
          </w:tcPr>
          <w:p>
            <w:pPr>
              <w:pStyle w:val="1166"/>
              <w:jc w:val="center"/>
              <w:spacing w:line="440" w:lineRule="exact"/>
              <w:rPr>
                <w:color w:val="000000"/>
                <w:szCs w:val="21"/>
                <w:highlight w:val="none"/>
              </w:rPr>
            </w:pPr>
            <w:r>
              <w:rPr>
                <w:color w:val="000000"/>
                <w:szCs w:val="21"/>
                <w:highlight w:val="none"/>
              </w:rPr>
              <w:t xml:space="preserve">总价金额（元）</w:t>
            </w: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1</w:t>
            </w:r>
            <w:r>
              <w:rPr>
                <w:color w:val="000000"/>
                <w:szCs w:val="21"/>
                <w:highlight w:val="none"/>
              </w:rPr>
            </w:r>
            <w:r/>
          </w:p>
        </w:tc>
        <w:tc>
          <w:tcPr>
            <w:tcW w:w="122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2</w:t>
            </w:r>
            <w:r>
              <w:rPr>
                <w:color w:val="000000"/>
                <w:szCs w:val="21"/>
                <w:highlight w:val="none"/>
              </w:rPr>
            </w:r>
            <w:r/>
          </w:p>
        </w:tc>
        <w:tc>
          <w:tcPr>
            <w:tcW w:w="122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3</w:t>
            </w:r>
            <w:r>
              <w:rPr>
                <w:color w:val="000000"/>
                <w:szCs w:val="21"/>
                <w:highlight w:val="none"/>
              </w:rPr>
            </w:r>
            <w:r/>
          </w:p>
        </w:tc>
        <w:tc>
          <w:tcPr>
            <w:tcW w:w="1223" w:type="dxa"/>
            <w:vAlign w:val="top"/>
            <w:textDirection w:val="lrTb"/>
            <w:noWrap w:val="false"/>
          </w:tcPr>
          <w:p>
            <w:pPr>
              <w:pStyle w:val="1166"/>
              <w:ind w:left="-827" w:firstLine="827"/>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4</w:t>
            </w:r>
            <w:r>
              <w:rPr>
                <w:color w:val="000000"/>
                <w:szCs w:val="21"/>
                <w:highlight w:val="none"/>
              </w:rPr>
            </w:r>
            <w:r/>
          </w:p>
        </w:tc>
        <w:tc>
          <w:tcPr>
            <w:tcW w:w="122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5</w:t>
            </w:r>
            <w:r>
              <w:rPr>
                <w:color w:val="000000"/>
                <w:szCs w:val="21"/>
                <w:highlight w:val="none"/>
              </w:rPr>
            </w:r>
            <w:r/>
          </w:p>
        </w:tc>
        <w:tc>
          <w:tcPr>
            <w:tcW w:w="122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6</w:t>
            </w:r>
            <w:r>
              <w:rPr>
                <w:color w:val="000000"/>
                <w:szCs w:val="21"/>
                <w:highlight w:val="none"/>
              </w:rPr>
            </w:r>
            <w:r/>
          </w:p>
        </w:tc>
        <w:tc>
          <w:tcPr>
            <w:tcW w:w="122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7</w:t>
            </w:r>
            <w:r>
              <w:rPr>
                <w:color w:val="000000"/>
                <w:szCs w:val="21"/>
                <w:highlight w:val="none"/>
              </w:rPr>
            </w:r>
            <w:r/>
          </w:p>
        </w:tc>
        <w:tc>
          <w:tcPr>
            <w:tcW w:w="122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8</w:t>
            </w:r>
            <w:r>
              <w:rPr>
                <w:color w:val="000000"/>
                <w:szCs w:val="21"/>
                <w:highlight w:val="none"/>
              </w:rPr>
            </w:r>
            <w:r/>
          </w:p>
        </w:tc>
        <w:tc>
          <w:tcPr>
            <w:tcW w:w="122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02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7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87"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gridSpan w:val="4"/>
            <w:tcW w:w="4451"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投标总价合计（元）：</w:t>
            </w:r>
            <w:r>
              <w:rPr>
                <w:color w:val="000000"/>
                <w:szCs w:val="21"/>
                <w:highlight w:val="none"/>
              </w:rPr>
            </w:r>
            <w:r/>
          </w:p>
        </w:tc>
        <w:tc>
          <w:tcPr>
            <w:gridSpan w:val="5"/>
            <w:tcW w:w="5402"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gridSpan w:val="9"/>
            <w:tcW w:w="9853" w:type="dxa"/>
            <w:vAlign w:val="top"/>
            <w:textDirection w:val="lrTb"/>
            <w:noWrap w:val="false"/>
          </w:tcPr>
          <w:p>
            <w:pPr>
              <w:pStyle w:val="1166"/>
              <w:spacing w:line="440" w:lineRule="exact"/>
              <w:rPr>
                <w:color w:val="000000"/>
                <w:szCs w:val="21"/>
                <w:highlight w:val="none"/>
              </w:rPr>
            </w:pPr>
            <w:r>
              <w:rPr>
                <w:color w:val="000000"/>
                <w:szCs w:val="21"/>
                <w:highlight w:val="none"/>
              </w:rPr>
              <w:t xml:space="preserve">本采购项目中提供的符合本国产品标准的产品成本之和占该采购包提供的全部产品成本之和的比例为</w:t>
            </w:r>
            <w:r>
              <w:rPr>
                <w:color w:val="000000"/>
                <w:szCs w:val="21"/>
                <w:highlight w:val="none"/>
                <w:u w:val="single"/>
              </w:rPr>
              <w:t xml:space="preserve">***</w:t>
            </w:r>
            <w:r>
              <w:rPr>
                <w:color w:val="000000"/>
                <w:szCs w:val="21"/>
                <w:highlight w:val="none"/>
              </w:rPr>
              <w:t xml:space="preserve">%。</w:t>
            </w:r>
            <w:r>
              <w:rPr>
                <w:color w:val="000000"/>
                <w:szCs w:val="21"/>
                <w:highlight w:val="none"/>
              </w:rPr>
            </w:r>
            <w:r/>
          </w:p>
        </w:tc>
      </w:tr>
    </w:tbl>
    <w:p>
      <w:pPr>
        <w:pStyle w:val="1166"/>
        <w:jc w:val="center"/>
        <w:spacing w:line="300" w:lineRule="auto"/>
        <w:rPr>
          <w:b/>
          <w:color w:val="000000"/>
          <w:szCs w:val="21"/>
          <w:highlight w:val="none"/>
        </w:rPr>
      </w:pPr>
      <w:r>
        <w:rPr>
          <w:b/>
          <w:color w:val="000000"/>
          <w:szCs w:val="21"/>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spacing w:line="440" w:lineRule="exact"/>
        <w:rPr>
          <w:color w:val="000000"/>
          <w:szCs w:val="21"/>
          <w:highlight w:val="none"/>
        </w:rPr>
      </w:pPr>
      <w:r>
        <w:rPr>
          <w:color w:val="000000"/>
          <w:szCs w:val="21"/>
          <w:highlight w:val="none"/>
        </w:rPr>
      </w:r>
      <w:r/>
    </w:p>
    <w:p>
      <w:pPr>
        <w:pStyle w:val="1166"/>
        <w:spacing w:line="440" w:lineRule="exact"/>
        <w:rPr>
          <w:color w:val="000000"/>
          <w:szCs w:val="21"/>
          <w:highlight w:val="none"/>
        </w:rPr>
      </w:pPr>
      <w:r>
        <w:rPr>
          <w:color w:val="000000"/>
          <w:szCs w:val="21"/>
          <w:highlight w:val="none"/>
        </w:rPr>
      </w:r>
      <w:r/>
    </w:p>
    <w:p>
      <w:pPr>
        <w:pStyle w:val="1166"/>
        <w:spacing w:line="440" w:lineRule="exact"/>
        <w:rPr>
          <w:color w:val="000000"/>
          <w:highlight w:val="none"/>
        </w:rPr>
      </w:pPr>
      <w:r>
        <w:rPr>
          <w:color w:val="000000"/>
          <w:highlight w:val="none"/>
        </w:rPr>
        <w:t xml:space="preserve">注：1.投标人应根据其项目情况提供详细分项报价。投标人应对上述每项内容列明组成的详细分项价格。</w:t>
      </w:r>
      <w:r>
        <w:rPr>
          <w:color w:val="000000"/>
          <w:highlight w:val="none"/>
        </w:rPr>
      </w:r>
      <w:r/>
    </w:p>
    <w:p>
      <w:pPr>
        <w:pStyle w:val="1166"/>
        <w:ind w:firstLine="420"/>
        <w:spacing w:line="440" w:lineRule="exact"/>
        <w:rPr>
          <w:color w:val="000000"/>
          <w:highlight w:val="none"/>
        </w:rPr>
      </w:pPr>
      <w:r>
        <w:rPr>
          <w:color w:val="000000"/>
          <w:highlight w:val="none"/>
        </w:rPr>
        <w:t xml:space="preserve">2.如果不提供详细分项报价将视为没有实质性响应招标文件。</w:t>
      </w:r>
      <w:r>
        <w:rPr>
          <w:color w:val="000000"/>
          <w:highlight w:val="none"/>
        </w:rPr>
      </w:r>
      <w:r/>
    </w:p>
    <w:p>
      <w:pPr>
        <w:pStyle w:val="1166"/>
        <w:ind w:firstLine="420"/>
        <w:spacing w:line="440" w:lineRule="exact"/>
        <w:rPr>
          <w:color w:val="000000"/>
          <w:highlight w:val="none"/>
        </w:rPr>
      </w:pPr>
      <w:r>
        <w:rPr>
          <w:color w:val="000000"/>
          <w:highlight w:val="none"/>
        </w:rPr>
        <w:t xml:space="preserve">3.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color w:val="000000"/>
          <w:highlight w:val="none"/>
        </w:rPr>
      </w:r>
      <w:r/>
    </w:p>
    <w:p>
      <w:pPr>
        <w:pStyle w:val="1166"/>
        <w:ind w:firstLine="420"/>
        <w:spacing w:line="440" w:lineRule="exact"/>
        <w:rPr>
          <w:color w:val="000000"/>
          <w:szCs w:val="21"/>
          <w:highlight w:val="none"/>
        </w:rPr>
      </w:pPr>
      <w:r>
        <w:rPr>
          <w:color w:val="000000"/>
          <w:highlight w:val="none"/>
        </w:rPr>
        <w:t xml:space="preserve">4.表中表格行数可自行添加。</w:t>
      </w:r>
      <w:r>
        <w:rPr>
          <w:color w:val="000000"/>
          <w:szCs w:val="21"/>
          <w:highlight w:val="none"/>
        </w:rPr>
      </w:r>
      <w:r/>
    </w:p>
    <w:p>
      <w:pPr>
        <w:pStyle w:val="1166"/>
        <w:spacing w:line="440" w:lineRule="exact"/>
        <w:rPr>
          <w:b/>
          <w:bCs/>
          <w:color w:val="000000"/>
          <w:szCs w:val="21"/>
          <w:highlight w:val="none"/>
        </w:rPr>
      </w:pPr>
      <w:r>
        <w:rPr>
          <w:b/>
          <w:bCs/>
          <w:color w:val="000000"/>
          <w:szCs w:val="21"/>
          <w:highlight w:val="none"/>
        </w:rPr>
      </w:r>
      <w:r/>
    </w:p>
    <w:p>
      <w:pPr>
        <w:pStyle w:val="1166"/>
        <w:spacing w:line="440" w:lineRule="exact"/>
        <w:rPr>
          <w:b/>
          <w:bCs/>
          <w:color w:val="000000"/>
          <w:szCs w:val="21"/>
          <w:highlight w:val="none"/>
        </w:rPr>
      </w:pPr>
      <w:r>
        <w:rPr>
          <w:b/>
          <w:bCs/>
          <w:color w:val="000000"/>
          <w:szCs w:val="21"/>
          <w:highlight w:val="none"/>
        </w:rPr>
      </w:r>
      <w:r/>
    </w:p>
    <w:p>
      <w:pPr>
        <w:pStyle w:val="1166"/>
        <w:spacing w:line="440" w:lineRule="exact"/>
        <w:rPr>
          <w:b/>
          <w:bCs/>
          <w:color w:val="000000"/>
          <w:szCs w:val="21"/>
          <w:highlight w:val="none"/>
        </w:rPr>
      </w:pPr>
      <w:r>
        <w:rPr>
          <w:b/>
          <w:bCs/>
          <w:color w:val="000000"/>
          <w:szCs w:val="21"/>
          <w:highlight w:val="none"/>
        </w:rPr>
      </w:r>
      <w:r/>
    </w:p>
    <w:p>
      <w:pPr>
        <w:pStyle w:val="1166"/>
        <w:spacing w:after="156" w:line="440" w:lineRule="exact"/>
        <w:rPr>
          <w:b/>
          <w:bCs/>
          <w:color w:val="000000"/>
          <w:sz w:val="24"/>
          <w:szCs w:val="22"/>
          <w:highlight w:val="none"/>
        </w:rPr>
        <w:outlineLvl w:val="1"/>
      </w:pPr>
      <w:r/>
      <w:bookmarkStart w:id="289" w:name="_Toc13418"/>
      <w:r>
        <w:rPr>
          <w:rFonts w:eastAsia="仿宋"/>
          <w:color w:val="000000"/>
          <w:sz w:val="28"/>
          <w:szCs w:val="28"/>
          <w:highlight w:val="none"/>
        </w:rPr>
        <w:br w:type="page" w:clear="all"/>
      </w:r>
      <w:bookmarkStart w:id="290" w:name="_Toc12488"/>
      <w:r>
        <w:rPr>
          <w:b/>
          <w:bCs/>
          <w:color w:val="000000"/>
          <w:sz w:val="24"/>
          <w:szCs w:val="22"/>
          <w:highlight w:val="none"/>
        </w:rPr>
        <w:t xml:space="preserve">附件四 </w:t>
      </w:r>
      <w:bookmarkEnd w:id="289"/>
      <w:r>
        <w:rPr>
          <w:b/>
          <w:bCs/>
          <w:color w:val="000000"/>
          <w:sz w:val="24"/>
          <w:szCs w:val="22"/>
          <w:highlight w:val="none"/>
        </w:rPr>
        <w:t xml:space="preserve">商务条款偏离表</w:t>
      </w:r>
      <w:bookmarkEnd w:id="287"/>
      <w:r/>
      <w:bookmarkEnd w:id="290"/>
      <w:r>
        <w:rPr>
          <w:b/>
          <w:bCs/>
          <w:color w:val="000000"/>
          <w:sz w:val="24"/>
          <w:szCs w:val="22"/>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882"/>
        <w:gridCol w:w="3143"/>
        <w:gridCol w:w="1768"/>
        <w:gridCol w:w="3057"/>
      </w:tblGrid>
      <w:tr>
        <w:trPr>
          <w:trHeight w:val="642"/>
        </w:trPr>
        <w:tc>
          <w:tcPr>
            <w:tcW w:w="955" w:type="dxa"/>
            <w:vAlign w:val="top"/>
            <w:textDirection w:val="lrTb"/>
            <w:noWrap w:val="false"/>
          </w:tcPr>
          <w:p>
            <w:pPr>
              <w:pStyle w:val="1166"/>
              <w:jc w:val="center"/>
              <w:spacing w:before="156" w:line="440" w:lineRule="exact"/>
              <w:rPr>
                <w:color w:val="000000"/>
                <w:szCs w:val="21"/>
                <w:highlight w:val="none"/>
              </w:rPr>
            </w:pPr>
            <w:r>
              <w:rPr>
                <w:color w:val="000000"/>
                <w:szCs w:val="21"/>
                <w:highlight w:val="none"/>
              </w:rPr>
              <w:t xml:space="preserve">招标文件条目号</w:t>
            </w:r>
            <w:r>
              <w:rPr>
                <w:color w:val="000000"/>
                <w:szCs w:val="21"/>
                <w:highlight w:val="none"/>
              </w:rPr>
            </w:r>
            <w:r/>
          </w:p>
        </w:tc>
        <w:tc>
          <w:tcPr>
            <w:tcW w:w="1595" w:type="dxa"/>
            <w:vAlign w:val="top"/>
            <w:textDirection w:val="lrTb"/>
            <w:noWrap w:val="false"/>
          </w:tcPr>
          <w:p>
            <w:pPr>
              <w:pStyle w:val="1166"/>
              <w:jc w:val="center"/>
              <w:spacing w:before="156" w:line="440" w:lineRule="exact"/>
              <w:rPr>
                <w:color w:val="000000"/>
                <w:szCs w:val="21"/>
                <w:highlight w:val="none"/>
              </w:rPr>
            </w:pPr>
            <w:r>
              <w:rPr>
                <w:color w:val="000000"/>
                <w:szCs w:val="21"/>
                <w:highlight w:val="none"/>
              </w:rPr>
              <w:t xml:space="preserve">招标文件的商务条款</w:t>
            </w:r>
            <w:r>
              <w:rPr>
                <w:color w:val="000000"/>
                <w:szCs w:val="21"/>
                <w:highlight w:val="none"/>
              </w:rPr>
            </w:r>
            <w:r/>
          </w:p>
        </w:tc>
        <w:tc>
          <w:tcPr>
            <w:tcW w:w="897" w:type="dxa"/>
            <w:vAlign w:val="top"/>
            <w:textDirection w:val="lrTb"/>
            <w:noWrap w:val="false"/>
          </w:tcPr>
          <w:p>
            <w:pPr>
              <w:pStyle w:val="1166"/>
              <w:jc w:val="center"/>
              <w:spacing w:before="156" w:line="440" w:lineRule="exact"/>
              <w:rPr>
                <w:color w:val="000000"/>
                <w:szCs w:val="21"/>
                <w:highlight w:val="none"/>
              </w:rPr>
            </w:pPr>
            <w:r>
              <w:rPr>
                <w:color w:val="000000"/>
                <w:szCs w:val="21"/>
                <w:highlight w:val="none"/>
              </w:rPr>
              <w:t xml:space="preserve">投标文件响应</w:t>
            </w:r>
            <w:r>
              <w:rPr>
                <w:color w:val="000000"/>
                <w:szCs w:val="21"/>
                <w:highlight w:val="none"/>
              </w:rPr>
            </w:r>
            <w:r/>
          </w:p>
        </w:tc>
        <w:tc>
          <w:tcPr>
            <w:tcW w:w="1551" w:type="dxa"/>
            <w:vAlign w:val="top"/>
            <w:textDirection w:val="lrTb"/>
            <w:noWrap w:val="false"/>
          </w:tcPr>
          <w:p>
            <w:pPr>
              <w:pStyle w:val="1166"/>
              <w:jc w:val="center"/>
              <w:spacing w:before="156" w:line="440" w:lineRule="exact"/>
              <w:rPr>
                <w:color w:val="000000"/>
                <w:szCs w:val="21"/>
                <w:highlight w:val="none"/>
              </w:rPr>
            </w:pPr>
            <w:r>
              <w:rPr>
                <w:color w:val="000000"/>
                <w:szCs w:val="21"/>
                <w:highlight w:val="none"/>
              </w:rPr>
              <w:t xml:space="preserve">供应商的承诺或说明</w:t>
            </w:r>
            <w:r>
              <w:rPr>
                <w:color w:val="000000"/>
                <w:szCs w:val="21"/>
                <w:highlight w:val="none"/>
              </w:rPr>
            </w:r>
            <w:r/>
          </w:p>
        </w:tc>
      </w:tr>
      <w:tr>
        <w:trPr>
          <w:trHeight w:val="469"/>
        </w:trPr>
        <w:tc>
          <w:tcPr>
            <w:tcW w:w="95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66"/>
              <w:spacing w:before="156" w:line="440" w:lineRule="exact"/>
              <w:rPr>
                <w:color w:val="000000"/>
                <w:szCs w:val="21"/>
                <w:highlight w:val="none"/>
              </w:rPr>
            </w:pPr>
            <w:r>
              <w:rPr>
                <w:b/>
                <w:bCs/>
                <w:color w:val="000000"/>
                <w:szCs w:val="21"/>
                <w:highlight w:val="none"/>
              </w:rPr>
              <w:t xml:space="preserve">合同履行期限（交货期）</w:t>
            </w:r>
            <w:r>
              <w:rPr>
                <w:color w:val="000000"/>
                <w:szCs w:val="21"/>
                <w:highlight w:val="none"/>
              </w:rPr>
            </w:r>
            <w:r/>
          </w:p>
        </w:tc>
        <w:tc>
          <w:tcPr>
            <w:tcW w:w="897"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r>
      <w:tr>
        <w:trPr>
          <w:trHeight w:val="719"/>
        </w:trPr>
        <w:tc>
          <w:tcPr>
            <w:tcW w:w="95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66"/>
              <w:spacing w:before="156" w:line="440" w:lineRule="exact"/>
              <w:rPr>
                <w:color w:val="000000"/>
                <w:szCs w:val="21"/>
                <w:highlight w:val="none"/>
              </w:rPr>
            </w:pPr>
            <w:r>
              <w:rPr>
                <w:b/>
                <w:bCs/>
                <w:color w:val="000000"/>
                <w:szCs w:val="21"/>
                <w:highlight w:val="none"/>
              </w:rPr>
              <w:t xml:space="preserve">付款方式</w:t>
            </w:r>
            <w:r>
              <w:rPr>
                <w:color w:val="000000"/>
                <w:szCs w:val="21"/>
                <w:highlight w:val="none"/>
              </w:rPr>
            </w:r>
            <w:r/>
          </w:p>
        </w:tc>
        <w:tc>
          <w:tcPr>
            <w:tcW w:w="897"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r>
      <w:tr>
        <w:trPr>
          <w:trHeight w:val="540"/>
        </w:trPr>
        <w:tc>
          <w:tcPr>
            <w:tcW w:w="95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66"/>
              <w:spacing w:before="156" w:line="440" w:lineRule="exact"/>
              <w:rPr>
                <w:color w:val="000000"/>
                <w:szCs w:val="21"/>
                <w:highlight w:val="none"/>
              </w:rPr>
            </w:pPr>
            <w:r>
              <w:rPr>
                <w:b/>
                <w:bCs/>
                <w:color w:val="000000"/>
                <w:szCs w:val="21"/>
                <w:highlight w:val="none"/>
              </w:rPr>
              <w:t xml:space="preserve">售后服务要求</w:t>
            </w:r>
            <w:r>
              <w:rPr>
                <w:color w:val="000000"/>
                <w:szCs w:val="21"/>
                <w:highlight w:val="none"/>
              </w:rPr>
            </w:r>
            <w:r/>
          </w:p>
        </w:tc>
        <w:tc>
          <w:tcPr>
            <w:tcW w:w="897" w:type="dxa"/>
            <w:vAlign w:val="top"/>
            <w:textDirection w:val="lrTb"/>
            <w:noWrap w:val="false"/>
          </w:tcPr>
          <w:p>
            <w:pPr>
              <w:pStyle w:val="1166"/>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66"/>
              <w:ind w:left="43"/>
              <w:spacing w:before="156" w:line="440" w:lineRule="exact"/>
              <w:rPr>
                <w:color w:val="000000"/>
                <w:szCs w:val="21"/>
                <w:highlight w:val="none"/>
              </w:rPr>
            </w:pPr>
            <w:r>
              <w:rPr>
                <w:color w:val="000000"/>
                <w:szCs w:val="21"/>
                <w:highlight w:val="none"/>
              </w:rPr>
            </w:r>
            <w:r/>
          </w:p>
        </w:tc>
      </w:tr>
      <w:tr>
        <w:trPr>
          <w:trHeight w:val="440"/>
        </w:trPr>
        <w:tc>
          <w:tcPr>
            <w:tcW w:w="95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66"/>
              <w:spacing w:before="156" w:line="440" w:lineRule="exact"/>
              <w:rPr>
                <w:color w:val="000000"/>
                <w:szCs w:val="21"/>
                <w:highlight w:val="none"/>
              </w:rPr>
            </w:pPr>
            <w:r>
              <w:rPr>
                <w:color w:val="000000"/>
                <w:szCs w:val="21"/>
                <w:highlight w:val="none"/>
              </w:rPr>
              <w:t xml:space="preserve">……</w:t>
            </w:r>
            <w:r>
              <w:rPr>
                <w:color w:val="000000"/>
                <w:szCs w:val="21"/>
                <w:highlight w:val="none"/>
              </w:rPr>
            </w:r>
            <w:r/>
          </w:p>
        </w:tc>
        <w:tc>
          <w:tcPr>
            <w:tcW w:w="897" w:type="dxa"/>
            <w:vAlign w:val="top"/>
            <w:textDirection w:val="lrTb"/>
            <w:noWrap w:val="false"/>
          </w:tcPr>
          <w:p>
            <w:pPr>
              <w:pStyle w:val="1166"/>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66"/>
              <w:ind w:left="43"/>
              <w:spacing w:before="156" w:line="440" w:lineRule="exact"/>
              <w:rPr>
                <w:color w:val="000000"/>
                <w:szCs w:val="21"/>
                <w:highlight w:val="none"/>
              </w:rPr>
            </w:pPr>
            <w:r>
              <w:rPr>
                <w:color w:val="000000"/>
                <w:szCs w:val="21"/>
                <w:highlight w:val="none"/>
              </w:rPr>
            </w:r>
            <w:r/>
          </w:p>
        </w:tc>
      </w:tr>
      <w:tr>
        <w:trPr>
          <w:trHeight w:val="460"/>
        </w:trPr>
        <w:tc>
          <w:tcPr>
            <w:tcW w:w="95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66"/>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66"/>
              <w:ind w:left="43"/>
              <w:spacing w:before="156" w:line="440" w:lineRule="exact"/>
              <w:rPr>
                <w:color w:val="000000"/>
                <w:szCs w:val="21"/>
                <w:highlight w:val="none"/>
              </w:rPr>
            </w:pPr>
            <w:r>
              <w:rPr>
                <w:color w:val="000000"/>
                <w:szCs w:val="21"/>
                <w:highlight w:val="none"/>
              </w:rPr>
            </w:r>
            <w:r/>
          </w:p>
        </w:tc>
      </w:tr>
      <w:tr>
        <w:trPr>
          <w:trHeight w:val="820"/>
        </w:trPr>
        <w:tc>
          <w:tcPr>
            <w:tcW w:w="95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r>
      <w:tr>
        <w:trPr>
          <w:trHeight w:val="340"/>
        </w:trPr>
        <w:tc>
          <w:tcPr>
            <w:tcW w:w="95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66"/>
              <w:spacing w:before="156" w:line="440" w:lineRule="exact"/>
              <w:rPr>
                <w:color w:val="000000"/>
                <w:szCs w:val="21"/>
                <w:highlight w:val="none"/>
              </w:rPr>
            </w:pPr>
            <w:r>
              <w:rPr>
                <w:color w:val="000000"/>
                <w:szCs w:val="21"/>
                <w:highlight w:val="none"/>
              </w:rPr>
            </w:r>
            <w:r/>
          </w:p>
        </w:tc>
      </w:tr>
    </w:tbl>
    <w:p>
      <w:pPr>
        <w:pStyle w:val="1166"/>
        <w:spacing w:line="440" w:lineRule="exact"/>
        <w:rPr>
          <w:color w:val="000000"/>
          <w:sz w:val="24"/>
          <w:highlight w:val="none"/>
        </w:rPr>
      </w:pPr>
      <w:r>
        <w:rPr>
          <w:color w:val="000000"/>
          <w:sz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spacing w:line="440" w:lineRule="exact"/>
        <w:rPr>
          <w:color w:val="000000"/>
          <w:szCs w:val="21"/>
          <w:highlight w:val="none"/>
        </w:rPr>
      </w:pP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注：1、供应商如对包括</w:t>
      </w:r>
      <w:r>
        <w:rPr>
          <w:b/>
          <w:bCs/>
          <w:color w:val="000000"/>
          <w:szCs w:val="21"/>
          <w:highlight w:val="none"/>
        </w:rPr>
        <w:t xml:space="preserve">合同履行期限（交货期）、售后服务要求、付款方式等</w:t>
      </w:r>
      <w:r>
        <w:rPr>
          <w:color w:val="000000"/>
          <w:szCs w:val="21"/>
          <w:highlight w:val="none"/>
        </w:rPr>
        <w:t xml:space="preserve">商务条款的响应有任何偏离，请在本表中详细填写。如不列出，则视为供应商完全同意招标文件的商务条款。</w:t>
      </w:r>
      <w:r>
        <w:rPr>
          <w:color w:val="000000"/>
          <w:szCs w:val="21"/>
          <w:highlight w:val="none"/>
        </w:rPr>
      </w:r>
      <w:r/>
    </w:p>
    <w:p>
      <w:pPr>
        <w:pStyle w:val="1166"/>
        <w:numPr>
          <w:ilvl w:val="0"/>
          <w:numId w:val="5"/>
        </w:numPr>
        <w:ind w:firstLine="420"/>
        <w:spacing w:line="440" w:lineRule="exact"/>
        <w:rPr>
          <w:color w:val="000000"/>
          <w:szCs w:val="21"/>
          <w:highlight w:val="none"/>
        </w:rPr>
      </w:pPr>
      <w:r>
        <w:rPr>
          <w:color w:val="000000"/>
          <w:szCs w:val="21"/>
          <w:highlight w:val="none"/>
        </w:rPr>
        <w:t xml:space="preserve">“供应商的承诺或说明”栏请注明“响应/正偏离/负偏离”，正偏离指供应商的响应高于招标文件要求，负偏离指供应商的响应低于招标文件要求。</w:t>
      </w:r>
      <w:r>
        <w:rPr>
          <w:color w:val="000000"/>
          <w:szCs w:val="21"/>
          <w:highlight w:val="none"/>
        </w:rPr>
      </w:r>
      <w:r/>
    </w:p>
    <w:p>
      <w:pPr>
        <w:pStyle w:val="1166"/>
        <w:ind w:firstLine="420"/>
        <w:spacing w:line="440" w:lineRule="exact"/>
        <w:rPr>
          <w:color w:val="000000"/>
          <w:szCs w:val="21"/>
          <w:highlight w:val="none"/>
        </w:rPr>
      </w:pPr>
      <w:r>
        <w:rPr>
          <w:color w:val="000000"/>
          <w:szCs w:val="21"/>
          <w:highlight w:val="none"/>
        </w:rPr>
        <w:t xml:space="preserve">3、如果行数不够，请自行增加。</w:t>
      </w:r>
      <w:r>
        <w:rPr>
          <w:color w:val="000000"/>
          <w:szCs w:val="21"/>
          <w:highlight w:val="none"/>
        </w:rPr>
      </w:r>
      <w:r/>
    </w:p>
    <w:p>
      <w:pPr>
        <w:pStyle w:val="1166"/>
        <w:ind w:firstLine="5494"/>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ind w:right="-334"/>
        <w:spacing w:line="440" w:lineRule="exact"/>
        <w:rPr>
          <w:color w:val="000000"/>
          <w:sz w:val="24"/>
          <w:highlight w:val="none"/>
        </w:rPr>
      </w:pPr>
      <w:r>
        <w:rPr>
          <w:color w:val="000000"/>
          <w:sz w:val="24"/>
          <w:highlight w:val="none"/>
        </w:rPr>
      </w:r>
      <w:r/>
    </w:p>
    <w:p>
      <w:pPr>
        <w:pStyle w:val="1166"/>
        <w:ind w:right="-334"/>
        <w:spacing w:line="440" w:lineRule="exact"/>
        <w:rPr>
          <w:color w:val="000000"/>
          <w:sz w:val="24"/>
          <w:highlight w:val="none"/>
        </w:rPr>
      </w:pPr>
      <w:r>
        <w:rPr>
          <w:color w:val="000000"/>
          <w:sz w:val="24"/>
          <w:highlight w:val="none"/>
        </w:rPr>
      </w:r>
      <w:r/>
    </w:p>
    <w:p>
      <w:pPr>
        <w:pStyle w:val="1166"/>
        <w:ind w:right="-334"/>
        <w:spacing w:line="440" w:lineRule="exact"/>
        <w:rPr>
          <w:color w:val="000000"/>
          <w:sz w:val="24"/>
          <w:highlight w:val="none"/>
        </w:rPr>
      </w:pPr>
      <w:r>
        <w:rPr>
          <w:color w:val="000000"/>
          <w:sz w:val="24"/>
          <w:highlight w:val="none"/>
        </w:rPr>
      </w:r>
      <w:r/>
    </w:p>
    <w:p>
      <w:pPr>
        <w:pStyle w:val="1166"/>
        <w:ind w:right="-334"/>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66"/>
        <w:spacing w:after="156" w:line="440" w:lineRule="exact"/>
        <w:rPr>
          <w:b/>
          <w:bCs/>
          <w:color w:val="000000"/>
          <w:sz w:val="24"/>
          <w:szCs w:val="22"/>
          <w:highlight w:val="none"/>
        </w:rPr>
        <w:outlineLvl w:val="1"/>
      </w:pPr>
      <w:r/>
      <w:bookmarkStart w:id="291" w:name="_Toc4696431"/>
      <w:r/>
      <w:bookmarkStart w:id="292" w:name="_Toc19091"/>
      <w:r>
        <w:rPr>
          <w:b/>
          <w:bCs/>
          <w:color w:val="000000"/>
          <w:sz w:val="24"/>
          <w:szCs w:val="22"/>
          <w:highlight w:val="none"/>
        </w:rPr>
        <w:t xml:space="preserve">附件</w:t>
      </w:r>
      <w:r>
        <w:rPr>
          <w:rFonts w:hint="eastAsia"/>
          <w:b/>
          <w:bCs/>
          <w:color w:val="000000"/>
          <w:sz w:val="24"/>
          <w:szCs w:val="22"/>
          <w:highlight w:val="none"/>
        </w:rPr>
        <w:t xml:space="preserve">五</w:t>
      </w:r>
      <w:r>
        <w:rPr>
          <w:b/>
          <w:bCs/>
          <w:color w:val="000000"/>
          <w:sz w:val="24"/>
          <w:szCs w:val="22"/>
          <w:highlight w:val="none"/>
        </w:rPr>
        <w:t xml:space="preserve"> 技术条款偏离表</w:t>
      </w:r>
      <w:bookmarkEnd w:id="291"/>
      <w:r/>
      <w:bookmarkEnd w:id="292"/>
      <w:r>
        <w:rPr>
          <w:b/>
          <w:bCs/>
          <w:color w:val="000000"/>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00"/>
        <w:gridCol w:w="2219"/>
      </w:tblGrid>
      <w:tr>
        <w:trPr>
          <w:cantSplit/>
        </w:trPr>
        <w:tc>
          <w:tcPr>
            <w:tcW w:w="675" w:type="dxa"/>
            <w:vAlign w:val="top"/>
            <w:vMerge w:val="restart"/>
            <w:textDirection w:val="lrTb"/>
            <w:noWrap w:val="false"/>
          </w:tcPr>
          <w:p>
            <w:pPr>
              <w:pStyle w:val="1166"/>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gridSpan w:val="2"/>
            <w:tcW w:w="2977"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招标文件</w:t>
            </w:r>
            <w:r>
              <w:rPr>
                <w:color w:val="000000"/>
                <w:szCs w:val="21"/>
                <w:highlight w:val="none"/>
              </w:rPr>
            </w:r>
            <w:r/>
          </w:p>
        </w:tc>
        <w:tc>
          <w:tcPr>
            <w:tcW w:w="1843"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投标文件</w:t>
            </w:r>
            <w:r>
              <w:rPr>
                <w:color w:val="000000"/>
                <w:szCs w:val="21"/>
                <w:highlight w:val="none"/>
              </w:rPr>
            </w:r>
            <w:r/>
          </w:p>
        </w:tc>
        <w:tc>
          <w:tcPr>
            <w:tcW w:w="1700" w:type="dxa"/>
            <w:vAlign w:val="top"/>
            <w:vMerge w:val="restart"/>
            <w:textDirection w:val="lrTb"/>
            <w:noWrap w:val="false"/>
          </w:tcPr>
          <w:p>
            <w:pPr>
              <w:pStyle w:val="1166"/>
              <w:jc w:val="center"/>
              <w:spacing w:line="440" w:lineRule="exact"/>
              <w:rPr>
                <w:color w:val="000000"/>
                <w:szCs w:val="21"/>
                <w:highlight w:val="none"/>
              </w:rPr>
            </w:pPr>
            <w:r>
              <w:rPr>
                <w:color w:val="000000"/>
                <w:szCs w:val="21"/>
                <w:highlight w:val="none"/>
              </w:rPr>
              <w:t xml:space="preserve">说明</w:t>
            </w:r>
            <w:r>
              <w:rPr>
                <w:color w:val="000000"/>
                <w:szCs w:val="21"/>
                <w:highlight w:val="none"/>
              </w:rPr>
            </w:r>
            <w:r/>
          </w:p>
        </w:tc>
        <w:tc>
          <w:tcPr>
            <w:tcW w:w="2219" w:type="dxa"/>
            <w:vAlign w:val="top"/>
            <w:vMerge w:val="restart"/>
            <w:textDirection w:val="lrTb"/>
            <w:noWrap w:val="false"/>
          </w:tcPr>
          <w:p>
            <w:pPr>
              <w:pStyle w:val="1166"/>
              <w:jc w:val="center"/>
              <w:spacing w:line="440" w:lineRule="exact"/>
              <w:rPr>
                <w:color w:val="000000"/>
                <w:szCs w:val="21"/>
                <w:highlight w:val="none"/>
              </w:rPr>
            </w:pPr>
            <w:r>
              <w:rPr>
                <w:b/>
                <w:bCs/>
                <w:color w:val="000000"/>
                <w:szCs w:val="21"/>
                <w:highlight w:val="none"/>
              </w:rPr>
              <w:t xml:space="preserve">“</w:t>
            </w:r>
            <w:r>
              <w:rPr>
                <w:b/>
                <w:bCs/>
                <w:color w:val="000000"/>
                <w:szCs w:val="21"/>
                <w:highlight w:val="none"/>
                <w:lang w:val="zh-CN"/>
              </w:rPr>
              <w:t xml:space="preserve">★</w:t>
            </w:r>
            <w:r>
              <w:rPr>
                <w:b/>
                <w:bCs/>
                <w:color w:val="000000"/>
                <w:szCs w:val="21"/>
                <w:highlight w:val="none"/>
              </w:rPr>
              <w:t xml:space="preserve">”和“▲”技术规格响应证明文件的具体位置</w:t>
            </w:r>
            <w:r>
              <w:rPr>
                <w:color w:val="000000"/>
                <w:szCs w:val="21"/>
                <w:highlight w:val="none"/>
              </w:rPr>
            </w:r>
            <w:r/>
          </w:p>
        </w:tc>
      </w:tr>
      <w:tr>
        <w:trPr>
          <w:cantSplit/>
        </w:trPr>
        <w:tc>
          <w:tcPr>
            <w:tcW w:w="675" w:type="dxa"/>
            <w:vAlign w:val="center"/>
            <w:vMerge w:val="continue"/>
            <w:textDirection w:val="lrTb"/>
            <w:noWrap w:val="false"/>
          </w:tcPr>
          <w:p>
            <w:pPr>
              <w:pStyle w:val="1166"/>
              <w:jc w:val="left"/>
              <w:spacing w:line="440" w:lineRule="exact"/>
              <w:widowControl/>
              <w:rPr>
                <w:color w:val="000000"/>
                <w:szCs w:val="21"/>
                <w:highlight w:val="none"/>
              </w:rPr>
            </w:pPr>
            <w:r>
              <w:rPr>
                <w:color w:val="000000"/>
                <w:szCs w:val="21"/>
                <w:highlight w:val="none"/>
              </w:rPr>
            </w:r>
            <w:r/>
          </w:p>
        </w:tc>
        <w:tc>
          <w:tcPr>
            <w:tcW w:w="1134"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条目号</w:t>
            </w:r>
            <w:r>
              <w:rPr>
                <w:color w:val="000000"/>
                <w:szCs w:val="21"/>
                <w:highlight w:val="none"/>
              </w:rPr>
            </w:r>
            <w:r/>
          </w:p>
        </w:tc>
        <w:tc>
          <w:tcPr>
            <w:tcW w:w="1843"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采购要求规格</w:t>
            </w:r>
            <w:r>
              <w:rPr>
                <w:color w:val="000000"/>
                <w:szCs w:val="21"/>
                <w:highlight w:val="none"/>
              </w:rPr>
            </w:r>
            <w:r/>
          </w:p>
        </w:tc>
        <w:tc>
          <w:tcPr>
            <w:tcW w:w="1843" w:type="dxa"/>
            <w:vAlign w:val="top"/>
            <w:textDirection w:val="lrTb"/>
            <w:noWrap w:val="false"/>
          </w:tcPr>
          <w:p>
            <w:pPr>
              <w:pStyle w:val="1166"/>
              <w:jc w:val="center"/>
              <w:spacing w:line="440" w:lineRule="exact"/>
              <w:rPr>
                <w:color w:val="000000"/>
                <w:szCs w:val="21"/>
                <w:highlight w:val="none"/>
              </w:rPr>
            </w:pPr>
            <w:r>
              <w:rPr>
                <w:color w:val="000000"/>
                <w:szCs w:val="21"/>
                <w:highlight w:val="none"/>
              </w:rPr>
              <w:t xml:space="preserve">响应具体情况</w:t>
            </w:r>
            <w:r>
              <w:rPr>
                <w:color w:val="000000"/>
                <w:szCs w:val="21"/>
                <w:highlight w:val="none"/>
              </w:rPr>
            </w:r>
            <w:r/>
          </w:p>
        </w:tc>
        <w:tc>
          <w:tcPr>
            <w:tcW w:w="1700" w:type="dxa"/>
            <w:vAlign w:val="top"/>
            <w:vMerge w:val="continue"/>
            <w:textDirection w:val="lrTb"/>
            <w:noWrap w:val="false"/>
          </w:tcPr>
          <w:p>
            <w:pPr>
              <w:pStyle w:val="1166"/>
              <w:jc w:val="center"/>
              <w:spacing w:line="440" w:lineRule="exact"/>
              <w:rPr>
                <w:color w:val="000000"/>
                <w:szCs w:val="21"/>
                <w:highlight w:val="none"/>
              </w:rPr>
            </w:pPr>
            <w:r>
              <w:rPr>
                <w:color w:val="000000"/>
                <w:szCs w:val="21"/>
                <w:highlight w:val="none"/>
              </w:rPr>
            </w:r>
            <w:r/>
          </w:p>
        </w:tc>
        <w:tc>
          <w:tcPr>
            <w:tcW w:w="2219" w:type="dxa"/>
            <w:vAlign w:val="top"/>
            <w:vMerge w:val="continue"/>
            <w:textDirection w:val="lrTb"/>
            <w:noWrap w:val="false"/>
          </w:tcPr>
          <w:p>
            <w:pPr>
              <w:pStyle w:val="1166"/>
              <w:jc w:val="center"/>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66"/>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66"/>
              <w:spacing w:line="440" w:lineRule="exact"/>
              <w:rPr>
                <w:color w:val="000000"/>
                <w:szCs w:val="21"/>
                <w:highlight w:val="none"/>
              </w:rPr>
            </w:pPr>
            <w:r>
              <w:rPr>
                <w:color w:val="000000"/>
                <w:szCs w:val="21"/>
                <w:highlight w:val="none"/>
              </w:rPr>
            </w:r>
            <w:r/>
          </w:p>
        </w:tc>
      </w:tr>
    </w:tbl>
    <w:p>
      <w:pPr>
        <w:pStyle w:val="1166"/>
        <w:spacing w:line="440" w:lineRule="exact"/>
        <w:rPr>
          <w:color w:val="000000"/>
          <w:sz w:val="24"/>
          <w:highlight w:val="none"/>
        </w:rPr>
      </w:pPr>
      <w:r>
        <w:rPr>
          <w:color w:val="000000"/>
          <w:sz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spacing w:line="440" w:lineRule="exact"/>
        <w:rPr>
          <w:color w:val="000000"/>
          <w:szCs w:val="21"/>
          <w:highlight w:val="none"/>
        </w:rPr>
      </w:pP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注：1、供应商应对招标文件第四章招标技术规格及要求的内容给予</w:t>
      </w:r>
      <w:r>
        <w:rPr>
          <w:b/>
          <w:bCs/>
          <w:color w:val="000000"/>
          <w:szCs w:val="21"/>
          <w:highlight w:val="none"/>
        </w:rPr>
        <w:t xml:space="preserve">逐条响应</w:t>
      </w:r>
      <w:r>
        <w:rPr>
          <w:color w:val="000000"/>
          <w:szCs w:val="21"/>
          <w:highlight w:val="none"/>
        </w:rPr>
        <w:t xml:space="preserve">，</w:t>
      </w:r>
      <w:r>
        <w:rPr>
          <w:b/>
          <w:bCs/>
          <w:color w:val="000000"/>
          <w:highlight w:val="none"/>
        </w:rPr>
        <w:t xml:space="preserve">若漏项或不逐条应答视为负偏离。</w:t>
      </w:r>
      <w:r>
        <w:rPr>
          <w:color w:val="000000"/>
          <w:szCs w:val="21"/>
          <w:highlight w:val="none"/>
        </w:rPr>
        <w:t xml:space="preserve">以投标产品和服务所能达到的内容予以填写，而</w:t>
      </w:r>
      <w:r>
        <w:rPr>
          <w:b/>
          <w:bCs/>
          <w:color w:val="000000"/>
          <w:szCs w:val="21"/>
          <w:highlight w:val="none"/>
        </w:rPr>
        <w:t xml:space="preserve">不应通过简单拷贝招标文件技术要求作为响应内容</w:t>
      </w:r>
      <w:r>
        <w:rPr>
          <w:color w:val="000000"/>
          <w:szCs w:val="21"/>
          <w:highlight w:val="none"/>
        </w:rPr>
        <w:t xml:space="preserve">。</w:t>
      </w:r>
      <w:r>
        <w:rPr>
          <w:color w:val="000000"/>
          <w:szCs w:val="21"/>
          <w:highlight w:val="none"/>
        </w:rPr>
      </w:r>
      <w:r/>
    </w:p>
    <w:p>
      <w:pPr>
        <w:pStyle w:val="1166"/>
        <w:spacing w:line="440" w:lineRule="exact"/>
        <w:rPr>
          <w:b/>
          <w:bCs/>
          <w:color w:val="000000"/>
          <w:szCs w:val="21"/>
          <w:highlight w:val="none"/>
        </w:rPr>
      </w:pPr>
      <w:r>
        <w:rPr>
          <w:color w:val="000000"/>
          <w:szCs w:val="21"/>
          <w:highlight w:val="none"/>
        </w:rPr>
        <w:t xml:space="preserve">2、投标文件“响应具体情况",指所投产品的技术应答情况。“说明”栏请注明“响应/正偏离/负偏离”，</w:t>
      </w:r>
      <w:r>
        <w:rPr>
          <w:b/>
          <w:bCs/>
          <w:color w:val="000000"/>
          <w:szCs w:val="21"/>
          <w:highlight w:val="none"/>
        </w:rPr>
        <w:t xml:space="preserve">并且标注针对“</w:t>
      </w:r>
      <w:r>
        <w:rPr>
          <w:color w:val="000000"/>
          <w:szCs w:val="21"/>
          <w:highlight w:val="none"/>
          <w:lang w:val="zh-CN"/>
        </w:rPr>
        <w:t xml:space="preserve">★</w:t>
      </w:r>
      <w:r>
        <w:rPr>
          <w:b/>
          <w:bCs/>
          <w:color w:val="000000"/>
          <w:szCs w:val="21"/>
          <w:highlight w:val="none"/>
        </w:rPr>
        <w:t xml:space="preserve">”和“▲”技术规格响应的证明文件在投标文件中的页码及具体位置。</w:t>
      </w:r>
      <w:r>
        <w:rPr>
          <w:b/>
          <w:bCs/>
          <w:color w:val="000000"/>
          <w:szCs w:val="21"/>
          <w:highlight w:val="none"/>
        </w:rPr>
      </w:r>
      <w:r/>
    </w:p>
    <w:p>
      <w:pPr>
        <w:pStyle w:val="1166"/>
        <w:spacing w:line="440" w:lineRule="exact"/>
        <w:rPr>
          <w:color w:val="000000"/>
          <w:szCs w:val="21"/>
          <w:highlight w:val="none"/>
        </w:rPr>
      </w:pPr>
      <w:r>
        <w:rPr>
          <w:color w:val="000000"/>
          <w:szCs w:val="21"/>
          <w:highlight w:val="none"/>
        </w:rPr>
        <w:t xml:space="preserve">3、</w:t>
      </w:r>
      <w:r>
        <w:rPr>
          <w:b/>
          <w:bCs/>
          <w:color w:val="000000"/>
          <w:szCs w:val="21"/>
          <w:highlight w:val="none"/>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4、如果行数不够，请自行增加。</w:t>
      </w:r>
      <w:r>
        <w:rPr>
          <w:color w:val="000000"/>
          <w:szCs w:val="21"/>
          <w:highlight w:val="none"/>
        </w:rPr>
      </w:r>
      <w:r/>
    </w:p>
    <w:p>
      <w:pPr>
        <w:pStyle w:val="1166"/>
        <w:spacing w:after="156" w:line="440" w:lineRule="exact"/>
        <w:rPr>
          <w:b/>
          <w:bCs/>
          <w:color w:val="000000"/>
          <w:sz w:val="24"/>
          <w:szCs w:val="22"/>
          <w:highlight w:val="none"/>
        </w:rPr>
        <w:outlineLvl w:val="1"/>
      </w:pPr>
      <w:r/>
      <w:bookmarkStart w:id="293" w:name="_Toc4696432"/>
      <w:r>
        <w:rPr>
          <w:b/>
          <w:bCs/>
          <w:color w:val="000000"/>
          <w:sz w:val="24"/>
          <w:szCs w:val="22"/>
          <w:highlight w:val="none"/>
        </w:rPr>
        <w:br w:type="page" w:clear="all"/>
      </w:r>
      <w:bookmarkEnd w:id="293"/>
      <w:r/>
      <w:bookmarkStart w:id="294" w:name="_Toc10538"/>
      <w:r/>
      <w:bookmarkStart w:id="295" w:name="_Toc19975"/>
      <w:r/>
      <w:bookmarkStart w:id="296" w:name="_Toc22161"/>
      <w:r>
        <w:rPr>
          <w:b/>
          <w:bCs/>
          <w:color w:val="000000"/>
          <w:sz w:val="24"/>
          <w:szCs w:val="22"/>
          <w:highlight w:val="none"/>
        </w:rPr>
        <w:t xml:space="preserve">附件</w:t>
      </w:r>
      <w:r>
        <w:rPr>
          <w:rFonts w:hint="eastAsia"/>
          <w:b/>
          <w:bCs/>
          <w:color w:val="000000"/>
          <w:sz w:val="24"/>
          <w:szCs w:val="22"/>
          <w:highlight w:val="none"/>
        </w:rPr>
        <w:t xml:space="preserve">六</w:t>
      </w:r>
      <w:r>
        <w:rPr>
          <w:b/>
          <w:bCs/>
          <w:color w:val="000000"/>
          <w:sz w:val="24"/>
          <w:szCs w:val="22"/>
          <w:highlight w:val="none"/>
        </w:rPr>
        <w:t xml:space="preserve"> 政府采购政策</w:t>
      </w:r>
      <w:bookmarkEnd w:id="294"/>
      <w:r>
        <w:rPr>
          <w:b/>
          <w:bCs/>
          <w:color w:val="000000"/>
          <w:sz w:val="24"/>
          <w:szCs w:val="22"/>
          <w:highlight w:val="none"/>
        </w:rPr>
      </w:r>
      <w:r/>
    </w:p>
    <w:p>
      <w:pPr>
        <w:pStyle w:val="1166"/>
        <w:numPr>
          <w:ilvl w:val="0"/>
          <w:numId w:val="6"/>
        </w:numPr>
        <w:jc w:val="center"/>
        <w:spacing w:line="360" w:lineRule="auto"/>
        <w:rPr>
          <w:b/>
          <w:color w:val="000000"/>
          <w:sz w:val="30"/>
          <w:szCs w:val="30"/>
          <w:highlight w:val="none"/>
          <w:lang w:bidi="ar"/>
        </w:rPr>
        <w:outlineLvl w:val="2"/>
      </w:pPr>
      <w:r/>
      <w:bookmarkStart w:id="297" w:name="_Toc15857"/>
      <w:r/>
      <w:bookmarkStart w:id="298" w:name="_Toc26121"/>
      <w:r/>
      <w:bookmarkStart w:id="299" w:name="_Toc28978"/>
      <w:r>
        <w:rPr>
          <w:b/>
          <w:bCs/>
          <w:color w:val="000000"/>
          <w:szCs w:val="21"/>
          <w:highlight w:val="none"/>
        </w:rPr>
        <w:t xml:space="preserve">《中小企业声明函》</w:t>
      </w:r>
      <w:bookmarkEnd w:id="297"/>
      <w:r/>
      <w:bookmarkEnd w:id="298"/>
      <w:r/>
      <w:bookmarkEnd w:id="299"/>
      <w:r>
        <w:rPr>
          <w:b/>
          <w:color w:val="000000"/>
          <w:sz w:val="30"/>
          <w:szCs w:val="30"/>
          <w:highlight w:val="none"/>
          <w:lang w:bidi="ar"/>
        </w:rPr>
      </w:r>
      <w:r/>
    </w:p>
    <w:p>
      <w:pPr>
        <w:pStyle w:val="1213"/>
        <w:ind w:firstLine="0"/>
        <w:jc w:val="center"/>
        <w:rPr>
          <w:rFonts w:ascii="Times New Roman"/>
          <w:color w:val="000000"/>
          <w:spacing w:val="6"/>
          <w:highlight w:val="none"/>
        </w:rPr>
      </w:pPr>
      <w:r>
        <w:rPr>
          <w:rFonts w:ascii="Times New Roman"/>
          <w:b/>
          <w:color w:val="000000"/>
          <w:sz w:val="30"/>
          <w:szCs w:val="30"/>
          <w:highlight w:val="none"/>
          <w:lang w:bidi="ar"/>
        </w:rPr>
        <w:t xml:space="preserve">【不属于小微企业的无需填写、递交】</w:t>
      </w:r>
      <w:r>
        <w:rPr>
          <w:rFonts w:ascii="Times New Roman"/>
          <w:color w:val="000000"/>
          <w:spacing w:val="6"/>
          <w:highlight w:val="none"/>
        </w:rPr>
      </w:r>
      <w:r/>
    </w:p>
    <w:p>
      <w:pPr>
        <w:pStyle w:val="1166"/>
        <w:ind w:left="425"/>
        <w:jc w:val="center"/>
        <w:spacing w:line="360" w:lineRule="auto"/>
        <w:widowControl/>
        <w:rPr>
          <w:b/>
          <w:bCs/>
          <w:color w:val="000000"/>
          <w:sz w:val="24"/>
          <w:szCs w:val="24"/>
          <w:highlight w:val="none"/>
        </w:rPr>
      </w:pPr>
      <w:r>
        <w:rPr>
          <w:b/>
          <w:bCs/>
          <w:color w:val="000000"/>
          <w:sz w:val="24"/>
          <w:szCs w:val="24"/>
          <w:highlight w:val="none"/>
        </w:rPr>
        <w:t xml:space="preserve">中小企业声明函（货物）</w:t>
      </w:r>
      <w:r>
        <w:rPr>
          <w:b/>
          <w:bCs/>
          <w:color w:val="000000"/>
          <w:sz w:val="24"/>
          <w:szCs w:val="24"/>
          <w:highlight w:val="none"/>
        </w:rPr>
      </w:r>
      <w:r/>
    </w:p>
    <w:p>
      <w:pPr>
        <w:pStyle w:val="1166"/>
        <w:ind w:left="36" w:right="236" w:firstLine="640"/>
        <w:spacing w:before="199" w:line="360" w:lineRule="auto"/>
        <w:rPr>
          <w:color w:val="000000"/>
          <w:spacing w:val="-4"/>
          <w:szCs w:val="21"/>
          <w:highlight w:val="none"/>
        </w:rPr>
      </w:pPr>
      <w:r>
        <w:rPr>
          <w:color w:val="000000"/>
          <w:spacing w:val="-4"/>
          <w:szCs w:val="21"/>
          <w:highlight w:val="none"/>
        </w:rPr>
        <w:t xml:space="preserve">本公司（联合体）郑重声明 ，根据《政府采购促进中小企业发展管理办法》（财库﹝2020 ﹞46号）的规定，本公司（联合体）参加</w:t>
      </w:r>
      <w:r>
        <w:rPr>
          <w:color w:val="000000"/>
          <w:spacing w:val="-4"/>
          <w:szCs w:val="21"/>
          <w:highlight w:val="none"/>
          <w:u w:val="single"/>
        </w:rPr>
        <w:t xml:space="preserve">（单位名称）</w:t>
      </w:r>
      <w:r>
        <w:rPr>
          <w:color w:val="000000"/>
          <w:spacing w:val="-4"/>
          <w:szCs w:val="21"/>
          <w:highlight w:val="none"/>
        </w:rPr>
        <w:t xml:space="preserve">的</w:t>
      </w:r>
      <w:r>
        <w:rPr>
          <w:color w:val="000000"/>
          <w:spacing w:val="-4"/>
          <w:szCs w:val="21"/>
          <w:highlight w:val="none"/>
          <w:u w:val="single"/>
        </w:rPr>
        <w:t xml:space="preserve">（项目名称）</w:t>
      </w:r>
      <w:r>
        <w:rPr>
          <w:color w:val="000000"/>
          <w:spacing w:val="-4"/>
          <w:szCs w:val="21"/>
          <w:highlight w:val="none"/>
        </w:rPr>
        <w:t xml:space="preserve">采购活动，提供的货物</w:t>
      </w:r>
      <w:r>
        <w:rPr>
          <w:b/>
          <w:bCs/>
          <w:color w:val="000000"/>
          <w:spacing w:val="-4"/>
          <w:szCs w:val="21"/>
          <w:highlight w:val="none"/>
        </w:rPr>
        <w:t xml:space="preserve">全部</w:t>
      </w:r>
      <w:r>
        <w:rPr>
          <w:color w:val="000000"/>
          <w:spacing w:val="-4"/>
          <w:szCs w:val="21"/>
          <w:highlight w:val="none"/>
        </w:rPr>
        <w:t xml:space="preserve">由符合政策要求的中小企业制造。相关企业（含联合体中的中小企业、签订分包意向协议的中小企业）的具体情况如下 ：</w:t>
      </w:r>
      <w:r>
        <w:rPr>
          <w:color w:val="000000"/>
          <w:spacing w:val="-4"/>
          <w:szCs w:val="21"/>
          <w:highlight w:val="none"/>
        </w:rPr>
      </w:r>
      <w:r/>
    </w:p>
    <w:p>
      <w:pPr>
        <w:pStyle w:val="1166"/>
        <w:ind w:left="36" w:right="236" w:firstLine="640"/>
        <w:spacing w:before="199" w:line="360" w:lineRule="auto"/>
        <w:rPr>
          <w:color w:val="000000"/>
          <w:spacing w:val="-4"/>
          <w:szCs w:val="21"/>
          <w:highlight w:val="none"/>
        </w:rPr>
      </w:pPr>
      <w:r>
        <w:rPr>
          <w:color w:val="000000"/>
          <w:spacing w:val="-4"/>
          <w:szCs w:val="21"/>
          <w:highlight w:val="none"/>
        </w:rPr>
        <w:t xml:space="preserve">1、</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万元，属于</w:t>
      </w:r>
      <w:r>
        <w:rPr>
          <w:color w:val="000000"/>
          <w:sz w:val="24"/>
          <w:szCs w:val="24"/>
          <w:highlight w:val="none"/>
          <w:u w:val="single"/>
        </w:rPr>
        <w:t xml:space="preserve">（□</w:t>
      </w:r>
      <w:r>
        <w:rPr>
          <w:color w:val="000000"/>
          <w:sz w:val="22"/>
          <w:szCs w:val="22"/>
          <w:highlight w:val="none"/>
          <w:u w:val="single"/>
        </w:rPr>
        <w:t xml:space="preserve">中型企业</w:t>
      </w:r>
      <w:r>
        <w:rPr>
          <w:color w:val="000000"/>
          <w:sz w:val="24"/>
          <w:szCs w:val="24"/>
          <w:highlight w:val="none"/>
          <w:u w:val="single"/>
        </w:rPr>
        <w:t xml:space="preserve"> □</w:t>
      </w:r>
      <w:r>
        <w:rPr>
          <w:color w:val="000000"/>
          <w:sz w:val="22"/>
          <w:szCs w:val="22"/>
          <w:highlight w:val="none"/>
          <w:u w:val="single"/>
        </w:rPr>
        <w:t xml:space="preserve">小型企业</w:t>
      </w:r>
      <w:r>
        <w:rPr>
          <w:color w:val="000000"/>
          <w:sz w:val="24"/>
          <w:szCs w:val="24"/>
          <w:highlight w:val="none"/>
          <w:u w:val="single"/>
        </w:rPr>
        <w:t xml:space="preserve"> □</w:t>
      </w:r>
      <w:r>
        <w:rPr>
          <w:color w:val="000000"/>
          <w:sz w:val="22"/>
          <w:szCs w:val="22"/>
          <w:highlight w:val="none"/>
          <w:u w:val="single"/>
        </w:rPr>
        <w:t xml:space="preserve">微型企业</w:t>
      </w:r>
      <w:r>
        <w:rPr>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1166"/>
        <w:ind w:left="36" w:right="236" w:firstLine="640"/>
        <w:spacing w:before="199" w:line="360" w:lineRule="auto"/>
        <w:rPr>
          <w:color w:val="000000"/>
          <w:spacing w:val="-4"/>
          <w:szCs w:val="21"/>
          <w:highlight w:val="none"/>
        </w:rPr>
      </w:pPr>
      <w:r>
        <w:rPr>
          <w:color w:val="000000"/>
          <w:spacing w:val="-4"/>
          <w:szCs w:val="21"/>
          <w:highlight w:val="none"/>
        </w:rPr>
        <w:t xml:space="preserve">2、</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 ，属于</w:t>
      </w:r>
      <w:r>
        <w:rPr>
          <w:color w:val="000000"/>
          <w:sz w:val="24"/>
          <w:szCs w:val="24"/>
          <w:highlight w:val="none"/>
          <w:u w:val="single"/>
        </w:rPr>
        <w:t xml:space="preserve">（□</w:t>
      </w:r>
      <w:r>
        <w:rPr>
          <w:color w:val="000000"/>
          <w:sz w:val="22"/>
          <w:szCs w:val="22"/>
          <w:highlight w:val="none"/>
          <w:u w:val="single"/>
        </w:rPr>
        <w:t xml:space="preserve">中型企业</w:t>
      </w:r>
      <w:r>
        <w:rPr>
          <w:color w:val="000000"/>
          <w:sz w:val="24"/>
          <w:szCs w:val="24"/>
          <w:highlight w:val="none"/>
          <w:u w:val="single"/>
        </w:rPr>
        <w:t xml:space="preserve"> □</w:t>
      </w:r>
      <w:r>
        <w:rPr>
          <w:color w:val="000000"/>
          <w:sz w:val="22"/>
          <w:szCs w:val="22"/>
          <w:highlight w:val="none"/>
          <w:u w:val="single"/>
        </w:rPr>
        <w:t xml:space="preserve">小型企业</w:t>
      </w:r>
      <w:r>
        <w:rPr>
          <w:color w:val="000000"/>
          <w:sz w:val="24"/>
          <w:szCs w:val="24"/>
          <w:highlight w:val="none"/>
          <w:u w:val="single"/>
        </w:rPr>
        <w:t xml:space="preserve"> □</w:t>
      </w:r>
      <w:r>
        <w:rPr>
          <w:color w:val="000000"/>
          <w:sz w:val="22"/>
          <w:szCs w:val="22"/>
          <w:highlight w:val="none"/>
          <w:u w:val="single"/>
        </w:rPr>
        <w:t xml:space="preserve">微型企业</w:t>
      </w:r>
      <w:r>
        <w:rPr>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1166"/>
        <w:ind w:firstLine="688"/>
        <w:spacing w:before="132" w:line="360" w:lineRule="auto"/>
        <w:rPr>
          <w:color w:val="000000"/>
          <w:szCs w:val="21"/>
          <w:highlight w:val="none"/>
        </w:rPr>
      </w:pPr>
      <w:r>
        <w:rPr>
          <w:color w:val="000000"/>
          <w:spacing w:val="-18"/>
          <w:position w:val="-7"/>
          <w:szCs w:val="21"/>
          <w:highlight w:val="none"/>
        </w:rPr>
        <w:t xml:space="preserve">……</w:t>
      </w:r>
      <w:r>
        <w:rPr>
          <w:color w:val="000000"/>
          <w:szCs w:val="21"/>
          <w:highlight w:val="none"/>
        </w:rPr>
      </w:r>
      <w:r/>
    </w:p>
    <w:p>
      <w:pPr>
        <w:pStyle w:val="1166"/>
        <w:ind w:firstLine="594"/>
        <w:spacing w:line="360" w:lineRule="auto"/>
        <w:rPr>
          <w:color w:val="000000"/>
          <w:spacing w:val="-6"/>
          <w:szCs w:val="21"/>
          <w:highlight w:val="none"/>
        </w:rPr>
      </w:pPr>
      <w:r>
        <w:rPr>
          <w:color w:val="000000"/>
          <w:spacing w:val="-6"/>
          <w:szCs w:val="21"/>
          <w:highlight w:val="none"/>
        </w:rPr>
        <w:t xml:space="preserve">以上企业，不属于大企业的分支机构，不存在控股股东为大企业的情形，也不存在与大企业的负责人为同一人的情形。</w:t>
      </w:r>
      <w:r>
        <w:rPr>
          <w:color w:val="000000"/>
          <w:spacing w:val="-6"/>
          <w:szCs w:val="21"/>
          <w:highlight w:val="none"/>
        </w:rPr>
      </w:r>
      <w:r/>
    </w:p>
    <w:p>
      <w:pPr>
        <w:pStyle w:val="1166"/>
        <w:ind w:firstLine="594"/>
        <w:spacing w:line="360" w:lineRule="auto"/>
        <w:rPr>
          <w:color w:val="000000"/>
          <w:spacing w:val="-6"/>
          <w:szCs w:val="21"/>
          <w:highlight w:val="none"/>
        </w:rPr>
      </w:pPr>
      <w:r>
        <w:rPr>
          <w:color w:val="000000"/>
          <w:spacing w:val="-6"/>
          <w:szCs w:val="21"/>
          <w:highlight w:val="none"/>
        </w:rPr>
      </w:r>
      <w:r/>
    </w:p>
    <w:p>
      <w:pPr>
        <w:pStyle w:val="1166"/>
        <w:ind w:firstLine="594"/>
        <w:spacing w:line="360" w:lineRule="auto"/>
        <w:rPr>
          <w:b/>
          <w:bCs/>
          <w:color w:val="000000"/>
          <w:szCs w:val="21"/>
          <w:highlight w:val="none"/>
        </w:rPr>
      </w:pPr>
      <w:r>
        <w:rPr>
          <w:color w:val="000000"/>
          <w:spacing w:val="-6"/>
          <w:szCs w:val="21"/>
          <w:highlight w:val="none"/>
        </w:rPr>
        <w:t xml:space="preserve">本企业对上述声明内容的真实性负责</w:t>
      </w:r>
      <w:r>
        <w:rPr>
          <w:color w:val="000000"/>
          <w:spacing w:val="-105"/>
          <w:szCs w:val="21"/>
          <w:highlight w:val="none"/>
        </w:rPr>
        <w:t xml:space="preserve"> </w:t>
      </w:r>
      <w:r>
        <w:rPr>
          <w:color w:val="000000"/>
          <w:spacing w:val="-6"/>
          <w:szCs w:val="21"/>
          <w:highlight w:val="none"/>
        </w:rPr>
        <w:t xml:space="preserve">。如有虚假</w:t>
      </w:r>
      <w:r>
        <w:rPr>
          <w:color w:val="000000"/>
          <w:spacing w:val="-116"/>
          <w:szCs w:val="21"/>
          <w:highlight w:val="none"/>
        </w:rPr>
        <w:t xml:space="preserve"> </w:t>
      </w:r>
      <w:r>
        <w:rPr>
          <w:color w:val="000000"/>
          <w:spacing w:val="-6"/>
          <w:szCs w:val="21"/>
          <w:highlight w:val="none"/>
        </w:rPr>
        <w:t xml:space="preserve">，将依</w:t>
      </w:r>
      <w:r>
        <w:rPr>
          <w:color w:val="000000"/>
          <w:spacing w:val="-140"/>
          <w:szCs w:val="21"/>
          <w:highlight w:val="none"/>
        </w:rPr>
        <w:t xml:space="preserve"> </w:t>
      </w:r>
      <w:r>
        <w:rPr>
          <w:color w:val="000000"/>
          <w:spacing w:val="-5"/>
          <w:szCs w:val="21"/>
          <w:highlight w:val="none"/>
        </w:rPr>
        <w:t xml:space="preserve">法承担相应责任</w:t>
      </w:r>
      <w:r>
        <w:rPr>
          <w:color w:val="000000"/>
          <w:szCs w:val="21"/>
          <w:highlight w:val="none"/>
        </w:rPr>
        <w:t xml:space="preserve">。</w:t>
      </w:r>
      <w:r>
        <w:rPr>
          <w:b/>
          <w:bCs/>
          <w:color w:val="000000"/>
          <w:szCs w:val="21"/>
          <w:highlight w:val="none"/>
        </w:rPr>
      </w:r>
      <w:r/>
    </w:p>
    <w:p>
      <w:pPr>
        <w:pStyle w:val="1166"/>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66"/>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66"/>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企业名称（盖章）：</w:t>
      </w:r>
      <w:r>
        <w:rPr>
          <w:color w:val="000000"/>
          <w:spacing w:val="6"/>
          <w:szCs w:val="21"/>
          <w:highlight w:val="none"/>
        </w:rPr>
      </w:r>
      <w:r/>
    </w:p>
    <w:p>
      <w:pPr>
        <w:pStyle w:val="1166"/>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日  期：</w:t>
      </w:r>
      <w:r>
        <w:rPr>
          <w:color w:val="000000"/>
          <w:spacing w:val="6"/>
          <w:szCs w:val="21"/>
          <w:highlight w:val="none"/>
        </w:rPr>
      </w:r>
      <w:r/>
    </w:p>
    <w:p>
      <w:pPr>
        <w:pStyle w:val="1166"/>
        <w:spacing w:line="360" w:lineRule="auto"/>
        <w:rPr>
          <w:b/>
          <w:bCs/>
          <w:color w:val="000000"/>
          <w:szCs w:val="21"/>
          <w:highlight w:val="none"/>
        </w:rPr>
      </w:pPr>
      <w:r>
        <w:rPr>
          <w:b/>
          <w:bCs/>
          <w:color w:val="000000"/>
          <w:szCs w:val="21"/>
          <w:highlight w:val="none"/>
        </w:rPr>
      </w:r>
      <w:r/>
    </w:p>
    <w:p>
      <w:pPr>
        <w:pStyle w:val="1166"/>
        <w:spacing w:line="360" w:lineRule="auto"/>
        <w:rPr>
          <w:b/>
          <w:bCs/>
          <w:color w:val="000000"/>
          <w:szCs w:val="21"/>
          <w:highlight w:val="none"/>
        </w:rPr>
      </w:pPr>
      <w:r>
        <w:rPr>
          <w:b/>
          <w:bCs/>
          <w:color w:val="000000"/>
          <w:szCs w:val="21"/>
          <w:highlight w:val="none"/>
        </w:rPr>
        <w:t xml:space="preserve">备注：</w:t>
      </w:r>
      <w:r>
        <w:rPr>
          <w:b/>
          <w:bCs/>
          <w:color w:val="000000"/>
          <w:szCs w:val="21"/>
          <w:highlight w:val="none"/>
        </w:rPr>
      </w:r>
      <w:r/>
    </w:p>
    <w:p>
      <w:pPr>
        <w:pStyle w:val="1166"/>
        <w:ind w:firstLine="422"/>
        <w:spacing w:line="360" w:lineRule="auto"/>
        <w:rPr>
          <w:b/>
          <w:bCs/>
          <w:color w:val="000000"/>
          <w:szCs w:val="21"/>
          <w:highlight w:val="none"/>
        </w:rPr>
      </w:pPr>
      <w:r>
        <w:rPr>
          <w:b/>
          <w:bCs/>
          <w:color w:val="000000"/>
          <w:szCs w:val="21"/>
          <w:highlight w:val="none"/>
        </w:rPr>
        <w:t xml:space="preserve">1、从业人员、营业收入、资产总额填报上一年度数据，无上一年度数据的新成立企业可不填报。</w:t>
      </w:r>
      <w:r>
        <w:rPr>
          <w:b/>
          <w:bCs/>
          <w:color w:val="000000"/>
          <w:szCs w:val="21"/>
          <w:highlight w:val="none"/>
        </w:rPr>
      </w:r>
      <w:r/>
    </w:p>
    <w:p>
      <w:pPr>
        <w:pStyle w:val="1166"/>
        <w:ind w:firstLine="422"/>
        <w:spacing w:line="360" w:lineRule="auto"/>
        <w:rPr>
          <w:b/>
          <w:bCs/>
          <w:color w:val="000000"/>
          <w:szCs w:val="21"/>
          <w:highlight w:val="none"/>
        </w:rPr>
      </w:pPr>
      <w:r>
        <w:rPr>
          <w:b/>
          <w:bCs/>
          <w:color w:val="000000"/>
          <w:szCs w:val="21"/>
          <w:highlight w:val="none"/>
        </w:rPr>
        <w:t xml:space="preserve">2、供应商提供的货物全部由符合政策要求的中小企业制造的参加本次政府采购项目需提供此声明函</w:t>
      </w:r>
      <w:r>
        <w:rPr>
          <w:color w:val="000000"/>
          <w:highlight w:val="none"/>
          <w:lang w:val="zh-CN"/>
        </w:rPr>
        <w:t xml:space="preserve">（中小企业划型标准详见《关于印发中小企业划型标准规定的通知》工信部联企业〔2011〕300号）</w:t>
      </w:r>
      <w:r>
        <w:rPr>
          <w:b/>
          <w:bCs/>
          <w:color w:val="000000"/>
          <w:szCs w:val="21"/>
          <w:highlight w:val="none"/>
        </w:rPr>
        <w:t xml:space="preserve">。</w:t>
      </w:r>
      <w:r>
        <w:rPr>
          <w:b/>
          <w:bCs/>
          <w:color w:val="000000"/>
          <w:szCs w:val="21"/>
          <w:highlight w:val="none"/>
        </w:rPr>
      </w:r>
      <w:r/>
    </w:p>
    <w:p>
      <w:pPr>
        <w:pStyle w:val="1166"/>
        <w:ind w:firstLine="422"/>
        <w:spacing w:line="360" w:lineRule="auto"/>
        <w:rPr>
          <w:b/>
          <w:bCs/>
          <w:color w:val="000000"/>
          <w:szCs w:val="21"/>
          <w:highlight w:val="none"/>
        </w:rPr>
      </w:pPr>
      <w:r>
        <w:rPr>
          <w:b/>
          <w:bCs/>
          <w:color w:val="000000"/>
          <w:szCs w:val="21"/>
          <w:highlight w:val="none"/>
        </w:rPr>
        <w:t xml:space="preserve">3、专门面向中小微型企业采购的项目，供应商如不提供此声明函，则不能通过资格审查；非专门面向中小微型企业采购的项目，供应商如未按上述要求提供声明函的，价格将不做相应扣除。</w:t>
      </w:r>
      <w:r>
        <w:rPr>
          <w:b/>
          <w:bCs/>
          <w:color w:val="000000"/>
          <w:szCs w:val="21"/>
          <w:highlight w:val="none"/>
        </w:rPr>
      </w:r>
      <w:r/>
    </w:p>
    <w:p>
      <w:pPr>
        <w:pStyle w:val="1166"/>
        <w:ind w:firstLine="422"/>
        <w:spacing w:line="360" w:lineRule="auto"/>
        <w:rPr>
          <w:b/>
          <w:bCs/>
          <w:color w:val="000000"/>
          <w:szCs w:val="21"/>
          <w:highlight w:val="none"/>
        </w:rPr>
      </w:pPr>
      <w:r>
        <w:rPr>
          <w:b/>
          <w:bCs/>
          <w:color w:val="000000"/>
          <w:szCs w:val="21"/>
          <w:highlight w:val="none"/>
        </w:rPr>
        <w:t xml:space="preserve">4、在货物采购项目中，供应商提供的货物既有中小企业制造货物，也有大型企业制造货物的，不享受本办法规定的中小企业扶持政策。</w:t>
      </w:r>
      <w:r>
        <w:rPr>
          <w:b/>
          <w:bCs/>
          <w:color w:val="000000"/>
          <w:szCs w:val="21"/>
          <w:highlight w:val="none"/>
        </w:rPr>
      </w:r>
      <w:r/>
    </w:p>
    <w:p>
      <w:pPr>
        <w:pStyle w:val="1166"/>
        <w:ind w:firstLine="422"/>
        <w:jc w:val="left"/>
        <w:spacing w:line="360" w:lineRule="auto"/>
        <w:rPr>
          <w:b/>
          <w:bCs/>
          <w:color w:val="000000"/>
          <w:szCs w:val="21"/>
          <w:highlight w:val="none"/>
        </w:rPr>
      </w:pPr>
      <w:r>
        <w:rPr>
          <w:b/>
          <w:bCs/>
          <w:color w:val="000000"/>
          <w:szCs w:val="21"/>
          <w:highlight w:val="none"/>
        </w:rPr>
        <w:t xml:space="preserve">5、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rPr>
          <w:b/>
          <w:bCs/>
          <w:color w:val="000000"/>
          <w:szCs w:val="21"/>
          <w:highlight w:val="none"/>
        </w:rPr>
      </w:r>
      <w:r/>
    </w:p>
    <w:p>
      <w:pPr>
        <w:pStyle w:val="1223"/>
        <w:rPr>
          <w:color w:val="000000"/>
          <w:highlight w:val="none"/>
        </w:rPr>
      </w:pPr>
      <w:r>
        <w:rPr>
          <w:color w:val="000000"/>
          <w:highlight w:val="none"/>
        </w:rPr>
      </w:r>
      <w:r/>
    </w:p>
    <w:p>
      <w:pPr>
        <w:pStyle w:val="1166"/>
        <w:jc w:val="center"/>
        <w:spacing w:line="360" w:lineRule="auto"/>
        <w:rPr>
          <w:b/>
          <w:bCs/>
          <w:color w:val="000000"/>
          <w:szCs w:val="21"/>
          <w:highlight w:val="none"/>
        </w:rPr>
        <w:outlineLvl w:val="2"/>
      </w:pPr>
      <w:r>
        <w:rPr>
          <w:b/>
          <w:bCs/>
          <w:color w:val="000000"/>
          <w:szCs w:val="21"/>
          <w:highlight w:val="none"/>
        </w:rPr>
        <w:br w:type="page" w:clear="all"/>
      </w:r>
      <w:bookmarkStart w:id="300" w:name="_Toc30370"/>
      <w:r>
        <w:rPr>
          <w:b/>
          <w:bCs/>
          <w:color w:val="000000"/>
          <w:szCs w:val="21"/>
          <w:highlight w:val="none"/>
        </w:rPr>
        <w:t xml:space="preserve">（二）残疾人福利性单位声明函</w:t>
      </w:r>
      <w:bookmarkEnd w:id="295"/>
      <w:r/>
      <w:bookmarkEnd w:id="296"/>
      <w:r/>
      <w:bookmarkEnd w:id="300"/>
      <w:r>
        <w:rPr>
          <w:b/>
          <w:bCs/>
          <w:color w:val="000000"/>
          <w:szCs w:val="21"/>
          <w:highlight w:val="none"/>
        </w:rPr>
      </w:r>
      <w:r/>
    </w:p>
    <w:p>
      <w:pPr>
        <w:pStyle w:val="1166"/>
        <w:ind w:right="178"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Cs w:val="21"/>
          <w:highlight w:val="none"/>
        </w:rPr>
      </w:r>
      <w:r/>
    </w:p>
    <w:p>
      <w:pPr>
        <w:pStyle w:val="1166"/>
        <w:ind w:right="1560"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本单位对上述声明的真实性负责。如有虚假，将依法承担相应责任。</w:t>
      </w:r>
      <w:r>
        <w:rPr>
          <w:color w:val="000000"/>
          <w:spacing w:val="6"/>
          <w:szCs w:val="21"/>
          <w:highlight w:val="none"/>
        </w:rPr>
      </w:r>
      <w:r/>
    </w:p>
    <w:p>
      <w:pPr>
        <w:pStyle w:val="1166"/>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66"/>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t xml:space="preserve">单位名称（盖章）：</w:t>
      </w:r>
      <w:r>
        <w:rPr>
          <w:color w:val="000000"/>
          <w:spacing w:val="6"/>
          <w:szCs w:val="21"/>
          <w:highlight w:val="none"/>
        </w:rPr>
      </w:r>
      <w:r/>
    </w:p>
    <w:p>
      <w:pPr>
        <w:pStyle w:val="1166"/>
        <w:ind w:right="1560" w:firstLine="444"/>
        <w:jc w:val="center"/>
        <w:spacing w:line="360" w:lineRule="auto"/>
        <w:tabs>
          <w:tab w:val="left" w:pos="4860" w:leader="none"/>
        </w:tabs>
        <w:rPr>
          <w:color w:val="000000"/>
          <w:spacing w:val="6"/>
          <w:sz w:val="24"/>
          <w:szCs w:val="24"/>
          <w:highlight w:val="none"/>
        </w:rPr>
      </w:pPr>
      <w:r>
        <w:rPr>
          <w:color w:val="000000"/>
          <w:spacing w:val="6"/>
          <w:szCs w:val="21"/>
          <w:highlight w:val="none"/>
        </w:rPr>
        <w:t xml:space="preserve">日 期： </w:t>
      </w:r>
      <w:r>
        <w:rPr>
          <w:color w:val="000000"/>
          <w:spacing w:val="6"/>
          <w:sz w:val="24"/>
          <w:szCs w:val="24"/>
          <w:highlight w:val="none"/>
        </w:rPr>
        <w:t xml:space="preserve">   </w:t>
      </w:r>
      <w:r>
        <w:rPr>
          <w:color w:val="000000"/>
          <w:spacing w:val="6"/>
          <w:sz w:val="24"/>
          <w:szCs w:val="24"/>
          <w:highlight w:val="none"/>
        </w:rPr>
      </w:r>
      <w:r/>
    </w:p>
    <w:p>
      <w:pPr>
        <w:pStyle w:val="1166"/>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1166"/>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1166"/>
        <w:jc w:val="center"/>
        <w:spacing w:line="360" w:lineRule="auto"/>
        <w:rPr>
          <w:color w:val="000000"/>
          <w:spacing w:val="6"/>
          <w:sz w:val="24"/>
          <w:szCs w:val="24"/>
          <w:highlight w:val="none"/>
        </w:rPr>
      </w:pPr>
      <w:r>
        <w:rPr>
          <w:color w:val="000000"/>
          <w:spacing w:val="6"/>
          <w:sz w:val="24"/>
          <w:szCs w:val="24"/>
          <w:highlight w:val="none"/>
        </w:rPr>
        <w:t xml:space="preserve">  </w:t>
      </w:r>
      <w:r>
        <w:rPr>
          <w:color w:val="000000"/>
          <w:spacing w:val="6"/>
          <w:sz w:val="24"/>
          <w:szCs w:val="24"/>
          <w:highlight w:val="none"/>
        </w:rPr>
      </w:r>
      <w:r/>
    </w:p>
    <w:p>
      <w:pPr>
        <w:pStyle w:val="1166"/>
        <w:jc w:val="center"/>
        <w:spacing w:line="360" w:lineRule="auto"/>
        <w:rPr>
          <w:b/>
          <w:bCs/>
          <w:color w:val="000000"/>
          <w:szCs w:val="21"/>
          <w:highlight w:val="none"/>
        </w:rPr>
        <w:outlineLvl w:val="2"/>
      </w:pPr>
      <w:r>
        <w:rPr>
          <w:color w:val="000000"/>
          <w:spacing w:val="6"/>
          <w:sz w:val="24"/>
          <w:szCs w:val="24"/>
          <w:highlight w:val="none"/>
        </w:rPr>
        <w:br w:type="page" w:clear="all"/>
      </w:r>
      <w:bookmarkStart w:id="301" w:name="_Toc29419"/>
      <w:r>
        <w:rPr>
          <w:b/>
          <w:bCs/>
          <w:color w:val="000000"/>
          <w:szCs w:val="21"/>
          <w:highlight w:val="none"/>
        </w:rPr>
        <w:t xml:space="preserve">（三）采购本国产品的支持政策</w:t>
      </w:r>
      <w:bookmarkEnd w:id="301"/>
      <w:r>
        <w:rPr>
          <w:b/>
          <w:bCs/>
          <w:color w:val="000000"/>
          <w:szCs w:val="21"/>
          <w:highlight w:val="none"/>
        </w:rPr>
      </w:r>
      <w:r/>
    </w:p>
    <w:p>
      <w:pPr>
        <w:pStyle w:val="1166"/>
        <w:jc w:val="center"/>
        <w:keepLines/>
        <w:keepNext/>
        <w:spacing w:line="360" w:lineRule="auto"/>
        <w:rPr>
          <w:b/>
          <w:color w:val="000000"/>
          <w:sz w:val="24"/>
          <w:highlight w:val="none"/>
        </w:rPr>
      </w:pPr>
      <w:r>
        <w:rPr>
          <w:b/>
          <w:color w:val="000000"/>
          <w:sz w:val="24"/>
          <w:highlight w:val="none"/>
        </w:rPr>
      </w:r>
      <w:r/>
    </w:p>
    <w:p>
      <w:pPr>
        <w:pStyle w:val="1166"/>
        <w:jc w:val="center"/>
        <w:keepLines/>
        <w:keepNext/>
        <w:spacing w:line="360" w:lineRule="auto"/>
        <w:rPr>
          <w:b/>
          <w:color w:val="000000"/>
          <w:sz w:val="24"/>
          <w:highlight w:val="none"/>
        </w:rPr>
      </w:pPr>
      <w:r>
        <w:rPr>
          <w:b/>
          <w:color w:val="000000"/>
          <w:sz w:val="24"/>
          <w:highlight w:val="none"/>
        </w:rPr>
        <w:t xml:space="preserve">关于符合本国产品标准的声明函</w:t>
      </w:r>
      <w:r>
        <w:rPr>
          <w:b/>
          <w:color w:val="000000"/>
          <w:sz w:val="24"/>
          <w:highlight w:val="none"/>
        </w:rPr>
      </w:r>
      <w:r/>
    </w:p>
    <w:p>
      <w:pPr>
        <w:pStyle w:val="1208"/>
        <w:ind w:firstLine="420"/>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宋体"/>
          <w:color w:val="000000"/>
          <w:sz w:val="21"/>
          <w:szCs w:val="21"/>
          <w:highlight w:val="none"/>
        </w:rPr>
      </w:r>
      <w:r/>
    </w:p>
    <w:p>
      <w:pPr>
        <w:pStyle w:val="1208"/>
        <w:ind w:firstLine="420"/>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shd w:val="clear" w:color="auto" w:fill="ffffff"/>
        </w:rPr>
        <w:t xml:space="preserve">1.</w:t>
      </w:r>
      <w:r>
        <w:rPr>
          <w:rStyle w:val="1219"/>
          <w:rFonts w:ascii="Times New Roman" w:hAnsi="Times New Roman" w:eastAsia="宋体"/>
          <w:i w:val="0"/>
          <w:color w:val="000000"/>
          <w:sz w:val="21"/>
          <w:szCs w:val="21"/>
          <w:highlight w:val="none"/>
          <w:u w:val="single"/>
          <w:shd w:val="clear" w:color="auto" w:fill="ffffff"/>
        </w:rPr>
        <w:t xml:space="preserve">（产品名称1）</w:t>
      </w:r>
      <w:r>
        <w:rPr>
          <w:rStyle w:val="1219"/>
          <w:rFonts w:ascii="Times New Roman" w:hAnsi="Times New Roman" w:eastAsia="宋体"/>
          <w:i w:val="0"/>
          <w:color w:val="000000"/>
          <w:sz w:val="21"/>
          <w:szCs w:val="21"/>
          <w:highlight w:val="none"/>
          <w:shd w:val="clear" w:color="auto" w:fill="ffffff"/>
          <w:vertAlign w:val="superscript"/>
        </w:rPr>
        <w:t xml:space="preserve">1</w:t>
      </w:r>
      <w:r>
        <w:rPr>
          <w:rFonts w:ascii="Times New Roman" w:hAnsi="Times New Roman" w:eastAsia="宋体"/>
          <w:color w:val="000000"/>
          <w:sz w:val="21"/>
          <w:szCs w:val="21"/>
          <w:highlight w:val="none"/>
          <w:shd w:val="clear" w:color="auto" w:fill="ffffff"/>
        </w:rPr>
        <w:t xml:space="preserve">，生产厂为</w:t>
      </w:r>
      <w:r>
        <w:rPr>
          <w:rStyle w:val="1219"/>
          <w:rFonts w:ascii="Times New Roman" w:hAnsi="Times New Roman" w:eastAsia="宋体"/>
          <w:i w:val="0"/>
          <w:color w:val="000000"/>
          <w:sz w:val="21"/>
          <w:szCs w:val="21"/>
          <w:highlight w:val="none"/>
          <w:u w:val="single"/>
          <w:shd w:val="clear" w:color="auto" w:fill="ffffff"/>
        </w:rPr>
        <w:t xml:space="preserve">（厂名）</w:t>
      </w:r>
      <w:r>
        <w:rPr>
          <w:rStyle w:val="1219"/>
          <w:rFonts w:ascii="Times New Roman" w:hAnsi="Times New Roman" w:eastAsia="宋体"/>
          <w:i w:val="0"/>
          <w:color w:val="000000"/>
          <w:sz w:val="21"/>
          <w:szCs w:val="21"/>
          <w:highlight w:val="none"/>
          <w:shd w:val="clear" w:color="auto" w:fill="ffffff"/>
          <w:vertAlign w:val="superscript"/>
        </w:rPr>
        <w:t xml:space="preserve">2</w:t>
      </w:r>
      <w:r>
        <w:rPr>
          <w:rFonts w:ascii="Times New Roman" w:hAnsi="Times New Roman" w:eastAsia="宋体"/>
          <w:color w:val="000000"/>
          <w:sz w:val="21"/>
          <w:szCs w:val="21"/>
          <w:highlight w:val="none"/>
          <w:shd w:val="clear" w:color="auto" w:fill="ffffff"/>
        </w:rPr>
        <w:t xml:space="preserve">，厂址为</w:t>
      </w:r>
      <w:r>
        <w:rPr>
          <w:rStyle w:val="1219"/>
          <w:rFonts w:ascii="Times New Roman" w:hAnsi="Times New Roman" w:eastAsia="宋体"/>
          <w:i w:val="0"/>
          <w:color w:val="000000"/>
          <w:sz w:val="21"/>
          <w:szCs w:val="21"/>
          <w:highlight w:val="none"/>
          <w:u w:val="single"/>
          <w:shd w:val="clear" w:color="auto" w:fill="ffffff"/>
        </w:rPr>
        <w:t xml:space="preserve">（生产厂址）</w:t>
      </w:r>
      <w:r>
        <w:rPr>
          <w:rFonts w:ascii="Times New Roman" w:hAnsi="Times New Roman" w:eastAsia="宋体"/>
          <w:color w:val="000000"/>
          <w:sz w:val="21"/>
          <w:szCs w:val="21"/>
          <w:highlight w:val="none"/>
          <w:shd w:val="clear" w:color="auto" w:fill="ffffff"/>
        </w:rPr>
        <w:t xml:space="preserve">。</w:t>
      </w:r>
      <w:r>
        <w:rPr>
          <w:rFonts w:ascii="Times New Roman" w:hAnsi="Times New Roman" w:eastAsia="宋体"/>
          <w:color w:val="000000"/>
          <w:sz w:val="21"/>
          <w:szCs w:val="21"/>
          <w:highlight w:val="none"/>
          <w:u w:val="single"/>
          <w:shd w:val="clear" w:color="auto" w:fill="ffffff"/>
        </w:rPr>
        <w:t xml:space="preserve"> </w:t>
      </w:r>
      <w:r>
        <w:rPr>
          <w:rStyle w:val="1219"/>
          <w:rFonts w:ascii="Times New Roman" w:hAnsi="Times New Roman" w:eastAsia="宋体"/>
          <w:i w:val="0"/>
          <w:color w:val="000000"/>
          <w:sz w:val="21"/>
          <w:szCs w:val="21"/>
          <w:highlight w:val="none"/>
          <w:u w:val="single"/>
          <w:shd w:val="clear" w:color="auto" w:fill="ffffff"/>
        </w:rPr>
        <w:t xml:space="preserve">（产品名称1） </w:t>
      </w:r>
      <w:r>
        <w:rPr>
          <w:rFonts w:ascii="Times New Roman" w:hAnsi="Times New Roman" w:eastAsia="宋体"/>
          <w:color w:val="000000"/>
          <w:sz w:val="21"/>
          <w:szCs w:val="21"/>
          <w:highlight w:val="none"/>
          <w:shd w:val="clear" w:color="auto" w:fill="ffffff"/>
        </w:rPr>
        <w:t xml:space="preserve">的中国境内生产的组件成本占比≥</w:t>
      </w:r>
      <w:r>
        <w:rPr>
          <w:rStyle w:val="1219"/>
          <w:rFonts w:ascii="Times New Roman" w:hAnsi="Times New Roman" w:eastAsia="宋体"/>
          <w:i w:val="0"/>
          <w:color w:val="000000"/>
          <w:sz w:val="21"/>
          <w:szCs w:val="21"/>
          <w:highlight w:val="none"/>
          <w:u w:val="single"/>
          <w:shd w:val="clear" w:color="auto" w:fill="ffffff"/>
        </w:rPr>
        <w:t xml:space="preserve">（规定比例）</w:t>
      </w:r>
      <w:r>
        <w:rPr>
          <w:rStyle w:val="1219"/>
          <w:rFonts w:ascii="Times New Roman" w:hAnsi="Times New Roman" w:eastAsia="宋体"/>
          <w:i w:val="0"/>
          <w:color w:val="000000"/>
          <w:sz w:val="21"/>
          <w:szCs w:val="21"/>
          <w:highlight w:val="none"/>
          <w:shd w:val="clear" w:color="auto" w:fill="ffffff"/>
          <w:vertAlign w:val="superscript"/>
        </w:rPr>
        <w:t xml:space="preserve">3</w:t>
      </w:r>
      <w:r>
        <w:rPr>
          <w:rFonts w:ascii="Times New Roman" w:hAnsi="Times New Roman" w:eastAsia="宋体"/>
          <w:color w:val="000000"/>
          <w:sz w:val="21"/>
          <w:szCs w:val="21"/>
          <w:highlight w:val="none"/>
          <w:shd w:val="clear" w:color="auto" w:fill="ffffff"/>
        </w:rPr>
        <w:t xml:space="preserve">。</w:t>
      </w:r>
      <w:r>
        <w:rPr>
          <w:rStyle w:val="1219"/>
          <w:rFonts w:ascii="Times New Roman" w:hAnsi="Times New Roman" w:eastAsia="宋体"/>
          <w:i w:val="0"/>
          <w:color w:val="000000"/>
          <w:sz w:val="21"/>
          <w:szCs w:val="21"/>
          <w:highlight w:val="none"/>
          <w:u w:val="single"/>
          <w:shd w:val="clear" w:color="auto" w:fill="ffffff"/>
        </w:rPr>
        <w:t xml:space="preserve">（产品名称1）</w:t>
      </w:r>
      <w:r>
        <w:rPr>
          <w:rFonts w:ascii="Times New Roman" w:hAnsi="Times New Roman" w:eastAsia="宋体"/>
          <w:color w:val="000000"/>
          <w:sz w:val="21"/>
          <w:szCs w:val="21"/>
          <w:highlight w:val="none"/>
          <w:shd w:val="clear" w:color="auto" w:fill="ffffff"/>
        </w:rPr>
        <w:t xml:space="preserve">的</w:t>
      </w:r>
      <w:r>
        <w:rPr>
          <w:rStyle w:val="1219"/>
          <w:rFonts w:ascii="Times New Roman" w:hAnsi="Times New Roman" w:eastAsia="宋体"/>
          <w:i w:val="0"/>
          <w:color w:val="000000"/>
          <w:sz w:val="21"/>
          <w:szCs w:val="21"/>
          <w:highlight w:val="none"/>
          <w:u w:val="single"/>
          <w:shd w:val="clear" w:color="auto" w:fill="ffffff"/>
        </w:rPr>
        <w:t xml:space="preserve">（关键组件）</w:t>
      </w:r>
      <w:r>
        <w:rPr>
          <w:rStyle w:val="1219"/>
          <w:rFonts w:ascii="Times New Roman" w:hAnsi="Times New Roman" w:eastAsia="宋体"/>
          <w:i w:val="0"/>
          <w:color w:val="000000"/>
          <w:sz w:val="21"/>
          <w:szCs w:val="21"/>
          <w:highlight w:val="none"/>
          <w:shd w:val="clear" w:color="auto" w:fill="ffffff"/>
          <w:vertAlign w:val="superscript"/>
        </w:rPr>
        <w:t xml:space="preserve">4</w:t>
      </w:r>
      <w:r>
        <w:rPr>
          <w:rFonts w:ascii="Times New Roman" w:hAnsi="Times New Roman" w:eastAsia="宋体"/>
          <w:color w:val="000000"/>
          <w:sz w:val="21"/>
          <w:szCs w:val="21"/>
          <w:highlight w:val="none"/>
          <w:shd w:val="clear" w:color="auto" w:fill="ffffff"/>
        </w:rPr>
        <w:t xml:space="preserve">在中国境内生产。</w:t>
      </w:r>
      <w:r>
        <w:rPr>
          <w:rStyle w:val="1219"/>
          <w:rFonts w:ascii="Times New Roman" w:hAnsi="Times New Roman" w:eastAsia="宋体"/>
          <w:i w:val="0"/>
          <w:color w:val="000000"/>
          <w:sz w:val="21"/>
          <w:szCs w:val="21"/>
          <w:highlight w:val="none"/>
          <w:u w:val="single"/>
          <w:shd w:val="clear" w:color="auto" w:fill="ffffff"/>
        </w:rPr>
        <w:t xml:space="preserve">（产品名称1）</w:t>
      </w:r>
      <w:r>
        <w:rPr>
          <w:rFonts w:ascii="Times New Roman" w:hAnsi="Times New Roman" w:eastAsia="宋体"/>
          <w:color w:val="000000"/>
          <w:sz w:val="21"/>
          <w:szCs w:val="21"/>
          <w:highlight w:val="none"/>
          <w:shd w:val="clear" w:color="auto" w:fill="ffffff"/>
        </w:rPr>
        <w:t xml:space="preserve">的</w:t>
      </w:r>
      <w:r>
        <w:rPr>
          <w:rStyle w:val="1219"/>
          <w:rFonts w:ascii="Times New Roman" w:hAnsi="Times New Roman" w:eastAsia="宋体"/>
          <w:i w:val="0"/>
          <w:color w:val="000000"/>
          <w:sz w:val="21"/>
          <w:szCs w:val="21"/>
          <w:highlight w:val="none"/>
          <w:u w:val="single"/>
          <w:shd w:val="clear" w:color="auto" w:fill="ffffff"/>
        </w:rPr>
        <w:t xml:space="preserve">（关键工序）</w:t>
      </w:r>
      <w:r>
        <w:rPr>
          <w:rStyle w:val="1219"/>
          <w:rFonts w:ascii="Times New Roman" w:hAnsi="Times New Roman" w:eastAsia="宋体"/>
          <w:i w:val="0"/>
          <w:color w:val="000000"/>
          <w:sz w:val="21"/>
          <w:szCs w:val="21"/>
          <w:highlight w:val="none"/>
          <w:shd w:val="clear" w:color="auto" w:fill="ffffff"/>
          <w:vertAlign w:val="superscript"/>
        </w:rPr>
        <w:t xml:space="preserve">5</w:t>
      </w:r>
      <w:r>
        <w:rPr>
          <w:rFonts w:ascii="Times New Roman" w:hAnsi="Times New Roman" w:eastAsia="宋体"/>
          <w:color w:val="000000"/>
          <w:sz w:val="21"/>
          <w:szCs w:val="21"/>
          <w:highlight w:val="none"/>
          <w:shd w:val="clear" w:color="auto" w:fill="ffffff"/>
        </w:rPr>
        <w:t xml:space="preserve">在中国境内完成。</w:t>
      </w:r>
      <w:r>
        <w:rPr>
          <w:rFonts w:ascii="Times New Roman" w:hAnsi="Times New Roman" w:eastAsia="宋体"/>
          <w:color w:val="000000"/>
          <w:sz w:val="21"/>
          <w:szCs w:val="21"/>
          <w:highlight w:val="none"/>
        </w:rPr>
      </w:r>
      <w:r/>
    </w:p>
    <w:p>
      <w:pPr>
        <w:pStyle w:val="1208"/>
        <w:ind w:firstLine="420"/>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宋体"/>
          <w:color w:val="000000"/>
          <w:sz w:val="21"/>
          <w:szCs w:val="21"/>
          <w:highlight w:val="none"/>
          <w:shd w:val="clear" w:color="auto" w:fill="ffffff"/>
        </w:rPr>
        <w:t xml:space="preserve">2.</w:t>
      </w:r>
      <w:r>
        <w:rPr>
          <w:rStyle w:val="1219"/>
          <w:rFonts w:ascii="Times New Roman" w:hAnsi="Times New Roman" w:eastAsia="宋体"/>
          <w:i w:val="0"/>
          <w:color w:val="000000"/>
          <w:sz w:val="21"/>
          <w:szCs w:val="21"/>
          <w:highlight w:val="none"/>
          <w:u w:val="single"/>
          <w:shd w:val="clear" w:color="auto" w:fill="ffffff"/>
        </w:rPr>
        <w:t xml:space="preserve">（产品名称2）</w:t>
      </w:r>
      <w:r>
        <w:rPr>
          <w:rFonts w:ascii="Times New Roman" w:hAnsi="Times New Roman" w:eastAsia="宋体"/>
          <w:color w:val="000000"/>
          <w:sz w:val="21"/>
          <w:szCs w:val="21"/>
          <w:highlight w:val="none"/>
          <w:shd w:val="clear" w:color="auto" w:fill="ffffff"/>
        </w:rPr>
        <w:t xml:space="preserve">，生产厂为</w:t>
      </w:r>
      <w:r>
        <w:rPr>
          <w:rStyle w:val="1219"/>
          <w:rFonts w:ascii="Times New Roman" w:hAnsi="Times New Roman" w:eastAsia="宋体"/>
          <w:i w:val="0"/>
          <w:color w:val="000000"/>
          <w:sz w:val="21"/>
          <w:szCs w:val="21"/>
          <w:highlight w:val="none"/>
          <w:u w:val="single"/>
          <w:shd w:val="clear" w:color="auto" w:fill="ffffff"/>
        </w:rPr>
        <w:t xml:space="preserve">（厂名）</w:t>
      </w:r>
      <w:r>
        <w:rPr>
          <w:rFonts w:ascii="Times New Roman" w:hAnsi="Times New Roman" w:eastAsia="宋体"/>
          <w:color w:val="000000"/>
          <w:sz w:val="21"/>
          <w:szCs w:val="21"/>
          <w:highlight w:val="none"/>
          <w:shd w:val="clear" w:color="auto" w:fill="ffffff"/>
        </w:rPr>
        <w:t xml:space="preserve">，厂址为</w:t>
      </w:r>
      <w:r>
        <w:rPr>
          <w:rStyle w:val="1219"/>
          <w:rFonts w:ascii="Times New Roman" w:hAnsi="Times New Roman" w:eastAsia="宋体"/>
          <w:i w:val="0"/>
          <w:color w:val="000000"/>
          <w:sz w:val="21"/>
          <w:szCs w:val="21"/>
          <w:highlight w:val="none"/>
          <w:u w:val="single"/>
          <w:shd w:val="clear" w:color="auto" w:fill="ffffff"/>
        </w:rPr>
        <w:t xml:space="preserve">（生产厂址）</w:t>
      </w:r>
      <w:r>
        <w:rPr>
          <w:rFonts w:ascii="Times New Roman" w:hAnsi="Times New Roman" w:eastAsia="宋体"/>
          <w:color w:val="000000"/>
          <w:sz w:val="21"/>
          <w:szCs w:val="21"/>
          <w:highlight w:val="none"/>
          <w:shd w:val="clear" w:color="auto" w:fill="ffffff"/>
        </w:rPr>
        <w:t xml:space="preserve">。</w:t>
      </w:r>
      <w:r>
        <w:rPr>
          <w:rStyle w:val="1219"/>
          <w:rFonts w:ascii="Times New Roman" w:hAnsi="Times New Roman" w:eastAsia="宋体"/>
          <w:i w:val="0"/>
          <w:color w:val="000000"/>
          <w:sz w:val="21"/>
          <w:szCs w:val="21"/>
          <w:highlight w:val="none"/>
          <w:u w:val="single"/>
          <w:shd w:val="clear" w:color="auto" w:fill="ffffff"/>
        </w:rPr>
        <w:t xml:space="preserve">（产品名称2）</w:t>
      </w:r>
      <w:r>
        <w:rPr>
          <w:rFonts w:ascii="Times New Roman" w:hAnsi="Times New Roman" w:eastAsia="宋体"/>
          <w:color w:val="000000"/>
          <w:sz w:val="21"/>
          <w:szCs w:val="21"/>
          <w:highlight w:val="none"/>
          <w:shd w:val="clear" w:color="auto" w:fill="ffffff"/>
        </w:rPr>
        <w:t xml:space="preserve">的中国境内生产的组件成本占比≥</w:t>
      </w:r>
      <w:r>
        <w:rPr>
          <w:rStyle w:val="1219"/>
          <w:rFonts w:ascii="Times New Roman" w:hAnsi="Times New Roman" w:eastAsia="宋体"/>
          <w:i w:val="0"/>
          <w:color w:val="000000"/>
          <w:sz w:val="21"/>
          <w:szCs w:val="21"/>
          <w:highlight w:val="none"/>
          <w:u w:val="single"/>
          <w:shd w:val="clear" w:color="auto" w:fill="ffffff"/>
        </w:rPr>
        <w:t xml:space="preserve">（规定比例）</w:t>
      </w:r>
      <w:r>
        <w:rPr>
          <w:rFonts w:ascii="Times New Roman" w:hAnsi="Times New Roman" w:eastAsia="宋体"/>
          <w:color w:val="000000"/>
          <w:sz w:val="21"/>
          <w:szCs w:val="21"/>
          <w:highlight w:val="none"/>
          <w:shd w:val="clear" w:color="auto" w:fill="ffffff"/>
        </w:rPr>
        <w:t xml:space="preserve">。</w:t>
      </w:r>
      <w:r>
        <w:rPr>
          <w:rStyle w:val="1219"/>
          <w:rFonts w:ascii="Times New Roman" w:hAnsi="Times New Roman" w:eastAsia="宋体"/>
          <w:i w:val="0"/>
          <w:color w:val="000000"/>
          <w:sz w:val="21"/>
          <w:szCs w:val="21"/>
          <w:highlight w:val="none"/>
          <w:u w:val="single"/>
          <w:shd w:val="clear" w:color="auto" w:fill="ffffff"/>
        </w:rPr>
        <w:t xml:space="preserve">（产品名称2）</w:t>
      </w:r>
      <w:r>
        <w:rPr>
          <w:rFonts w:ascii="Times New Roman" w:hAnsi="Times New Roman" w:eastAsia="宋体"/>
          <w:color w:val="000000"/>
          <w:sz w:val="21"/>
          <w:szCs w:val="21"/>
          <w:highlight w:val="none"/>
          <w:shd w:val="clear" w:color="auto" w:fill="ffffff"/>
        </w:rPr>
        <w:t xml:space="preserve">的</w:t>
      </w:r>
      <w:r>
        <w:rPr>
          <w:rStyle w:val="1219"/>
          <w:rFonts w:ascii="Times New Roman" w:hAnsi="Times New Roman" w:eastAsia="宋体"/>
          <w:i w:val="0"/>
          <w:color w:val="000000"/>
          <w:sz w:val="21"/>
          <w:szCs w:val="21"/>
          <w:highlight w:val="none"/>
          <w:u w:val="single"/>
          <w:shd w:val="clear" w:color="auto" w:fill="ffffff"/>
        </w:rPr>
        <w:t xml:space="preserve">（关键组件）</w:t>
      </w:r>
      <w:r>
        <w:rPr>
          <w:rFonts w:ascii="Times New Roman" w:hAnsi="Times New Roman" w:eastAsia="宋体"/>
          <w:color w:val="000000"/>
          <w:sz w:val="21"/>
          <w:szCs w:val="21"/>
          <w:highlight w:val="none"/>
          <w:shd w:val="clear" w:color="auto" w:fill="ffffff"/>
        </w:rPr>
        <w:t xml:space="preserve">在中国境内生产。</w:t>
      </w:r>
      <w:r>
        <w:rPr>
          <w:rStyle w:val="1219"/>
          <w:rFonts w:ascii="Times New Roman" w:hAnsi="Times New Roman" w:eastAsia="宋体"/>
          <w:i w:val="0"/>
          <w:color w:val="000000"/>
          <w:sz w:val="21"/>
          <w:szCs w:val="21"/>
          <w:highlight w:val="none"/>
          <w:u w:val="single"/>
          <w:shd w:val="clear" w:color="auto" w:fill="ffffff"/>
        </w:rPr>
        <w:t xml:space="preserve">（产品名称1）</w:t>
      </w:r>
      <w:r>
        <w:rPr>
          <w:rFonts w:ascii="Times New Roman" w:hAnsi="Times New Roman" w:eastAsia="宋体"/>
          <w:color w:val="000000"/>
          <w:sz w:val="21"/>
          <w:szCs w:val="21"/>
          <w:highlight w:val="none"/>
          <w:shd w:val="clear" w:color="auto" w:fill="ffffff"/>
        </w:rPr>
        <w:t xml:space="preserve">的</w:t>
      </w:r>
      <w:r>
        <w:rPr>
          <w:rStyle w:val="1219"/>
          <w:rFonts w:ascii="Times New Roman" w:hAnsi="Times New Roman" w:eastAsia="宋体"/>
          <w:i w:val="0"/>
          <w:color w:val="000000"/>
          <w:sz w:val="21"/>
          <w:szCs w:val="21"/>
          <w:highlight w:val="none"/>
          <w:u w:val="single"/>
          <w:shd w:val="clear" w:color="auto" w:fill="ffffff"/>
        </w:rPr>
        <w:t xml:space="preserve">（关键工序）</w:t>
      </w:r>
      <w:r>
        <w:rPr>
          <w:rFonts w:ascii="Times New Roman" w:hAnsi="Times New Roman" w:eastAsia="宋体"/>
          <w:color w:val="000000"/>
          <w:sz w:val="21"/>
          <w:szCs w:val="21"/>
          <w:highlight w:val="none"/>
          <w:shd w:val="clear" w:color="auto" w:fill="ffffff"/>
        </w:rPr>
        <w:t xml:space="preserve">在中国境内完成。</w:t>
      </w:r>
      <w:r>
        <w:rPr>
          <w:rFonts w:ascii="Times New Roman" w:hAnsi="Times New Roman" w:eastAsia="宋体"/>
          <w:color w:val="000000"/>
          <w:sz w:val="21"/>
          <w:szCs w:val="21"/>
          <w:highlight w:val="none"/>
        </w:rPr>
      </w:r>
      <w:r/>
    </w:p>
    <w:p>
      <w:pPr>
        <w:pStyle w:val="1208"/>
        <w:ind w:firstLine="420"/>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shd w:val="clear" w:color="auto" w:fill="ffffff"/>
        </w:rPr>
        <w:t xml:space="preserve">……</w:t>
      </w:r>
      <w:r>
        <w:rPr>
          <w:rFonts w:ascii="Times New Roman" w:hAnsi="Times New Roman" w:eastAsia="宋体"/>
          <w:color w:val="000000"/>
          <w:sz w:val="21"/>
          <w:szCs w:val="21"/>
          <w:highlight w:val="none"/>
        </w:rPr>
      </w:r>
      <w:r/>
    </w:p>
    <w:p>
      <w:pPr>
        <w:pStyle w:val="1208"/>
        <w:ind w:firstLine="420"/>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shd w:val="clear" w:color="auto" w:fill="ffffff"/>
        </w:rPr>
        <w:t xml:space="preserve">本公司（单位）对上述声明内容的真实性负责。如有虚假，愿承担相应法律责任。</w:t>
      </w:r>
      <w:r>
        <w:rPr>
          <w:rFonts w:ascii="Times New Roman" w:hAnsi="Times New Roman" w:eastAsia="宋体"/>
          <w:color w:val="000000"/>
          <w:sz w:val="21"/>
          <w:szCs w:val="21"/>
          <w:highlight w:val="none"/>
        </w:rPr>
      </w:r>
      <w:r/>
    </w:p>
    <w:p>
      <w:pPr>
        <w:pStyle w:val="1208"/>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208"/>
        <w:ind w:right="480" w:firstLine="3255"/>
        <w:spacing w:before="30" w:beforeAutospacing="0" w:after="3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shd w:val="clear" w:color="auto" w:fill="ffffff"/>
        </w:rPr>
        <w:t xml:space="preserve">公司（单位）名称（盖章）：　        </w:t>
      </w:r>
      <w:r>
        <w:rPr>
          <w:rFonts w:ascii="Times New Roman" w:hAnsi="Times New Roman" w:eastAsia="宋体"/>
          <w:color w:val="000000"/>
          <w:sz w:val="21"/>
          <w:szCs w:val="21"/>
          <w:highlight w:val="none"/>
        </w:rPr>
      </w:r>
      <w:r/>
    </w:p>
    <w:p>
      <w:pPr>
        <w:pStyle w:val="1208"/>
        <w:jc w:val="center"/>
        <w:spacing w:before="30" w:beforeAutospacing="0" w:after="30" w:afterAutospacing="0" w:line="360" w:lineRule="auto"/>
        <w:rPr>
          <w:rFonts w:ascii="Times New Roman" w:hAnsi="Times New Roman" w:eastAsia="宋体"/>
          <w:color w:val="000000"/>
          <w:highlight w:val="none"/>
        </w:rPr>
      </w:pPr>
      <w:r>
        <w:rPr>
          <w:rFonts w:ascii="Times New Roman" w:hAnsi="Times New Roman" w:eastAsia="宋体"/>
          <w:color w:val="000000"/>
          <w:sz w:val="21"/>
          <w:szCs w:val="21"/>
          <w:highlight w:val="none"/>
          <w:shd w:val="clear" w:color="auto" w:fill="ffffff"/>
        </w:rPr>
        <w:t xml:space="preserve">                                日期：　   年　  月　  日</w:t>
      </w:r>
      <w:r>
        <w:rPr>
          <w:rFonts w:ascii="Times New Roman" w:hAnsi="Times New Roman" w:eastAsia="宋体"/>
          <w:color w:val="000000"/>
          <w:highlight w:val="none"/>
          <w:shd w:val="clear" w:color="auto" w:fill="ffffff"/>
        </w:rPr>
        <w:t xml:space="preserve">         </w:t>
      </w:r>
      <w:r>
        <w:rPr>
          <w:rFonts w:ascii="Times New Roman" w:hAnsi="Times New Roman" w:eastAsia="宋体"/>
          <w:color w:val="000000"/>
          <w:highlight w:val="none"/>
        </w:rPr>
      </w:r>
      <w:r/>
    </w:p>
    <w:p>
      <w:pPr>
        <w:pStyle w:val="1208"/>
        <w:spacing w:before="30" w:beforeAutospacing="0" w:after="30" w:afterAutospacing="0" w:line="360" w:lineRule="auto"/>
        <w:rPr>
          <w:rFonts w:ascii="Times New Roman" w:hAnsi="Times New Roman" w:eastAsia="宋体"/>
          <w:color w:val="000000"/>
          <w:highlight w:val="none"/>
        </w:rPr>
      </w:pPr>
      <w:r>
        <w:rPr>
          <w:rFonts w:ascii="Times New Roman" w:hAnsi="Times New Roman" w:eastAsia="宋体"/>
          <w:color w:val="000000"/>
          <w:highlight w:val="none"/>
          <w:shd w:val="clear" w:color="auto" w:fill="ffffff"/>
        </w:rPr>
        <w:t xml:space="preserve">__________________</w:t>
      </w:r>
      <w:r>
        <w:rPr>
          <w:rFonts w:ascii="Times New Roman" w:hAnsi="Times New Roman" w:eastAsia="宋体"/>
          <w:color w:val="000000"/>
          <w:highlight w:val="none"/>
        </w:rPr>
      </w:r>
      <w:r/>
    </w:p>
    <w:p>
      <w:pPr>
        <w:pStyle w:val="1208"/>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1.产品如有型号，请在“产品名称”栏一并填写。</w:t>
      </w:r>
      <w:r>
        <w:rPr>
          <w:rFonts w:ascii="Times New Roman" w:hAnsi="Times New Roman" w:eastAsia="宋体"/>
          <w:color w:val="000000"/>
          <w:sz w:val="22"/>
          <w:highlight w:val="none"/>
        </w:rPr>
      </w:r>
      <w:r/>
    </w:p>
    <w:p>
      <w:pPr>
        <w:pStyle w:val="1208"/>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2.生产厂名与厂址应与生产厂营业执照载明的相关信息保持一致。</w:t>
      </w:r>
      <w:r>
        <w:rPr>
          <w:rFonts w:ascii="Times New Roman" w:hAnsi="Times New Roman" w:eastAsia="宋体"/>
          <w:color w:val="000000"/>
          <w:sz w:val="22"/>
          <w:highlight w:val="none"/>
        </w:rPr>
      </w:r>
      <w:r/>
    </w:p>
    <w:p>
      <w:pPr>
        <w:pStyle w:val="1208"/>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3.该产品的中国境内生产的组件成本占比相关要求实施前，“规定比例”栏可不填，下同。</w:t>
      </w:r>
      <w:r>
        <w:rPr>
          <w:rFonts w:ascii="Times New Roman" w:hAnsi="Times New Roman" w:eastAsia="宋体"/>
          <w:color w:val="000000"/>
          <w:sz w:val="22"/>
          <w:highlight w:val="none"/>
        </w:rPr>
      </w:r>
      <w:r/>
    </w:p>
    <w:p>
      <w:pPr>
        <w:pStyle w:val="1208"/>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4.该产品的关键组件要求实施前，“关键组件”栏可不填，下同。</w:t>
      </w:r>
      <w:r>
        <w:rPr>
          <w:rFonts w:ascii="Times New Roman" w:hAnsi="Times New Roman" w:eastAsia="宋体"/>
          <w:color w:val="000000"/>
          <w:sz w:val="22"/>
          <w:highlight w:val="none"/>
        </w:rPr>
      </w:r>
      <w:r/>
    </w:p>
    <w:p>
      <w:pPr>
        <w:pStyle w:val="1208"/>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5.该产品的关键工序要求实施前，“关键工序”栏可不填，下同。</w:t>
      </w:r>
      <w:r>
        <w:rPr>
          <w:rFonts w:ascii="Times New Roman" w:hAnsi="Times New Roman" w:eastAsia="宋体"/>
          <w:color w:val="000000"/>
          <w:sz w:val="22"/>
          <w:highlight w:val="none"/>
          <w:shd w:val="clear" w:color="auto" w:fill="ffffff"/>
        </w:rPr>
      </w:r>
      <w:r/>
    </w:p>
    <w:p>
      <w:pPr>
        <w:pStyle w:val="1208"/>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6.用斜线划除的地方无需填写。</w:t>
      </w:r>
      <w:r>
        <w:rPr>
          <w:rFonts w:ascii="Times New Roman" w:hAnsi="Times New Roman" w:eastAsia="宋体"/>
          <w:color w:val="000000"/>
          <w:sz w:val="22"/>
          <w:highlight w:val="none"/>
          <w:shd w:val="clear" w:color="auto" w:fill="ffffff"/>
        </w:rPr>
      </w:r>
      <w:r/>
    </w:p>
    <w:p>
      <w:pPr>
        <w:pStyle w:val="1208"/>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eastAsia="宋体"/>
          <w:color w:val="000000"/>
          <w:sz w:val="22"/>
          <w:highlight w:val="none"/>
          <w:shd w:val="clear" w:color="auto" w:fill="ffffff"/>
        </w:rPr>
      </w:r>
      <w:r/>
    </w:p>
    <w:p>
      <w:pPr>
        <w:pStyle w:val="1166"/>
        <w:ind w:right="1560"/>
        <w:spacing w:line="360" w:lineRule="auto"/>
        <w:tabs>
          <w:tab w:val="left" w:pos="4860" w:leader="none"/>
        </w:tabs>
        <w:rPr>
          <w:b/>
          <w:color w:val="000000"/>
          <w:sz w:val="24"/>
          <w:szCs w:val="24"/>
          <w:highlight w:val="none"/>
        </w:rPr>
      </w:pPr>
      <w:r>
        <w:rPr>
          <w:color w:val="000000"/>
          <w:sz w:val="22"/>
          <w:highlight w:val="none"/>
          <w:shd w:val="clear" w:color="auto" w:fill="ffffff"/>
        </w:rPr>
        <w:t xml:space="preserve">8.中标、成交供应商提供的《声明函》或有关证明文件将随中标、成交结果同时公告。</w:t>
      </w:r>
      <w:r>
        <w:rPr>
          <w:b/>
          <w:color w:val="000000"/>
          <w:sz w:val="24"/>
          <w:szCs w:val="24"/>
          <w:highlight w:val="none"/>
        </w:rPr>
      </w:r>
      <w:r/>
    </w:p>
    <w:p>
      <w:pPr>
        <w:pStyle w:val="1166"/>
        <w:ind w:right="-5"/>
        <w:spacing w:line="360" w:lineRule="auto"/>
        <w:rPr>
          <w:b/>
          <w:color w:val="000000"/>
          <w:sz w:val="24"/>
          <w:szCs w:val="24"/>
          <w:highlight w:val="none"/>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b/>
          <w:color w:val="000000"/>
          <w:sz w:val="24"/>
          <w:szCs w:val="24"/>
          <w:highlight w:val="none"/>
        </w:rPr>
      </w:r>
      <w:r/>
    </w:p>
    <w:p>
      <w:pPr>
        <w:pStyle w:val="1166"/>
        <w:spacing w:after="156" w:line="440" w:lineRule="exact"/>
        <w:rPr>
          <w:b/>
          <w:bCs/>
          <w:color w:val="000000"/>
          <w:sz w:val="24"/>
          <w:szCs w:val="22"/>
          <w:highlight w:val="none"/>
          <w:lang w:val="zh-CN"/>
        </w:rPr>
        <w:outlineLvl w:val="1"/>
      </w:pPr>
      <w:r/>
      <w:bookmarkStart w:id="302" w:name="_Toc10421"/>
      <w:r/>
      <w:bookmarkStart w:id="303" w:name="_Toc4696435"/>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供应商基本情况表</w:t>
      </w:r>
      <w:bookmarkEnd w:id="302"/>
      <w:r>
        <w:rPr>
          <w:b/>
          <w:bCs/>
          <w:color w:val="000000"/>
          <w:sz w:val="24"/>
          <w:szCs w:val="22"/>
          <w:highlight w:val="none"/>
          <w:lang w:val="zh-CN"/>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166"/>
              <w:jc w:val="center"/>
              <w:spacing w:line="312" w:lineRule="atLeast"/>
              <w:rPr>
                <w:b/>
                <w:bCs/>
                <w:color w:val="000000"/>
                <w:szCs w:val="21"/>
                <w:highlight w:val="none"/>
              </w:rPr>
            </w:pPr>
            <w:r>
              <w:rPr>
                <w:b/>
                <w:bCs/>
                <w:color w:val="000000"/>
                <w:szCs w:val="21"/>
                <w:highlight w:val="none"/>
              </w:rPr>
              <w:t xml:space="preserve">供应商名称</w:t>
            </w:r>
            <w:r>
              <w:rPr>
                <w:b/>
                <w:bCs/>
                <w:color w:val="000000"/>
                <w:szCs w:val="21"/>
                <w:highlight w:val="none"/>
              </w:rPr>
            </w:r>
            <w:r/>
          </w:p>
        </w:tc>
        <w:tc>
          <w:tcPr>
            <w:tcW w:w="7513" w:type="dxa"/>
            <w:vAlign w:val="center"/>
            <w:textDirection w:val="lrTb"/>
            <w:noWrap w:val="false"/>
          </w:tcPr>
          <w:p>
            <w:pPr>
              <w:pStyle w:val="1166"/>
              <w:spacing w:line="312" w:lineRule="atLeast"/>
              <w:rPr>
                <w:b/>
                <w:bCs/>
                <w:color w:val="000000"/>
                <w:szCs w:val="21"/>
                <w:highlight w:val="none"/>
              </w:rPr>
            </w:pPr>
            <w:r>
              <w:rPr>
                <w:b/>
                <w:bCs/>
                <w:color w:val="000000"/>
                <w:szCs w:val="21"/>
                <w:highlight w:val="none"/>
              </w:rPr>
            </w:r>
            <w:r/>
          </w:p>
        </w:tc>
      </w:tr>
      <w:tr>
        <w:trPr>
          <w:trHeight w:val="986"/>
        </w:trPr>
        <w:tc>
          <w:tcPr>
            <w:tcW w:w="1809" w:type="dxa"/>
            <w:vAlign w:val="center"/>
            <w:textDirection w:val="lrTb"/>
            <w:noWrap w:val="false"/>
          </w:tcPr>
          <w:p>
            <w:pPr>
              <w:pStyle w:val="1166"/>
              <w:jc w:val="center"/>
              <w:spacing w:line="312" w:lineRule="atLeast"/>
              <w:rPr>
                <w:b/>
                <w:bCs/>
                <w:color w:val="000000"/>
                <w:szCs w:val="21"/>
                <w:highlight w:val="none"/>
              </w:rPr>
            </w:pPr>
            <w:r>
              <w:rPr>
                <w:b/>
                <w:bCs/>
                <w:color w:val="000000"/>
                <w:szCs w:val="21"/>
                <w:highlight w:val="none"/>
              </w:rPr>
              <w:t xml:space="preserve">社会机构统一信用代码</w:t>
            </w:r>
            <w:r>
              <w:rPr>
                <w:b/>
                <w:bCs/>
                <w:color w:val="000000"/>
                <w:szCs w:val="21"/>
                <w:highlight w:val="none"/>
              </w:rPr>
            </w:r>
            <w:r/>
          </w:p>
        </w:tc>
        <w:tc>
          <w:tcPr>
            <w:tcW w:w="7513" w:type="dxa"/>
            <w:vAlign w:val="center"/>
            <w:textDirection w:val="lrTb"/>
            <w:noWrap w:val="false"/>
          </w:tcPr>
          <w:p>
            <w:pPr>
              <w:pStyle w:val="1166"/>
              <w:spacing w:line="312" w:lineRule="atLeast"/>
              <w:rPr>
                <w:b/>
                <w:bCs/>
                <w:color w:val="000000"/>
                <w:szCs w:val="21"/>
                <w:highlight w:val="none"/>
              </w:rPr>
            </w:pPr>
            <w:r>
              <w:rPr>
                <w:b/>
                <w:bCs/>
                <w:color w:val="000000"/>
                <w:szCs w:val="21"/>
                <w:highlight w:val="none"/>
              </w:rPr>
            </w:r>
            <w:r/>
          </w:p>
        </w:tc>
      </w:tr>
      <w:tr>
        <w:trPr>
          <w:trHeight w:val="1114"/>
        </w:trPr>
        <w:tc>
          <w:tcPr>
            <w:tcW w:w="1809" w:type="dxa"/>
            <w:vAlign w:val="center"/>
            <w:textDirection w:val="lrTb"/>
            <w:noWrap w:val="false"/>
          </w:tcPr>
          <w:p>
            <w:pPr>
              <w:pStyle w:val="1166"/>
              <w:jc w:val="center"/>
              <w:spacing w:line="312" w:lineRule="atLeast"/>
              <w:rPr>
                <w:b/>
                <w:bCs/>
                <w:color w:val="000000"/>
                <w:szCs w:val="21"/>
                <w:highlight w:val="none"/>
              </w:rPr>
            </w:pPr>
            <w:r>
              <w:rPr>
                <w:b/>
                <w:bCs/>
                <w:color w:val="000000"/>
                <w:highlight w:val="none"/>
                <w:lang w:val="zh-CN"/>
              </w:rPr>
              <w:t xml:space="preserve">供应商规模</w:t>
            </w:r>
            <w:r>
              <w:rPr>
                <w:b/>
                <w:bCs/>
                <w:color w:val="000000"/>
                <w:szCs w:val="21"/>
                <w:highlight w:val="none"/>
              </w:rPr>
            </w:r>
            <w:r/>
          </w:p>
        </w:tc>
        <w:tc>
          <w:tcPr>
            <w:tcW w:w="7513" w:type="dxa"/>
            <w:vAlign w:val="center"/>
            <w:textDirection w:val="lrTb"/>
            <w:noWrap w:val="false"/>
          </w:tcPr>
          <w:p>
            <w:pPr>
              <w:pStyle w:val="1166"/>
              <w:spacing w:line="312" w:lineRule="atLeast"/>
              <w:rPr>
                <w:b/>
                <w:bCs/>
                <w:color w:val="000000"/>
                <w:szCs w:val="21"/>
                <w:highlight w:val="none"/>
              </w:rPr>
            </w:pPr>
            <w:r>
              <w:rPr>
                <w:b/>
                <w:bCs/>
                <w:color w:val="000000"/>
                <w:szCs w:val="21"/>
                <w:highlight w:val="none"/>
              </w:rPr>
              <w:t xml:space="preserve">     </w:t>
            </w:r>
            <w:r>
              <w:rPr>
                <w:color w:val="000000"/>
                <w:sz w:val="24"/>
                <w:szCs w:val="24"/>
                <w:highlight w:val="none"/>
              </w:rPr>
              <w:t xml:space="preserve">□</w:t>
            </w:r>
            <w:r>
              <w:rPr>
                <w:b/>
                <w:bCs/>
                <w:color w:val="000000"/>
                <w:szCs w:val="21"/>
                <w:highlight w:val="none"/>
              </w:rPr>
              <w:t xml:space="preserve">大型           </w:t>
            </w:r>
            <w:r>
              <w:rPr>
                <w:color w:val="000000"/>
                <w:sz w:val="24"/>
                <w:szCs w:val="24"/>
                <w:highlight w:val="none"/>
              </w:rPr>
              <w:t xml:space="preserve">□</w:t>
            </w:r>
            <w:r>
              <w:rPr>
                <w:b/>
                <w:bCs/>
                <w:color w:val="000000"/>
                <w:szCs w:val="21"/>
                <w:highlight w:val="none"/>
              </w:rPr>
              <w:t xml:space="preserve">中型          </w:t>
            </w:r>
            <w:r>
              <w:rPr>
                <w:color w:val="000000"/>
                <w:sz w:val="24"/>
                <w:szCs w:val="24"/>
                <w:highlight w:val="none"/>
              </w:rPr>
              <w:t xml:space="preserve">□</w:t>
            </w:r>
            <w:r>
              <w:rPr>
                <w:b/>
                <w:bCs/>
                <w:color w:val="000000"/>
                <w:szCs w:val="21"/>
                <w:highlight w:val="none"/>
              </w:rPr>
              <w:t xml:space="preserve">小微型      </w:t>
            </w:r>
            <w:r>
              <w:rPr>
                <w:b/>
                <w:bCs/>
                <w:color w:val="000000"/>
                <w:szCs w:val="21"/>
                <w:highlight w:val="none"/>
              </w:rPr>
            </w:r>
            <w:r/>
          </w:p>
        </w:tc>
      </w:tr>
      <w:tr>
        <w:trPr>
          <w:trHeight w:val="1130"/>
        </w:trPr>
        <w:tc>
          <w:tcPr>
            <w:tcW w:w="1809" w:type="dxa"/>
            <w:vAlign w:val="center"/>
            <w:textDirection w:val="lrTb"/>
            <w:noWrap w:val="false"/>
          </w:tcPr>
          <w:p>
            <w:pPr>
              <w:pStyle w:val="1166"/>
              <w:jc w:val="center"/>
              <w:rPr>
                <w:b/>
                <w:bCs/>
                <w:color w:val="000000"/>
                <w:highlight w:val="none"/>
                <w:lang w:val="zh-CN"/>
              </w:rPr>
            </w:pPr>
            <w:r>
              <w:rPr>
                <w:b/>
                <w:bCs/>
                <w:color w:val="000000"/>
                <w:highlight w:val="none"/>
                <w:lang w:val="zh-CN"/>
              </w:rPr>
              <w:t xml:space="preserve">供应商所在区域</w:t>
            </w:r>
            <w:r>
              <w:rPr>
                <w:b/>
                <w:bCs/>
                <w:color w:val="000000"/>
                <w:highlight w:val="none"/>
                <w:lang w:val="zh-CN"/>
              </w:rPr>
            </w:r>
            <w:r/>
          </w:p>
          <w:p>
            <w:pPr>
              <w:pStyle w:val="1166"/>
              <w:jc w:val="center"/>
              <w:spacing w:line="312" w:lineRule="atLeast"/>
              <w:rPr>
                <w:b/>
                <w:bCs/>
                <w:color w:val="000000"/>
                <w:highlight w:val="none"/>
                <w:lang w:val="zh-CN"/>
              </w:rPr>
            </w:pPr>
            <w:r>
              <w:rPr>
                <w:b/>
                <w:bCs/>
                <w:color w:val="000000"/>
                <w:highlight w:val="none"/>
                <w:lang w:val="zh-CN"/>
              </w:rPr>
              <w:t xml:space="preserve">（细化到省份）</w:t>
            </w:r>
            <w:r>
              <w:rPr>
                <w:b/>
                <w:bCs/>
                <w:color w:val="000000"/>
                <w:highlight w:val="none"/>
                <w:lang w:val="zh-CN"/>
              </w:rPr>
            </w:r>
            <w:r/>
          </w:p>
        </w:tc>
        <w:tc>
          <w:tcPr>
            <w:tcW w:w="7513" w:type="dxa"/>
            <w:vAlign w:val="center"/>
            <w:textDirection w:val="lrTb"/>
            <w:noWrap w:val="false"/>
          </w:tcPr>
          <w:p>
            <w:pPr>
              <w:pStyle w:val="1166"/>
              <w:spacing w:line="312" w:lineRule="atLeast"/>
              <w:rPr>
                <w:b/>
                <w:bCs/>
                <w:color w:val="000000"/>
                <w:szCs w:val="21"/>
                <w:highlight w:val="none"/>
              </w:rPr>
            </w:pPr>
            <w:r>
              <w:rPr>
                <w:b/>
                <w:bCs/>
                <w:color w:val="000000"/>
                <w:szCs w:val="21"/>
                <w:highlight w:val="none"/>
              </w:rPr>
            </w:r>
            <w:r/>
          </w:p>
        </w:tc>
      </w:tr>
      <w:tr>
        <w:trPr>
          <w:trHeight w:val="835"/>
        </w:trPr>
        <w:tc>
          <w:tcPr>
            <w:tcW w:w="1809" w:type="dxa"/>
            <w:vAlign w:val="center"/>
            <w:textDirection w:val="lrTb"/>
            <w:noWrap w:val="false"/>
          </w:tcPr>
          <w:p>
            <w:pPr>
              <w:pStyle w:val="1166"/>
              <w:jc w:val="center"/>
              <w:rPr>
                <w:b/>
                <w:bCs/>
                <w:color w:val="000000"/>
                <w:highlight w:val="none"/>
                <w:lang w:val="zh-CN"/>
              </w:rPr>
            </w:pPr>
            <w:r>
              <w:rPr>
                <w:b/>
                <w:bCs/>
                <w:color w:val="000000"/>
                <w:highlight w:val="none"/>
                <w:lang w:val="zh-CN"/>
              </w:rPr>
              <w:t xml:space="preserve">是否特殊性质</w:t>
            </w:r>
            <w:r>
              <w:rPr>
                <w:b/>
                <w:bCs/>
                <w:color w:val="000000"/>
                <w:highlight w:val="none"/>
                <w:lang w:val="zh-CN"/>
              </w:rPr>
            </w:r>
            <w:r/>
          </w:p>
        </w:tc>
        <w:tc>
          <w:tcPr>
            <w:tcW w:w="7513" w:type="dxa"/>
            <w:vAlign w:val="center"/>
            <w:textDirection w:val="lrTb"/>
            <w:noWrap w:val="false"/>
          </w:tcPr>
          <w:p>
            <w:pPr>
              <w:pStyle w:val="1166"/>
              <w:spacing w:line="312" w:lineRule="atLeast"/>
              <w:rPr>
                <w:b/>
                <w:bCs/>
                <w:color w:val="000000"/>
                <w:szCs w:val="21"/>
                <w:highlight w:val="none"/>
              </w:rPr>
            </w:pPr>
            <w:r>
              <w:rPr>
                <w:b/>
                <w:bCs/>
                <w:color w:val="000000"/>
                <w:highlight w:val="none"/>
                <w:lang w:val="zh-CN"/>
              </w:rPr>
              <w:t xml:space="preserve">   </w:t>
            </w:r>
            <w:r>
              <w:rPr>
                <w:color w:val="000000"/>
                <w:sz w:val="24"/>
                <w:szCs w:val="24"/>
                <w:highlight w:val="none"/>
              </w:rPr>
              <w:t xml:space="preserve">□</w:t>
            </w:r>
            <w:r>
              <w:rPr>
                <w:b/>
                <w:bCs/>
                <w:color w:val="000000"/>
                <w:highlight w:val="none"/>
                <w:lang w:val="zh-CN"/>
              </w:rPr>
              <w:t xml:space="preserve">监狱企业残疾人     </w:t>
            </w:r>
            <w:r>
              <w:rPr>
                <w:color w:val="000000"/>
                <w:sz w:val="24"/>
                <w:szCs w:val="24"/>
                <w:highlight w:val="none"/>
              </w:rPr>
              <w:t xml:space="preserve">□</w:t>
            </w:r>
            <w:r>
              <w:rPr>
                <w:b/>
                <w:bCs/>
                <w:color w:val="000000"/>
                <w:highlight w:val="none"/>
                <w:lang w:val="zh-CN"/>
              </w:rPr>
              <w:t xml:space="preserve">福利性单位     </w:t>
            </w:r>
            <w:r>
              <w:rPr>
                <w:color w:val="000000"/>
                <w:sz w:val="24"/>
                <w:szCs w:val="24"/>
                <w:highlight w:val="none"/>
              </w:rPr>
              <w:t xml:space="preserve">□</w:t>
            </w:r>
            <w:r>
              <w:rPr>
                <w:b/>
                <w:bCs/>
                <w:color w:val="000000"/>
                <w:highlight w:val="none"/>
                <w:lang w:val="zh-CN"/>
              </w:rPr>
              <w:t xml:space="preserve">其他</w:t>
            </w:r>
            <w:r>
              <w:rPr>
                <w:b/>
                <w:bCs/>
                <w:color w:val="000000"/>
                <w:szCs w:val="21"/>
                <w:highlight w:val="none"/>
              </w:rPr>
            </w:r>
            <w:r/>
          </w:p>
        </w:tc>
      </w:tr>
    </w:tbl>
    <w:p>
      <w:pPr>
        <w:pStyle w:val="1166"/>
        <w:rPr>
          <w:color w:val="000000"/>
          <w:highlight w:val="none"/>
          <w:lang w:val="zh-CN"/>
        </w:rPr>
      </w:pPr>
      <w:r>
        <w:rPr>
          <w:color w:val="000000"/>
          <w:highlight w:val="none"/>
          <w:lang w:val="zh-CN"/>
        </w:rPr>
        <w:t xml:space="preserve">注：</w:t>
      </w:r>
      <w:r>
        <w:rPr>
          <w:color w:val="000000"/>
          <w:highlight w:val="none"/>
          <w:lang w:val="zh-CN"/>
        </w:rPr>
      </w:r>
      <w:r/>
    </w:p>
    <w:p>
      <w:pPr>
        <w:pStyle w:val="1166"/>
        <w:ind w:firstLine="218"/>
        <w:spacing w:line="360" w:lineRule="auto"/>
        <w:rPr>
          <w:color w:val="000000"/>
          <w:highlight w:val="none"/>
          <w:lang w:val="zh-CN"/>
        </w:rPr>
      </w:pPr>
      <w:r>
        <w:rPr>
          <w:color w:val="000000"/>
          <w:highlight w:val="none"/>
        </w:rPr>
        <w:t xml:space="preserve">1、供应商规模：供应商应对照工业和信息化部、国家统计局、国家发展改革委、财政部《关于印发中小企业划型标准规定的通知》（工信部联企业〔2011〕300 号）中的规模划分勾选自身规模；</w:t>
      </w:r>
      <w:r>
        <w:rPr>
          <w:color w:val="000000"/>
          <w:highlight w:val="none"/>
          <w:lang w:val="zh-CN"/>
        </w:rPr>
      </w:r>
      <w:r/>
    </w:p>
    <w:p>
      <w:pPr>
        <w:pStyle w:val="1166"/>
        <w:ind w:firstLine="218"/>
        <w:spacing w:line="360" w:lineRule="auto"/>
        <w:rPr>
          <w:color w:val="000000"/>
          <w:highlight w:val="none"/>
        </w:rPr>
      </w:pPr>
      <w:r>
        <w:rPr>
          <w:color w:val="000000"/>
          <w:highlight w:val="none"/>
        </w:rPr>
        <w:t xml:space="preserve">2、供应商所在区域：指供应商注册地所在地区，具体细化到省份；</w:t>
      </w:r>
      <w:r>
        <w:rPr>
          <w:color w:val="000000"/>
          <w:highlight w:val="none"/>
        </w:rPr>
      </w:r>
      <w:r/>
    </w:p>
    <w:p>
      <w:pPr>
        <w:pStyle w:val="1166"/>
        <w:ind w:firstLine="218"/>
        <w:spacing w:line="360" w:lineRule="auto"/>
        <w:rPr>
          <w:color w:val="000000"/>
          <w:szCs w:val="22"/>
          <w:highlight w:val="none"/>
        </w:rPr>
      </w:pPr>
      <w:r>
        <w:rPr>
          <w:color w:val="000000"/>
          <w:szCs w:val="22"/>
          <w:highlight w:val="none"/>
        </w:rPr>
        <w:t xml:space="preserve">3、</w:t>
      </w:r>
      <w:r>
        <w:rPr>
          <w:color w:val="000000"/>
          <w:szCs w:val="22"/>
          <w:highlight w:val="none"/>
          <w:lang w:val="zh-CN"/>
        </w:rPr>
        <w:t xml:space="preserve">是否特殊性质：</w:t>
      </w:r>
      <w:r>
        <w:rPr>
          <w:color w:val="000000"/>
          <w:szCs w:val="22"/>
          <w:highlight w:val="none"/>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color w:val="000000"/>
          <w:szCs w:val="22"/>
          <w:highlight w:val="none"/>
        </w:rPr>
      </w:r>
      <w:r/>
    </w:p>
    <w:p>
      <w:pPr>
        <w:pStyle w:val="1166"/>
        <w:spacing w:after="156" w:line="440" w:lineRule="exact"/>
        <w:rPr>
          <w:b/>
          <w:bCs/>
          <w:color w:val="000000"/>
          <w:sz w:val="24"/>
          <w:szCs w:val="22"/>
          <w:highlight w:val="none"/>
        </w:rPr>
        <w:outlineLvl w:val="1"/>
      </w:pPr>
      <w:r/>
      <w:bookmarkStart w:id="304" w:name="_Toc998"/>
      <w:r>
        <w:rPr>
          <w:b/>
          <w:bCs/>
          <w:color w:val="000000"/>
          <w:sz w:val="24"/>
          <w:szCs w:val="22"/>
          <w:highlight w:val="none"/>
          <w:lang w:val="zh-CN"/>
        </w:rPr>
        <w:br w:type="page" w:clear="all"/>
      </w:r>
      <w:bookmarkStart w:id="305" w:name="_Toc22043"/>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供应商情况告知表</w:t>
      </w:r>
      <w:r>
        <w:rPr>
          <w:b/>
          <w:bCs/>
          <w:color w:val="000000"/>
          <w:sz w:val="24"/>
          <w:szCs w:val="22"/>
          <w:highlight w:val="none"/>
        </w:rPr>
        <w:t xml:space="preserve">—附表</w:t>
      </w:r>
      <w:bookmarkEnd w:id="304"/>
      <w:r/>
      <w:bookmarkEnd w:id="305"/>
      <w:r>
        <w:rPr>
          <w:b/>
          <w:bCs/>
          <w:color w:val="000000"/>
          <w:sz w:val="24"/>
          <w:szCs w:val="22"/>
          <w:highlight w:val="none"/>
        </w:rPr>
      </w:r>
      <w:r/>
    </w:p>
    <w:p>
      <w:pPr>
        <w:pStyle w:val="1166"/>
        <w:ind w:firstLine="422"/>
        <w:jc w:val="center"/>
        <w:spacing w:line="360" w:lineRule="auto"/>
        <w:rPr>
          <w:b/>
          <w:bCs/>
          <w:color w:val="000000"/>
          <w:szCs w:val="21"/>
          <w:highlight w:val="none"/>
        </w:rPr>
      </w:pPr>
      <w:r>
        <w:rPr>
          <w:b/>
          <w:bCs/>
          <w:color w:val="000000"/>
          <w:szCs w:val="21"/>
          <w:highlight w:val="none"/>
        </w:rPr>
        <w:t xml:space="preserve">中小企业划型标准规定</w:t>
      </w:r>
      <w:r>
        <w:rPr>
          <w:b/>
          <w:bCs/>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一、根据《中华人民共和国中小企业促进法》和《国务院关于进一步促进中小企业发展的若干意见》(国发〔2009〕36号)，制定本规定。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二、中小企业划分为中型、小型、微型三种类型，具体标准根据企业从业人员、营业收入、资产总额等指标，结合行业特点制定。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四、各行业划型标准为：</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szCs w:val="21"/>
          <w:highlight w:val="none"/>
        </w:rPr>
      </w:r>
      <w:r/>
    </w:p>
    <w:p>
      <w:pPr>
        <w:pStyle w:val="1166"/>
        <w:ind w:firstLine="422"/>
        <w:jc w:val="left"/>
        <w:spacing w:line="360" w:lineRule="auto"/>
        <w:rPr>
          <w:b/>
          <w:bCs/>
          <w:color w:val="000000"/>
          <w:szCs w:val="21"/>
          <w:highlight w:val="none"/>
        </w:rPr>
      </w:pPr>
      <w:r>
        <w:rPr>
          <w:b/>
          <w:bCs/>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五、企业类型的划分以统计部门的统计数据为依据。</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六、本规定适用于在中华人民共和国境内依法设立的各类所有制和各种组织形式的企业。个体工商户和本规定以外的行业，参照本规定进行划型。</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八、本规定由工业和信息化部、国家统计局会同有关部门根据《国民经济行业分类》修订情况和企业发展变化情况适时修订。</w:t>
      </w:r>
      <w:r>
        <w:rPr>
          <w:color w:val="000000"/>
          <w:szCs w:val="21"/>
          <w:highlight w:val="none"/>
        </w:rPr>
      </w:r>
      <w:r/>
    </w:p>
    <w:p>
      <w:pPr>
        <w:pStyle w:val="1166"/>
        <w:ind w:firstLine="420"/>
        <w:jc w:val="left"/>
        <w:spacing w:line="360" w:lineRule="auto"/>
        <w:rPr>
          <w:color w:val="000000"/>
          <w:szCs w:val="21"/>
          <w:highlight w:val="none"/>
        </w:rPr>
      </w:pPr>
      <w:r>
        <w:rPr>
          <w:color w:val="000000"/>
          <w:szCs w:val="21"/>
          <w:highlight w:val="none"/>
        </w:rPr>
        <w:t xml:space="preserve">九、本规定由工业和信息化部、国家统计局会同有关部门负责解释。</w:t>
      </w:r>
      <w:r>
        <w:rPr>
          <w:color w:val="000000"/>
          <w:szCs w:val="21"/>
          <w:highlight w:val="none"/>
        </w:rPr>
      </w:r>
      <w:r/>
    </w:p>
    <w:p>
      <w:pPr>
        <w:pStyle w:val="1166"/>
        <w:spacing w:line="360" w:lineRule="auto"/>
        <w:rPr>
          <w:b/>
          <w:bCs/>
          <w:color w:val="000000"/>
          <w:sz w:val="24"/>
          <w:szCs w:val="22"/>
          <w:highlight w:val="none"/>
          <w:lang w:val="zh-CN"/>
        </w:rPr>
      </w:pPr>
      <w:r>
        <w:rPr>
          <w:color w:val="000000"/>
          <w:szCs w:val="21"/>
          <w:highlight w:val="none"/>
        </w:rPr>
        <w:t xml:space="preserve">十、本规定自发布之日起执行，原国家经贸委、原国家计委、财政部和国家统计局2003年颁布的《中小企业标准暂行规定》同时废止</w:t>
      </w:r>
      <w:r>
        <w:rPr>
          <w:color w:val="000000"/>
          <w:spacing w:val="-3"/>
          <w:szCs w:val="21"/>
          <w:highlight w:val="none"/>
        </w:rPr>
        <w:t xml:space="preserve">。</w:t>
      </w:r>
      <w:r>
        <w:rPr>
          <w:b/>
          <w:bCs/>
          <w:color w:val="000000"/>
          <w:sz w:val="24"/>
          <w:szCs w:val="22"/>
          <w:highlight w:val="none"/>
          <w:lang w:val="zh-CN"/>
        </w:rPr>
        <w:br w:type="page" w:clear="all"/>
      </w:r>
      <w:bookmarkEnd w:id="303"/>
      <w:r/>
      <w:bookmarkStart w:id="306" w:name="_Toc4696438"/>
      <w:r>
        <w:rPr>
          <w:b/>
          <w:bCs/>
          <w:color w:val="000000"/>
          <w:sz w:val="24"/>
          <w:szCs w:val="22"/>
          <w:highlight w:val="none"/>
          <w:lang w:val="zh-CN"/>
        </w:rPr>
      </w:r>
      <w:r/>
    </w:p>
    <w:p>
      <w:pPr>
        <w:pStyle w:val="1166"/>
        <w:spacing w:line="360" w:lineRule="auto"/>
        <w:rPr>
          <w:b/>
          <w:color w:val="000000"/>
          <w:highlight w:val="none"/>
        </w:rPr>
        <w:outlineLvl w:val="1"/>
      </w:pPr>
      <w:r/>
      <w:bookmarkStart w:id="307" w:name="_Toc13708"/>
      <w:r>
        <w:rPr>
          <w:b/>
          <w:bCs/>
          <w:color w:val="000000"/>
          <w:sz w:val="24"/>
          <w:szCs w:val="22"/>
          <w:highlight w:val="none"/>
          <w:lang w:val="zh-CN"/>
        </w:rPr>
        <w:t xml:space="preserve">附件</w:t>
      </w:r>
      <w:r>
        <w:rPr>
          <w:rFonts w:hint="eastAsia"/>
          <w:b/>
          <w:bCs/>
          <w:color w:val="000000"/>
          <w:sz w:val="24"/>
          <w:szCs w:val="22"/>
          <w:highlight w:val="none"/>
        </w:rPr>
        <w:t xml:space="preserve">八</w:t>
      </w:r>
      <w:r>
        <w:rPr>
          <w:b/>
          <w:bCs/>
          <w:color w:val="000000"/>
          <w:sz w:val="24"/>
          <w:szCs w:val="22"/>
          <w:highlight w:val="none"/>
          <w:lang w:val="zh-CN"/>
        </w:rPr>
        <w:t xml:space="preserve"> 资格证明文件</w:t>
      </w:r>
      <w:bookmarkEnd w:id="306"/>
      <w:r/>
      <w:bookmarkEnd w:id="307"/>
      <w:r>
        <w:rPr>
          <w:b/>
          <w:color w:val="000000"/>
          <w:highlight w:val="none"/>
        </w:rPr>
      </w:r>
      <w:r/>
    </w:p>
    <w:p>
      <w:pPr>
        <w:pStyle w:val="1166"/>
        <w:jc w:val="left"/>
        <w:spacing w:line="360" w:lineRule="auto"/>
        <w:rPr>
          <w:b/>
          <w:bCs/>
          <w:color w:val="000000"/>
          <w:szCs w:val="21"/>
          <w:highlight w:val="none"/>
          <w:lang w:val="zh-CN"/>
        </w:rPr>
        <w:outlineLvl w:val="2"/>
      </w:pPr>
      <w:r/>
      <w:bookmarkStart w:id="308" w:name="_Toc9343"/>
      <w:r/>
      <w:bookmarkStart w:id="309" w:name="_Toc16540"/>
      <w:r/>
      <w:bookmarkStart w:id="310" w:name="_Toc4696439"/>
      <w:r>
        <w:rPr>
          <w:b/>
          <w:bCs/>
          <w:color w:val="000000"/>
          <w:szCs w:val="21"/>
          <w:highlight w:val="none"/>
          <w:lang w:val="zh-CN"/>
        </w:rPr>
        <w:t xml:space="preserve">1、法人或其他组织的营业执照等证明文件（复印件加盖公章）</w:t>
      </w:r>
      <w:bookmarkEnd w:id="308"/>
      <w:r/>
      <w:bookmarkEnd w:id="309"/>
      <w:r/>
      <w:bookmarkEnd w:id="310"/>
      <w:r>
        <w:rPr>
          <w:b/>
          <w:bCs/>
          <w:color w:val="000000"/>
          <w:szCs w:val="21"/>
          <w:highlight w:val="none"/>
          <w:lang w:val="zh-CN"/>
        </w:rPr>
      </w:r>
      <w:r/>
    </w:p>
    <w:p>
      <w:pPr>
        <w:pStyle w:val="1166"/>
        <w:spacing w:line="440" w:lineRule="exact"/>
        <w:rPr>
          <w:color w:val="000000"/>
          <w:sz w:val="24"/>
          <w:szCs w:val="24"/>
          <w:highlight w:val="none"/>
        </w:rPr>
      </w:pPr>
      <w:r>
        <w:rPr>
          <w:color w:val="000000"/>
          <w:szCs w:val="21"/>
          <w:highlight w:val="none"/>
        </w:rPr>
        <w:t xml:space="preserve">注：投标人为法人单位的需提交有效的营业执照并加盖公章，投标人为其他组织的需提供有效的证明文件并加盖有效印章。</w:t>
      </w: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jc w:val="left"/>
        <w:spacing w:line="360" w:lineRule="auto"/>
        <w:rPr>
          <w:b/>
          <w:bCs/>
          <w:color w:val="000000"/>
          <w:szCs w:val="21"/>
          <w:highlight w:val="none"/>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11" w:name="_Toc4696440"/>
      <w:r>
        <w:rPr>
          <w:b/>
          <w:bCs/>
          <w:color w:val="000000"/>
          <w:szCs w:val="21"/>
          <w:highlight w:val="none"/>
          <w:lang w:val="zh-CN"/>
        </w:rPr>
      </w:r>
      <w:r/>
    </w:p>
    <w:p>
      <w:pPr>
        <w:pStyle w:val="1166"/>
        <w:jc w:val="left"/>
        <w:spacing w:line="360" w:lineRule="auto"/>
        <w:rPr>
          <w:b/>
          <w:bCs/>
          <w:color w:val="000000"/>
          <w:szCs w:val="21"/>
          <w:highlight w:val="none"/>
          <w:lang w:val="zh-CN"/>
        </w:rPr>
        <w:outlineLvl w:val="2"/>
      </w:pPr>
      <w:r/>
      <w:bookmarkStart w:id="312" w:name="_Toc9027"/>
      <w:r/>
      <w:bookmarkStart w:id="313" w:name="_Toc24738"/>
      <w:r>
        <w:rPr>
          <w:b/>
          <w:bCs/>
          <w:color w:val="000000"/>
          <w:szCs w:val="21"/>
          <w:highlight w:val="none"/>
          <w:lang w:val="zh-CN"/>
        </w:rPr>
        <w:t xml:space="preserve">2、法人代表授权书</w:t>
      </w:r>
      <w:bookmarkEnd w:id="311"/>
      <w:r/>
      <w:bookmarkEnd w:id="312"/>
      <w:r/>
      <w:bookmarkEnd w:id="313"/>
      <w:r>
        <w:rPr>
          <w:b/>
          <w:bCs/>
          <w:color w:val="000000"/>
          <w:szCs w:val="21"/>
          <w:highlight w:val="none"/>
          <w:lang w:val="zh-CN"/>
        </w:rPr>
      </w:r>
      <w:r/>
    </w:p>
    <w:p>
      <w:pPr>
        <w:pStyle w:val="1166"/>
        <w:spacing w:line="360" w:lineRule="auto"/>
        <w:rPr>
          <w:b/>
          <w:color w:val="000000"/>
          <w:highlight w:val="none"/>
        </w:rPr>
      </w:pPr>
      <w:r>
        <w:rPr>
          <w:b/>
          <w:color w:val="000000"/>
          <w:highlight w:val="none"/>
        </w:rPr>
        <w:t xml:space="preserve">致江苏苏美达仪器设备有限公司：</w:t>
      </w:r>
      <w:r>
        <w:rPr>
          <w:b/>
          <w:color w:val="000000"/>
          <w:highlight w:val="none"/>
        </w:rPr>
      </w:r>
      <w:r/>
    </w:p>
    <w:p>
      <w:pPr>
        <w:pStyle w:val="1166"/>
        <w:spacing w:line="360" w:lineRule="auto"/>
        <w:rPr>
          <w:color w:val="000000"/>
          <w:szCs w:val="21"/>
          <w:highlight w:val="none"/>
        </w:rPr>
      </w:pPr>
      <w:r>
        <w:rPr>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
          <w:color w:val="000000"/>
          <w:szCs w:val="21"/>
          <w:highlight w:val="none"/>
          <w:u w:val="single"/>
        </w:rPr>
        <w:t xml:space="preserve">              </w:t>
      </w:r>
      <w:r>
        <w:rPr>
          <w:color w:val="000000"/>
          <w:szCs w:val="21"/>
          <w:highlight w:val="none"/>
        </w:rPr>
        <w:t xml:space="preserve">（供应商名称）法定代表人</w:t>
      </w:r>
      <w:r>
        <w:rPr>
          <w:color w:val="000000"/>
          <w:szCs w:val="21"/>
          <w:highlight w:val="none"/>
          <w:u w:val="single"/>
        </w:rPr>
        <w:t xml:space="preserve"> </w:t>
      </w:r>
      <w:r>
        <w:rPr>
          <w:b/>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166"/>
        <w:ind w:firstLine="420"/>
        <w:jc w:val="left"/>
        <w:spacing w:line="360" w:lineRule="auto"/>
        <w:shd w:val="clear" w:color="auto" w:fill="ffffff"/>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166"/>
        <w:spacing w:line="360" w:lineRule="auto"/>
        <w:rPr>
          <w:color w:val="000000"/>
          <w:szCs w:val="21"/>
          <w:highlight w:val="none"/>
        </w:rPr>
      </w:pP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166"/>
        <w:spacing w:line="360" w:lineRule="auto"/>
        <w:rPr>
          <w:color w:val="000000"/>
          <w:sz w:val="23"/>
          <w:highlight w:val="none"/>
        </w:rPr>
      </w:pPr>
      <w:r>
        <w:rPr>
          <w:color w:val="000000"/>
          <w:szCs w:val="21"/>
          <w:highlight w:val="none"/>
        </w:rPr>
        <w:t xml:space="preserve">供应商名称（公章）：</w:t>
      </w:r>
      <w:r>
        <w:rPr>
          <w:color w:val="000000"/>
          <w:sz w:val="23"/>
          <w:highlight w:val="none"/>
        </w:rPr>
        <w:t xml:space="preserve"> </w:t>
      </w:r>
      <w:r>
        <w:rPr>
          <w:color w:val="000000"/>
          <w:sz w:val="23"/>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spacing w:line="360" w:lineRule="auto"/>
        <w:rPr>
          <w:b/>
          <w:color w:val="000000"/>
          <w:szCs w:val="21"/>
          <w:highlight w:val="none"/>
        </w:rPr>
      </w:pPr>
      <w:r>
        <w:rPr>
          <w:color w:val="000000"/>
          <w:sz w:val="23"/>
          <w:highlight w:val="none"/>
        </w:rPr>
        <w:t xml:space="preserve"> </w:t>
      </w:r>
      <w:r>
        <w:rPr>
          <w:b/>
          <w:color w:val="000000"/>
          <w:szCs w:val="21"/>
          <w:highlight w:val="none"/>
        </w:rPr>
      </w:r>
      <w:r/>
    </w:p>
    <w:p>
      <w:pPr>
        <w:pStyle w:val="1166"/>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166"/>
              <w:spacing w:line="440" w:lineRule="exact"/>
              <w:rPr>
                <w:b/>
                <w:color w:val="000000"/>
                <w:highlight w:val="none"/>
              </w:rPr>
            </w:pPr>
            <w:r>
              <w:rPr>
                <w:b/>
                <w:color w:val="000000"/>
                <w:highlight w:val="none"/>
              </w:rPr>
            </w:r>
            <w:r/>
          </w:p>
        </w:tc>
      </w:tr>
    </w:tbl>
    <w:p>
      <w:pPr>
        <w:pStyle w:val="1166"/>
        <w:spacing w:line="440" w:lineRule="exact"/>
        <w:rPr>
          <w:color w:val="000000"/>
          <w:szCs w:val="22"/>
          <w:highlight w:val="none"/>
        </w:rPr>
      </w:pPr>
      <w:r>
        <w:rPr>
          <w:color w:val="000000"/>
          <w:szCs w:val="22"/>
          <w:highlight w:val="none"/>
        </w:rPr>
      </w:r>
      <w:r/>
    </w:p>
    <w:p>
      <w:pPr>
        <w:pStyle w:val="1166"/>
        <w:spacing w:line="440" w:lineRule="exact"/>
        <w:rPr>
          <w:b/>
          <w:color w:val="000000"/>
          <w:highlight w:val="none"/>
        </w:rPr>
      </w:pPr>
      <w:r>
        <w:rPr>
          <w:b/>
          <w:color w:val="000000"/>
          <w:highlight w:val="none"/>
        </w:rPr>
      </w:r>
      <w:r/>
    </w:p>
    <w:p>
      <w:pPr>
        <w:pStyle w:val="1166"/>
        <w:ind w:firstLine="284"/>
        <w:spacing w:line="360" w:lineRule="auto"/>
        <w:shd w:val="clear" w:color="auto" w:fill="ffffff"/>
        <w:widowControl/>
        <w:rPr>
          <w:color w:val="000000"/>
          <w:szCs w:val="21"/>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Cs w:val="21"/>
          <w:highlight w:val="none"/>
        </w:rPr>
      </w:r>
      <w:r/>
    </w:p>
    <w:p>
      <w:pPr>
        <w:pStyle w:val="1166"/>
        <w:jc w:val="left"/>
        <w:spacing w:line="360" w:lineRule="auto"/>
        <w:rPr>
          <w:b/>
          <w:bCs/>
          <w:color w:val="000000"/>
          <w:szCs w:val="21"/>
          <w:highlight w:val="none"/>
          <w:lang w:val="zh-CN"/>
        </w:rPr>
        <w:outlineLvl w:val="2"/>
      </w:pPr>
      <w:r/>
      <w:bookmarkStart w:id="314" w:name="_Toc13344"/>
      <w:r/>
      <w:bookmarkStart w:id="315" w:name="_Toc10701"/>
      <w:r/>
      <w:bookmarkStart w:id="316" w:name="_Toc5262"/>
      <w:r/>
      <w:bookmarkStart w:id="317" w:name="_Toc4696441"/>
      <w:r>
        <w:rPr>
          <w:b/>
          <w:bCs/>
          <w:color w:val="000000"/>
          <w:szCs w:val="21"/>
          <w:highlight w:val="none"/>
        </w:rPr>
        <w:t xml:space="preserve">3</w:t>
      </w:r>
      <w:r>
        <w:rPr>
          <w:b/>
          <w:bCs/>
          <w:color w:val="000000"/>
          <w:szCs w:val="21"/>
          <w:highlight w:val="none"/>
          <w:lang w:val="zh-CN"/>
        </w:rPr>
        <w:t xml:space="preserve">、制造商授权书（如需）</w:t>
      </w:r>
      <w:bookmarkEnd w:id="314"/>
      <w:r/>
      <w:bookmarkEnd w:id="315"/>
      <w:r/>
      <w:bookmarkEnd w:id="316"/>
      <w:r>
        <w:rPr>
          <w:b/>
          <w:bCs/>
          <w:color w:val="000000"/>
          <w:szCs w:val="21"/>
          <w:highlight w:val="none"/>
          <w:lang w:val="zh-CN"/>
        </w:rPr>
      </w:r>
      <w:r/>
    </w:p>
    <w:p>
      <w:pPr>
        <w:pStyle w:val="1166"/>
        <w:spacing w:line="360" w:lineRule="auto"/>
        <w:rPr>
          <w:b/>
          <w:color w:val="000000"/>
          <w:szCs w:val="21"/>
          <w:highlight w:val="none"/>
        </w:rPr>
      </w:pPr>
      <w:r>
        <w:rPr>
          <w:color w:val="000000"/>
          <w:szCs w:val="21"/>
          <w:highlight w:val="none"/>
        </w:rPr>
        <w:t xml:space="preserve">致：（采购代理机构）</w:t>
      </w:r>
      <w:r>
        <w:rPr>
          <w:b/>
          <w:color w:val="000000"/>
          <w:szCs w:val="21"/>
          <w:highlight w:val="none"/>
        </w:rPr>
      </w:r>
      <w:r/>
    </w:p>
    <w:p>
      <w:pPr>
        <w:pStyle w:val="1166"/>
        <w:spacing w:line="360" w:lineRule="auto"/>
        <w:rPr>
          <w:color w:val="000000"/>
          <w:szCs w:val="21"/>
          <w:highlight w:val="none"/>
        </w:rPr>
      </w:pPr>
      <w:r>
        <w:rPr>
          <w:b/>
          <w:color w:val="000000"/>
          <w:szCs w:val="21"/>
          <w:highlight w:val="none"/>
        </w:rPr>
        <w:t xml:space="preserve">     </w:t>
      </w:r>
      <w:r>
        <w:rPr>
          <w:color w:val="000000"/>
          <w:szCs w:val="21"/>
          <w:highlight w:val="none"/>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代表我方在中华人民共和国办理贵方第</w:t>
      </w:r>
      <w:r>
        <w:rPr>
          <w:color w:val="000000"/>
          <w:szCs w:val="21"/>
          <w:highlight w:val="none"/>
          <w:u w:val="single"/>
        </w:rPr>
        <w:t xml:space="preserve">       </w:t>
      </w:r>
      <w:r>
        <w:rPr>
          <w:color w:val="000000"/>
          <w:szCs w:val="21"/>
          <w:highlight w:val="none"/>
        </w:rPr>
        <w:t xml:space="preserve">号公开招标要求提供的由我方制造的产品的有关事宜，并对我方具有约束力。  </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作为制造商，我方保证以公开投标合作者来约束自己，并对该公开投标共同和分别承担投标文件中所规定的义务。</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我方兹授予（贸易公司名称）全权办理和履行上述我方为完成上述各点所必须的事宜，具有替换或撤消的全权。兹确认（贸易公司名称）或其正式授权代表依此合法地办理一切事宜。</w:t>
      </w:r>
      <w:r>
        <w:rPr>
          <w:color w:val="000000"/>
          <w:szCs w:val="21"/>
          <w:highlight w:val="none"/>
        </w:rPr>
      </w:r>
      <w:r/>
    </w:p>
    <w:p>
      <w:pPr>
        <w:pStyle w:val="1166"/>
        <w:ind w:firstLine="480"/>
        <w:spacing w:line="360" w:lineRule="auto"/>
        <w:rPr>
          <w:color w:val="000000"/>
          <w:szCs w:val="21"/>
          <w:highlight w:val="none"/>
        </w:rPr>
      </w:pPr>
      <w:r>
        <w:rPr>
          <w:color w:val="000000"/>
          <w:szCs w:val="21"/>
          <w:highlight w:val="none"/>
        </w:rPr>
        <w:t xml:space="preserve">我方于  年  月  日签署本文件，（贸易公司名称）于  年  月  日接受此件，以此为证。</w:t>
      </w:r>
      <w:r>
        <w:rPr>
          <w:color w:val="000000"/>
          <w:szCs w:val="21"/>
          <w:highlight w:val="none"/>
        </w:rPr>
      </w:r>
      <w:r/>
    </w:p>
    <w:p>
      <w:pPr>
        <w:pStyle w:val="1166"/>
        <w:ind w:firstLine="480"/>
        <w:spacing w:line="360" w:lineRule="auto"/>
        <w:rPr>
          <w:color w:val="000000"/>
          <w:szCs w:val="21"/>
          <w:highlight w:val="none"/>
        </w:rPr>
      </w:pPr>
      <w:r>
        <w:rPr>
          <w:color w:val="000000"/>
          <w:szCs w:val="21"/>
          <w:highlight w:val="none"/>
        </w:rPr>
      </w:r>
      <w:r/>
    </w:p>
    <w:p>
      <w:pPr>
        <w:pStyle w:val="1166"/>
        <w:spacing w:line="360" w:lineRule="auto"/>
        <w:rPr>
          <w:b/>
          <w:color w:val="000000"/>
          <w:szCs w:val="21"/>
          <w:highlight w:val="none"/>
        </w:rPr>
      </w:pPr>
      <w:r>
        <w:rPr>
          <w:color w:val="000000"/>
          <w:szCs w:val="21"/>
          <w:highlight w:val="none"/>
        </w:rPr>
        <w:t xml:space="preserve">制造商名称</w:t>
      </w:r>
      <w:r>
        <w:rPr>
          <w:b/>
          <w:color w:val="000000"/>
          <w:szCs w:val="21"/>
          <w:highlight w:val="none"/>
        </w:rPr>
        <w:t xml:space="preserve">（盖章）</w:t>
      </w:r>
      <w:r>
        <w:rPr>
          <w:color w:val="000000"/>
          <w:szCs w:val="21"/>
          <w:highlight w:val="none"/>
          <w:u w:val="single"/>
        </w:rPr>
        <w:t xml:space="preserve">  </w:t>
      </w:r>
      <w:r>
        <w:rPr>
          <w:b/>
          <w:color w:val="000000"/>
          <w:szCs w:val="21"/>
          <w:highlight w:val="none"/>
          <w:u w:val="single"/>
        </w:rPr>
        <w:t xml:space="preserve">                          </w:t>
      </w:r>
      <w:r>
        <w:rPr>
          <w:b/>
          <w:color w:val="000000"/>
          <w:szCs w:val="21"/>
          <w:highlight w:val="none"/>
        </w:rPr>
      </w:r>
      <w:r/>
    </w:p>
    <w:p>
      <w:pPr>
        <w:pStyle w:val="1166"/>
        <w:jc w:val="left"/>
        <w:spacing w:line="360" w:lineRule="auto"/>
        <w:rPr>
          <w:b/>
          <w:bCs/>
          <w:color w:val="000000"/>
          <w:szCs w:val="21"/>
          <w:highlight w:val="none"/>
          <w:lang w:val="zh-CN"/>
        </w:rPr>
      </w:pPr>
      <w:r>
        <w:rPr>
          <w:color w:val="000000"/>
          <w:szCs w:val="21"/>
          <w:highlight w:val="none"/>
        </w:rPr>
        <w:t xml:space="preserve">签字人姓名</w:t>
      </w:r>
      <w:r>
        <w:rPr>
          <w:b/>
          <w:bCs/>
          <w:color w:val="000000"/>
          <w:szCs w:val="21"/>
          <w:highlight w:val="none"/>
        </w:rPr>
        <w:t xml:space="preserve">（签名）</w:t>
      </w:r>
      <w:r>
        <w:rPr>
          <w:b/>
          <w:bCs/>
          <w:color w:val="000000"/>
          <w:szCs w:val="21"/>
          <w:highlight w:val="none"/>
          <w:lang w:val="zh-CN"/>
        </w:rPr>
      </w:r>
      <w:r/>
    </w:p>
    <w:p>
      <w:pPr>
        <w:pStyle w:val="1166"/>
        <w:jc w:val="left"/>
        <w:spacing w:line="360" w:lineRule="auto"/>
        <w:rPr>
          <w:b/>
          <w:bCs/>
          <w:color w:val="000000"/>
          <w:szCs w:val="21"/>
          <w:highlight w:val="none"/>
          <w:lang w:val="zh-CN"/>
        </w:rPr>
      </w:pPr>
      <w:r>
        <w:rPr>
          <w:b/>
          <w:bCs/>
          <w:color w:val="000000"/>
          <w:szCs w:val="21"/>
          <w:highlight w:val="none"/>
          <w:lang w:val="zh-CN"/>
        </w:rPr>
      </w:r>
      <w:r/>
    </w:p>
    <w:p>
      <w:pPr>
        <w:pStyle w:val="1166"/>
        <w:jc w:val="left"/>
        <w:spacing w:line="360" w:lineRule="auto"/>
        <w:rPr>
          <w:b/>
          <w:bCs/>
          <w:color w:val="000000"/>
          <w:szCs w:val="21"/>
          <w:highlight w:val="none"/>
          <w:lang w:val="zh-CN"/>
        </w:rPr>
        <w:outlineLvl w:val="2"/>
      </w:pPr>
      <w:r>
        <w:rPr>
          <w:b/>
          <w:bCs/>
          <w:color w:val="000000"/>
          <w:szCs w:val="21"/>
          <w:highlight w:val="none"/>
          <w:lang w:val="zh-CN"/>
        </w:rPr>
        <w:br w:type="page" w:clear="all"/>
      </w:r>
      <w:bookmarkStart w:id="318" w:name="_Toc27583"/>
      <w:r/>
      <w:bookmarkStart w:id="319" w:name="_Toc7323"/>
      <w:r>
        <w:rPr>
          <w:b/>
          <w:bCs/>
          <w:color w:val="000000"/>
          <w:szCs w:val="21"/>
          <w:highlight w:val="none"/>
        </w:rPr>
        <w:t xml:space="preserve">4</w:t>
      </w:r>
      <w:r>
        <w:rPr>
          <w:b/>
          <w:bCs/>
          <w:color w:val="000000"/>
          <w:szCs w:val="21"/>
          <w:highlight w:val="none"/>
          <w:lang w:val="zh-CN"/>
        </w:rPr>
        <w:t xml:space="preserve">、具有良好的商业信誉和健全的财务会计制度</w:t>
      </w:r>
      <w:bookmarkEnd w:id="317"/>
      <w:r/>
      <w:bookmarkEnd w:id="318"/>
      <w:r/>
      <w:bookmarkEnd w:id="319"/>
      <w:r>
        <w:rPr>
          <w:b/>
          <w:bCs/>
          <w:color w:val="000000"/>
          <w:szCs w:val="21"/>
          <w:highlight w:val="none"/>
          <w:lang w:val="zh-CN"/>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Cs w:val="21"/>
          <w:highlight w:val="none"/>
        </w:rPr>
        <w:t xml:space="preserve">提供</w:t>
      </w:r>
      <w:r>
        <w:rPr>
          <w:color w:val="000000"/>
          <w:highlight w:val="none"/>
        </w:rPr>
        <w:t xml:space="preserve">距开标时间六个月内任意一月份的</w:t>
      </w:r>
      <w:r>
        <w:rPr>
          <w:color w:val="000000"/>
          <w:szCs w:val="21"/>
          <w:highlight w:val="none"/>
        </w:rPr>
        <w:t xml:space="preserve">财务状况报告（</w:t>
      </w:r>
      <w:r>
        <w:rPr>
          <w:b/>
          <w:color w:val="000000"/>
          <w:szCs w:val="21"/>
          <w:highlight w:val="none"/>
          <w:u w:val="single"/>
        </w:rPr>
        <w:t xml:space="preserve">至少包括资产负债表和利润表</w:t>
      </w:r>
      <w:r>
        <w:rPr>
          <w:color w:val="000000"/>
          <w:szCs w:val="21"/>
          <w:highlight w:val="none"/>
        </w:rPr>
        <w:t xml:space="preserve">）（法人或者其他组织成立未满三个月的可以不提供），或其银行出具的资信证书（复印件）（开标前六个月内），或其上一年度</w:t>
      </w:r>
      <w:r>
        <w:rPr>
          <w:rFonts w:hint="eastAsia"/>
          <w:color w:val="000000"/>
          <w:szCs w:val="21"/>
          <w:highlight w:val="none"/>
        </w:rPr>
        <w:t xml:space="preserve">（2024或2025年）</w:t>
      </w:r>
      <w:r>
        <w:rPr>
          <w:color w:val="000000"/>
          <w:szCs w:val="21"/>
          <w:highlight w:val="none"/>
        </w:rPr>
        <w:t xml:space="preserve">经审计的财务报告复印件加盖公章</w:t>
      </w:r>
      <w:r>
        <w:rPr>
          <w:color w:val="000000"/>
          <w:sz w:val="24"/>
          <w:highlight w:val="none"/>
        </w:rPr>
      </w:r>
      <w:r/>
    </w:p>
    <w:p>
      <w:pPr>
        <w:pStyle w:val="1166"/>
        <w:jc w:val="left"/>
        <w:spacing w:line="360" w:lineRule="auto"/>
        <w:rPr>
          <w:color w:val="000000"/>
          <w:szCs w:val="21"/>
          <w:highlight w:val="none"/>
          <w:lang w:val="zh-CN"/>
        </w:rPr>
      </w:pPr>
      <w:r>
        <w:rPr>
          <w:color w:val="000000"/>
          <w:szCs w:val="21"/>
          <w:highlight w:val="none"/>
          <w:lang w:val="zh-CN"/>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ind w:right="-5"/>
        <w:spacing w:line="440" w:lineRule="exact"/>
        <w:rPr>
          <w:color w:val="000000"/>
          <w:sz w:val="24"/>
          <w:highlight w:val="none"/>
        </w:rPr>
      </w:pPr>
      <w:r>
        <w:rPr>
          <w:color w:val="000000"/>
          <w:sz w:val="24"/>
          <w:highlight w:val="none"/>
        </w:rPr>
      </w:r>
      <w:r/>
    </w:p>
    <w:p>
      <w:pPr>
        <w:pStyle w:val="1166"/>
        <w:ind w:right="-5"/>
        <w:spacing w:line="440" w:lineRule="exact"/>
        <w:rPr>
          <w:color w:val="000000"/>
          <w:sz w:val="24"/>
          <w:highlight w:val="none"/>
        </w:rPr>
      </w:pPr>
      <w:r>
        <w:rPr>
          <w:color w:val="000000"/>
          <w:sz w:val="24"/>
          <w:highlight w:val="none"/>
        </w:rPr>
      </w:r>
      <w:r/>
    </w:p>
    <w:p>
      <w:pPr>
        <w:pStyle w:val="1166"/>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1166"/>
        <w:jc w:val="left"/>
        <w:spacing w:line="360" w:lineRule="auto"/>
        <w:rPr>
          <w:b/>
          <w:bCs/>
          <w:color w:val="000000"/>
          <w:szCs w:val="21"/>
          <w:highlight w:val="none"/>
          <w:lang w:val="zh-CN"/>
        </w:rPr>
        <w:outlineLvl w:val="2"/>
      </w:pPr>
      <w:r/>
      <w:bookmarkStart w:id="320" w:name="_Toc32302"/>
      <w:r/>
      <w:bookmarkStart w:id="321" w:name="_Toc17440"/>
      <w:r/>
      <w:bookmarkStart w:id="322" w:name="_Toc16513"/>
      <w:r/>
      <w:bookmarkStart w:id="323" w:name="_Toc15262"/>
      <w:r/>
      <w:bookmarkStart w:id="324" w:name="_Toc4696443"/>
      <w:r>
        <w:rPr>
          <w:b/>
          <w:bCs/>
          <w:color w:val="000000"/>
          <w:szCs w:val="21"/>
          <w:highlight w:val="none"/>
        </w:rPr>
        <w:t xml:space="preserve">5、</w:t>
      </w:r>
      <w:r>
        <w:rPr>
          <w:b/>
          <w:bCs/>
          <w:color w:val="000000"/>
          <w:szCs w:val="21"/>
          <w:highlight w:val="none"/>
          <w:lang w:val="zh-CN"/>
        </w:rPr>
        <w:t xml:space="preserve">具有履行合同所必需的设备和专业技术能力</w:t>
      </w:r>
      <w:bookmarkEnd w:id="320"/>
      <w:r/>
      <w:bookmarkEnd w:id="321"/>
      <w:r/>
      <w:bookmarkEnd w:id="322"/>
      <w:r/>
      <w:bookmarkEnd w:id="323"/>
      <w:r>
        <w:rPr>
          <w:b/>
          <w:bCs/>
          <w:color w:val="000000"/>
          <w:szCs w:val="21"/>
          <w:highlight w:val="none"/>
          <w:lang w:val="zh-CN"/>
        </w:rPr>
      </w:r>
      <w:r/>
    </w:p>
    <w:p>
      <w:pPr>
        <w:pStyle w:val="1166"/>
        <w:jc w:val="left"/>
        <w:spacing w:line="440" w:lineRule="exact"/>
        <w:rPr>
          <w:color w:val="000000"/>
          <w:highlight w:val="none"/>
        </w:rPr>
      </w:pPr>
      <w:r>
        <w:rPr>
          <w:color w:val="000000"/>
          <w:highlight w:val="none"/>
        </w:rPr>
        <w:t xml:space="preserve">根据项目需求提供履行合同所必需的设备和专业技术能力的证明材料或相关加盖公章的承诺函，承诺函自行编写</w:t>
      </w:r>
      <w:r>
        <w:rPr>
          <w:color w:val="000000"/>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jc w:val="left"/>
        <w:spacing w:line="440" w:lineRule="exact"/>
        <w:rPr>
          <w:color w:val="000000"/>
          <w:highlight w:val="none"/>
        </w:rPr>
      </w:pPr>
      <w:r>
        <w:rPr>
          <w:color w:val="000000"/>
          <w:highlight w:val="none"/>
        </w:rPr>
        <w:t xml:space="preserve">承诺函参考格式：</w:t>
      </w:r>
      <w:r>
        <w:rPr>
          <w:color w:val="000000"/>
          <w:highlight w:val="none"/>
        </w:rPr>
      </w:r>
      <w:r/>
    </w:p>
    <w:p>
      <w:pPr>
        <w:pStyle w:val="1213"/>
        <w:ind w:firstLine="211"/>
        <w:jc w:val="center"/>
        <w:rPr>
          <w:rFonts w:ascii="Times New Roman"/>
          <w:b/>
          <w:color w:val="000000"/>
          <w:sz w:val="21"/>
          <w:highlight w:val="none"/>
        </w:rPr>
      </w:pPr>
      <w:r>
        <w:rPr>
          <w:rFonts w:ascii="Times New Roman"/>
          <w:b/>
          <w:color w:val="000000"/>
          <w:sz w:val="21"/>
          <w:highlight w:val="none"/>
        </w:rPr>
      </w:r>
      <w:r/>
    </w:p>
    <w:p>
      <w:pPr>
        <w:pStyle w:val="1213"/>
        <w:ind w:firstLine="211"/>
        <w:jc w:val="center"/>
        <w:rPr>
          <w:rFonts w:ascii="Times New Roman"/>
          <w:b/>
          <w:color w:val="000000"/>
          <w:sz w:val="21"/>
          <w:highlight w:val="none"/>
        </w:rPr>
      </w:pPr>
      <w:r>
        <w:rPr>
          <w:rFonts w:ascii="Times New Roman"/>
          <w:b/>
          <w:color w:val="000000"/>
          <w:sz w:val="21"/>
          <w:highlight w:val="none"/>
        </w:rPr>
        <w:t xml:space="preserve">承诺函</w:t>
      </w:r>
      <w:r>
        <w:rPr>
          <w:rFonts w:ascii="Times New Roman"/>
          <w:b/>
          <w:color w:val="000000"/>
          <w:sz w:val="21"/>
          <w:highlight w:val="none"/>
        </w:rPr>
      </w:r>
      <w:r/>
    </w:p>
    <w:p>
      <w:pPr>
        <w:pStyle w:val="1213"/>
        <w:ind w:firstLine="210"/>
        <w:rPr>
          <w:rFonts w:ascii="Times New Roman"/>
          <w:color w:val="000000"/>
          <w:sz w:val="21"/>
          <w:highlight w:val="none"/>
        </w:rPr>
      </w:pPr>
      <w:r>
        <w:rPr>
          <w:rFonts w:ascii="Times New Roman"/>
          <w:color w:val="000000"/>
          <w:sz w:val="21"/>
          <w:highlight w:val="none"/>
        </w:rPr>
      </w:r>
      <w:r/>
    </w:p>
    <w:p>
      <w:pPr>
        <w:pStyle w:val="1213"/>
        <w:ind w:firstLine="210"/>
        <w:rPr>
          <w:rFonts w:ascii="Times New Roman"/>
          <w:color w:val="000000"/>
          <w:sz w:val="21"/>
          <w:highlight w:val="none"/>
        </w:rPr>
      </w:pPr>
      <w:r>
        <w:rPr>
          <w:rFonts w:ascii="Times New Roman"/>
          <w:color w:val="000000"/>
          <w:sz w:val="21"/>
          <w:highlight w:val="none"/>
        </w:rPr>
        <w:t xml:space="preserve">我单位承诺：</w:t>
      </w:r>
      <w:r>
        <w:rPr>
          <w:rFonts w:ascii="Times New Roman"/>
          <w:bCs/>
          <w:color w:val="000000"/>
          <w:sz w:val="21"/>
          <w:highlight w:val="none"/>
          <w:lang w:val="zh-CN"/>
        </w:rPr>
        <w:t xml:space="preserve">具有履行合同所必需的设备和专业技术能力。</w:t>
      </w:r>
      <w:r>
        <w:rPr>
          <w:rFonts w:ascii="Times New Roman"/>
          <w:color w:val="000000"/>
          <w:sz w:val="21"/>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1166"/>
        <w:jc w:val="left"/>
        <w:spacing w:line="360" w:lineRule="auto"/>
        <w:rPr>
          <w:b/>
          <w:bCs/>
          <w:color w:val="000000"/>
          <w:szCs w:val="21"/>
          <w:highlight w:val="none"/>
        </w:rPr>
        <w:outlineLvl w:val="2"/>
      </w:pPr>
      <w:r/>
      <w:bookmarkEnd w:id="324"/>
      <w:r/>
      <w:bookmarkStart w:id="325" w:name="_Toc1099"/>
      <w:r/>
      <w:bookmarkStart w:id="326" w:name="_Toc22950"/>
      <w:r/>
      <w:bookmarkStart w:id="327" w:name="_Toc21557"/>
      <w:r/>
      <w:bookmarkStart w:id="328" w:name="_Toc29180"/>
      <w:r/>
      <w:bookmarkStart w:id="329" w:name="_Toc4696444"/>
      <w:r>
        <w:rPr>
          <w:b/>
          <w:bCs/>
          <w:color w:val="000000"/>
          <w:szCs w:val="21"/>
          <w:highlight w:val="none"/>
        </w:rPr>
        <w:t xml:space="preserve">6、参加政府采购活动近三年内（成立时间不足三年的、自成立时间起），在经营活动中没有重大违法记录</w:t>
      </w:r>
      <w:bookmarkEnd w:id="325"/>
      <w:r/>
      <w:bookmarkEnd w:id="326"/>
      <w:r/>
      <w:bookmarkEnd w:id="327"/>
      <w:r/>
      <w:bookmarkEnd w:id="328"/>
      <w:r>
        <w:rPr>
          <w:b/>
          <w:bCs/>
          <w:color w:val="000000"/>
          <w:szCs w:val="21"/>
          <w:highlight w:val="none"/>
        </w:rPr>
      </w:r>
      <w:r/>
    </w:p>
    <w:p>
      <w:pPr>
        <w:pStyle w:val="1166"/>
        <w:spacing w:line="440" w:lineRule="exact"/>
        <w:tabs>
          <w:tab w:val="left" w:pos="972" w:leader="none"/>
        </w:tabs>
        <w:rPr>
          <w:color w:val="000000"/>
          <w:sz w:val="24"/>
          <w:szCs w:val="24"/>
          <w:highlight w:val="none"/>
        </w:rPr>
      </w:pPr>
      <w:r>
        <w:rPr>
          <w:color w:val="000000"/>
          <w:sz w:val="24"/>
          <w:szCs w:val="24"/>
          <w:highlight w:val="none"/>
        </w:rPr>
        <w:t xml:space="preserve">参考格式：</w:t>
      </w:r>
      <w:r>
        <w:rPr>
          <w:color w:val="000000"/>
          <w:sz w:val="24"/>
          <w:szCs w:val="24"/>
          <w:highlight w:val="none"/>
        </w:rPr>
        <w:tab/>
      </w:r>
      <w:r>
        <w:rPr>
          <w:color w:val="000000"/>
          <w:sz w:val="24"/>
          <w:szCs w:val="24"/>
          <w:highlight w:val="none"/>
        </w:rPr>
      </w:r>
      <w:r/>
    </w:p>
    <w:p>
      <w:pPr>
        <w:pStyle w:val="1166"/>
        <w:jc w:val="center"/>
        <w:rPr>
          <w:color w:val="000000"/>
          <w:sz w:val="36"/>
          <w:szCs w:val="36"/>
          <w:highlight w:val="none"/>
        </w:rPr>
      </w:pPr>
      <w:r>
        <w:rPr>
          <w:color w:val="000000"/>
          <w:sz w:val="36"/>
          <w:szCs w:val="36"/>
          <w:highlight w:val="none"/>
        </w:rPr>
        <w:t xml:space="preserve">无重大违法记录声明</w:t>
      </w:r>
      <w:r>
        <w:rPr>
          <w:color w:val="000000"/>
          <w:sz w:val="36"/>
          <w:szCs w:val="36"/>
          <w:highlight w:val="none"/>
        </w:rPr>
      </w:r>
      <w:r/>
    </w:p>
    <w:p>
      <w:pPr>
        <w:pStyle w:val="1166"/>
        <w:rPr>
          <w:color w:val="000000"/>
          <w:sz w:val="30"/>
          <w:szCs w:val="30"/>
          <w:highlight w:val="none"/>
        </w:rPr>
      </w:pPr>
      <w:r>
        <w:rPr>
          <w:color w:val="000000"/>
          <w:sz w:val="30"/>
          <w:szCs w:val="30"/>
          <w:highlight w:val="none"/>
        </w:rPr>
      </w:r>
      <w:r/>
    </w:p>
    <w:p>
      <w:pPr>
        <w:pStyle w:val="1166"/>
        <w:ind w:firstLine="420"/>
        <w:spacing w:line="360" w:lineRule="auto"/>
        <w:rPr>
          <w:color w:val="000000"/>
          <w:highlight w:val="none"/>
        </w:rPr>
      </w:pPr>
      <w:r>
        <w:rPr>
          <w:color w:val="000000"/>
          <w:szCs w:val="21"/>
          <w:highlight w:val="none"/>
        </w:rPr>
        <w:t xml:space="preserve">江苏苏美达仪器设备有限公司</w:t>
      </w:r>
      <w:r>
        <w:rPr>
          <w:color w:val="000000"/>
          <w:highlight w:val="none"/>
        </w:rPr>
        <w:t xml:space="preserve">：</w:t>
      </w:r>
      <w:r>
        <w:rPr>
          <w:color w:val="000000"/>
          <w:highlight w:val="none"/>
        </w:rPr>
      </w:r>
      <w:r/>
    </w:p>
    <w:p>
      <w:pPr>
        <w:pStyle w:val="1166"/>
        <w:ind w:firstLine="420"/>
        <w:spacing w:line="360" w:lineRule="auto"/>
        <w:rPr>
          <w:color w:val="000000"/>
          <w:highlight w:val="none"/>
        </w:rPr>
      </w:pPr>
      <w:r>
        <w:rPr>
          <w:color w:val="000000"/>
          <w:highlight w:val="none"/>
        </w:rPr>
      </w:r>
      <w:r/>
    </w:p>
    <w:p>
      <w:pPr>
        <w:pStyle w:val="1166"/>
        <w:ind w:firstLine="420"/>
        <w:spacing w:line="360" w:lineRule="auto"/>
        <w:rPr>
          <w:color w:val="000000"/>
          <w:highlight w:val="none"/>
        </w:rPr>
      </w:pPr>
      <w:r>
        <w:rPr>
          <w:color w:val="000000"/>
          <w:highlight w:val="none"/>
        </w:rPr>
        <w:t xml:space="preserve">    我单位</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166"/>
        <w:ind w:firstLine="420"/>
        <w:spacing w:line="360" w:lineRule="auto"/>
        <w:rPr>
          <w:color w:val="000000"/>
          <w:highlight w:val="none"/>
        </w:rPr>
      </w:pPr>
      <w:r>
        <w:rPr>
          <w:color w:val="000000"/>
          <w:highlight w:val="none"/>
        </w:rPr>
        <w:t xml:space="preserve">    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166"/>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jc w:val="left"/>
        <w:spacing w:line="440" w:lineRule="exact"/>
        <w:rPr>
          <w:color w:val="000000"/>
          <w:sz w:val="24"/>
          <w:szCs w:val="24"/>
          <w:highlight w:val="none"/>
        </w:rPr>
      </w:pPr>
      <w:r>
        <w:rPr>
          <w:color w:val="000000"/>
          <w:sz w:val="24"/>
          <w:szCs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spacing w:line="440" w:lineRule="exact"/>
        <w:rPr>
          <w:color w:val="000000"/>
          <w:sz w:val="24"/>
          <w:szCs w:val="24"/>
          <w:highlight w:val="none"/>
        </w:rPr>
      </w:pPr>
      <w:r>
        <w:rPr>
          <w:color w:val="000000"/>
          <w:sz w:val="24"/>
          <w:szCs w:val="24"/>
          <w:highlight w:val="none"/>
        </w:rPr>
      </w:r>
      <w:r/>
    </w:p>
    <w:p>
      <w:pPr>
        <w:pStyle w:val="1166"/>
        <w:ind w:left="-2" w:right="-5"/>
        <w:spacing w:line="440" w:lineRule="exact"/>
        <w:rPr>
          <w:color w:val="000000"/>
          <w:sz w:val="24"/>
          <w:highlight w:val="none"/>
        </w:rPr>
      </w:pPr>
      <w:r>
        <w:rPr>
          <w:color w:val="000000"/>
          <w:sz w:val="24"/>
          <w:highlight w:val="none"/>
        </w:rPr>
      </w:r>
      <w:r/>
    </w:p>
    <w:p>
      <w:pPr>
        <w:pStyle w:val="1166"/>
        <w:jc w:val="left"/>
        <w:spacing w:line="360" w:lineRule="auto"/>
        <w:rPr>
          <w:b/>
          <w:bCs/>
          <w:color w:val="000000"/>
          <w:szCs w:val="21"/>
          <w:highlight w:val="none"/>
        </w:rPr>
        <w:outlineLvl w:val="2"/>
      </w:pPr>
      <w:r>
        <w:rPr>
          <w:b/>
          <w:bCs/>
          <w:color w:val="000000"/>
          <w:szCs w:val="21"/>
          <w:highlight w:val="none"/>
        </w:rPr>
        <w:br w:type="page" w:clear="all"/>
      </w:r>
      <w:bookmarkStart w:id="330" w:name="_Toc15546"/>
      <w:r/>
      <w:bookmarkStart w:id="331" w:name="_Toc5285"/>
      <w:r>
        <w:rPr>
          <w:b/>
          <w:bCs/>
          <w:color w:val="000000"/>
          <w:szCs w:val="21"/>
          <w:highlight w:val="none"/>
        </w:rPr>
        <w:t xml:space="preserve">7、依法缴纳税收的记录</w:t>
      </w:r>
      <w:bookmarkEnd w:id="329"/>
      <w:r/>
      <w:bookmarkEnd w:id="330"/>
      <w:r/>
      <w:bookmarkEnd w:id="331"/>
      <w:r>
        <w:rPr>
          <w:b/>
          <w:bCs/>
          <w:color w:val="000000"/>
          <w:szCs w:val="21"/>
          <w:highlight w:val="none"/>
        </w:rPr>
      </w:r>
      <w:r/>
    </w:p>
    <w:p>
      <w:pPr>
        <w:pStyle w:val="1166"/>
        <w:spacing w:after="120" w:line="440" w:lineRule="exact"/>
        <w:rPr>
          <w:b/>
          <w:color w:val="000000"/>
          <w:highlight w:val="none"/>
          <w:u w:val="single"/>
        </w:rPr>
      </w:pPr>
      <w:r>
        <w:rPr>
          <w:color w:val="000000"/>
          <w:highlight w:val="none"/>
        </w:rPr>
        <w:t xml:space="preserve">提供距开标时间六个月内任意一月份的纳税</w:t>
      </w:r>
      <w:r>
        <w:rPr>
          <w:color w:val="000000"/>
          <w:szCs w:val="21"/>
          <w:highlight w:val="none"/>
        </w:rPr>
        <w:t xml:space="preserve">（企业代缴的个人所得税除外）</w:t>
      </w:r>
      <w:r>
        <w:rPr>
          <w:color w:val="000000"/>
          <w:highlight w:val="none"/>
        </w:rPr>
        <w:t xml:space="preserve">凭据复印件加盖公章（依法免税的应提供相应文件说明）</w:t>
      </w:r>
      <w:r>
        <w:rPr>
          <w:b/>
          <w:color w:val="000000"/>
          <w:highlight w:val="none"/>
          <w:u w:val="singl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66"/>
        <w:jc w:val="left"/>
        <w:spacing w:line="360" w:lineRule="auto"/>
        <w:rPr>
          <w:b/>
          <w:bCs/>
          <w:color w:val="000000"/>
          <w:szCs w:val="21"/>
          <w:highlight w:val="none"/>
        </w:rPr>
        <w:outlineLvl w:val="2"/>
      </w:pPr>
      <w:r/>
      <w:bookmarkStart w:id="332" w:name="_Toc10831"/>
      <w:r/>
      <w:bookmarkStart w:id="333" w:name="_Toc4696445"/>
      <w:r/>
      <w:bookmarkStart w:id="334" w:name="_Toc29386"/>
      <w:r>
        <w:rPr>
          <w:b/>
          <w:bCs/>
          <w:color w:val="000000"/>
          <w:szCs w:val="21"/>
          <w:highlight w:val="none"/>
        </w:rPr>
        <w:t xml:space="preserve">8、依法缴纳社会保障资金的记录</w:t>
      </w:r>
      <w:bookmarkEnd w:id="332"/>
      <w:r/>
      <w:bookmarkEnd w:id="333"/>
      <w:r/>
      <w:bookmarkEnd w:id="334"/>
      <w:r>
        <w:rPr>
          <w:b/>
          <w:bCs/>
          <w:color w:val="000000"/>
          <w:szCs w:val="21"/>
          <w:highlight w:val="none"/>
        </w:rPr>
      </w:r>
      <w:r/>
    </w:p>
    <w:p>
      <w:pPr>
        <w:pStyle w:val="1166"/>
        <w:spacing w:line="360" w:lineRule="auto"/>
        <w:rPr>
          <w:color w:val="000000"/>
          <w:szCs w:val="21"/>
          <w:highlight w:val="none"/>
          <w:lang w:bidi="en-US"/>
        </w:rPr>
      </w:pPr>
      <w:r>
        <w:rPr>
          <w:color w:val="000000"/>
          <w:szCs w:val="21"/>
          <w:highlight w:val="none"/>
          <w:lang w:bidi="en-US"/>
        </w:rPr>
      </w:r>
      <w:r/>
    </w:p>
    <w:p>
      <w:pPr>
        <w:pStyle w:val="1166"/>
        <w:spacing w:line="440" w:lineRule="exact"/>
        <w:rPr>
          <w:color w:val="000000"/>
          <w:sz w:val="24"/>
          <w:szCs w:val="24"/>
          <w:highlight w:val="none"/>
        </w:rPr>
      </w:pPr>
      <w:r>
        <w:rPr>
          <w:color w:val="000000"/>
          <w:highlight w:val="none"/>
        </w:rPr>
        <w:t xml:space="preserve">1、提供距开标时间六个月内任意一月份的依法缴纳社会保障资金的凭据复印件加盖公章（凭据可以是缴费的银行单据、专用收据、社会保险缴纳清单或者所在社保机构开具的证明等，自行编写无效）；</w:t>
      </w:r>
      <w:r>
        <w:rPr>
          <w:color w:val="000000"/>
          <w:sz w:val="24"/>
          <w:szCs w:val="24"/>
          <w:highlight w:val="none"/>
        </w:rPr>
      </w:r>
      <w:r/>
    </w:p>
    <w:p>
      <w:pPr>
        <w:pStyle w:val="1166"/>
        <w:spacing w:line="440" w:lineRule="exact"/>
        <w:rPr>
          <w:color w:val="000000"/>
          <w:sz w:val="24"/>
          <w:szCs w:val="24"/>
          <w:highlight w:val="none"/>
        </w:rPr>
      </w:pPr>
      <w:r>
        <w:rPr>
          <w:color w:val="000000"/>
          <w:highlight w:val="none"/>
        </w:rPr>
        <w:t xml:space="preserve">2、依法不需要缴纳社会保障资金的，应提供相应的文件证明；</w:t>
      </w:r>
      <w:r>
        <w:rPr>
          <w:color w:val="000000"/>
          <w:sz w:val="24"/>
          <w:szCs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b/>
          <w:color w:val="000000"/>
          <w:highlight w:val="none"/>
        </w:rPr>
      </w:pPr>
      <w:r>
        <w:rPr>
          <w:b/>
          <w:color w:val="000000"/>
          <w:highlight w:val="none"/>
        </w:rPr>
        <w:t xml:space="preserve">  </w:t>
      </w:r>
      <w:r>
        <w:rPr>
          <w:b/>
          <w:color w:val="000000"/>
          <w:highlight w:val="none"/>
        </w:rPr>
      </w:r>
      <w:r/>
    </w:p>
    <w:p>
      <w:pPr>
        <w:pStyle w:val="1166"/>
        <w:spacing w:line="440" w:lineRule="exact"/>
        <w:rPr>
          <w:b/>
          <w:color w:val="000000"/>
          <w:highlight w:val="none"/>
        </w:rPr>
      </w:pPr>
      <w:r>
        <w:rPr>
          <w:b/>
          <w:color w:val="000000"/>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66"/>
        <w:spacing w:line="440" w:lineRule="exact"/>
        <w:rPr>
          <w:color w:val="000000"/>
          <w:sz w:val="24"/>
          <w:highlight w:val="none"/>
        </w:rPr>
      </w:pPr>
      <w:r>
        <w:rPr>
          <w:color w:val="000000"/>
          <w:sz w:val="24"/>
          <w:highlight w:val="none"/>
        </w:rPr>
      </w:r>
      <w:r/>
    </w:p>
    <w:p>
      <w:pPr>
        <w:pStyle w:val="1166"/>
        <w:spacing w:line="440" w:lineRule="exact"/>
        <w:rPr>
          <w:b/>
          <w:color w:val="000000"/>
          <w:highlight w:val="none"/>
        </w:rPr>
      </w:pPr>
      <w:r>
        <w:rPr>
          <w:b/>
          <w:color w:val="000000"/>
          <w:highlight w:val="none"/>
        </w:rPr>
      </w:r>
      <w:r/>
    </w:p>
    <w:p>
      <w:pPr>
        <w:pStyle w:val="1166"/>
        <w:jc w:val="center"/>
        <w:spacing w:line="440" w:lineRule="exact"/>
        <w:rPr>
          <w:color w:val="000000"/>
          <w:highlight w:val="none"/>
        </w:rPr>
      </w:pPr>
      <w:r>
        <w:rPr>
          <w:color w:val="000000"/>
          <w:highlight w:val="none"/>
        </w:rPr>
      </w:r>
      <w:r/>
    </w:p>
    <w:p>
      <w:pPr>
        <w:pStyle w:val="1166"/>
        <w:spacing w:line="360" w:lineRule="auto"/>
        <w:shd w:val="clear" w:color="auto" w:fill="ffffff"/>
        <w:widowControl/>
        <w:rPr>
          <w:b/>
          <w:bCs/>
          <w:color w:val="000000"/>
          <w:szCs w:val="21"/>
          <w:highlight w:val="none"/>
        </w:rPr>
        <w:sectPr>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color w:val="000000"/>
          <w:szCs w:val="21"/>
          <w:highlight w:val="none"/>
        </w:rPr>
      </w:r>
      <w:r/>
    </w:p>
    <w:p>
      <w:pPr>
        <w:pStyle w:val="1166"/>
        <w:jc w:val="left"/>
        <w:spacing w:line="440" w:lineRule="exact"/>
        <w:rPr>
          <w:color w:val="000000"/>
          <w:szCs w:val="21"/>
          <w:highlight w:val="none"/>
        </w:rPr>
        <w:outlineLvl w:val="2"/>
      </w:pPr>
      <w:r/>
      <w:bookmarkStart w:id="335" w:name="_Toc5101"/>
      <w:r/>
      <w:bookmarkStart w:id="336" w:name="_Toc18317"/>
      <w:r/>
      <w:bookmarkStart w:id="337" w:name="_Toc4696448"/>
      <w:r>
        <w:rPr>
          <w:b/>
          <w:bCs/>
          <w:color w:val="000000"/>
          <w:szCs w:val="21"/>
          <w:highlight w:val="none"/>
        </w:rPr>
        <w:t xml:space="preserve">9、本项目不接受联合体投标，中标后不允许分包、转包。</w:t>
      </w:r>
      <w:bookmarkEnd w:id="335"/>
      <w:r/>
      <w:bookmarkEnd w:id="336"/>
      <w:r>
        <w:rPr>
          <w:color w:val="000000"/>
          <w:szCs w:val="21"/>
          <w:highlight w:val="none"/>
        </w:rPr>
      </w:r>
      <w:r/>
    </w:p>
    <w:p>
      <w:pPr>
        <w:pStyle w:val="1166"/>
        <w:jc w:val="center"/>
        <w:spacing w:line="440" w:lineRule="exact"/>
        <w:rPr>
          <w:b/>
          <w:bCs/>
          <w:color w:val="000000"/>
          <w:sz w:val="24"/>
          <w:szCs w:val="22"/>
          <w:highlight w:val="none"/>
        </w:rPr>
      </w:pPr>
      <w:r>
        <w:rPr>
          <w:b/>
          <w:bCs/>
          <w:color w:val="000000"/>
          <w:sz w:val="24"/>
          <w:szCs w:val="22"/>
          <w:highlight w:val="none"/>
        </w:rPr>
      </w:r>
      <w:r/>
    </w:p>
    <w:p>
      <w:pPr>
        <w:pStyle w:val="1166"/>
        <w:jc w:val="center"/>
        <w:spacing w:line="440" w:lineRule="exact"/>
        <w:rPr>
          <w:b/>
          <w:bCs/>
          <w:color w:val="000000"/>
          <w:sz w:val="24"/>
          <w:szCs w:val="22"/>
          <w:highlight w:val="none"/>
        </w:rPr>
      </w:pPr>
      <w:r>
        <w:rPr>
          <w:b/>
          <w:bCs/>
          <w:color w:val="000000"/>
          <w:sz w:val="24"/>
          <w:szCs w:val="22"/>
          <w:highlight w:val="none"/>
        </w:rPr>
        <w:t xml:space="preserve">承诺书</w:t>
      </w:r>
      <w:r>
        <w:rPr>
          <w:b/>
          <w:bCs/>
          <w:color w:val="000000"/>
          <w:sz w:val="24"/>
          <w:szCs w:val="22"/>
          <w:highlight w:val="none"/>
        </w:rPr>
      </w:r>
      <w:r/>
    </w:p>
    <w:p>
      <w:pPr>
        <w:pStyle w:val="1166"/>
        <w:rPr>
          <w:color w:val="000000"/>
          <w:sz w:val="24"/>
          <w:szCs w:val="22"/>
          <w:highlight w:val="none"/>
        </w:rPr>
      </w:pPr>
      <w:r>
        <w:rPr>
          <w:color w:val="000000"/>
          <w:sz w:val="24"/>
          <w:szCs w:val="22"/>
          <w:highlight w:val="none"/>
        </w:rPr>
      </w:r>
      <w:r/>
    </w:p>
    <w:p>
      <w:pPr>
        <w:pStyle w:val="1166"/>
        <w:spacing w:line="360" w:lineRule="auto"/>
        <w:rPr>
          <w:color w:val="000000"/>
          <w:szCs w:val="21"/>
          <w:highlight w:val="none"/>
        </w:rPr>
      </w:pPr>
      <w:r>
        <w:rPr>
          <w:color w:val="000000"/>
          <w:szCs w:val="21"/>
          <w:highlight w:val="none"/>
        </w:rPr>
        <w:t xml:space="preserve">我单位承诺：</w:t>
      </w:r>
      <w:r>
        <w:rPr>
          <w:color w:val="000000"/>
          <w:szCs w:val="21"/>
          <w:highlight w:val="none"/>
        </w:rPr>
      </w:r>
      <w:r/>
    </w:p>
    <w:p>
      <w:pPr>
        <w:pStyle w:val="1166"/>
        <w:ind w:firstLine="420"/>
        <w:spacing w:line="360" w:lineRule="auto"/>
        <w:rPr>
          <w:color w:val="000000"/>
          <w:szCs w:val="21"/>
          <w:highlight w:val="none"/>
        </w:rPr>
      </w:pPr>
      <w:r>
        <w:rPr>
          <w:color w:val="000000"/>
          <w:szCs w:val="21"/>
          <w:highlight w:val="none"/>
        </w:rPr>
        <w:t xml:space="preserve">我单位未组成联合体投标，中标后不进行分包、转包。</w:t>
      </w:r>
      <w:r>
        <w:rPr>
          <w:color w:val="000000"/>
          <w:szCs w:val="21"/>
          <w:highlight w:val="none"/>
        </w:rPr>
      </w:r>
      <w:r/>
    </w:p>
    <w:p>
      <w:pPr>
        <w:pStyle w:val="1166"/>
        <w:rPr>
          <w:color w:val="000000"/>
          <w:sz w:val="24"/>
          <w:szCs w:val="22"/>
          <w:highlight w:val="none"/>
        </w:rPr>
      </w:pPr>
      <w:r>
        <w:rPr>
          <w:color w:val="000000"/>
          <w:sz w:val="24"/>
          <w:szCs w:val="22"/>
          <w:highlight w:val="none"/>
        </w:rPr>
      </w:r>
      <w:r/>
    </w:p>
    <w:p>
      <w:pPr>
        <w:pStyle w:val="1166"/>
        <w:ind w:left="-2" w:right="-5"/>
        <w:spacing w:line="360" w:lineRule="auto"/>
        <w:rPr>
          <w:color w:val="000000"/>
          <w:szCs w:val="21"/>
          <w:highlight w:val="none"/>
        </w:rPr>
      </w:pPr>
      <w:r>
        <w:rPr>
          <w:color w:val="000000"/>
          <w:szCs w:val="21"/>
          <w:highlight w:val="none"/>
        </w:rPr>
      </w:r>
      <w:r/>
    </w:p>
    <w:p>
      <w:pPr>
        <w:pStyle w:val="1166"/>
        <w:ind w:left="-2" w:right="-5"/>
        <w:spacing w:line="360" w:lineRule="auto"/>
        <w:rPr>
          <w:color w:val="000000"/>
          <w:szCs w:val="21"/>
          <w:highlight w:val="none"/>
        </w:rPr>
      </w:pP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授权代表（签字）：</w:t>
      </w:r>
      <w:r>
        <w:rPr>
          <w:color w:val="000000"/>
          <w:szCs w:val="21"/>
          <w:highlight w:val="none"/>
        </w:rPr>
      </w:r>
      <w:r/>
    </w:p>
    <w:p>
      <w:pPr>
        <w:pStyle w:val="1166"/>
        <w:jc w:val="left"/>
        <w:spacing w:line="360" w:lineRule="auto"/>
        <w:rPr>
          <w:b/>
          <w:bCs/>
          <w:color w:val="000000"/>
          <w:szCs w:val="21"/>
          <w:highlight w:val="none"/>
        </w:rPr>
      </w:pPr>
      <w:r>
        <w:rPr>
          <w:color w:val="000000"/>
          <w:szCs w:val="21"/>
          <w:highlight w:val="none"/>
        </w:rPr>
        <w:t xml:space="preserve">日期：</w:t>
      </w:r>
      <w:r>
        <w:rPr>
          <w:b/>
          <w:bCs/>
          <w:color w:val="000000"/>
          <w:szCs w:val="21"/>
          <w:highlight w:val="none"/>
        </w:rPr>
      </w:r>
      <w:r/>
    </w:p>
    <w:p>
      <w:pPr>
        <w:pStyle w:val="1166"/>
        <w:jc w:val="left"/>
        <w:spacing w:line="360" w:lineRule="auto"/>
        <w:rPr>
          <w:b/>
          <w:bCs/>
          <w:color w:val="000000"/>
          <w:szCs w:val="21"/>
          <w:highlight w:val="none"/>
        </w:rPr>
        <w:outlineLvl w:val="2"/>
      </w:pPr>
      <w:r>
        <w:rPr>
          <w:b/>
          <w:bCs/>
          <w:color w:val="000000"/>
          <w:szCs w:val="21"/>
          <w:highlight w:val="none"/>
        </w:rPr>
        <w:br w:type="page" w:clear="all"/>
      </w:r>
      <w:bookmarkStart w:id="338" w:name="_Toc28665"/>
      <w:r/>
      <w:bookmarkStart w:id="339" w:name="_Toc32400"/>
      <w:r>
        <w:rPr>
          <w:b/>
          <w:bCs/>
          <w:color w:val="000000"/>
          <w:szCs w:val="21"/>
          <w:highlight w:val="none"/>
        </w:rPr>
        <w:t xml:space="preserve">10、1）投标人为医疗器械经营企业的，须根据投标产品的类别，提供投标人的《医疗器械经营许可证》或者《二类医疗器械经营备案凭证》（复印件加盖公章）；</w:t>
      </w:r>
      <w:bookmarkEnd w:id="338"/>
      <w:r>
        <w:rPr>
          <w:b/>
          <w:bCs/>
          <w:color w:val="000000"/>
          <w:szCs w:val="21"/>
          <w:highlight w:val="none"/>
        </w:rPr>
      </w:r>
      <w:r/>
    </w:p>
    <w:p>
      <w:pPr>
        <w:pStyle w:val="1166"/>
        <w:jc w:val="left"/>
        <w:spacing w:line="360" w:lineRule="auto"/>
        <w:rPr>
          <w:b/>
          <w:bCs/>
          <w:color w:val="000000"/>
          <w:szCs w:val="21"/>
          <w:highlight w:val="none"/>
        </w:rPr>
        <w:outlineLvl w:val="2"/>
      </w:pPr>
      <w:r/>
      <w:bookmarkStart w:id="340" w:name="_Toc16678"/>
      <w:r>
        <w:rPr>
          <w:b/>
          <w:bCs/>
          <w:color w:val="000000"/>
          <w:szCs w:val="21"/>
          <w:highlight w:val="none"/>
        </w:rPr>
        <w:t xml:space="preserve">2）医疗器械生产企业投标本企业产品的，须提供《医疗器械生产许可证》（复印件加盖公章）</w:t>
      </w:r>
      <w:bookmarkEnd w:id="340"/>
      <w:r>
        <w:rPr>
          <w:b/>
          <w:bCs/>
          <w:color w:val="000000"/>
          <w:szCs w:val="21"/>
          <w:highlight w:val="none"/>
        </w:rPr>
      </w:r>
      <w:r/>
    </w:p>
    <w:p>
      <w:pPr>
        <w:pStyle w:val="1166"/>
        <w:spacing w:line="440" w:lineRule="exact"/>
        <w:rPr>
          <w:b/>
          <w:color w:val="000000"/>
          <w:highlight w:val="none"/>
        </w:rPr>
      </w:pPr>
      <w:r/>
      <w:bookmarkEnd w:id="337"/>
      <w:r/>
      <w:bookmarkEnd w:id="339"/>
      <w:r>
        <w:rPr>
          <w:color w:val="000000"/>
          <w:sz w:val="24"/>
          <w:highlight w:val="none"/>
        </w:rPr>
        <w:t xml:space="preserve">    </w:t>
      </w:r>
      <w:r>
        <w:rPr>
          <w:b/>
          <w:color w:val="000000"/>
          <w:highlight w:val="none"/>
        </w:rPr>
        <w:t xml:space="preserve">      </w:t>
      </w:r>
      <w:r>
        <w:rPr>
          <w:b/>
          <w:color w:val="000000"/>
          <w:highlight w:val="none"/>
        </w:rPr>
      </w:r>
      <w:r/>
    </w:p>
    <w:p>
      <w:pPr>
        <w:pStyle w:val="1166"/>
        <w:spacing w:line="440" w:lineRule="exact"/>
        <w:rPr>
          <w:b/>
          <w:color w:val="000000"/>
          <w:highlight w:val="none"/>
        </w:rPr>
      </w:pPr>
      <w:r>
        <w:rPr>
          <w:b/>
          <w:color w:val="000000"/>
          <w:highlight w:val="none"/>
        </w:rPr>
      </w:r>
      <w:r/>
    </w:p>
    <w:p>
      <w:pPr>
        <w:pStyle w:val="1166"/>
        <w:spacing w:line="440" w:lineRule="exact"/>
        <w:rPr>
          <w:b/>
          <w:color w:val="000000"/>
          <w:highlight w:val="none"/>
        </w:rPr>
      </w:pPr>
      <w:r>
        <w:rPr>
          <w:b/>
          <w:color w:val="000000"/>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66"/>
        <w:spacing w:line="440" w:lineRule="exact"/>
        <w:rPr>
          <w:b/>
          <w:color w:val="000000"/>
          <w:highlight w:val="none"/>
        </w:rPr>
      </w:pPr>
      <w:r>
        <w:rPr>
          <w:b/>
          <w:color w:val="000000"/>
          <w:highlight w:val="none"/>
        </w:rPr>
      </w:r>
      <w:r/>
    </w:p>
    <w:p>
      <w:pPr>
        <w:pStyle w:val="1166"/>
        <w:jc w:val="left"/>
        <w:spacing w:line="360" w:lineRule="auto"/>
        <w:rPr>
          <w:b/>
          <w:bCs/>
          <w:color w:val="000000"/>
          <w:szCs w:val="21"/>
          <w:highlight w:val="none"/>
        </w:rPr>
        <w:outlineLvl w:val="2"/>
      </w:pPr>
      <w:r>
        <w:rPr>
          <w:b/>
          <w:bCs/>
          <w:color w:val="000000"/>
          <w:szCs w:val="21"/>
          <w:highlight w:val="none"/>
        </w:rPr>
        <w:br w:type="page" w:clear="all"/>
      </w:r>
      <w:bookmarkStart w:id="341" w:name="_Toc8146"/>
      <w:r/>
      <w:bookmarkStart w:id="342" w:name="_Toc28930"/>
      <w:r/>
      <w:bookmarkStart w:id="343" w:name="_Toc29341"/>
      <w:r>
        <w:rPr>
          <w:b/>
          <w:bCs/>
          <w:color w:val="000000"/>
          <w:szCs w:val="21"/>
          <w:highlight w:val="none"/>
        </w:rPr>
        <w:t xml:space="preserve">11、</w:t>
      </w:r>
      <w:r>
        <w:rPr>
          <w:color w:val="000000"/>
          <w:szCs w:val="21"/>
          <w:highlight w:val="none"/>
        </w:rPr>
        <w:t xml:space="preserve">提供产品医疗器械注册证复印件加盖公章。</w:t>
      </w:r>
      <w:bookmarkEnd w:id="341"/>
      <w:r/>
      <w:bookmarkEnd w:id="342"/>
      <w:r/>
      <w:bookmarkEnd w:id="343"/>
      <w:r>
        <w:rPr>
          <w:b/>
          <w:bCs/>
          <w:color w:val="000000"/>
          <w:szCs w:val="21"/>
          <w:highlight w:val="none"/>
        </w:rPr>
      </w:r>
      <w:r/>
    </w:p>
    <w:p>
      <w:pPr>
        <w:pStyle w:val="1166"/>
        <w:spacing w:line="440" w:lineRule="exact"/>
        <w:rPr>
          <w:b/>
          <w:color w:val="000000"/>
          <w:highlight w:val="none"/>
        </w:rPr>
      </w:pPr>
      <w:r>
        <w:rPr>
          <w:color w:val="000000"/>
          <w:sz w:val="24"/>
          <w:highlight w:val="none"/>
        </w:rPr>
        <w:t xml:space="preserve">    </w:t>
      </w:r>
      <w:r>
        <w:rPr>
          <w:b/>
          <w:color w:val="000000"/>
          <w:highlight w:val="none"/>
        </w:rPr>
        <w:t xml:space="preserve">      </w:t>
      </w:r>
      <w:r>
        <w:rPr>
          <w:b/>
          <w:color w:val="000000"/>
          <w:highlight w:val="none"/>
        </w:rPr>
      </w:r>
      <w:r/>
    </w:p>
    <w:p>
      <w:pPr>
        <w:pStyle w:val="1166"/>
        <w:spacing w:line="440" w:lineRule="exact"/>
        <w:rPr>
          <w:b/>
          <w:color w:val="000000"/>
          <w:highlight w:val="none"/>
        </w:rPr>
      </w:pPr>
      <w:r>
        <w:rPr>
          <w:b/>
          <w:color w:val="000000"/>
          <w:highlight w:val="none"/>
        </w:rPr>
      </w:r>
      <w:r/>
    </w:p>
    <w:p>
      <w:pPr>
        <w:pStyle w:val="1166"/>
        <w:spacing w:line="440" w:lineRule="exact"/>
        <w:rPr>
          <w:b/>
          <w:color w:val="000000"/>
          <w:highlight w:val="none"/>
        </w:rPr>
      </w:pPr>
      <w:r>
        <w:rPr>
          <w:b/>
          <w:color w:val="000000"/>
          <w:highlight w:val="none"/>
        </w:rPr>
      </w:r>
      <w:r/>
    </w:p>
    <w:p>
      <w:pPr>
        <w:pStyle w:val="1166"/>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ind w:right="-5"/>
        <w:spacing w:line="440" w:lineRule="exact"/>
        <w:rPr>
          <w:b/>
          <w:color w:val="000000"/>
          <w:highlight w:val="none"/>
        </w:rPr>
      </w:pPr>
      <w:r>
        <w:rPr>
          <w:color w:val="000000"/>
          <w:szCs w:val="21"/>
          <w:highlight w:val="none"/>
        </w:rPr>
        <w:t xml:space="preserve">日期：</w:t>
      </w:r>
      <w:r>
        <w:rPr>
          <w:b/>
          <w:color w:val="000000"/>
          <w:highlight w:val="none"/>
        </w:rPr>
      </w:r>
      <w:r/>
    </w:p>
    <w:p>
      <w:pPr>
        <w:pStyle w:val="1166"/>
        <w:ind w:right="-5"/>
        <w:spacing w:line="440" w:lineRule="exact"/>
        <w:rPr>
          <w:b/>
          <w:color w:val="000000"/>
          <w:highlight w:val="none"/>
        </w:rPr>
      </w:pPr>
      <w:r>
        <w:rPr>
          <w:b/>
          <w:color w:val="000000"/>
          <w:highlight w:val="none"/>
        </w:rPr>
      </w:r>
      <w:r/>
    </w:p>
    <w:p>
      <w:pPr>
        <w:pStyle w:val="1166"/>
        <w:ind w:right="-5"/>
        <w:spacing w:line="440" w:lineRule="exact"/>
        <w:rPr>
          <w:b/>
          <w:color w:val="000000"/>
          <w:highlight w:val="none"/>
        </w:rPr>
      </w:pPr>
      <w:r>
        <w:rPr>
          <w:b/>
          <w:color w:val="000000"/>
          <w:highlight w:val="none"/>
        </w:rPr>
      </w:r>
      <w:r/>
    </w:p>
    <w:p>
      <w:pPr>
        <w:pStyle w:val="1166"/>
        <w:ind w:right="-5"/>
        <w:spacing w:line="440" w:lineRule="exact"/>
        <w:rPr>
          <w:b/>
          <w:color w:val="000000"/>
          <w:highlight w:val="none"/>
        </w:rPr>
      </w:pPr>
      <w:r>
        <w:rPr>
          <w:b/>
          <w:color w:val="000000"/>
          <w:highlight w:val="none"/>
        </w:rPr>
      </w:r>
      <w:r/>
    </w:p>
    <w:p>
      <w:pPr>
        <w:pStyle w:val="1166"/>
        <w:spacing w:line="480" w:lineRule="exact"/>
        <w:widowControl/>
        <w:rPr>
          <w:b/>
          <w:bCs/>
          <w:color w:val="000000"/>
          <w:szCs w:val="21"/>
          <w:highlight w:val="none"/>
        </w:rPr>
        <w:outlineLvl w:val="2"/>
      </w:pPr>
      <w:r/>
      <w:bookmarkStart w:id="344" w:name="_Toc11553"/>
      <w:r>
        <w:rPr>
          <w:b/>
          <w:bCs/>
          <w:color w:val="000000"/>
          <w:szCs w:val="21"/>
          <w:highlight w:val="none"/>
        </w:rPr>
        <w:br w:type="page" w:clear="all"/>
      </w:r>
      <w:bookmarkStart w:id="345" w:name="_Toc12397"/>
      <w:r>
        <w:rPr>
          <w:b/>
          <w:bCs/>
          <w:color w:val="000000"/>
          <w:szCs w:val="21"/>
          <w:highlight w:val="none"/>
        </w:rPr>
        <w:t xml:space="preserve">12、</w:t>
      </w:r>
      <w:bookmarkStart w:id="346" w:name="_Toc20191"/>
      <w:r/>
      <w:bookmarkStart w:id="347" w:name="_Toc6517"/>
      <w:r>
        <w:rPr>
          <w:b/>
          <w:bCs/>
          <w:color w:val="000000"/>
          <w:szCs w:val="21"/>
          <w:highlight w:val="none"/>
        </w:rPr>
        <w:t xml:space="preserve">符合招标文件第一章“拒绝下述供应商参加本次采购活动的情形”中第 1）条的声明或证明材料（加盖单位公章）</w:t>
      </w:r>
      <w:bookmarkEnd w:id="344"/>
      <w:r/>
      <w:bookmarkEnd w:id="345"/>
      <w:r/>
      <w:bookmarkEnd w:id="346"/>
      <w:r/>
      <w:bookmarkEnd w:id="347"/>
      <w:r>
        <w:rPr>
          <w:b/>
          <w:bCs/>
          <w:color w:val="000000"/>
          <w:szCs w:val="21"/>
          <w:highlight w:val="none"/>
        </w:rPr>
        <w:t xml:space="preserve"> </w:t>
      </w:r>
      <w:r>
        <w:rPr>
          <w:b/>
          <w:bCs/>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注：1、投标人应当根据自身存在的情形，如实披露与本单位负责人为同一人或者存在直接控股、管理关系的供应商情况。 </w:t>
      </w:r>
      <w:r>
        <w:rPr>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2、单位负责人为同一人或者存在直接控股、管理关系的不同供应商，同时参加本项目同一包的投标，相关投标均无效。 </w:t>
      </w:r>
      <w:r>
        <w:rPr>
          <w:color w:val="000000"/>
          <w:szCs w:val="21"/>
          <w:highlight w:val="none"/>
        </w:rPr>
      </w:r>
      <w:r/>
    </w:p>
    <w:p>
      <w:pPr>
        <w:pStyle w:val="1166"/>
        <w:ind w:left="1260"/>
        <w:rPr>
          <w:color w:val="000000"/>
          <w:highlight w:val="none"/>
        </w:rPr>
      </w:pPr>
      <w:r>
        <w:rPr>
          <w:color w:val="000000"/>
          <w:highlight w:val="none"/>
        </w:rPr>
      </w:r>
      <w:r/>
    </w:p>
    <w:p>
      <w:pPr>
        <w:pStyle w:val="1166"/>
        <w:jc w:val="left"/>
        <w:spacing w:line="360" w:lineRule="auto"/>
        <w:rPr>
          <w:b/>
          <w:bCs/>
          <w:color w:val="000000"/>
          <w:szCs w:val="21"/>
          <w:highlight w:val="none"/>
        </w:rPr>
      </w:pPr>
      <w:r>
        <w:rPr>
          <w:b/>
          <w:bCs/>
          <w:color w:val="000000"/>
          <w:szCs w:val="21"/>
          <w:highlight w:val="none"/>
        </w:rPr>
        <w:t xml:space="preserve">（如不存在上述情况，请提供如下声明） </w:t>
      </w:r>
      <w:r>
        <w:rPr>
          <w:b/>
          <w:bCs/>
          <w:color w:val="000000"/>
          <w:szCs w:val="21"/>
          <w:highlight w:val="none"/>
        </w:rPr>
      </w:r>
      <w:r/>
    </w:p>
    <w:p>
      <w:pPr>
        <w:pStyle w:val="1166"/>
        <w:jc w:val="left"/>
        <w:spacing w:line="360" w:lineRule="auto"/>
        <w:rPr>
          <w:b/>
          <w:bCs/>
          <w:color w:val="000000"/>
          <w:szCs w:val="21"/>
          <w:highlight w:val="none"/>
        </w:rPr>
      </w:pPr>
      <w:r>
        <w:rPr>
          <w:b/>
          <w:bCs/>
          <w:color w:val="000000"/>
          <w:szCs w:val="21"/>
          <w:highlight w:val="none"/>
        </w:rPr>
      </w:r>
      <w:r/>
    </w:p>
    <w:p>
      <w:pPr>
        <w:pStyle w:val="1166"/>
        <w:jc w:val="left"/>
        <w:spacing w:line="360" w:lineRule="auto"/>
        <w:rPr>
          <w:b/>
          <w:bCs/>
          <w:color w:val="000000"/>
          <w:szCs w:val="21"/>
          <w:highlight w:val="none"/>
        </w:rPr>
      </w:pPr>
      <w:r>
        <w:rPr>
          <w:b/>
          <w:bCs/>
          <w:color w:val="000000"/>
          <w:szCs w:val="21"/>
          <w:highlight w:val="none"/>
        </w:rPr>
        <w:t xml:space="preserve">江苏苏美达仪器设备有限公司： </w:t>
      </w:r>
      <w:r>
        <w:rPr>
          <w:b/>
          <w:bCs/>
          <w:color w:val="000000"/>
          <w:szCs w:val="21"/>
          <w:highlight w:val="none"/>
        </w:rPr>
      </w:r>
      <w:r/>
    </w:p>
    <w:p>
      <w:pPr>
        <w:pStyle w:val="1166"/>
        <w:jc w:val="left"/>
        <w:spacing w:line="360" w:lineRule="auto"/>
        <w:rPr>
          <w:b/>
          <w:bCs/>
          <w:color w:val="000000"/>
          <w:szCs w:val="21"/>
          <w:highlight w:val="none"/>
        </w:rPr>
      </w:pPr>
      <w:r>
        <w:rPr>
          <w:b/>
          <w:bCs/>
          <w:color w:val="000000"/>
          <w:szCs w:val="21"/>
          <w:highlight w:val="none"/>
        </w:rPr>
        <w:t xml:space="preserve"> </w:t>
      </w:r>
      <w:r>
        <w:rPr>
          <w:b/>
          <w:bCs/>
          <w:color w:val="000000"/>
          <w:szCs w:val="21"/>
          <w:highlight w:val="none"/>
        </w:rPr>
      </w:r>
      <w:r/>
    </w:p>
    <w:p>
      <w:pPr>
        <w:pStyle w:val="1166"/>
        <w:jc w:val="left"/>
        <w:spacing w:line="360" w:lineRule="auto"/>
        <w:rPr>
          <w:color w:val="000000"/>
          <w:szCs w:val="21"/>
          <w:highlight w:val="none"/>
        </w:rPr>
      </w:pPr>
      <w:r>
        <w:rPr>
          <w:color w:val="000000"/>
          <w:szCs w:val="21"/>
          <w:highlight w:val="none"/>
        </w:rPr>
        <w:t xml:space="preserve">我单位负责人</w:t>
      </w:r>
      <w:r>
        <w:rPr>
          <w:color w:val="000000"/>
          <w:szCs w:val="21"/>
          <w:highlight w:val="none"/>
          <w:u w:val="single"/>
        </w:rPr>
        <w:t xml:space="preserve">（负责人姓名、身份证号）</w:t>
      </w:r>
      <w:r>
        <w:rPr>
          <w:color w:val="000000"/>
          <w:szCs w:val="21"/>
          <w:highlight w:val="none"/>
        </w:rPr>
        <w:t xml:space="preserve">，与我单位存在直接控股、管理关系的单位为</w:t>
      </w:r>
      <w:r>
        <w:rPr>
          <w:color w:val="000000"/>
          <w:szCs w:val="21"/>
          <w:highlight w:val="none"/>
        </w:rPr>
      </w:r>
      <w:r/>
    </w:p>
    <w:p>
      <w:pPr>
        <w:pStyle w:val="1166"/>
        <w:jc w:val="left"/>
        <w:spacing w:line="360" w:lineRule="auto"/>
        <w:rPr>
          <w:color w:val="000000"/>
          <w:szCs w:val="21"/>
          <w:highlight w:val="none"/>
        </w:rPr>
      </w:pPr>
      <w:r>
        <w:rPr>
          <w:color w:val="000000"/>
          <w:szCs w:val="21"/>
          <w:highlight w:val="none"/>
          <w:u w:val="single"/>
        </w:rPr>
        <w:t xml:space="preserve">（单位名称）</w:t>
      </w:r>
      <w:r>
        <w:rPr>
          <w:color w:val="000000"/>
          <w:szCs w:val="21"/>
          <w:highlight w:val="none"/>
        </w:rPr>
        <w:t xml:space="preserve">，不存在与我单位负责人为同一人或者存在直接控股、管理的不同供应商同时参加本项目同一包投标的情形。 </w:t>
      </w:r>
      <w:r>
        <w:rPr>
          <w:color w:val="000000"/>
          <w:szCs w:val="21"/>
          <w:highlight w:val="none"/>
        </w:rPr>
      </w:r>
      <w:r/>
    </w:p>
    <w:p>
      <w:pPr>
        <w:pStyle w:val="1166"/>
        <w:jc w:val="left"/>
        <w:spacing w:line="360" w:lineRule="auto"/>
        <w:rPr>
          <w:b/>
          <w:bCs/>
          <w:color w:val="000000"/>
          <w:szCs w:val="21"/>
          <w:highlight w:val="none"/>
        </w:rPr>
      </w:pPr>
      <w:r>
        <w:rPr>
          <w:b/>
          <w:bCs/>
          <w:color w:val="000000"/>
          <w:szCs w:val="21"/>
          <w:highlight w:val="none"/>
        </w:rPr>
        <w:t xml:space="preserve"> </w:t>
      </w:r>
      <w:r>
        <w:rPr>
          <w:b/>
          <w:bCs/>
          <w:color w:val="000000"/>
          <w:szCs w:val="21"/>
          <w:highlight w:val="none"/>
        </w:rPr>
      </w:r>
      <w:r/>
    </w:p>
    <w:p>
      <w:pPr>
        <w:pStyle w:val="1166"/>
        <w:jc w:val="left"/>
        <w:spacing w:line="360" w:lineRule="auto"/>
        <w:rPr>
          <w:b/>
          <w:bCs/>
          <w:color w:val="000000"/>
          <w:szCs w:val="21"/>
          <w:highlight w:val="none"/>
        </w:rPr>
      </w:pPr>
      <w:r>
        <w:rPr>
          <w:b/>
          <w:bCs/>
          <w:color w:val="000000"/>
          <w:szCs w:val="21"/>
          <w:highlight w:val="none"/>
        </w:rPr>
        <w:t xml:space="preserve">特此声明。 </w:t>
      </w:r>
      <w:r>
        <w:rPr>
          <w:b/>
          <w:bCs/>
          <w:color w:val="000000"/>
          <w:szCs w:val="21"/>
          <w:highlight w:val="none"/>
        </w:rPr>
      </w:r>
      <w:r/>
    </w:p>
    <w:p>
      <w:pPr>
        <w:pStyle w:val="1166"/>
        <w:spacing w:line="360" w:lineRule="auto"/>
        <w:rPr>
          <w:color w:val="000000"/>
          <w:szCs w:val="21"/>
          <w:highlight w:val="none"/>
        </w:rPr>
      </w:pP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66"/>
        <w:ind w:firstLine="281"/>
        <w:rPr>
          <w:b/>
          <w:bCs/>
          <w:color w:val="000000"/>
          <w:sz w:val="28"/>
          <w:szCs w:val="21"/>
          <w:highlight w:val="none"/>
        </w:rPr>
      </w:pPr>
      <w:r>
        <w:rPr>
          <w:b/>
          <w:bCs/>
          <w:color w:val="000000"/>
          <w:sz w:val="28"/>
          <w:szCs w:val="21"/>
          <w:highlight w:val="none"/>
        </w:rPr>
        <w:t xml:space="preserve"> </w:t>
      </w:r>
      <w:r>
        <w:rPr>
          <w:b/>
          <w:bCs/>
          <w:color w:val="000000"/>
          <w:sz w:val="28"/>
          <w:szCs w:val="21"/>
          <w:highlight w:val="none"/>
        </w:rPr>
      </w:r>
      <w:r/>
    </w:p>
    <w:p>
      <w:pPr>
        <w:pStyle w:val="1166"/>
        <w:ind w:firstLine="281"/>
        <w:rPr>
          <w:b/>
          <w:bCs/>
          <w:color w:val="000000"/>
          <w:szCs w:val="21"/>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b/>
          <w:bCs/>
          <w:color w:val="000000"/>
          <w:szCs w:val="21"/>
          <w:highlight w:val="none"/>
        </w:rPr>
      </w:r>
      <w:r/>
    </w:p>
    <w:p>
      <w:pPr>
        <w:pStyle w:val="1166"/>
        <w:rPr>
          <w:b/>
          <w:bCs/>
          <w:color w:val="000000"/>
          <w:szCs w:val="21"/>
          <w:highlight w:val="none"/>
        </w:rPr>
        <w:outlineLvl w:val="2"/>
      </w:pPr>
      <w:r/>
      <w:bookmarkStart w:id="348" w:name="_Toc24244"/>
      <w:r/>
      <w:bookmarkStart w:id="349" w:name="_Toc30898"/>
      <w:r/>
      <w:bookmarkStart w:id="350" w:name="_Toc12314"/>
      <w:r/>
      <w:bookmarkStart w:id="351" w:name="_Toc10766"/>
      <w:r/>
      <w:bookmarkStart w:id="352" w:name="_Toc21934"/>
      <w:r/>
      <w:bookmarkStart w:id="353" w:name="_Toc31953"/>
      <w:r>
        <w:rPr>
          <w:b/>
          <w:bCs/>
          <w:color w:val="000000"/>
          <w:szCs w:val="21"/>
          <w:highlight w:val="none"/>
        </w:rPr>
        <w:t xml:space="preserve">13、符合招标文件第一章“拒绝下述供应商参加本次采购活动的情形”中第 2）条的声明（加盖单位公章）</w:t>
      </w:r>
      <w:bookmarkEnd w:id="348"/>
      <w:r/>
      <w:bookmarkEnd w:id="349"/>
      <w:r/>
      <w:bookmarkEnd w:id="350"/>
      <w:r/>
      <w:bookmarkEnd w:id="351"/>
      <w:r/>
      <w:bookmarkEnd w:id="352"/>
      <w:r/>
      <w:bookmarkEnd w:id="353"/>
      <w:r>
        <w:rPr>
          <w:b/>
          <w:bCs/>
          <w:color w:val="000000"/>
          <w:szCs w:val="21"/>
          <w:highlight w:val="none"/>
        </w:rPr>
      </w:r>
      <w:r/>
    </w:p>
    <w:p>
      <w:pPr>
        <w:pStyle w:val="1166"/>
        <w:ind w:firstLine="210"/>
        <w:rPr>
          <w:color w:val="000000"/>
          <w:szCs w:val="21"/>
          <w:highlight w:val="none"/>
        </w:rPr>
      </w:pPr>
      <w:r>
        <w:rPr>
          <w:color w:val="000000"/>
          <w:szCs w:val="21"/>
          <w:highlight w:val="none"/>
        </w:rPr>
      </w:r>
      <w:r/>
    </w:p>
    <w:p>
      <w:pPr>
        <w:pStyle w:val="1166"/>
        <w:rPr>
          <w:color w:val="000000"/>
          <w:szCs w:val="21"/>
          <w:highlight w:val="none"/>
        </w:rPr>
      </w:pPr>
      <w:r>
        <w:rPr>
          <w:color w:val="000000"/>
          <w:szCs w:val="21"/>
          <w:highlight w:val="none"/>
        </w:rPr>
        <w:t xml:space="preserve">参考格式：</w:t>
      </w:r>
      <w:r>
        <w:rPr>
          <w:color w:val="000000"/>
          <w:szCs w:val="21"/>
          <w:highlight w:val="none"/>
        </w:rPr>
      </w:r>
      <w:r/>
    </w:p>
    <w:p>
      <w:pPr>
        <w:pStyle w:val="1166"/>
        <w:rPr>
          <w:color w:val="000000"/>
          <w:szCs w:val="21"/>
          <w:highlight w:val="none"/>
        </w:rPr>
      </w:pPr>
      <w:r>
        <w:rPr>
          <w:color w:val="000000"/>
          <w:szCs w:val="21"/>
          <w:highlight w:val="none"/>
        </w:rPr>
      </w:r>
      <w:r/>
    </w:p>
    <w:p>
      <w:pPr>
        <w:pStyle w:val="1166"/>
        <w:ind w:firstLine="211"/>
        <w:rPr>
          <w:color w:val="000000"/>
          <w:szCs w:val="21"/>
          <w:highlight w:val="none"/>
        </w:rPr>
      </w:pPr>
      <w:r>
        <w:rPr>
          <w:b/>
          <w:bCs/>
          <w:color w:val="000000"/>
          <w:szCs w:val="21"/>
          <w:highlight w:val="none"/>
        </w:rPr>
        <w:t xml:space="preserve">江苏苏美达仪器设备有限公司：</w:t>
      </w:r>
      <w:r>
        <w:rPr>
          <w:color w:val="000000"/>
          <w:szCs w:val="21"/>
          <w:highlight w:val="none"/>
        </w:rPr>
      </w:r>
      <w:r/>
    </w:p>
    <w:p>
      <w:pPr>
        <w:pStyle w:val="1166"/>
        <w:ind w:firstLine="420"/>
        <w:rPr>
          <w:color w:val="000000"/>
          <w:szCs w:val="21"/>
          <w:highlight w:val="none"/>
        </w:rPr>
      </w:pPr>
      <w:r>
        <w:rPr>
          <w:color w:val="000000"/>
          <w:szCs w:val="21"/>
          <w:highlight w:val="none"/>
        </w:rPr>
      </w:r>
      <w:r/>
    </w:p>
    <w:p>
      <w:pPr>
        <w:pStyle w:val="1166"/>
        <w:ind w:firstLine="420"/>
        <w:rPr>
          <w:color w:val="000000"/>
          <w:szCs w:val="21"/>
          <w:highlight w:val="none"/>
        </w:rPr>
      </w:pPr>
      <w:r>
        <w:rPr>
          <w:color w:val="000000"/>
          <w:szCs w:val="21"/>
          <w:highlight w:val="none"/>
        </w:rPr>
        <w:t xml:space="preserve">我公司不是为本项目某包提供整体设计、规范编制或者项目管理、监理、检测等服务的供应商。 </w:t>
      </w:r>
      <w:r>
        <w:rPr>
          <w:color w:val="000000"/>
          <w:szCs w:val="21"/>
          <w:highlight w:val="none"/>
        </w:rPr>
      </w:r>
      <w:r/>
    </w:p>
    <w:p>
      <w:pPr>
        <w:pStyle w:val="1166"/>
        <w:ind w:firstLine="420"/>
        <w:rPr>
          <w:color w:val="000000"/>
          <w:szCs w:val="21"/>
          <w:highlight w:val="none"/>
        </w:rPr>
      </w:pPr>
      <w:r>
        <w:rPr>
          <w:color w:val="000000"/>
          <w:szCs w:val="21"/>
          <w:highlight w:val="none"/>
        </w:rPr>
        <w:t xml:space="preserve"> </w:t>
      </w:r>
      <w:r>
        <w:rPr>
          <w:color w:val="000000"/>
          <w:szCs w:val="21"/>
          <w:highlight w:val="none"/>
        </w:rPr>
      </w:r>
      <w:r/>
    </w:p>
    <w:p>
      <w:pPr>
        <w:pStyle w:val="1166"/>
        <w:ind w:firstLine="211"/>
        <w:rPr>
          <w:b/>
          <w:bCs/>
          <w:color w:val="000000"/>
          <w:szCs w:val="21"/>
          <w:highlight w:val="none"/>
        </w:rPr>
      </w:pPr>
      <w:r>
        <w:rPr>
          <w:b/>
          <w:bCs/>
          <w:color w:val="000000"/>
          <w:szCs w:val="21"/>
          <w:highlight w:val="none"/>
        </w:rPr>
        <w:t xml:space="preserve">特此声明。 </w:t>
      </w:r>
      <w:r>
        <w:rPr>
          <w:b/>
          <w:bCs/>
          <w:color w:val="000000"/>
          <w:szCs w:val="21"/>
          <w:highlight w:val="none"/>
        </w:rPr>
      </w:r>
      <w:r/>
    </w:p>
    <w:p>
      <w:pPr>
        <w:pStyle w:val="1166"/>
        <w:ind w:firstLine="211"/>
        <w:rPr>
          <w:b/>
          <w:bCs/>
          <w:color w:val="000000"/>
          <w:szCs w:val="21"/>
          <w:highlight w:val="none"/>
        </w:rPr>
      </w:pPr>
      <w:r>
        <w:rPr>
          <w:b/>
          <w:bCs/>
          <w:color w:val="000000"/>
          <w:szCs w:val="21"/>
          <w:highlight w:val="none"/>
        </w:rPr>
      </w:r>
      <w:r/>
    </w:p>
    <w:p>
      <w:pPr>
        <w:pStyle w:val="1166"/>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166"/>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66"/>
        <w:ind w:right="-5"/>
        <w:spacing w:line="440" w:lineRule="exact"/>
        <w:rPr>
          <w:b/>
          <w:color w:val="000000"/>
          <w:highlight w:val="none"/>
        </w:rPr>
      </w:pPr>
      <w:r>
        <w:rPr>
          <w:color w:val="000000"/>
          <w:szCs w:val="21"/>
          <w:highlight w:val="none"/>
        </w:rPr>
        <w:t xml:space="preserve">日期：</w:t>
      </w:r>
      <w:r>
        <w:rPr>
          <w:b/>
          <w:color w:val="000000"/>
          <w:highlight w:val="none"/>
        </w:rPr>
      </w:r>
      <w:r/>
    </w:p>
    <w:p>
      <w:pPr>
        <w:pStyle w:val="1166"/>
        <w:spacing w:line="360" w:lineRule="auto"/>
        <w:rPr>
          <w:b/>
          <w:color w:val="000000"/>
          <w:sz w:val="22"/>
          <w:szCs w:val="22"/>
          <w:highlight w:val="none"/>
        </w:rPr>
        <w:outlineLvl w:val="1"/>
      </w:pPr>
      <w:r>
        <w:rPr>
          <w:b/>
          <w:color w:val="000000"/>
          <w:highlight w:val="none"/>
        </w:rPr>
        <w:br w:type="page" w:clear="all"/>
      </w:r>
      <w:bookmarkStart w:id="354" w:name="_Toc20700"/>
      <w:r/>
      <w:bookmarkStart w:id="355" w:name="_Toc23740"/>
      <w:r/>
      <w:bookmarkStart w:id="356" w:name="_Toc4696449"/>
      <w:r>
        <w:rPr>
          <w:b/>
          <w:bCs/>
          <w:color w:val="000000"/>
          <w:szCs w:val="21"/>
          <w:highlight w:val="none"/>
          <w:lang w:bidi="ar"/>
        </w:rPr>
        <w:t xml:space="preserve">附件：</w:t>
      </w:r>
      <w:r>
        <w:rPr>
          <w:b/>
          <w:color w:val="000000"/>
          <w:sz w:val="22"/>
          <w:szCs w:val="22"/>
          <w:highlight w:val="none"/>
        </w:rPr>
        <w:t xml:space="preserve">《南京市政府采购供应商信用记录表暨信用承诺书》</w:t>
      </w:r>
      <w:bookmarkEnd w:id="354"/>
      <w:r/>
      <w:bookmarkEnd w:id="355"/>
      <w:r>
        <w:rPr>
          <w:b/>
          <w:color w:val="000000"/>
          <w:sz w:val="22"/>
          <w:szCs w:val="22"/>
          <w:highlight w:val="none"/>
        </w:rPr>
      </w:r>
      <w:r/>
    </w:p>
    <w:p>
      <w:pPr>
        <w:pStyle w:val="1166"/>
        <w:jc w:val="center"/>
        <w:rPr>
          <w:bCs/>
          <w:color w:val="000000"/>
          <w:sz w:val="22"/>
          <w:szCs w:val="22"/>
          <w:highlight w:val="none"/>
        </w:rPr>
      </w:pPr>
      <w:r>
        <w:rPr>
          <w:bCs/>
          <w:color w:val="000000"/>
          <w:sz w:val="22"/>
          <w:szCs w:val="22"/>
          <w:highlight w:val="none"/>
        </w:rPr>
      </w:r>
      <w:r/>
    </w:p>
    <w:p>
      <w:pPr>
        <w:pStyle w:val="1166"/>
        <w:jc w:val="center"/>
        <w:rPr>
          <w:bCs/>
          <w:color w:val="000000"/>
          <w:sz w:val="24"/>
          <w:szCs w:val="24"/>
          <w:highlight w:val="none"/>
        </w:rPr>
      </w:pPr>
      <w:r>
        <w:rPr>
          <w:bCs/>
          <w:color w:val="000000"/>
          <w:sz w:val="24"/>
          <w:szCs w:val="24"/>
          <w:highlight w:val="none"/>
        </w:rPr>
        <w:t xml:space="preserve">南京市政府采购供应商信用记录表暨信用承诺书</w:t>
      </w:r>
      <w:r>
        <w:rPr>
          <w:bCs/>
          <w:color w:val="000000"/>
          <w:sz w:val="24"/>
          <w:szCs w:val="24"/>
          <w:highlight w:val="none"/>
        </w:rPr>
      </w:r>
      <w:r/>
    </w:p>
    <w:p>
      <w:pPr>
        <w:pStyle w:val="1166"/>
        <w:rPr>
          <w:color w:val="000000"/>
          <w:highlight w:val="none"/>
        </w:rPr>
      </w:pPr>
      <w:r>
        <w:rPr>
          <w:color w:val="000000"/>
          <w:highlight w:val="none"/>
        </w:rPr>
      </w:r>
      <w:r/>
    </w:p>
    <w:p>
      <w:pPr>
        <w:pStyle w:val="1166"/>
        <w:jc w:val="right"/>
        <w:rPr>
          <w:bCs/>
          <w:color w:val="000000"/>
          <w:sz w:val="22"/>
          <w:szCs w:val="22"/>
          <w:highlight w:val="none"/>
        </w:rPr>
      </w:pPr>
      <w:r>
        <w:rPr>
          <w:bCs/>
          <w:color w:val="000000"/>
          <w:sz w:val="22"/>
          <w:szCs w:val="22"/>
          <w:highlight w:val="none"/>
        </w:rPr>
        <w:t xml:space="preserve">20   年   月   日</w:t>
      </w:r>
      <w:r>
        <w:rPr>
          <w:bCs/>
          <w:color w:val="000000"/>
          <w:sz w:val="22"/>
          <w:szCs w:val="22"/>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0"/>
        <w:gridCol w:w="2461"/>
        <w:gridCol w:w="2463"/>
        <w:gridCol w:w="2464"/>
      </w:tblGrid>
      <w:tr>
        <w:trPr>
          <w:trHeight w:val="400"/>
        </w:trPr>
        <w:tc>
          <w:tcPr>
            <w:tcW w:w="1249" w:type="dxa"/>
            <w:vAlign w:val="top"/>
            <w:textDirection w:val="lrTb"/>
            <w:noWrap w:val="false"/>
          </w:tcPr>
          <w:p>
            <w:pPr>
              <w:pStyle w:val="1166"/>
              <w:spacing w:line="360" w:lineRule="auto"/>
              <w:rPr>
                <w:bCs/>
                <w:color w:val="000000"/>
                <w:szCs w:val="21"/>
                <w:highlight w:val="none"/>
              </w:rPr>
            </w:pPr>
            <w:r>
              <w:rPr>
                <w:bCs/>
                <w:color w:val="000000"/>
                <w:szCs w:val="21"/>
                <w:highlight w:val="none"/>
              </w:rPr>
              <w:t xml:space="preserve">单位名称</w:t>
            </w:r>
            <w:r>
              <w:rPr>
                <w:bCs/>
                <w:color w:val="000000"/>
                <w:szCs w:val="21"/>
                <w:highlight w:val="none"/>
              </w:rPr>
            </w:r>
            <w:r/>
          </w:p>
        </w:tc>
        <w:tc>
          <w:tcPr>
            <w:tcW w:w="1249" w:type="dxa"/>
            <w:vAlign w:val="top"/>
            <w:textDirection w:val="lrTb"/>
            <w:noWrap w:val="false"/>
          </w:tcPr>
          <w:p>
            <w:pPr>
              <w:pStyle w:val="1166"/>
              <w:spacing w:line="360" w:lineRule="auto"/>
              <w:rPr>
                <w:bCs/>
                <w:color w:val="000000"/>
                <w:szCs w:val="21"/>
                <w:highlight w:val="none"/>
              </w:rPr>
            </w:pPr>
            <w:r>
              <w:rPr>
                <w:bCs/>
                <w:color w:val="000000"/>
                <w:szCs w:val="21"/>
                <w:highlight w:val="none"/>
              </w:rPr>
            </w:r>
            <w:r/>
          </w:p>
        </w:tc>
        <w:tc>
          <w:tcPr>
            <w:tcW w:w="1250" w:type="dxa"/>
            <w:vAlign w:val="top"/>
            <w:textDirection w:val="lrTb"/>
            <w:noWrap w:val="false"/>
          </w:tcPr>
          <w:p>
            <w:pPr>
              <w:pStyle w:val="1166"/>
              <w:spacing w:line="360" w:lineRule="auto"/>
              <w:rPr>
                <w:bCs/>
                <w:color w:val="000000"/>
                <w:szCs w:val="21"/>
                <w:highlight w:val="none"/>
              </w:rPr>
            </w:pPr>
            <w:r>
              <w:rPr>
                <w:bCs/>
                <w:color w:val="000000"/>
                <w:szCs w:val="21"/>
                <w:highlight w:val="none"/>
              </w:rPr>
              <w:t xml:space="preserve">统一社会信用代码</w:t>
            </w:r>
            <w:r>
              <w:rPr>
                <w:bCs/>
                <w:color w:val="000000"/>
                <w:szCs w:val="21"/>
                <w:highlight w:val="none"/>
              </w:rPr>
            </w:r>
            <w:r/>
          </w:p>
        </w:tc>
        <w:tc>
          <w:tcPr>
            <w:tcW w:w="1250" w:type="dxa"/>
            <w:vAlign w:val="top"/>
            <w:textDirection w:val="lrTb"/>
            <w:noWrap w:val="false"/>
          </w:tcPr>
          <w:p>
            <w:pPr>
              <w:pStyle w:val="1166"/>
              <w:spacing w:line="360" w:lineRule="auto"/>
              <w:rPr>
                <w:bCs/>
                <w:color w:val="000000"/>
                <w:szCs w:val="21"/>
                <w:highlight w:val="none"/>
              </w:rPr>
            </w:pPr>
            <w:r>
              <w:rPr>
                <w:bCs/>
                <w:color w:val="000000"/>
                <w:szCs w:val="21"/>
                <w:highlight w:val="none"/>
              </w:rPr>
            </w:r>
            <w:r/>
          </w:p>
        </w:tc>
      </w:tr>
      <w:tr>
        <w:trPr>
          <w:trHeight w:val="400"/>
        </w:trPr>
        <w:tc>
          <w:tcPr>
            <w:tcW w:w="1249" w:type="dxa"/>
            <w:vAlign w:val="top"/>
            <w:textDirection w:val="lrTb"/>
            <w:noWrap w:val="false"/>
          </w:tcPr>
          <w:p>
            <w:pPr>
              <w:pStyle w:val="1166"/>
              <w:spacing w:line="360" w:lineRule="auto"/>
              <w:rPr>
                <w:bCs/>
                <w:color w:val="000000"/>
                <w:szCs w:val="21"/>
                <w:highlight w:val="none"/>
              </w:rPr>
            </w:pPr>
            <w:r>
              <w:rPr>
                <w:bCs/>
                <w:color w:val="000000"/>
                <w:szCs w:val="21"/>
                <w:highlight w:val="none"/>
              </w:rPr>
              <w:t xml:space="preserve">法定代表人</w:t>
            </w:r>
            <w:r>
              <w:rPr>
                <w:bCs/>
                <w:color w:val="000000"/>
                <w:szCs w:val="21"/>
                <w:highlight w:val="none"/>
              </w:rPr>
            </w:r>
            <w:r/>
          </w:p>
        </w:tc>
        <w:tc>
          <w:tcPr>
            <w:tcW w:w="1249" w:type="dxa"/>
            <w:vAlign w:val="top"/>
            <w:textDirection w:val="lrTb"/>
            <w:noWrap w:val="false"/>
          </w:tcPr>
          <w:p>
            <w:pPr>
              <w:pStyle w:val="1166"/>
              <w:spacing w:line="360" w:lineRule="auto"/>
              <w:rPr>
                <w:bCs/>
                <w:color w:val="000000"/>
                <w:szCs w:val="21"/>
                <w:highlight w:val="none"/>
              </w:rPr>
            </w:pPr>
            <w:r>
              <w:rPr>
                <w:bCs/>
                <w:color w:val="000000"/>
                <w:szCs w:val="21"/>
                <w:highlight w:val="none"/>
              </w:rPr>
            </w:r>
            <w:r/>
          </w:p>
        </w:tc>
        <w:tc>
          <w:tcPr>
            <w:tcW w:w="1250" w:type="dxa"/>
            <w:vAlign w:val="top"/>
            <w:textDirection w:val="lrTb"/>
            <w:noWrap w:val="false"/>
          </w:tcPr>
          <w:p>
            <w:pPr>
              <w:pStyle w:val="1166"/>
              <w:spacing w:line="360" w:lineRule="auto"/>
              <w:rPr>
                <w:bCs/>
                <w:color w:val="000000"/>
                <w:szCs w:val="21"/>
                <w:highlight w:val="none"/>
              </w:rPr>
            </w:pPr>
            <w:r>
              <w:rPr>
                <w:bCs/>
                <w:color w:val="000000"/>
                <w:szCs w:val="21"/>
                <w:highlight w:val="none"/>
              </w:rPr>
              <w:t xml:space="preserve">联系人</w:t>
            </w:r>
            <w:r>
              <w:rPr>
                <w:bCs/>
                <w:color w:val="000000"/>
                <w:szCs w:val="21"/>
                <w:highlight w:val="none"/>
              </w:rPr>
            </w:r>
            <w:r/>
          </w:p>
        </w:tc>
        <w:tc>
          <w:tcPr>
            <w:tcW w:w="1250" w:type="dxa"/>
            <w:vAlign w:val="top"/>
            <w:textDirection w:val="lrTb"/>
            <w:noWrap w:val="false"/>
          </w:tcPr>
          <w:p>
            <w:pPr>
              <w:pStyle w:val="1166"/>
              <w:spacing w:line="360" w:lineRule="auto"/>
              <w:rPr>
                <w:bCs/>
                <w:color w:val="000000"/>
                <w:szCs w:val="21"/>
                <w:highlight w:val="none"/>
              </w:rPr>
            </w:pPr>
            <w:r>
              <w:rPr>
                <w:bCs/>
                <w:color w:val="000000"/>
                <w:szCs w:val="21"/>
                <w:highlight w:val="none"/>
              </w:rPr>
            </w:r>
            <w:r/>
          </w:p>
        </w:tc>
      </w:tr>
      <w:tr>
        <w:trPr>
          <w:trHeight w:val="400"/>
        </w:trPr>
        <w:tc>
          <w:tcPr>
            <w:tcW w:w="1249" w:type="dxa"/>
            <w:vAlign w:val="top"/>
            <w:textDirection w:val="lrTb"/>
            <w:noWrap w:val="false"/>
          </w:tcPr>
          <w:p>
            <w:pPr>
              <w:pStyle w:val="1166"/>
              <w:spacing w:line="360" w:lineRule="auto"/>
              <w:rPr>
                <w:bCs/>
                <w:color w:val="000000"/>
                <w:szCs w:val="21"/>
                <w:highlight w:val="none"/>
              </w:rPr>
            </w:pPr>
            <w:r>
              <w:rPr>
                <w:bCs/>
                <w:color w:val="000000"/>
                <w:szCs w:val="21"/>
                <w:highlight w:val="none"/>
              </w:rPr>
              <w:t xml:space="preserve">联系地址</w:t>
            </w:r>
            <w:r>
              <w:rPr>
                <w:bCs/>
                <w:color w:val="000000"/>
                <w:szCs w:val="21"/>
                <w:highlight w:val="none"/>
              </w:rPr>
            </w:r>
            <w:r/>
          </w:p>
        </w:tc>
        <w:tc>
          <w:tcPr>
            <w:tcW w:w="1249" w:type="dxa"/>
            <w:vAlign w:val="top"/>
            <w:textDirection w:val="lrTb"/>
            <w:noWrap w:val="false"/>
          </w:tcPr>
          <w:p>
            <w:pPr>
              <w:pStyle w:val="1166"/>
              <w:spacing w:line="360" w:lineRule="auto"/>
              <w:rPr>
                <w:bCs/>
                <w:color w:val="000000"/>
                <w:szCs w:val="21"/>
                <w:highlight w:val="none"/>
              </w:rPr>
            </w:pPr>
            <w:r>
              <w:rPr>
                <w:bCs/>
                <w:color w:val="000000"/>
                <w:szCs w:val="21"/>
                <w:highlight w:val="none"/>
              </w:rPr>
            </w:r>
            <w:r/>
          </w:p>
        </w:tc>
        <w:tc>
          <w:tcPr>
            <w:tcW w:w="1250" w:type="dxa"/>
            <w:vAlign w:val="top"/>
            <w:textDirection w:val="lrTb"/>
            <w:noWrap w:val="false"/>
          </w:tcPr>
          <w:p>
            <w:pPr>
              <w:pStyle w:val="1166"/>
              <w:spacing w:line="360" w:lineRule="auto"/>
              <w:rPr>
                <w:bCs/>
                <w:color w:val="000000"/>
                <w:szCs w:val="21"/>
                <w:highlight w:val="none"/>
              </w:rPr>
            </w:pPr>
            <w:r>
              <w:rPr>
                <w:bCs/>
                <w:color w:val="000000"/>
                <w:szCs w:val="21"/>
                <w:highlight w:val="none"/>
              </w:rPr>
              <w:t xml:space="preserve">联系电话</w:t>
            </w:r>
            <w:r>
              <w:rPr>
                <w:bCs/>
                <w:color w:val="000000"/>
                <w:szCs w:val="21"/>
                <w:highlight w:val="none"/>
              </w:rPr>
            </w:r>
            <w:r/>
          </w:p>
        </w:tc>
        <w:tc>
          <w:tcPr>
            <w:tcW w:w="1250" w:type="dxa"/>
            <w:vAlign w:val="top"/>
            <w:textDirection w:val="lrTb"/>
            <w:noWrap w:val="false"/>
          </w:tcPr>
          <w:p>
            <w:pPr>
              <w:pStyle w:val="1166"/>
              <w:spacing w:line="360" w:lineRule="auto"/>
              <w:rPr>
                <w:bCs/>
                <w:color w:val="000000"/>
                <w:szCs w:val="21"/>
                <w:highlight w:val="none"/>
              </w:rPr>
            </w:pPr>
            <w:r>
              <w:rPr>
                <w:bCs/>
                <w:color w:val="000000"/>
                <w:szCs w:val="21"/>
                <w:highlight w:val="none"/>
              </w:rPr>
            </w:r>
            <w:r/>
          </w:p>
        </w:tc>
      </w:tr>
      <w:tr>
        <w:trPr>
          <w:trHeight w:val="535"/>
        </w:trPr>
        <w:tc>
          <w:tcPr>
            <w:tcW w:w="1249" w:type="dxa"/>
            <w:vAlign w:val="center"/>
            <w:textDirection w:val="lrTb"/>
            <w:noWrap w:val="false"/>
          </w:tcPr>
          <w:p>
            <w:pPr>
              <w:pStyle w:val="1166"/>
              <w:spacing w:line="360" w:lineRule="auto"/>
              <w:rPr>
                <w:bCs/>
                <w:color w:val="000000"/>
                <w:szCs w:val="21"/>
                <w:highlight w:val="none"/>
              </w:rPr>
            </w:pPr>
            <w:r>
              <w:rPr>
                <w:bCs/>
                <w:color w:val="000000"/>
                <w:szCs w:val="21"/>
                <w:highlight w:val="none"/>
              </w:rPr>
              <w:t xml:space="preserve">诚信档案记录情况</w:t>
            </w:r>
            <w:r>
              <w:rPr>
                <w:bCs/>
                <w:color w:val="000000"/>
                <w:szCs w:val="21"/>
                <w:highlight w:val="none"/>
              </w:rPr>
            </w:r>
            <w:r/>
          </w:p>
        </w:tc>
        <w:tc>
          <w:tcPr>
            <w:gridSpan w:val="3"/>
            <w:tcW w:w="7388" w:type="dxa"/>
            <w:vAlign w:val="top"/>
            <w:textDirection w:val="lrTb"/>
            <w:noWrap w:val="false"/>
          </w:tcPr>
          <w:p>
            <w:pPr>
              <w:pStyle w:val="1166"/>
              <w:spacing w:line="360" w:lineRule="auto"/>
              <w:rPr>
                <w:bCs/>
                <w:color w:val="000000"/>
                <w:szCs w:val="21"/>
                <w:highlight w:val="none"/>
              </w:rPr>
            </w:pPr>
            <w:r>
              <w:rPr>
                <w:bCs/>
                <w:color w:val="000000"/>
                <w:szCs w:val="21"/>
                <w:highlight w:val="none"/>
              </w:rPr>
            </w:r>
            <w:r/>
          </w:p>
        </w:tc>
      </w:tr>
      <w:tr>
        <w:trPr>
          <w:trHeight w:val="6604"/>
        </w:trPr>
        <w:tc>
          <w:tcPr>
            <w:tcW w:w="1249" w:type="dxa"/>
            <w:vAlign w:val="top"/>
            <w:textDirection w:val="lrTb"/>
            <w:noWrap w:val="false"/>
          </w:tcPr>
          <w:p>
            <w:pPr>
              <w:pStyle w:val="1166"/>
              <w:spacing w:line="360" w:lineRule="auto"/>
              <w:rPr>
                <w:bCs/>
                <w:color w:val="000000"/>
                <w:szCs w:val="21"/>
                <w:highlight w:val="none"/>
              </w:rPr>
            </w:pPr>
            <w:r>
              <w:rPr>
                <w:bCs/>
                <w:color w:val="000000"/>
                <w:szCs w:val="21"/>
                <w:highlight w:val="none"/>
              </w:rPr>
              <w:t xml:space="preserve">信用承诺</w:t>
            </w:r>
            <w:r>
              <w:rPr>
                <w:bCs/>
                <w:color w:val="000000"/>
                <w:szCs w:val="21"/>
                <w:highlight w:val="none"/>
              </w:rPr>
            </w:r>
            <w:r/>
          </w:p>
        </w:tc>
        <w:tc>
          <w:tcPr>
            <w:gridSpan w:val="3"/>
            <w:tcW w:w="7388" w:type="dxa"/>
            <w:vAlign w:val="top"/>
            <w:textDirection w:val="lrTb"/>
            <w:noWrap w:val="false"/>
          </w:tcPr>
          <w:p>
            <w:pPr>
              <w:pStyle w:val="1166"/>
              <w:spacing w:line="360" w:lineRule="auto"/>
              <w:rPr>
                <w:color w:val="000000"/>
                <w:szCs w:val="21"/>
                <w:highlight w:val="none"/>
              </w:rPr>
            </w:pPr>
            <w:r>
              <w:rPr>
                <w:color w:val="000000"/>
                <w:szCs w:val="21"/>
                <w:highlight w:val="none"/>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color w:val="000000"/>
                <w:szCs w:val="21"/>
                <w:highlight w:val="none"/>
              </w:rPr>
            </w:r>
            <w:r/>
          </w:p>
          <w:p>
            <w:pPr>
              <w:pStyle w:val="1166"/>
              <w:spacing w:line="360" w:lineRule="auto"/>
              <w:rPr>
                <w:color w:val="000000"/>
                <w:szCs w:val="21"/>
                <w:highlight w:val="none"/>
              </w:rPr>
            </w:pPr>
            <w:r>
              <w:rPr>
                <w:color w:val="000000"/>
                <w:szCs w:val="21"/>
                <w:highlight w:val="none"/>
              </w:rPr>
            </w:r>
            <w:r/>
          </w:p>
          <w:p>
            <w:pPr>
              <w:pStyle w:val="1166"/>
              <w:jc w:val="center"/>
              <w:spacing w:line="360" w:lineRule="auto"/>
              <w:rPr>
                <w:color w:val="000000"/>
                <w:szCs w:val="21"/>
                <w:highlight w:val="none"/>
              </w:rPr>
            </w:pPr>
            <w:r>
              <w:rPr>
                <w:color w:val="000000"/>
                <w:szCs w:val="21"/>
                <w:highlight w:val="none"/>
              </w:rPr>
              <w:t xml:space="preserve">供应商名称（盖章）：</w:t>
            </w:r>
            <w:r>
              <w:rPr>
                <w:color w:val="000000"/>
                <w:szCs w:val="21"/>
                <w:highlight w:val="none"/>
              </w:rPr>
            </w:r>
            <w:r/>
          </w:p>
          <w:p>
            <w:pPr>
              <w:pStyle w:val="1166"/>
              <w:jc w:val="center"/>
              <w:spacing w:line="360" w:lineRule="auto"/>
              <w:rPr>
                <w:color w:val="000000"/>
                <w:szCs w:val="21"/>
                <w:highlight w:val="none"/>
              </w:rPr>
            </w:pPr>
            <w:r>
              <w:rPr>
                <w:color w:val="000000"/>
                <w:szCs w:val="21"/>
                <w:highlight w:val="none"/>
              </w:rPr>
              <w:t xml:space="preserve">法定代表人（签字）：</w:t>
            </w:r>
            <w:r>
              <w:rPr>
                <w:color w:val="000000"/>
                <w:szCs w:val="21"/>
                <w:highlight w:val="none"/>
              </w:rPr>
            </w:r>
            <w:r/>
          </w:p>
          <w:p>
            <w:pPr>
              <w:pStyle w:val="1166"/>
              <w:jc w:val="center"/>
              <w:spacing w:line="360" w:lineRule="auto"/>
              <w:rPr>
                <w:bCs/>
                <w:color w:val="000000"/>
                <w:szCs w:val="21"/>
                <w:highlight w:val="none"/>
              </w:rPr>
            </w:pPr>
            <w:r>
              <w:rPr>
                <w:color w:val="000000"/>
                <w:szCs w:val="21"/>
                <w:highlight w:val="none"/>
              </w:rPr>
              <w:t xml:space="preserve">二0   年   月    日</w:t>
            </w:r>
            <w:r>
              <w:rPr>
                <w:bCs/>
                <w:color w:val="000000"/>
                <w:szCs w:val="21"/>
                <w:highlight w:val="none"/>
              </w:rPr>
            </w:r>
            <w:r/>
          </w:p>
        </w:tc>
      </w:tr>
    </w:tbl>
    <w:p>
      <w:pPr>
        <w:pStyle w:val="1166"/>
        <w:jc w:val="left"/>
        <w:widowControl/>
        <w:rPr>
          <w:b/>
          <w:bCs/>
          <w:color w:val="000000"/>
          <w:szCs w:val="21"/>
          <w:highlight w:val="none"/>
          <w:lang w:bidi="ar"/>
        </w:rPr>
      </w:pPr>
      <w:r>
        <w:rPr>
          <w:b/>
          <w:bCs/>
          <w:color w:val="000000"/>
          <w:szCs w:val="21"/>
          <w:highlight w:val="none"/>
          <w:lang w:bidi="ar"/>
        </w:rPr>
      </w:r>
      <w:r/>
    </w:p>
    <w:p>
      <w:pPr>
        <w:pStyle w:val="1166"/>
        <w:spacing w:line="360" w:lineRule="auto"/>
        <w:shd w:val="clear" w:color="auto" w:fill="ffffff"/>
        <w:widowControl/>
        <w:rPr>
          <w:color w:val="000000"/>
          <w:szCs w:val="21"/>
          <w:highlight w:val="none"/>
        </w:rPr>
      </w:pPr>
      <w:r>
        <w:rPr>
          <w:color w:val="000000"/>
          <w:szCs w:val="21"/>
          <w:highlight w:val="none"/>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color w:val="000000"/>
          <w:szCs w:val="21"/>
          <w:highlight w:val="none"/>
        </w:rPr>
      </w:r>
      <w:r/>
    </w:p>
    <w:p>
      <w:pPr>
        <w:pStyle w:val="1166"/>
        <w:ind w:firstLine="420"/>
        <w:spacing w:line="360" w:lineRule="auto"/>
        <w:shd w:val="clear" w:color="auto" w:fill="ffffff"/>
        <w:widowControl/>
        <w:rPr>
          <w:color w:val="000000"/>
          <w:szCs w:val="21"/>
          <w:highlight w:val="none"/>
        </w:rPr>
      </w:pPr>
      <w:r>
        <w:rPr>
          <w:color w:val="000000"/>
          <w:szCs w:val="21"/>
          <w:highlight w:val="none"/>
        </w:rPr>
        <w:t xml:space="preserve">供应商涉及以下情形的，不适用信用承诺，仍须提供上述证明材料：</w:t>
      </w:r>
      <w:r>
        <w:rPr>
          <w:color w:val="000000"/>
          <w:szCs w:val="21"/>
          <w:highlight w:val="none"/>
        </w:rPr>
      </w:r>
      <w:r/>
    </w:p>
    <w:p>
      <w:pPr>
        <w:pStyle w:val="1166"/>
        <w:ind w:firstLine="420"/>
        <w:spacing w:line="360" w:lineRule="auto"/>
        <w:shd w:val="clear" w:color="auto" w:fill="ffffff"/>
        <w:widowControl/>
        <w:rPr>
          <w:color w:val="000000"/>
          <w:szCs w:val="21"/>
          <w:highlight w:val="none"/>
        </w:rPr>
      </w:pPr>
      <w:r>
        <w:rPr>
          <w:color w:val="000000"/>
          <w:szCs w:val="21"/>
          <w:highlight w:val="none"/>
        </w:rPr>
        <w:t xml:space="preserve">（1）供应商被列入严重失信主体名单；</w:t>
      </w:r>
      <w:r>
        <w:rPr>
          <w:color w:val="000000"/>
          <w:szCs w:val="21"/>
          <w:highlight w:val="none"/>
        </w:rPr>
      </w:r>
      <w:r/>
    </w:p>
    <w:p>
      <w:pPr>
        <w:pStyle w:val="1166"/>
        <w:ind w:firstLine="420"/>
        <w:spacing w:line="360" w:lineRule="auto"/>
        <w:shd w:val="clear" w:color="auto" w:fill="ffffff"/>
        <w:widowControl/>
        <w:rPr>
          <w:color w:val="000000"/>
          <w:szCs w:val="21"/>
          <w:highlight w:val="none"/>
        </w:rPr>
      </w:pPr>
      <w:r>
        <w:rPr>
          <w:color w:val="000000"/>
          <w:szCs w:val="21"/>
          <w:highlight w:val="none"/>
        </w:rPr>
        <w:t xml:space="preserve">（2）被相关监管部门作出行政处罚且尚在处罚有效期内；</w:t>
      </w:r>
      <w:r>
        <w:rPr>
          <w:color w:val="000000"/>
          <w:szCs w:val="21"/>
          <w:highlight w:val="none"/>
        </w:rPr>
      </w:r>
      <w:r/>
    </w:p>
    <w:p>
      <w:pPr>
        <w:pStyle w:val="1166"/>
        <w:ind w:firstLine="420"/>
        <w:spacing w:line="360" w:lineRule="auto"/>
        <w:shd w:val="clear" w:color="auto" w:fill="ffffff"/>
        <w:widowControl/>
        <w:rPr>
          <w:b/>
          <w:bCs/>
          <w:color w:val="000000"/>
          <w:szCs w:val="21"/>
          <w:highlight w:val="none"/>
        </w:rPr>
      </w:pPr>
      <w:r>
        <w:rPr>
          <w:color w:val="000000"/>
          <w:szCs w:val="21"/>
          <w:highlight w:val="none"/>
        </w:rPr>
        <w:t xml:space="preserve">（3）其他法律、行政法规规定的不适用信用承诺的情形。</w:t>
      </w:r>
      <w:r>
        <w:rPr>
          <w:b/>
          <w:bCs/>
          <w:color w:val="000000"/>
          <w:szCs w:val="21"/>
          <w:highlight w:val="none"/>
        </w:rPr>
      </w:r>
      <w:r/>
    </w:p>
    <w:p>
      <w:pPr>
        <w:pStyle w:val="1166"/>
        <w:ind w:firstLine="440"/>
        <w:spacing w:line="360" w:lineRule="auto"/>
        <w:rPr>
          <w:color w:val="000000"/>
          <w:szCs w:val="21"/>
          <w:highlight w:val="none"/>
        </w:rPr>
      </w:pPr>
      <w:r>
        <w:rPr>
          <w:color w:val="000000"/>
          <w:sz w:val="22"/>
          <w:szCs w:val="22"/>
          <w:highlight w:val="none"/>
        </w:rPr>
        <w:t xml:space="preserve">供应商对信用承诺内容的真实性、合法性、有效性负责。</w:t>
      </w:r>
      <w:r>
        <w:rPr>
          <w:b/>
          <w:bCs/>
          <w:color w:val="000000"/>
          <w:sz w:val="22"/>
          <w:szCs w:val="22"/>
          <w:highlight w:val="none"/>
        </w:rPr>
        <w:t xml:space="preserve">如作出虚假信用承诺，视同为“提供虚假材料谋取中标、成交”的违法行为。</w:t>
      </w:r>
      <w:r>
        <w:rPr>
          <w:color w:val="000000"/>
          <w:sz w:val="22"/>
          <w:szCs w:val="22"/>
          <w:highlight w:val="none"/>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color w:val="000000"/>
          <w:szCs w:val="21"/>
          <w:highlight w:val="none"/>
        </w:rPr>
      </w:r>
      <w:r/>
    </w:p>
    <w:p>
      <w:pPr>
        <w:pStyle w:val="1166"/>
        <w:jc w:val="left"/>
        <w:spacing w:line="360" w:lineRule="auto"/>
        <w:rPr>
          <w:b/>
          <w:color w:val="000000"/>
          <w:highlight w:val="none"/>
        </w:rPr>
      </w:pPr>
      <w:r>
        <w:rPr>
          <w:b/>
          <w:color w:val="000000"/>
          <w:highlight w:val="none"/>
        </w:rPr>
      </w:r>
      <w:r/>
    </w:p>
    <w:p>
      <w:pPr>
        <w:pStyle w:val="1166"/>
        <w:spacing w:line="360" w:lineRule="auto"/>
        <w:rPr>
          <w:b/>
          <w:color w:val="000000"/>
          <w:highlight w:val="none"/>
        </w:rPr>
      </w:pPr>
      <w:r>
        <w:rPr>
          <w:color w:val="000000"/>
          <w:highlight w:val="none"/>
          <w:lang w:bidi="ar"/>
        </w:rPr>
        <w:br w:type="page" w:clear="all"/>
      </w:r>
      <w:r>
        <w:rPr>
          <w:rFonts w:hint="eastAsia"/>
          <w:color w:val="000000"/>
          <w:highlight w:val="none"/>
          <w:lang w:bidi="ar"/>
        </w:rPr>
        <w:t xml:space="preserve">14、</w:t>
      </w:r>
      <w:r>
        <w:rPr>
          <w:color w:val="000000"/>
          <w:highlight w:val="none"/>
          <w:lang w:bidi="ar"/>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打印的“南京市政府采购供应商信用记录表”</w:t>
      </w:r>
      <w:r>
        <w:rPr>
          <w:b/>
          <w:color w:val="000000"/>
          <w:highlight w:val="none"/>
        </w:rPr>
      </w:r>
      <w:r/>
    </w:p>
    <w:p>
      <w:pPr>
        <w:pStyle w:val="1166"/>
        <w:spacing w:line="360" w:lineRule="auto"/>
        <w:rPr>
          <w:b/>
          <w:color w:val="000000"/>
          <w:highlight w:val="none"/>
        </w:rPr>
      </w:pPr>
      <w:r>
        <w:rPr>
          <w:b/>
          <w:color w:val="000000"/>
          <w:highlight w:val="none"/>
        </w:rPr>
      </w:r>
      <w:r/>
    </w:p>
    <w:p>
      <w:pPr>
        <w:pStyle w:val="1166"/>
        <w:spacing w:line="360" w:lineRule="auto"/>
        <w:rPr>
          <w:b/>
          <w:color w:val="000000"/>
          <w:highlight w:val="none"/>
        </w:rPr>
      </w:pPr>
      <w:r>
        <w:rPr>
          <w:b/>
          <w:color w:val="000000"/>
          <w:highlight w:val="none"/>
        </w:rPr>
      </w:r>
      <w:r/>
    </w:p>
    <w:p>
      <w:pPr>
        <w:pStyle w:val="1166"/>
        <w:spacing w:line="360" w:lineRule="auto"/>
        <w:rPr>
          <w:color w:val="000000"/>
          <w:szCs w:val="21"/>
          <w:highlight w:val="none"/>
        </w:rPr>
      </w:pPr>
      <w:r>
        <w:rPr>
          <w:color w:val="000000"/>
          <w:szCs w:val="21"/>
          <w:highlight w:val="none"/>
          <w:lang w:bidi="ar"/>
        </w:rPr>
        <w:t xml:space="preserve">供应商名称（公章）：</w:t>
      </w:r>
      <w:r>
        <w:rPr>
          <w:color w:val="000000"/>
          <w:szCs w:val="21"/>
          <w:highlight w:val="none"/>
        </w:rPr>
      </w:r>
      <w:r/>
    </w:p>
    <w:p>
      <w:pPr>
        <w:pStyle w:val="1166"/>
        <w:spacing w:line="360" w:lineRule="auto"/>
        <w:rPr>
          <w:color w:val="000000"/>
          <w:szCs w:val="21"/>
          <w:highlight w:val="none"/>
        </w:rPr>
      </w:pPr>
      <w:r>
        <w:rPr>
          <w:color w:val="000000"/>
          <w:szCs w:val="21"/>
          <w:highlight w:val="none"/>
          <w:lang w:bidi="ar"/>
        </w:rPr>
        <w:t xml:space="preserve">授权代表（签字）：</w:t>
      </w:r>
      <w:r>
        <w:rPr>
          <w:color w:val="000000"/>
          <w:szCs w:val="21"/>
          <w:highlight w:val="none"/>
        </w:rPr>
      </w:r>
      <w:r/>
    </w:p>
    <w:p>
      <w:pPr>
        <w:pStyle w:val="1166"/>
        <w:spacing w:line="360" w:lineRule="auto"/>
        <w:rPr>
          <w:color w:val="000000"/>
          <w:sz w:val="24"/>
          <w:szCs w:val="24"/>
          <w:highlight w:val="none"/>
        </w:rPr>
      </w:pPr>
      <w:r>
        <w:rPr>
          <w:color w:val="000000"/>
          <w:szCs w:val="21"/>
          <w:highlight w:val="none"/>
          <w:lang w:bidi="ar"/>
        </w:rPr>
        <w:t xml:space="preserve">日期：</w:t>
      </w:r>
      <w:r>
        <w:rPr>
          <w:color w:val="000000"/>
          <w:sz w:val="24"/>
          <w:szCs w:val="24"/>
          <w:highlight w:val="none"/>
        </w:rPr>
      </w:r>
      <w:r/>
    </w:p>
    <w:p>
      <w:pPr>
        <w:pStyle w:val="1166"/>
        <w:jc w:val="left"/>
        <w:spacing w:line="360" w:lineRule="auto"/>
        <w:rPr>
          <w:b/>
          <w:color w:val="000000"/>
          <w:highlight w:val="none"/>
        </w:rPr>
        <w:outlineLvl w:val="1"/>
      </w:pPr>
      <w:r>
        <w:rPr>
          <w:b/>
          <w:color w:val="000000"/>
          <w:highlight w:val="none"/>
        </w:rPr>
        <w:br w:type="page" w:clear="all"/>
      </w:r>
      <w:bookmarkStart w:id="357" w:name="_Toc2309"/>
      <w:r>
        <w:rPr>
          <w:b/>
          <w:color w:val="000000"/>
          <w:highlight w:val="none"/>
        </w:rPr>
        <w:t xml:space="preserve">附件</w:t>
      </w:r>
      <w:r>
        <w:rPr>
          <w:rFonts w:hint="eastAsia"/>
          <w:b/>
          <w:color w:val="000000"/>
          <w:highlight w:val="none"/>
        </w:rPr>
        <w:t xml:space="preserve">九</w:t>
      </w:r>
      <w:r>
        <w:rPr>
          <w:b/>
          <w:color w:val="000000"/>
          <w:highlight w:val="none"/>
        </w:rPr>
        <w:t xml:space="preserve"> 其他相关文件</w:t>
      </w:r>
      <w:bookmarkEnd w:id="356"/>
      <w:r/>
      <w:bookmarkEnd w:id="357"/>
      <w:r>
        <w:rPr>
          <w:b/>
          <w:color w:val="000000"/>
          <w:highlight w:val="none"/>
        </w:rPr>
      </w:r>
      <w:r/>
    </w:p>
    <w:p>
      <w:pPr>
        <w:pStyle w:val="1166"/>
        <w:ind w:right="-5"/>
        <w:spacing w:line="440" w:lineRule="exact"/>
        <w:rPr>
          <w:b/>
          <w:color w:val="000000"/>
          <w:szCs w:val="21"/>
          <w:highlight w:val="none"/>
          <w:lang w:val="zh-CN"/>
        </w:rPr>
      </w:pPr>
      <w:r>
        <w:rPr>
          <w:b/>
          <w:color w:val="000000"/>
          <w:szCs w:val="21"/>
          <w:highlight w:val="none"/>
          <w:lang w:val="zh-CN"/>
        </w:rPr>
        <w:t xml:space="preserve">（针对具体的评标标准提供相应其他材料）</w:t>
      </w:r>
      <w:r>
        <w:rPr>
          <w:b/>
          <w:color w:val="000000"/>
          <w:szCs w:val="21"/>
          <w:highlight w:val="none"/>
          <w:lang w:val="zh-CN"/>
        </w:rPr>
      </w:r>
      <w:r/>
    </w:p>
    <w:p>
      <w:pPr>
        <w:pStyle w:val="1223"/>
        <w:ind w:firstLine="422"/>
        <w:rPr>
          <w:b/>
          <w:color w:val="000000"/>
          <w:szCs w:val="21"/>
          <w:highlight w:val="none"/>
          <w:lang w:val="zh-CN"/>
        </w:rPr>
      </w:pPr>
      <w:r>
        <w:rPr>
          <w:b/>
          <w:color w:val="000000"/>
          <w:szCs w:val="21"/>
          <w:highlight w:val="none"/>
          <w:lang w:val="zh-CN"/>
        </w:rPr>
      </w:r>
      <w:r/>
    </w:p>
    <w:p>
      <w:pPr>
        <w:pStyle w:val="1223"/>
        <w:ind w:firstLine="0"/>
        <w:rPr>
          <w:b/>
          <w:color w:val="000000"/>
          <w:szCs w:val="21"/>
          <w:highlight w:val="none"/>
        </w:rPr>
      </w:pPr>
      <w:r>
        <w:rPr>
          <w:b/>
          <w:color w:val="000000"/>
          <w:szCs w:val="21"/>
          <w:highlight w:val="none"/>
        </w:rPr>
      </w:r>
      <w:r/>
    </w:p>
    <w:p>
      <w:pPr>
        <w:pStyle w:val="1223"/>
        <w:ind w:firstLine="0"/>
        <w:rPr>
          <w:b/>
          <w:color w:val="000000"/>
          <w:szCs w:val="21"/>
          <w:highlight w:val="none"/>
        </w:rPr>
      </w:pPr>
      <w:r>
        <w:rPr>
          <w:b/>
          <w:color w:val="000000"/>
          <w:szCs w:val="21"/>
          <w:highlight w:val="none"/>
        </w:rPr>
      </w:r>
      <w:r/>
    </w:p>
    <w:p>
      <w:pPr>
        <w:pStyle w:val="1268"/>
        <w:ind w:firstLine="0"/>
        <w:rPr>
          <w:b/>
          <w:bCs/>
          <w:color w:val="000000"/>
          <w:highlight w:val="none"/>
          <w:lang w:val="zh-CN"/>
        </w:rPr>
        <w:outlineLvl w:val="1"/>
      </w:pPr>
      <w:r>
        <w:rPr>
          <w:b/>
          <w:bCs/>
          <w:color w:val="000000"/>
          <w:highlight w:val="none"/>
          <w:lang w:val="zh-CN"/>
        </w:rPr>
        <w:br w:type="page" w:clear="all"/>
      </w:r>
      <w:bookmarkStart w:id="358" w:name="_Toc25563"/>
      <w:r>
        <w:rPr>
          <w:b/>
          <w:bCs/>
          <w:color w:val="000000"/>
          <w:highlight w:val="none"/>
          <w:lang w:val="zh-CN"/>
        </w:rPr>
        <w:t xml:space="preserve">附件</w:t>
      </w:r>
      <w:r>
        <w:rPr>
          <w:rFonts w:hint="eastAsia"/>
          <w:b/>
          <w:bCs/>
          <w:color w:val="000000"/>
          <w:highlight w:val="none"/>
        </w:rPr>
        <w:t xml:space="preserve">十</w:t>
      </w:r>
      <w:r>
        <w:rPr>
          <w:b/>
          <w:bCs/>
          <w:color w:val="000000"/>
          <w:highlight w:val="none"/>
          <w:lang w:val="zh-CN"/>
        </w:rPr>
        <w:t xml:space="preserve">  投标货物报告</w:t>
      </w:r>
      <w:bookmarkEnd w:id="358"/>
      <w:r>
        <w:rPr>
          <w:b/>
          <w:bCs/>
          <w:color w:val="000000"/>
          <w:highlight w:val="none"/>
          <w:lang w:val="zh-CN"/>
        </w:rPr>
      </w:r>
      <w:r/>
    </w:p>
    <w:p>
      <w:pPr>
        <w:pStyle w:val="1166"/>
        <w:jc w:val="center"/>
        <w:spacing w:line="360" w:lineRule="auto"/>
        <w:widowControl/>
        <w:rPr>
          <w:b/>
          <w:color w:val="000000"/>
          <w:szCs w:val="21"/>
          <w:highlight w:val="none"/>
        </w:rPr>
      </w:pPr>
      <w:r/>
      <w:bookmarkStart w:id="359" w:name="_Toc6772"/>
      <w:r/>
      <w:bookmarkStart w:id="360" w:name="_Hlk129113470"/>
      <w:r>
        <w:rPr>
          <w:b/>
          <w:bCs/>
          <w:color w:val="000000"/>
          <w:szCs w:val="21"/>
          <w:highlight w:val="none"/>
        </w:rPr>
        <w:t xml:space="preserve">投标货物报告</w:t>
      </w:r>
      <w:bookmarkEnd w:id="359"/>
      <w:r>
        <w:rPr>
          <w:b/>
          <w:color w:val="000000"/>
          <w:szCs w:val="21"/>
          <w:highlight w:val="none"/>
        </w:rPr>
      </w:r>
      <w:r/>
    </w:p>
    <w:p>
      <w:pPr>
        <w:pStyle w:val="1166"/>
        <w:jc w:val="center"/>
        <w:spacing w:line="360" w:lineRule="auto"/>
        <w:widowControl/>
        <w:rPr>
          <w:b/>
          <w:bCs/>
          <w:color w:val="000000"/>
          <w:szCs w:val="21"/>
          <w:highlight w:val="none"/>
        </w:rPr>
      </w:pPr>
      <w:r>
        <w:rPr>
          <w:b/>
          <w:bCs/>
          <w:color w:val="000000"/>
          <w:szCs w:val="21"/>
          <w:highlight w:val="none"/>
        </w:rPr>
      </w:r>
      <w:r/>
    </w:p>
    <w:p>
      <w:pPr>
        <w:pStyle w:val="1166"/>
        <w:spacing w:line="360" w:lineRule="auto"/>
        <w:rPr>
          <w:color w:val="000000"/>
          <w:szCs w:val="21"/>
          <w:highlight w:val="none"/>
        </w:rPr>
      </w:pPr>
      <w:r/>
      <w:bookmarkEnd w:id="360"/>
      <w:r/>
      <w:bookmarkStart w:id="361" w:name="_Hlk233976649"/>
      <w:r/>
      <w:bookmarkStart w:id="362" w:name="_Hlk233973057"/>
      <w:r>
        <w:rPr>
          <w:color w:val="000000"/>
          <w:szCs w:val="21"/>
          <w:highlight w:val="none"/>
        </w:rPr>
        <w:t xml:space="preserve">供应商按照采购文件的要求，根据用户要求内容做出全面响应并编制服务方案，包括但不限于以下内容：</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1.产品主要技术参数；</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2.产品资质、主要性能、质量及综合评价，附货物彩页及设备性能质量检测报告等相关证明资料；</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实施方案，包含</w:t>
      </w:r>
      <w:r>
        <w:rPr>
          <w:color w:val="000000"/>
          <w:szCs w:val="21"/>
          <w:highlight w:val="none"/>
        </w:rPr>
        <w:t xml:space="preserve">产品供货、安装调试方案、安装场地要求、验收标准、</w:t>
      </w:r>
      <w:r>
        <w:rPr>
          <w:rFonts w:hint="eastAsia"/>
          <w:color w:val="000000"/>
          <w:szCs w:val="21"/>
          <w:highlight w:val="none"/>
        </w:rPr>
        <w:t xml:space="preserve">系统对接方案（如有）</w:t>
      </w:r>
      <w:r>
        <w:rPr>
          <w:color w:val="000000"/>
          <w:szCs w:val="21"/>
          <w:highlight w:val="none"/>
        </w:rPr>
        <w:t xml:space="preserve">；</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4售后服务方案</w:t>
      </w:r>
      <w:r>
        <w:rPr>
          <w:rFonts w:hint="eastAsia"/>
          <w:color w:val="000000"/>
          <w:szCs w:val="21"/>
          <w:highlight w:val="none"/>
        </w:rPr>
        <w:t xml:space="preserve">；</w:t>
      </w:r>
      <w:r>
        <w:rPr>
          <w:color w:val="000000"/>
          <w:szCs w:val="21"/>
          <w:highlight w:val="none"/>
        </w:rPr>
      </w:r>
      <w:r/>
    </w:p>
    <w:p>
      <w:pPr>
        <w:pStyle w:val="1166"/>
        <w:spacing w:line="360" w:lineRule="auto"/>
        <w:rPr>
          <w:color w:val="000000"/>
          <w:szCs w:val="21"/>
          <w:highlight w:val="none"/>
        </w:rPr>
      </w:pPr>
      <w:r>
        <w:rPr>
          <w:rFonts w:hint="eastAsia"/>
          <w:color w:val="000000"/>
          <w:szCs w:val="21"/>
          <w:highlight w:val="none"/>
        </w:rPr>
        <w:t xml:space="preserve">5</w:t>
      </w:r>
      <w:r>
        <w:rPr>
          <w:color w:val="000000"/>
          <w:szCs w:val="21"/>
          <w:highlight w:val="none"/>
        </w:rPr>
        <w:t xml:space="preserve">.</w:t>
      </w:r>
      <w:r>
        <w:rPr>
          <w:rFonts w:hint="eastAsia"/>
          <w:color w:val="000000"/>
          <w:szCs w:val="21"/>
          <w:highlight w:val="none"/>
        </w:rPr>
        <w:t xml:space="preserve">应急响应方案和风险管理措施方案等</w:t>
      </w:r>
      <w:r>
        <w:rPr>
          <w:color w:val="000000"/>
          <w:szCs w:val="21"/>
          <w:highlight w:val="none"/>
        </w:rPr>
        <w:t xml:space="preserve">；</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6.质量保证措施方案；</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7.免费质保期承诺；</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8类似项目业绩和经验；</w:t>
      </w:r>
      <w:r>
        <w:rPr>
          <w:color w:val="000000"/>
          <w:szCs w:val="21"/>
          <w:highlight w:val="none"/>
        </w:rPr>
      </w:r>
      <w:r/>
    </w:p>
    <w:p>
      <w:pPr>
        <w:pStyle w:val="1166"/>
        <w:spacing w:line="360" w:lineRule="auto"/>
        <w:rPr>
          <w:color w:val="000000"/>
          <w:szCs w:val="21"/>
          <w:highlight w:val="none"/>
        </w:rPr>
      </w:pPr>
      <w:r>
        <w:rPr>
          <w:color w:val="000000"/>
          <w:szCs w:val="21"/>
          <w:highlight w:val="none"/>
        </w:rPr>
        <w:t xml:space="preserve">9.履约能力；</w:t>
      </w:r>
      <w:r>
        <w:rPr>
          <w:color w:val="000000"/>
          <w:szCs w:val="21"/>
          <w:highlight w:val="none"/>
        </w:rPr>
      </w:r>
      <w:r/>
    </w:p>
    <w:p>
      <w:pPr>
        <w:pStyle w:val="1273"/>
        <w:spacing w:line="360" w:lineRule="auto"/>
        <w:widowControl/>
        <w:rPr>
          <w:color w:val="000000"/>
          <w:szCs w:val="21"/>
          <w:highlight w:val="none"/>
        </w:rPr>
      </w:pPr>
      <w:r>
        <w:rPr>
          <w:color w:val="000000"/>
          <w:szCs w:val="21"/>
          <w:highlight w:val="none"/>
        </w:rPr>
        <w:t xml:space="preserve">10</w:t>
      </w:r>
      <w:r>
        <w:rPr>
          <w:rFonts w:hint="eastAsia"/>
          <w:color w:val="000000"/>
          <w:szCs w:val="21"/>
          <w:highlight w:val="none"/>
          <w:u w:val="single"/>
        </w:rPr>
        <w:t xml:space="preserve">.</w:t>
      </w:r>
      <w:r>
        <w:rPr>
          <w:rFonts w:hint="eastAsia" w:ascii="宋体" w:hAnsi="宋体" w:cs="宋体"/>
          <w:color w:val="000000"/>
          <w:szCs w:val="21"/>
          <w:highlight w:val="none"/>
        </w:rPr>
        <w:t xml:space="preserve"> 供应商须提供质保期满后设备维修保养服务、校准服务及易损零配件报价，包含年度维保服务费、维修服务费、校准服务费以及易损零配件单价，其中零配件应注明零配件名称、品牌、规格型号、产地、优惠单价等信息。</w:t>
      </w:r>
      <w:r>
        <w:rPr>
          <w:rFonts w:hint="eastAsia"/>
          <w:color w:val="000000"/>
          <w:szCs w:val="21"/>
          <w:highlight w:val="none"/>
        </w:rPr>
        <w:t xml:space="preserve">格式自拟并加盖投标人公章。</w:t>
      </w:r>
      <w:r>
        <w:rPr>
          <w:color w:val="000000"/>
          <w:szCs w:val="21"/>
          <w:highlight w:val="none"/>
        </w:rPr>
      </w:r>
      <w:r/>
    </w:p>
    <w:p>
      <w:pPr>
        <w:pStyle w:val="1166"/>
        <w:spacing w:line="360" w:lineRule="auto"/>
        <w:rPr>
          <w:color w:val="000000"/>
          <w:szCs w:val="21"/>
          <w:highlight w:val="none"/>
        </w:rPr>
      </w:pPr>
      <w:r/>
      <w:bookmarkEnd w:id="361"/>
      <w:r>
        <w:rPr>
          <w:rFonts w:hint="eastAsia"/>
          <w:color w:val="000000"/>
          <w:szCs w:val="21"/>
          <w:highlight w:val="none"/>
        </w:rPr>
        <w:t xml:space="preserve"> 1</w:t>
      </w:r>
      <w:r>
        <w:rPr>
          <w:color w:val="000000"/>
          <w:szCs w:val="21"/>
          <w:highlight w:val="none"/>
        </w:rPr>
        <w:t xml:space="preserve">1</w:t>
      </w:r>
      <w:r>
        <w:rPr>
          <w:rFonts w:hint="eastAsia"/>
          <w:color w:val="000000"/>
          <w:szCs w:val="21"/>
          <w:highlight w:val="none"/>
        </w:rPr>
        <w:t xml:space="preserve">、供应商须提供设备所有配套专用耗材及其他用品等相关材料（如有），须提供名称、品牌、规格型号、产地、优惠单价、是否</w:t>
      </w:r>
      <w:bookmarkEnd w:id="362"/>
      <w:r/>
      <w:bookmarkStart w:id="363" w:name="_Hlk233973087"/>
      <w:r>
        <w:rPr>
          <w:rFonts w:hint="eastAsia"/>
          <w:color w:val="000000"/>
          <w:szCs w:val="21"/>
          <w:highlight w:val="none"/>
        </w:rPr>
        <w:t xml:space="preserve">纳入江苏省或南京市试剂耗材集中采购平台等信息。格式自拟并加盖投标人公章。</w:t>
      </w:r>
      <w:r>
        <w:rPr>
          <w:color w:val="000000"/>
          <w:szCs w:val="21"/>
          <w:highlight w:val="none"/>
        </w:rPr>
      </w:r>
      <w:r/>
    </w:p>
    <w:p>
      <w:pPr>
        <w:pStyle w:val="1166"/>
        <w:ind w:firstLine="420"/>
        <w:spacing w:line="400" w:lineRule="exact"/>
        <w:tabs>
          <w:tab w:val="left" w:pos="1680" w:leader="none"/>
        </w:tabs>
        <w:rPr>
          <w:color w:val="000000"/>
          <w:szCs w:val="21"/>
          <w:highlight w:val="none"/>
        </w:rPr>
      </w:pPr>
      <w:r/>
      <w:bookmarkEnd w:id="363"/>
      <w:r>
        <w:rPr>
          <w:color w:val="000000"/>
          <w:szCs w:val="21"/>
          <w:highlight w:val="none"/>
        </w:rPr>
      </w:r>
      <w:r/>
    </w:p>
    <w:p>
      <w:pPr>
        <w:pStyle w:val="1166"/>
        <w:ind w:firstLine="420"/>
        <w:spacing w:line="400" w:lineRule="exact"/>
        <w:tabs>
          <w:tab w:val="left" w:pos="1680" w:leader="none"/>
        </w:tabs>
        <w:rPr>
          <w:color w:val="000000"/>
          <w:szCs w:val="21"/>
          <w:highlight w:val="none"/>
        </w:rPr>
      </w:pPr>
      <w:r>
        <w:rPr>
          <w:rFonts w:hint="eastAsia"/>
          <w:color w:val="000000"/>
          <w:szCs w:val="21"/>
          <w:highlight w:val="none"/>
        </w:rPr>
        <w:t xml:space="preserve">单位名称：（盖章）    </w:t>
      </w: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       </w:t>
      </w:r>
      <w:r>
        <w:rPr>
          <w:color w:val="000000"/>
          <w:szCs w:val="21"/>
          <w:highlight w:val="none"/>
        </w:rPr>
      </w:r>
      <w:r/>
    </w:p>
    <w:p>
      <w:pPr>
        <w:pStyle w:val="1166"/>
        <w:ind w:firstLine="420"/>
        <w:spacing w:line="400" w:lineRule="exact"/>
        <w:tabs>
          <w:tab w:val="left" w:pos="1680" w:leader="none"/>
        </w:tabs>
        <w:rPr>
          <w:color w:val="000000"/>
          <w:szCs w:val="21"/>
          <w:highlight w:val="none"/>
        </w:rPr>
      </w:pPr>
      <w:r>
        <w:rPr>
          <w:rFonts w:hint="eastAsia"/>
          <w:color w:val="000000"/>
          <w:szCs w:val="21"/>
          <w:highlight w:val="none"/>
        </w:rPr>
        <w:t xml:space="preserve">法定代表人（或授权代表）：（签字）        </w:t>
      </w:r>
      <w:r>
        <w:rPr>
          <w:color w:val="000000"/>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楷体_GB2312">
    <w:panose1 w:val="02010609060101010101"/>
  </w:font>
  <w:font w:name="Symbol">
    <w:panose1 w:val="05050102010706020507"/>
  </w:font>
  <w:font w:name="楷体">
    <w:panose1 w:val="02010609060101010101"/>
  </w:font>
  <w:font w:name="Tahoma">
    <w:panose1 w:val="020B0604030504040204"/>
  </w:font>
  <w:font w:name="Calibri">
    <w:panose1 w:val="020F0502020204030204"/>
  </w:font>
  <w:font w:name="华文新魏">
    <w:panose1 w:val="0201080004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tabs>
        <w:tab w:val="center" w:pos="4153" w:leader="none"/>
        <w:tab w:val="right" w:pos="8306" w:leader="none"/>
      </w:tabs>
      <w:rPr>
        <w:rStyle w:val="1217"/>
        <w:rFonts w:hint="eastAsia"/>
      </w:rPr>
    </w:pPr>
    <w:r>
      <w:rPr>
        <w:rStyle w:val="1217"/>
        <w:rFonts w:hint="eastAsia"/>
      </w:rPr>
      <w:t xml:space="preserve">            </w:t>
    </w:r>
    <w:r>
      <w:rPr>
        <w:rStyle w:val="1217"/>
        <w:rFonts w:hint="eastAsia"/>
      </w:rPr>
    </w:r>
    <w:r/>
  </w:p>
  <w:p>
    <w:pPr>
      <w:pStyle w:val="1197"/>
      <w:tabs>
        <w:tab w:val="center" w:pos="4153" w:leader="none"/>
        <w:tab w:val="right" w:pos="8306" w:leader="none"/>
      </w:tabs>
      <w:rPr>
        <w:rStyle w:val="1217"/>
        <w:rFonts w:hint="eastAsia"/>
      </w:rPr>
      <w:framePr w:wrap="around" w:vAnchor="text" w:hAnchor="page" w:x="6104" w:y="52"/>
    </w:pPr>
    <w:r>
      <w:rPr>
        <w:rStyle w:val="1217"/>
        <w:rFonts w:hint="eastAsia"/>
      </w:rPr>
      <w:t xml:space="preserve">                   </w:t>
    </w:r>
    <w:r>
      <w:rPr>
        <w:rStyle w:val="1217"/>
        <w:rFonts w:hint="eastAsia"/>
      </w:rPr>
    </w:r>
    <w:r/>
  </w:p>
  <w:p>
    <w:pPr>
      <w:pStyle w:val="1197"/>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37</w:t>
    </w:r>
    <w:r>
      <w:fldChar w:fldCharType="end"/>
    </w:r>
    <w:r/>
  </w:p>
  <w:p>
    <w:pPr>
      <w:pStyle w:val="1197"/>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w:rPr>
        <w:lang w:val="zh-CN"/>
      </w:rPr>
      <w:t xml:space="preserve"> </w:t>
    </w:r>
    <w:r/>
  </w:p>
  <w:p>
    <w:pPr>
      <w:pStyle w:val="1197"/>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rPr>
                              <w:rFonts w:hint="eastAsia"/>
                            </w:rPr>
                          </w:r>
                          <w:r/>
                        </w:p>
                        <w:p>
                          <w:pPr>
                            <w:pStyle w:val="116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rPr>
                        <w:rFonts w:hint="eastAsia"/>
                      </w:rPr>
                    </w:r>
                    <w:r/>
                  </w:p>
                  <w:p>
                    <w:pPr>
                      <w:pStyle w:val="1166"/>
                    </w:pPr>
                    <w:r/>
                    <w:r/>
                  </w:p>
                </w:txbxContent>
              </v:textbox>
            </v:shape>
          </w:pict>
        </mc:Fallback>
      </mc:AlternateContent>
    </w:r>
    <w:r>
      <w:rPr>
        <w:lang w:val="zh-CN"/>
      </w:rPr>
      <w:t xml:space="preserve"> </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166"/>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16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rPr>
                              <w:rFonts w:hint="eastAsia"/>
                            </w:rPr>
                          </w:r>
                          <w:r/>
                        </w:p>
                        <w:p>
                          <w:pPr>
                            <w:pStyle w:val="1166"/>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rPr>
                        <w:rFonts w:hint="eastAsia"/>
                      </w:rPr>
                    </w:r>
                    <w:r/>
                  </w:p>
                  <w:p>
                    <w:pPr>
                      <w:pStyle w:val="1166"/>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19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30</w:t>
                          </w:r>
                          <w:r>
                            <w:rPr>
                              <w:lang w:val="zh-CN"/>
                            </w:rPr>
                            <w:fldChar w:fldCharType="end"/>
                          </w:r>
                          <w:r/>
                        </w:p>
                        <w:p>
                          <w:pPr>
                            <w:pStyle w:val="1166"/>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19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30</w:t>
                    </w:r>
                    <w:r>
                      <w:rPr>
                        <w:lang w:val="zh-CN"/>
                      </w:rPr>
                      <w:fldChar w:fldCharType="end"/>
                    </w:r>
                    <w:r/>
                  </w:p>
                  <w:p>
                    <w:pPr>
                      <w:pStyle w:val="1166"/>
                    </w:pPr>
                    <w:r/>
                    <w:r/>
                  </w:p>
                </w:txbxContent>
              </v:textbox>
            </v:shape>
          </w:pict>
        </mc:Fallback>
      </mc:AlternateContent>
    </w:r>
    <w:r/>
  </w:p>
  <w:p>
    <w:pPr>
      <w:pStyle w:val="1197"/>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rPr>
                              <w:rFonts w:hint="eastAsia"/>
                            </w:rPr>
                          </w:r>
                          <w:r/>
                        </w:p>
                        <w:p>
                          <w:pPr>
                            <w:pStyle w:val="1166"/>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rPr>
                        <w:rFonts w:hint="eastAsia"/>
                      </w:rPr>
                    </w:r>
                    <w:r/>
                  </w:p>
                  <w:p>
                    <w:pPr>
                      <w:pStyle w:val="1166"/>
                    </w:pPr>
                    <w:r/>
                    <w:r/>
                  </w:p>
                </w:txbxContent>
              </v:textbox>
            </v:shape>
          </w:pict>
        </mc:Fallback>
      </mc:AlternateContent>
    </w:r>
    <w:r/>
  </w:p>
  <w:p>
    <w:pPr>
      <w:pStyle w:val="1197"/>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rPr>
                              <w:rFonts w:hint="eastAsia"/>
                            </w:rPr>
                          </w:r>
                          <w:r/>
                        </w:p>
                        <w:p>
                          <w:pPr>
                            <w:pStyle w:val="1166"/>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rPr>
                        <w:rFonts w:hint="eastAsia"/>
                      </w:rPr>
                    </w:r>
                    <w:r/>
                  </w:p>
                  <w:p>
                    <w:pPr>
                      <w:pStyle w:val="1166"/>
                    </w:pPr>
                    <w:r/>
                    <w:r/>
                  </w:p>
                </w:txbxContent>
              </v:textbox>
            </v:shape>
          </w:pict>
        </mc:Fallback>
      </mc:AlternateContent>
    </w:r>
    <w:r/>
  </w:p>
  <w:p>
    <w:pPr>
      <w:pStyle w:val="119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jc w:val="left"/>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1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11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247"/>
      <w:isLgl w:val="false"/>
      <w:suff w:val="tab"/>
      <w:lvlText w:val="%1、"/>
      <w:lvlJc w:val="left"/>
      <w:pPr>
        <w:pStyle w:val="1166"/>
        <w:ind w:left="720" w:hanging="720"/>
      </w:pPr>
    </w:lvl>
    <w:lvl w:ilvl="1">
      <w:start w:val="1"/>
      <w:numFmt w:val="decimal"/>
      <w:isLgl w:val="false"/>
      <w:suff w:val="tab"/>
      <w:lvlText w:val="%2."/>
      <w:lvlJc w:val="left"/>
      <w:pPr>
        <w:pStyle w:val="1166"/>
        <w:ind w:left="765" w:hanging="345"/>
      </w:pPr>
      <w:rPr>
        <w:rFonts w:hAnsi="Times New Roman"/>
      </w:rPr>
    </w:lvl>
    <w:lvl w:ilvl="2">
      <w:start w:val="1"/>
      <w:numFmt w:val="lowerRoman"/>
      <w:isLgl w:val="false"/>
      <w:suff w:val="tab"/>
      <w:lvlText w:val="%3."/>
      <w:lvlJc w:val="right"/>
      <w:pPr>
        <w:pStyle w:val="1166"/>
        <w:ind w:left="1260" w:hanging="420"/>
      </w:pPr>
    </w:lvl>
    <w:lvl w:ilvl="3">
      <w:start w:val="1"/>
      <w:numFmt w:val="decimal"/>
      <w:isLgl w:val="false"/>
      <w:suff w:val="tab"/>
      <w:lvlText w:val="%4."/>
      <w:lvlJc w:val="left"/>
      <w:pPr>
        <w:pStyle w:val="1166"/>
        <w:ind w:left="1680" w:hanging="420"/>
      </w:pPr>
    </w:lvl>
    <w:lvl w:ilvl="4">
      <w:start w:val="1"/>
      <w:numFmt w:val="lowerLetter"/>
      <w:isLgl w:val="false"/>
      <w:suff w:val="tab"/>
      <w:lvlText w:val="%5)"/>
      <w:lvlJc w:val="left"/>
      <w:pPr>
        <w:pStyle w:val="1166"/>
        <w:ind w:left="2100" w:hanging="420"/>
      </w:pPr>
    </w:lvl>
    <w:lvl w:ilvl="5">
      <w:start w:val="1"/>
      <w:numFmt w:val="lowerRoman"/>
      <w:isLgl w:val="false"/>
      <w:suff w:val="tab"/>
      <w:lvlText w:val="%6."/>
      <w:lvlJc w:val="right"/>
      <w:pPr>
        <w:pStyle w:val="1166"/>
        <w:ind w:left="2520" w:hanging="420"/>
      </w:pPr>
    </w:lvl>
    <w:lvl w:ilvl="6">
      <w:start w:val="1"/>
      <w:numFmt w:val="decimal"/>
      <w:isLgl w:val="false"/>
      <w:suff w:val="tab"/>
      <w:lvlText w:val="%7."/>
      <w:lvlJc w:val="left"/>
      <w:pPr>
        <w:pStyle w:val="1166"/>
        <w:ind w:left="2940" w:hanging="420"/>
      </w:pPr>
    </w:lvl>
    <w:lvl w:ilvl="7">
      <w:start w:val="1"/>
      <w:numFmt w:val="lowerLetter"/>
      <w:isLgl w:val="false"/>
      <w:suff w:val="tab"/>
      <w:lvlText w:val="%8)"/>
      <w:lvlJc w:val="left"/>
      <w:pPr>
        <w:pStyle w:val="1166"/>
        <w:ind w:left="3360" w:hanging="420"/>
      </w:pPr>
    </w:lvl>
    <w:lvl w:ilvl="8">
      <w:start w:val="1"/>
      <w:numFmt w:val="lowerRoman"/>
      <w:isLgl w:val="false"/>
      <w:suff w:val="tab"/>
      <w:lvlText w:val="%9."/>
      <w:lvlJc w:val="right"/>
      <w:pPr>
        <w:pStyle w:val="1166"/>
        <w:ind w:left="3780" w:hanging="420"/>
      </w:pPr>
    </w:lvl>
  </w:abstractNum>
  <w:abstractNum w:abstractNumId="3">
    <w:multiLevelType w:val="hybridMultilevel"/>
    <w:lvl w:ilvl="0">
      <w:start w:val="1"/>
      <w:numFmt w:val="chineseCounting"/>
      <w:isLgl w:val="false"/>
      <w:suff w:val="nothing"/>
      <w:lvlText w:val="（%1）"/>
      <w:lvlJc w:val="left"/>
      <w:pPr>
        <w:pStyle w:val="11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pStyle w:val="1166"/>
        <w:ind w:left="1440" w:hanging="1440"/>
      </w:pPr>
    </w:lvl>
    <w:lvl w:ilvl="1">
      <w:start w:val="1"/>
      <w:numFmt w:val="lowerLetter"/>
      <w:isLgl w:val="false"/>
      <w:suff w:val="tab"/>
      <w:lvlText w:val="%2)"/>
      <w:lvlJc w:val="left"/>
      <w:pPr>
        <w:pStyle w:val="1166"/>
        <w:ind w:left="840" w:hanging="420"/>
      </w:pPr>
    </w:lvl>
    <w:lvl w:ilvl="2">
      <w:start w:val="1"/>
      <w:numFmt w:val="lowerRoman"/>
      <w:isLgl w:val="false"/>
      <w:suff w:val="tab"/>
      <w:lvlText w:val="%3."/>
      <w:lvlJc w:val="right"/>
      <w:pPr>
        <w:pStyle w:val="1166"/>
        <w:ind w:left="1260" w:hanging="420"/>
      </w:pPr>
    </w:lvl>
    <w:lvl w:ilvl="3">
      <w:start w:val="1"/>
      <w:numFmt w:val="decimal"/>
      <w:isLgl w:val="false"/>
      <w:suff w:val="tab"/>
      <w:lvlText w:val="%4."/>
      <w:lvlJc w:val="left"/>
      <w:pPr>
        <w:pStyle w:val="1166"/>
        <w:ind w:left="1680" w:hanging="420"/>
      </w:pPr>
    </w:lvl>
    <w:lvl w:ilvl="4">
      <w:start w:val="1"/>
      <w:numFmt w:val="lowerLetter"/>
      <w:isLgl w:val="false"/>
      <w:suff w:val="tab"/>
      <w:lvlText w:val="%5)"/>
      <w:lvlJc w:val="left"/>
      <w:pPr>
        <w:pStyle w:val="1166"/>
        <w:ind w:left="2100" w:hanging="420"/>
      </w:pPr>
    </w:lvl>
    <w:lvl w:ilvl="5">
      <w:start w:val="1"/>
      <w:numFmt w:val="lowerRoman"/>
      <w:isLgl w:val="false"/>
      <w:suff w:val="tab"/>
      <w:lvlText w:val="%6."/>
      <w:lvlJc w:val="right"/>
      <w:pPr>
        <w:pStyle w:val="1166"/>
        <w:ind w:left="2520" w:hanging="420"/>
      </w:pPr>
    </w:lvl>
    <w:lvl w:ilvl="6">
      <w:start w:val="1"/>
      <w:numFmt w:val="decimal"/>
      <w:isLgl w:val="false"/>
      <w:suff w:val="tab"/>
      <w:lvlText w:val="%7."/>
      <w:lvlJc w:val="left"/>
      <w:pPr>
        <w:pStyle w:val="1166"/>
        <w:ind w:left="2940" w:hanging="420"/>
      </w:pPr>
    </w:lvl>
    <w:lvl w:ilvl="7">
      <w:start w:val="1"/>
      <w:numFmt w:val="lowerLetter"/>
      <w:isLgl w:val="false"/>
      <w:suff w:val="tab"/>
      <w:lvlText w:val="%8)"/>
      <w:lvlJc w:val="left"/>
      <w:pPr>
        <w:pStyle w:val="1166"/>
        <w:ind w:left="3360" w:hanging="420"/>
      </w:pPr>
    </w:lvl>
    <w:lvl w:ilvl="8">
      <w:start w:val="1"/>
      <w:numFmt w:val="lowerRoman"/>
      <w:isLgl w:val="false"/>
      <w:suff w:val="tab"/>
      <w:lvlText w:val="%9."/>
      <w:lvlJc w:val="right"/>
      <w:pPr>
        <w:pStyle w:val="1166"/>
        <w:ind w:left="3780" w:hanging="420"/>
      </w:pPr>
    </w:lvl>
  </w:abstractNum>
  <w:abstractNum w:abstractNumId="5">
    <w:multiLevelType w:val="hybridMultilevel"/>
    <w:lvl w:ilvl="0">
      <w:start w:val="2"/>
      <w:numFmt w:val="decimal"/>
      <w:isLgl w:val="false"/>
      <w:suff w:val="nothing"/>
      <w:lvlText w:val="%1、"/>
      <w:lvlJc w:val="left"/>
      <w:pPr>
        <w:pStyle w:val="11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1">
    <w:name w:val="Heading 1"/>
    <w:basedOn w:val="1166"/>
    <w:next w:val="1166"/>
    <w:link w:val="992"/>
    <w:uiPriority w:val="9"/>
    <w:qFormat/>
    <w:pPr>
      <w:keepLines/>
      <w:keepNext/>
      <w:spacing w:before="480" w:after="200"/>
      <w:outlineLvl w:val="0"/>
    </w:pPr>
    <w:rPr>
      <w:rFonts w:ascii="Arial" w:hAnsi="Arial" w:eastAsia="Arial" w:cs="Arial"/>
      <w:sz w:val="40"/>
      <w:szCs w:val="40"/>
    </w:rPr>
  </w:style>
  <w:style w:type="character" w:styleId="992">
    <w:name w:val="Heading 1 Char"/>
    <w:link w:val="991"/>
    <w:uiPriority w:val="9"/>
    <w:rPr>
      <w:rFonts w:ascii="Arial" w:hAnsi="Arial" w:eastAsia="Arial" w:cs="Arial"/>
      <w:sz w:val="40"/>
      <w:szCs w:val="40"/>
    </w:rPr>
  </w:style>
  <w:style w:type="paragraph" w:styleId="993">
    <w:name w:val="Heading 2"/>
    <w:basedOn w:val="1166"/>
    <w:next w:val="1166"/>
    <w:link w:val="994"/>
    <w:uiPriority w:val="9"/>
    <w:unhideWhenUsed/>
    <w:qFormat/>
    <w:pPr>
      <w:keepLines/>
      <w:keepNext/>
      <w:spacing w:before="360" w:after="200"/>
      <w:outlineLvl w:val="1"/>
    </w:pPr>
    <w:rPr>
      <w:rFonts w:ascii="Arial" w:hAnsi="Arial" w:eastAsia="Arial" w:cs="Arial"/>
      <w:sz w:val="34"/>
    </w:rPr>
  </w:style>
  <w:style w:type="character" w:styleId="994">
    <w:name w:val="Heading 2 Char"/>
    <w:link w:val="993"/>
    <w:uiPriority w:val="9"/>
    <w:rPr>
      <w:rFonts w:ascii="Arial" w:hAnsi="Arial" w:eastAsia="Arial" w:cs="Arial"/>
      <w:sz w:val="34"/>
    </w:rPr>
  </w:style>
  <w:style w:type="paragraph" w:styleId="995">
    <w:name w:val="Heading 3"/>
    <w:basedOn w:val="1166"/>
    <w:next w:val="1166"/>
    <w:link w:val="996"/>
    <w:uiPriority w:val="9"/>
    <w:unhideWhenUsed/>
    <w:qFormat/>
    <w:pPr>
      <w:keepLines/>
      <w:keepNext/>
      <w:spacing w:before="320" w:after="200"/>
      <w:outlineLvl w:val="2"/>
    </w:pPr>
    <w:rPr>
      <w:rFonts w:ascii="Arial" w:hAnsi="Arial" w:eastAsia="Arial" w:cs="Arial"/>
      <w:sz w:val="30"/>
      <w:szCs w:val="30"/>
    </w:rPr>
  </w:style>
  <w:style w:type="character" w:styleId="996">
    <w:name w:val="Heading 3 Char"/>
    <w:link w:val="995"/>
    <w:uiPriority w:val="9"/>
    <w:rPr>
      <w:rFonts w:ascii="Arial" w:hAnsi="Arial" w:eastAsia="Arial" w:cs="Arial"/>
      <w:sz w:val="30"/>
      <w:szCs w:val="30"/>
    </w:rPr>
  </w:style>
  <w:style w:type="character" w:styleId="997">
    <w:name w:val="Heading 4 Char"/>
    <w:link w:val="1260"/>
    <w:uiPriority w:val="9"/>
    <w:rPr>
      <w:rFonts w:ascii="Arial" w:hAnsi="Arial" w:eastAsia="Arial" w:cs="Arial"/>
      <w:b/>
      <w:bCs/>
      <w:sz w:val="26"/>
      <w:szCs w:val="26"/>
    </w:rPr>
  </w:style>
  <w:style w:type="paragraph" w:styleId="998">
    <w:name w:val="Heading 5"/>
    <w:basedOn w:val="1166"/>
    <w:next w:val="1166"/>
    <w:link w:val="999"/>
    <w:uiPriority w:val="9"/>
    <w:unhideWhenUsed/>
    <w:qFormat/>
    <w:pPr>
      <w:keepLines/>
      <w:keepNext/>
      <w:spacing w:before="320" w:after="200"/>
      <w:outlineLvl w:val="4"/>
    </w:pPr>
    <w:rPr>
      <w:rFonts w:ascii="Arial" w:hAnsi="Arial" w:eastAsia="Arial" w:cs="Arial"/>
      <w:b/>
      <w:bCs/>
      <w:sz w:val="24"/>
      <w:szCs w:val="24"/>
    </w:rPr>
  </w:style>
  <w:style w:type="character" w:styleId="999">
    <w:name w:val="Heading 5 Char"/>
    <w:link w:val="998"/>
    <w:uiPriority w:val="9"/>
    <w:rPr>
      <w:rFonts w:ascii="Arial" w:hAnsi="Arial" w:eastAsia="Arial" w:cs="Arial"/>
      <w:b/>
      <w:bCs/>
      <w:sz w:val="24"/>
      <w:szCs w:val="24"/>
    </w:rPr>
  </w:style>
  <w:style w:type="paragraph" w:styleId="1000">
    <w:name w:val="Heading 6"/>
    <w:basedOn w:val="1166"/>
    <w:next w:val="1166"/>
    <w:link w:val="1001"/>
    <w:uiPriority w:val="9"/>
    <w:unhideWhenUsed/>
    <w:qFormat/>
    <w:pPr>
      <w:keepLines/>
      <w:keepNext/>
      <w:spacing w:before="320" w:after="200"/>
      <w:outlineLvl w:val="5"/>
    </w:pPr>
    <w:rPr>
      <w:rFonts w:ascii="Arial" w:hAnsi="Arial" w:eastAsia="Arial" w:cs="Arial"/>
      <w:b/>
      <w:bCs/>
      <w:sz w:val="22"/>
      <w:szCs w:val="22"/>
    </w:rPr>
  </w:style>
  <w:style w:type="character" w:styleId="1001">
    <w:name w:val="Heading 6 Char"/>
    <w:link w:val="1000"/>
    <w:uiPriority w:val="9"/>
    <w:rPr>
      <w:rFonts w:ascii="Arial" w:hAnsi="Arial" w:eastAsia="Arial" w:cs="Arial"/>
      <w:b/>
      <w:bCs/>
      <w:sz w:val="22"/>
      <w:szCs w:val="22"/>
    </w:rPr>
  </w:style>
  <w:style w:type="paragraph" w:styleId="1002">
    <w:name w:val="Heading 7"/>
    <w:basedOn w:val="1166"/>
    <w:next w:val="1166"/>
    <w:link w:val="1003"/>
    <w:uiPriority w:val="9"/>
    <w:unhideWhenUsed/>
    <w:qFormat/>
    <w:pPr>
      <w:keepLines/>
      <w:keepNext/>
      <w:spacing w:before="320" w:after="200"/>
      <w:outlineLvl w:val="6"/>
    </w:pPr>
    <w:rPr>
      <w:rFonts w:ascii="Arial" w:hAnsi="Arial" w:eastAsia="Arial" w:cs="Arial"/>
      <w:b/>
      <w:bCs/>
      <w:i/>
      <w:iCs/>
      <w:sz w:val="22"/>
      <w:szCs w:val="22"/>
    </w:rPr>
  </w:style>
  <w:style w:type="character" w:styleId="1003">
    <w:name w:val="Heading 7 Char"/>
    <w:link w:val="1002"/>
    <w:uiPriority w:val="9"/>
    <w:rPr>
      <w:rFonts w:ascii="Arial" w:hAnsi="Arial" w:eastAsia="Arial" w:cs="Arial"/>
      <w:b/>
      <w:bCs/>
      <w:i/>
      <w:iCs/>
      <w:sz w:val="22"/>
      <w:szCs w:val="22"/>
    </w:rPr>
  </w:style>
  <w:style w:type="character" w:styleId="1004">
    <w:name w:val="Heading 8 Char"/>
    <w:link w:val="1256"/>
    <w:uiPriority w:val="9"/>
    <w:rPr>
      <w:rFonts w:ascii="Arial" w:hAnsi="Arial" w:eastAsia="Arial" w:cs="Arial"/>
      <w:i/>
      <w:iCs/>
      <w:sz w:val="22"/>
      <w:szCs w:val="22"/>
    </w:rPr>
  </w:style>
  <w:style w:type="paragraph" w:styleId="1005">
    <w:name w:val="Heading 9"/>
    <w:basedOn w:val="1166"/>
    <w:next w:val="1166"/>
    <w:link w:val="1006"/>
    <w:uiPriority w:val="9"/>
    <w:unhideWhenUsed/>
    <w:qFormat/>
    <w:pPr>
      <w:keepLines/>
      <w:keepNext/>
      <w:spacing w:before="320" w:after="200"/>
      <w:outlineLvl w:val="8"/>
    </w:pPr>
    <w:rPr>
      <w:rFonts w:ascii="Arial" w:hAnsi="Arial" w:eastAsia="Arial" w:cs="Arial"/>
      <w:i/>
      <w:iCs/>
      <w:sz w:val="21"/>
      <w:szCs w:val="21"/>
    </w:rPr>
  </w:style>
  <w:style w:type="character" w:styleId="1006">
    <w:name w:val="Heading 9 Char"/>
    <w:link w:val="1005"/>
    <w:uiPriority w:val="9"/>
    <w:rPr>
      <w:rFonts w:ascii="Arial" w:hAnsi="Arial" w:eastAsia="Arial" w:cs="Arial"/>
      <w:i/>
      <w:iCs/>
      <w:sz w:val="21"/>
      <w:szCs w:val="21"/>
    </w:rPr>
  </w:style>
  <w:style w:type="paragraph" w:styleId="1007">
    <w:name w:val="No Spacing"/>
    <w:uiPriority w:val="1"/>
    <w:qFormat/>
    <w:pPr>
      <w:spacing w:before="0" w:after="0" w:line="240" w:lineRule="auto"/>
    </w:pPr>
  </w:style>
  <w:style w:type="paragraph" w:styleId="1008">
    <w:name w:val="Title"/>
    <w:basedOn w:val="1166"/>
    <w:next w:val="1166"/>
    <w:link w:val="1009"/>
    <w:uiPriority w:val="10"/>
    <w:qFormat/>
    <w:pPr>
      <w:contextualSpacing/>
      <w:spacing w:before="300" w:after="200"/>
    </w:pPr>
    <w:rPr>
      <w:sz w:val="48"/>
      <w:szCs w:val="48"/>
    </w:rPr>
  </w:style>
  <w:style w:type="character" w:styleId="1009">
    <w:name w:val="Title Char"/>
    <w:link w:val="1008"/>
    <w:uiPriority w:val="10"/>
    <w:rPr>
      <w:sz w:val="48"/>
      <w:szCs w:val="48"/>
    </w:rPr>
  </w:style>
  <w:style w:type="paragraph" w:styleId="1010">
    <w:name w:val="Subtitle"/>
    <w:basedOn w:val="1166"/>
    <w:next w:val="1166"/>
    <w:link w:val="1011"/>
    <w:uiPriority w:val="11"/>
    <w:qFormat/>
    <w:pPr>
      <w:spacing w:before="200" w:after="200"/>
    </w:pPr>
    <w:rPr>
      <w:sz w:val="24"/>
      <w:szCs w:val="24"/>
    </w:rPr>
  </w:style>
  <w:style w:type="character" w:styleId="1011">
    <w:name w:val="Subtitle Char"/>
    <w:link w:val="1010"/>
    <w:uiPriority w:val="11"/>
    <w:rPr>
      <w:sz w:val="24"/>
      <w:szCs w:val="24"/>
    </w:rPr>
  </w:style>
  <w:style w:type="paragraph" w:styleId="1012">
    <w:name w:val="Quote"/>
    <w:basedOn w:val="1166"/>
    <w:next w:val="1166"/>
    <w:link w:val="1013"/>
    <w:uiPriority w:val="29"/>
    <w:qFormat/>
    <w:pPr>
      <w:ind w:left="720" w:right="720"/>
    </w:pPr>
    <w:rPr>
      <w:i/>
    </w:rPr>
  </w:style>
  <w:style w:type="character" w:styleId="1013">
    <w:name w:val="Quote Char"/>
    <w:link w:val="1012"/>
    <w:uiPriority w:val="29"/>
    <w:rPr>
      <w:i/>
    </w:rPr>
  </w:style>
  <w:style w:type="paragraph" w:styleId="1014">
    <w:name w:val="Intense Quote"/>
    <w:basedOn w:val="1166"/>
    <w:next w:val="1166"/>
    <w:link w:val="10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name w:val="Intense Quote Char"/>
    <w:link w:val="1014"/>
    <w:uiPriority w:val="30"/>
    <w:rPr>
      <w:i/>
    </w:rPr>
  </w:style>
  <w:style w:type="paragraph" w:styleId="1016">
    <w:name w:val="Header"/>
    <w:basedOn w:val="1166"/>
    <w:link w:val="1017"/>
    <w:uiPriority w:val="99"/>
    <w:unhideWhenUsed/>
    <w:pPr>
      <w:spacing w:after="0" w:line="240" w:lineRule="auto"/>
      <w:tabs>
        <w:tab w:val="center" w:pos="7143" w:leader="none"/>
        <w:tab w:val="right" w:pos="14287" w:leader="none"/>
      </w:tabs>
    </w:pPr>
  </w:style>
  <w:style w:type="character" w:styleId="1017">
    <w:name w:val="Header Char"/>
    <w:link w:val="1016"/>
    <w:uiPriority w:val="99"/>
  </w:style>
  <w:style w:type="paragraph" w:styleId="1018">
    <w:name w:val="Footer"/>
    <w:basedOn w:val="1166"/>
    <w:link w:val="1021"/>
    <w:uiPriority w:val="99"/>
    <w:unhideWhenUsed/>
    <w:pPr>
      <w:spacing w:after="0" w:line="240" w:lineRule="auto"/>
      <w:tabs>
        <w:tab w:val="center" w:pos="7143" w:leader="none"/>
        <w:tab w:val="right" w:pos="14287" w:leader="none"/>
      </w:tabs>
    </w:pPr>
  </w:style>
  <w:style w:type="character" w:styleId="1019">
    <w:name w:val="Footer Char"/>
    <w:link w:val="1018"/>
    <w:uiPriority w:val="99"/>
  </w:style>
  <w:style w:type="paragraph" w:styleId="1020">
    <w:name w:val="Caption"/>
    <w:basedOn w:val="1166"/>
    <w:next w:val="1166"/>
    <w:uiPriority w:val="35"/>
    <w:semiHidden/>
    <w:unhideWhenUsed/>
    <w:qFormat/>
    <w:pPr>
      <w:spacing w:line="276" w:lineRule="auto"/>
    </w:pPr>
    <w:rPr>
      <w:b/>
      <w:bCs/>
      <w:color w:val="4f81bd" w:themeColor="accent1"/>
      <w:sz w:val="18"/>
      <w:szCs w:val="18"/>
    </w:rPr>
  </w:style>
  <w:style w:type="character" w:styleId="1021">
    <w:name w:val="Caption Char"/>
    <w:basedOn w:val="1020"/>
    <w:link w:val="1018"/>
    <w:uiPriority w:val="99"/>
  </w:style>
  <w:style w:type="table" w:styleId="10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48">
    <w:name w:val="Hyperlink"/>
    <w:uiPriority w:val="99"/>
    <w:unhideWhenUsed/>
    <w:rPr>
      <w:color w:val="0000ff" w:themeColor="hyperlink"/>
      <w:u w:val="single"/>
    </w:rPr>
  </w:style>
  <w:style w:type="paragraph" w:styleId="1149">
    <w:name w:val="footnote text"/>
    <w:basedOn w:val="1166"/>
    <w:link w:val="1150"/>
    <w:uiPriority w:val="99"/>
    <w:semiHidden/>
    <w:unhideWhenUsed/>
    <w:pPr>
      <w:spacing w:after="40" w:line="240" w:lineRule="auto"/>
    </w:pPr>
    <w:rPr>
      <w:sz w:val="18"/>
    </w:rPr>
  </w:style>
  <w:style w:type="character" w:styleId="1150">
    <w:name w:val="Footnote Text Char"/>
    <w:link w:val="1149"/>
    <w:uiPriority w:val="99"/>
    <w:rPr>
      <w:sz w:val="18"/>
    </w:rPr>
  </w:style>
  <w:style w:type="character" w:styleId="1151">
    <w:name w:val="footnote reference"/>
    <w:uiPriority w:val="99"/>
    <w:unhideWhenUsed/>
    <w:rPr>
      <w:vertAlign w:val="superscript"/>
    </w:rPr>
  </w:style>
  <w:style w:type="paragraph" w:styleId="1152">
    <w:name w:val="endnote text"/>
    <w:basedOn w:val="1166"/>
    <w:link w:val="1153"/>
    <w:uiPriority w:val="99"/>
    <w:semiHidden/>
    <w:unhideWhenUsed/>
    <w:pPr>
      <w:spacing w:after="0" w:line="240" w:lineRule="auto"/>
    </w:pPr>
    <w:rPr>
      <w:sz w:val="20"/>
    </w:rPr>
  </w:style>
  <w:style w:type="character" w:styleId="1153">
    <w:name w:val="Endnote Text Char"/>
    <w:link w:val="1152"/>
    <w:uiPriority w:val="99"/>
    <w:rPr>
      <w:sz w:val="20"/>
    </w:rPr>
  </w:style>
  <w:style w:type="character" w:styleId="1154">
    <w:name w:val="endnote reference"/>
    <w:uiPriority w:val="99"/>
    <w:semiHidden/>
    <w:unhideWhenUsed/>
    <w:rPr>
      <w:vertAlign w:val="superscript"/>
    </w:rPr>
  </w:style>
  <w:style w:type="paragraph" w:styleId="1155">
    <w:name w:val="toc 1"/>
    <w:basedOn w:val="1166"/>
    <w:next w:val="1166"/>
    <w:uiPriority w:val="39"/>
    <w:unhideWhenUsed/>
    <w:pPr>
      <w:ind w:left="0" w:right="0" w:firstLine="0"/>
      <w:spacing w:after="57"/>
    </w:pPr>
  </w:style>
  <w:style w:type="paragraph" w:styleId="1156">
    <w:name w:val="toc 2"/>
    <w:basedOn w:val="1166"/>
    <w:next w:val="1166"/>
    <w:uiPriority w:val="39"/>
    <w:unhideWhenUsed/>
    <w:pPr>
      <w:ind w:left="283" w:right="0" w:firstLine="0"/>
      <w:spacing w:after="57"/>
    </w:pPr>
  </w:style>
  <w:style w:type="paragraph" w:styleId="1157">
    <w:name w:val="toc 3"/>
    <w:basedOn w:val="1166"/>
    <w:next w:val="1166"/>
    <w:uiPriority w:val="39"/>
    <w:unhideWhenUsed/>
    <w:pPr>
      <w:ind w:left="567" w:right="0" w:firstLine="0"/>
      <w:spacing w:after="57"/>
    </w:pPr>
  </w:style>
  <w:style w:type="paragraph" w:styleId="1158">
    <w:name w:val="toc 4"/>
    <w:basedOn w:val="1166"/>
    <w:next w:val="1166"/>
    <w:uiPriority w:val="39"/>
    <w:unhideWhenUsed/>
    <w:pPr>
      <w:ind w:left="850" w:right="0" w:firstLine="0"/>
      <w:spacing w:after="57"/>
    </w:pPr>
  </w:style>
  <w:style w:type="paragraph" w:styleId="1159">
    <w:name w:val="toc 5"/>
    <w:basedOn w:val="1166"/>
    <w:next w:val="1166"/>
    <w:uiPriority w:val="39"/>
    <w:unhideWhenUsed/>
    <w:pPr>
      <w:ind w:left="1134" w:right="0" w:firstLine="0"/>
      <w:spacing w:after="57"/>
    </w:pPr>
  </w:style>
  <w:style w:type="paragraph" w:styleId="1160">
    <w:name w:val="toc 6"/>
    <w:basedOn w:val="1166"/>
    <w:next w:val="1166"/>
    <w:uiPriority w:val="39"/>
    <w:unhideWhenUsed/>
    <w:pPr>
      <w:ind w:left="1417" w:right="0" w:firstLine="0"/>
      <w:spacing w:after="57"/>
    </w:pPr>
  </w:style>
  <w:style w:type="paragraph" w:styleId="1161">
    <w:name w:val="toc 7"/>
    <w:basedOn w:val="1166"/>
    <w:next w:val="1166"/>
    <w:uiPriority w:val="39"/>
    <w:unhideWhenUsed/>
    <w:pPr>
      <w:ind w:left="1701" w:right="0" w:firstLine="0"/>
      <w:spacing w:after="57"/>
    </w:pPr>
  </w:style>
  <w:style w:type="paragraph" w:styleId="1162">
    <w:name w:val="toc 8"/>
    <w:basedOn w:val="1166"/>
    <w:next w:val="1166"/>
    <w:uiPriority w:val="39"/>
    <w:unhideWhenUsed/>
    <w:pPr>
      <w:ind w:left="1984" w:right="0" w:firstLine="0"/>
      <w:spacing w:after="57"/>
    </w:pPr>
  </w:style>
  <w:style w:type="paragraph" w:styleId="1163">
    <w:name w:val="toc 9"/>
    <w:basedOn w:val="1166"/>
    <w:next w:val="1166"/>
    <w:uiPriority w:val="39"/>
    <w:unhideWhenUsed/>
    <w:pPr>
      <w:ind w:left="2268" w:right="0" w:firstLine="0"/>
      <w:spacing w:after="57"/>
    </w:pPr>
  </w:style>
  <w:style w:type="paragraph" w:styleId="1164">
    <w:name w:val="TOC Heading"/>
    <w:uiPriority w:val="39"/>
    <w:unhideWhenUsed/>
  </w:style>
  <w:style w:type="paragraph" w:styleId="1165">
    <w:name w:val="table of figures"/>
    <w:basedOn w:val="1166"/>
    <w:next w:val="1166"/>
    <w:uiPriority w:val="99"/>
    <w:unhideWhenUsed/>
    <w:pPr>
      <w:spacing w:after="0" w:afterAutospacing="0"/>
    </w:pPr>
  </w:style>
  <w:style w:type="paragraph" w:styleId="1166" w:default="1">
    <w:name w:val="Normal"/>
    <w:next w:val="1166"/>
    <w:link w:val="1166"/>
    <w:qFormat/>
    <w:pPr>
      <w:jc w:val="both"/>
      <w:widowControl w:val="off"/>
    </w:pPr>
    <w:rPr>
      <w:sz w:val="21"/>
      <w:lang w:val="en-US" w:eastAsia="zh-CN" w:bidi="ar-SA"/>
    </w:rPr>
  </w:style>
  <w:style w:type="paragraph" w:styleId="1167">
    <w:name w:val="标题 1"/>
    <w:basedOn w:val="1166"/>
    <w:next w:val="1166"/>
    <w:link w:val="1166"/>
    <w:qFormat/>
    <w:pPr>
      <w:jc w:val="center"/>
      <w:keepNext/>
      <w:spacing w:line="440" w:lineRule="exact"/>
      <w:outlineLvl w:val="0"/>
    </w:pPr>
    <w:rPr>
      <w:rFonts w:ascii="宋体"/>
      <w:sz w:val="28"/>
    </w:rPr>
  </w:style>
  <w:style w:type="paragraph" w:styleId="1168">
    <w:name w:val="标题 2"/>
    <w:basedOn w:val="1166"/>
    <w:next w:val="1166"/>
    <w:link w:val="1173"/>
    <w:uiPriority w:val="9"/>
    <w:qFormat/>
    <w:pPr>
      <w:keepLines/>
      <w:keepNext/>
      <w:spacing w:before="260" w:after="260" w:line="416" w:lineRule="auto"/>
      <w:outlineLvl w:val="1"/>
    </w:pPr>
    <w:rPr>
      <w:rFonts w:ascii="Arial" w:hAnsi="Arial" w:eastAsia="黑体"/>
      <w:b/>
      <w:bCs/>
      <w:sz w:val="32"/>
      <w:szCs w:val="32"/>
    </w:rPr>
  </w:style>
  <w:style w:type="paragraph" w:styleId="1169">
    <w:name w:val="标题 3"/>
    <w:basedOn w:val="1166"/>
    <w:next w:val="1166"/>
    <w:link w:val="1174"/>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70">
    <w:name w:val="标题 4"/>
    <w:basedOn w:val="1166"/>
    <w:next w:val="1175"/>
    <w:link w:val="1166"/>
    <w:qFormat/>
    <w:pPr>
      <w:keepLines/>
      <w:keepNext/>
      <w:spacing w:before="280" w:after="290" w:line="372" w:lineRule="auto"/>
      <w:outlineLvl w:val="3"/>
    </w:pPr>
    <w:rPr>
      <w:rFonts w:ascii="Arial" w:hAnsi="Arial" w:eastAsia="黑体" w:cs="Arial"/>
      <w:b/>
      <w:bCs/>
      <w:sz w:val="28"/>
      <w:szCs w:val="28"/>
    </w:rPr>
  </w:style>
  <w:style w:type="character" w:styleId="1171">
    <w:name w:val="默认段落字体"/>
    <w:next w:val="1171"/>
    <w:link w:val="1166"/>
    <w:semiHidden/>
  </w:style>
  <w:style w:type="table" w:styleId="1172">
    <w:name w:val="普通表格"/>
    <w:next w:val="1172"/>
    <w:link w:val="1166"/>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73">
    <w:name w:val="标题 2 字符"/>
    <w:next w:val="1173"/>
    <w:link w:val="1168"/>
    <w:uiPriority w:val="9"/>
    <w:qFormat/>
    <w:rPr>
      <w:rFonts w:ascii="Arial" w:hAnsi="Arial" w:eastAsia="黑体"/>
      <w:b/>
      <w:bCs/>
      <w:sz w:val="32"/>
      <w:szCs w:val="32"/>
    </w:rPr>
  </w:style>
  <w:style w:type="character" w:styleId="1174">
    <w:name w:val="标题 3 字符"/>
    <w:next w:val="1174"/>
    <w:link w:val="1169"/>
    <w:uiPriority w:val="9"/>
    <w:qFormat/>
    <w:rPr>
      <w:rFonts w:ascii="仿宋_GB2312" w:eastAsia="仿宋_GB2312"/>
      <w:sz w:val="32"/>
    </w:rPr>
  </w:style>
  <w:style w:type="paragraph" w:styleId="1175">
    <w:name w:val="正文缩进"/>
    <w:basedOn w:val="1166"/>
    <w:next w:val="1175"/>
    <w:link w:val="1166"/>
    <w:uiPriority w:val="99"/>
    <w:pPr>
      <w:ind w:firstLine="420"/>
    </w:pPr>
    <w:rPr>
      <w:b/>
      <w:sz w:val="24"/>
    </w:rPr>
  </w:style>
  <w:style w:type="paragraph" w:styleId="1176">
    <w:name w:val="列表 3"/>
    <w:basedOn w:val="1166"/>
    <w:next w:val="1176"/>
    <w:link w:val="1166"/>
    <w:pPr>
      <w:contextualSpacing/>
      <w:ind w:left="100" w:hanging="200"/>
    </w:pPr>
  </w:style>
  <w:style w:type="paragraph" w:styleId="1177">
    <w:name w:val="目录 7"/>
    <w:basedOn w:val="1166"/>
    <w:next w:val="1166"/>
    <w:link w:val="1166"/>
    <w:pPr>
      <w:ind w:left="2520"/>
    </w:pPr>
  </w:style>
  <w:style w:type="paragraph" w:styleId="1178">
    <w:name w:val="文档结构图"/>
    <w:basedOn w:val="1166"/>
    <w:next w:val="1178"/>
    <w:link w:val="1179"/>
    <w:rPr>
      <w:rFonts w:ascii="宋体"/>
      <w:sz w:val="18"/>
      <w:szCs w:val="18"/>
    </w:rPr>
  </w:style>
  <w:style w:type="character" w:styleId="1179">
    <w:name w:val="文档结构图 字符"/>
    <w:next w:val="1179"/>
    <w:link w:val="1178"/>
    <w:rPr>
      <w:rFonts w:ascii="宋体" w:eastAsia="宋体"/>
      <w:sz w:val="18"/>
      <w:szCs w:val="18"/>
    </w:rPr>
  </w:style>
  <w:style w:type="paragraph" w:styleId="1180">
    <w:name w:val="批注文字"/>
    <w:basedOn w:val="1166"/>
    <w:next w:val="1180"/>
    <w:link w:val="1181"/>
    <w:uiPriority w:val="99"/>
    <w:qFormat/>
    <w:pPr>
      <w:jc w:val="left"/>
    </w:pPr>
  </w:style>
  <w:style w:type="character" w:styleId="1181">
    <w:name w:val="批注文字 字符"/>
    <w:next w:val="1181"/>
    <w:link w:val="1180"/>
    <w:qFormat/>
    <w:rPr>
      <w:sz w:val="21"/>
    </w:rPr>
  </w:style>
  <w:style w:type="paragraph" w:styleId="1182">
    <w:name w:val="正文文本"/>
    <w:basedOn w:val="1166"/>
    <w:next w:val="1182"/>
    <w:link w:val="1183"/>
    <w:rPr>
      <w:rFonts w:ascii="宋体"/>
      <w:sz w:val="28"/>
    </w:rPr>
  </w:style>
  <w:style w:type="character" w:styleId="1183">
    <w:name w:val="正文文本 字符"/>
    <w:next w:val="1183"/>
    <w:link w:val="1182"/>
    <w:rPr>
      <w:rFonts w:ascii="宋体" w:eastAsia="宋体"/>
      <w:sz w:val="28"/>
      <w:lang w:val="en-US" w:eastAsia="zh-CN" w:bidi="ar-SA"/>
    </w:rPr>
  </w:style>
  <w:style w:type="paragraph" w:styleId="1184">
    <w:name w:val="正文文本缩进"/>
    <w:basedOn w:val="1166"/>
    <w:next w:val="1184"/>
    <w:link w:val="1166"/>
    <w:pPr>
      <w:ind w:firstLine="420"/>
      <w:spacing w:line="360" w:lineRule="auto"/>
    </w:pPr>
    <w:rPr>
      <w:rFonts w:ascii="宋体"/>
      <w:sz w:val="24"/>
    </w:rPr>
  </w:style>
  <w:style w:type="paragraph" w:styleId="1185">
    <w:name w:val="列表 2"/>
    <w:basedOn w:val="1166"/>
    <w:next w:val="1185"/>
    <w:link w:val="1166"/>
    <w:pPr>
      <w:ind w:left="100" w:hanging="200"/>
    </w:pPr>
  </w:style>
  <w:style w:type="paragraph" w:styleId="1186">
    <w:name w:val="索引 4"/>
    <w:basedOn w:val="1166"/>
    <w:next w:val="1166"/>
    <w:link w:val="1166"/>
    <w:uiPriority w:val="99"/>
    <w:unhideWhenUsed/>
    <w:pPr>
      <w:ind w:left="600"/>
    </w:pPr>
    <w:rPr>
      <w:rFonts w:ascii="Verdana" w:hAnsi="Verdana"/>
      <w:szCs w:val="20"/>
    </w:rPr>
  </w:style>
  <w:style w:type="paragraph" w:styleId="1187">
    <w:name w:val="目录 5"/>
    <w:basedOn w:val="1166"/>
    <w:next w:val="1166"/>
    <w:link w:val="1166"/>
    <w:pPr>
      <w:ind w:left="1680"/>
    </w:pPr>
  </w:style>
  <w:style w:type="paragraph" w:styleId="1188">
    <w:name w:val="目录 3"/>
    <w:basedOn w:val="1166"/>
    <w:next w:val="1166"/>
    <w:link w:val="1166"/>
    <w:uiPriority w:val="39"/>
    <w:pPr>
      <w:ind w:left="840"/>
    </w:pPr>
  </w:style>
  <w:style w:type="paragraph" w:styleId="1189">
    <w:name w:val="纯文本"/>
    <w:basedOn w:val="1166"/>
    <w:next w:val="1189"/>
    <w:link w:val="1190"/>
    <w:rPr>
      <w:rFonts w:ascii="宋体" w:hAnsi="Courier New"/>
    </w:rPr>
  </w:style>
  <w:style w:type="character" w:styleId="1190">
    <w:name w:val="纯文本 字符"/>
    <w:next w:val="1190"/>
    <w:link w:val="1189"/>
    <w:rPr>
      <w:rFonts w:ascii="宋体" w:hAnsi="Courier New" w:eastAsia="宋体"/>
      <w:sz w:val="21"/>
      <w:lang w:val="en-US" w:eastAsia="zh-CN" w:bidi="ar-SA"/>
    </w:rPr>
  </w:style>
  <w:style w:type="paragraph" w:styleId="1191">
    <w:name w:val="目录 8"/>
    <w:basedOn w:val="1166"/>
    <w:next w:val="1166"/>
    <w:link w:val="1166"/>
    <w:pPr>
      <w:ind w:left="2940"/>
    </w:pPr>
  </w:style>
  <w:style w:type="paragraph" w:styleId="1192">
    <w:name w:val="日期"/>
    <w:basedOn w:val="1166"/>
    <w:next w:val="1166"/>
    <w:link w:val="1193"/>
    <w:rPr>
      <w:rFonts w:ascii="宋体"/>
    </w:rPr>
  </w:style>
  <w:style w:type="character" w:styleId="1193">
    <w:name w:val="日期 字符"/>
    <w:next w:val="1193"/>
    <w:link w:val="1192"/>
    <w:rPr>
      <w:rFonts w:ascii="宋体"/>
      <w:sz w:val="21"/>
    </w:rPr>
  </w:style>
  <w:style w:type="paragraph" w:styleId="1194">
    <w:name w:val="正文文本缩进 2"/>
    <w:basedOn w:val="1166"/>
    <w:next w:val="1194"/>
    <w:link w:val="1166"/>
    <w:pPr>
      <w:ind w:firstLine="525"/>
      <w:spacing w:line="420" w:lineRule="exact"/>
    </w:pPr>
    <w:rPr>
      <w:rFonts w:ascii="宋体"/>
    </w:rPr>
  </w:style>
  <w:style w:type="paragraph" w:styleId="1195">
    <w:name w:val="批注框文本"/>
    <w:basedOn w:val="1166"/>
    <w:next w:val="1195"/>
    <w:link w:val="1196"/>
    <w:uiPriority w:val="99"/>
    <w:qFormat/>
    <w:rPr>
      <w:sz w:val="18"/>
      <w:szCs w:val="18"/>
    </w:rPr>
  </w:style>
  <w:style w:type="character" w:styleId="1196">
    <w:name w:val="批注框文本 字符"/>
    <w:next w:val="1196"/>
    <w:link w:val="1195"/>
    <w:uiPriority w:val="99"/>
    <w:qFormat/>
    <w:rPr>
      <w:sz w:val="18"/>
      <w:szCs w:val="18"/>
    </w:rPr>
  </w:style>
  <w:style w:type="paragraph" w:styleId="1197">
    <w:name w:val="页脚"/>
    <w:basedOn w:val="1166"/>
    <w:next w:val="1197"/>
    <w:link w:val="1198"/>
    <w:uiPriority w:val="99"/>
    <w:qFormat/>
    <w:pPr>
      <w:jc w:val="left"/>
      <w:tabs>
        <w:tab w:val="center" w:pos="4153" w:leader="none"/>
        <w:tab w:val="right" w:pos="8306" w:leader="none"/>
      </w:tabs>
    </w:pPr>
    <w:rPr>
      <w:sz w:val="18"/>
    </w:rPr>
  </w:style>
  <w:style w:type="character" w:styleId="1198">
    <w:name w:val="页脚 字符1"/>
    <w:next w:val="1198"/>
    <w:link w:val="1197"/>
    <w:uiPriority w:val="99"/>
    <w:rPr>
      <w:sz w:val="18"/>
    </w:rPr>
  </w:style>
  <w:style w:type="paragraph" w:styleId="1199">
    <w:name w:val="页眉"/>
    <w:basedOn w:val="1166"/>
    <w:next w:val="1199"/>
    <w:link w:val="1200"/>
    <w:uiPriority w:val="99"/>
    <w:qFormat/>
    <w:pPr>
      <w:jc w:val="center"/>
      <w:tabs>
        <w:tab w:val="center" w:pos="4153" w:leader="none"/>
        <w:tab w:val="right" w:pos="8306" w:leader="none"/>
      </w:tabs>
      <w:pBdr>
        <w:bottom w:val="single" w:color="000000" w:sz="6" w:space="1"/>
      </w:pBdr>
    </w:pPr>
    <w:rPr>
      <w:sz w:val="18"/>
    </w:rPr>
  </w:style>
  <w:style w:type="character" w:styleId="1200">
    <w:name w:val="页眉 字符"/>
    <w:next w:val="1200"/>
    <w:link w:val="1199"/>
    <w:uiPriority w:val="99"/>
    <w:rPr>
      <w:sz w:val="18"/>
    </w:rPr>
  </w:style>
  <w:style w:type="paragraph" w:styleId="1201">
    <w:name w:val="目录 1"/>
    <w:basedOn w:val="1166"/>
    <w:next w:val="1166"/>
    <w:link w:val="1166"/>
    <w:uiPriority w:val="39"/>
  </w:style>
  <w:style w:type="paragraph" w:styleId="1202">
    <w:name w:val="目录 4"/>
    <w:basedOn w:val="1166"/>
    <w:next w:val="1166"/>
    <w:link w:val="1166"/>
    <w:pPr>
      <w:ind w:left="1260"/>
    </w:pPr>
  </w:style>
  <w:style w:type="paragraph" w:styleId="1203">
    <w:name w:val="目录 6"/>
    <w:basedOn w:val="1166"/>
    <w:next w:val="1166"/>
    <w:link w:val="1166"/>
    <w:pPr>
      <w:ind w:left="2100"/>
    </w:pPr>
  </w:style>
  <w:style w:type="paragraph" w:styleId="1204">
    <w:name w:val="正文文本缩进 3"/>
    <w:basedOn w:val="1166"/>
    <w:next w:val="1204"/>
    <w:link w:val="1166"/>
    <w:pPr>
      <w:ind w:firstLine="841"/>
    </w:pPr>
    <w:rPr>
      <w:rFonts w:eastAsia="华文新魏"/>
      <w:b/>
      <w:bCs/>
      <w:sz w:val="84"/>
    </w:rPr>
  </w:style>
  <w:style w:type="paragraph" w:styleId="1205">
    <w:name w:val="目录 2"/>
    <w:basedOn w:val="1166"/>
    <w:next w:val="1166"/>
    <w:link w:val="1166"/>
    <w:uiPriority w:val="39"/>
    <w:pPr>
      <w:ind w:left="420"/>
    </w:pPr>
  </w:style>
  <w:style w:type="paragraph" w:styleId="1206">
    <w:name w:val="目录 9"/>
    <w:basedOn w:val="1166"/>
    <w:next w:val="1166"/>
    <w:link w:val="1166"/>
    <w:pPr>
      <w:ind w:left="3360"/>
    </w:pPr>
  </w:style>
  <w:style w:type="paragraph" w:styleId="1207">
    <w:name w:val="HTML 预设格式"/>
    <w:basedOn w:val="1166"/>
    <w:next w:val="1207"/>
    <w:link w:val="116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208">
    <w:name w:val="普通(网站)"/>
    <w:basedOn w:val="1166"/>
    <w:next w:val="1208"/>
    <w:link w:val="116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09">
    <w:name w:val="标题"/>
    <w:basedOn w:val="1166"/>
    <w:next w:val="1209"/>
    <w:link w:val="1210"/>
    <w:qFormat/>
    <w:pPr>
      <w:jc w:val="center"/>
    </w:pPr>
    <w:rPr>
      <w:sz w:val="30"/>
      <w:szCs w:val="24"/>
    </w:rPr>
  </w:style>
  <w:style w:type="character" w:styleId="1210">
    <w:name w:val="标题 字符"/>
    <w:next w:val="1210"/>
    <w:link w:val="1209"/>
    <w:rPr>
      <w:sz w:val="30"/>
      <w:szCs w:val="24"/>
    </w:rPr>
  </w:style>
  <w:style w:type="paragraph" w:styleId="1211">
    <w:name w:val="批注主题"/>
    <w:basedOn w:val="1180"/>
    <w:next w:val="1180"/>
    <w:link w:val="1212"/>
    <w:rPr>
      <w:b/>
      <w:bCs/>
    </w:rPr>
  </w:style>
  <w:style w:type="character" w:styleId="1212">
    <w:name w:val="批注主题 字符"/>
    <w:next w:val="1212"/>
    <w:link w:val="1211"/>
    <w:rPr>
      <w:b/>
      <w:bCs/>
      <w:sz w:val="21"/>
    </w:rPr>
  </w:style>
  <w:style w:type="paragraph" w:styleId="1213">
    <w:name w:val="正文首行缩进"/>
    <w:basedOn w:val="1182"/>
    <w:next w:val="1213"/>
    <w:link w:val="1166"/>
    <w:pPr>
      <w:ind w:firstLine="420"/>
    </w:pPr>
  </w:style>
  <w:style w:type="paragraph" w:styleId="1214">
    <w:name w:val="正文首行缩进 2"/>
    <w:basedOn w:val="1184"/>
    <w:next w:val="1175"/>
    <w:link w:val="1166"/>
    <w:qFormat/>
    <w:pPr>
      <w:ind w:firstLine="420"/>
      <w:jc w:val="center"/>
      <w:spacing w:after="0"/>
    </w:pPr>
    <w:rPr>
      <w:rFonts w:ascii="Times New Roman" w:hAnsi="Times New Roman" w:eastAsia="宋体" w:cs="Times New Roman"/>
      <w:szCs w:val="22"/>
    </w:rPr>
  </w:style>
  <w:style w:type="table" w:styleId="1215">
    <w:name w:val="网格型"/>
    <w:basedOn w:val="1172"/>
    <w:next w:val="1215"/>
    <w:link w:val="1166"/>
    <w:uiPriority w:val="59"/>
    <w:qFormat/>
    <w:tblPr/>
  </w:style>
  <w:style w:type="character" w:styleId="1216">
    <w:name w:val="要点"/>
    <w:next w:val="1216"/>
    <w:link w:val="1166"/>
    <w:qFormat/>
    <w:rPr>
      <w:b/>
      <w:bCs/>
    </w:rPr>
  </w:style>
  <w:style w:type="character" w:styleId="1217">
    <w:name w:val="页码"/>
    <w:next w:val="1217"/>
    <w:link w:val="1166"/>
    <w:uiPriority w:val="99"/>
  </w:style>
  <w:style w:type="character" w:styleId="1218">
    <w:name w:val="已访问的超链接"/>
    <w:next w:val="1218"/>
    <w:link w:val="1166"/>
    <w:rPr>
      <w:color w:val="000000"/>
      <w:sz w:val="18"/>
      <w:szCs w:val="18"/>
      <w:u w:val="none"/>
    </w:rPr>
  </w:style>
  <w:style w:type="character" w:styleId="1219">
    <w:name w:val="强调"/>
    <w:next w:val="1219"/>
    <w:link w:val="1166"/>
    <w:qFormat/>
    <w:rPr>
      <w:i/>
    </w:rPr>
  </w:style>
  <w:style w:type="character" w:styleId="1220">
    <w:name w:val="超链接"/>
    <w:next w:val="1220"/>
    <w:link w:val="1166"/>
    <w:uiPriority w:val="99"/>
    <w:rPr>
      <w:color w:val="000000"/>
      <w:sz w:val="18"/>
      <w:szCs w:val="18"/>
      <w:u w:val="none"/>
    </w:rPr>
  </w:style>
  <w:style w:type="character" w:styleId="1221">
    <w:name w:val="批注引用"/>
    <w:next w:val="1221"/>
    <w:link w:val="1166"/>
    <w:uiPriority w:val="99"/>
    <w:qFormat/>
    <w:rPr>
      <w:sz w:val="21"/>
      <w:szCs w:val="21"/>
    </w:rPr>
  </w:style>
  <w:style w:type="paragraph" w:styleId="1222">
    <w:name w:val="正文文本1"/>
    <w:basedOn w:val="1166"/>
    <w:next w:val="1166"/>
    <w:link w:val="1166"/>
    <w:qFormat/>
    <w:rPr>
      <w:rFonts w:ascii="仿宋_GB2312" w:hAnsi="Times New Roman" w:eastAsia="仿宋_GB2312" w:cs="Times New Roman"/>
      <w:sz w:val="24"/>
      <w:szCs w:val="20"/>
    </w:rPr>
  </w:style>
  <w:style w:type="paragraph" w:styleId="1223">
    <w:name w:val="首行缩进"/>
    <w:basedOn w:val="1166"/>
    <w:next w:val="1223"/>
    <w:link w:val="1166"/>
    <w:qFormat/>
    <w:pPr>
      <w:ind w:firstLine="420"/>
      <w:spacing w:line="360" w:lineRule="auto"/>
    </w:pPr>
  </w:style>
  <w:style w:type="character" w:styleId="1224">
    <w:name w:val="页脚 字符"/>
    <w:next w:val="1224"/>
    <w:link w:val="1166"/>
    <w:uiPriority w:val="99"/>
  </w:style>
  <w:style w:type="character" w:styleId="1225">
    <w:name w:val="font31"/>
    <w:next w:val="1225"/>
    <w:link w:val="1166"/>
    <w:uiPriority w:val="99"/>
    <w:rPr>
      <w:rFonts w:hint="eastAsia" w:ascii="宋体" w:hAnsi="宋体" w:eastAsia="宋体" w:cs="宋体"/>
      <w:i w:val="0"/>
      <w:color w:val="000000"/>
      <w:sz w:val="20"/>
      <w:szCs w:val="20"/>
      <w:u w:val="none"/>
    </w:rPr>
  </w:style>
  <w:style w:type="character" w:styleId="1226">
    <w:name w:val="Table Sub Section Char"/>
    <w:next w:val="1226"/>
    <w:link w:val="1227"/>
    <w:qFormat/>
    <w:rPr>
      <w:rFonts w:ascii="Arial" w:hAnsi="Arial"/>
      <w:b/>
      <w:color w:val="0f0f0f"/>
      <w:lang w:eastAsia="en-US"/>
    </w:rPr>
  </w:style>
  <w:style w:type="paragraph" w:styleId="1227">
    <w:name w:val="Table Sub Section"/>
    <w:basedOn w:val="1166"/>
    <w:next w:val="1227"/>
    <w:link w:val="1226"/>
    <w:qFormat/>
    <w:pPr>
      <w:jc w:val="left"/>
      <w:keepNext/>
      <w:spacing w:before="160" w:after="160" w:line="276" w:lineRule="auto"/>
      <w:widowControl/>
    </w:pPr>
    <w:rPr>
      <w:rFonts w:ascii="Arial" w:hAnsi="Arial"/>
      <w:b/>
      <w:color w:val="0f0f0f"/>
      <w:sz w:val="20"/>
      <w:lang w:eastAsia="en-US"/>
    </w:rPr>
  </w:style>
  <w:style w:type="character" w:styleId="1228">
    <w:name w:val="apple-style-span"/>
    <w:next w:val="1228"/>
    <w:link w:val="1166"/>
  </w:style>
  <w:style w:type="character" w:styleId="1229">
    <w:name w:val="c lh15"/>
    <w:next w:val="1229"/>
    <w:link w:val="1166"/>
  </w:style>
  <w:style w:type="character" w:styleId="1230">
    <w:name w:val="标准文本 Char"/>
    <w:next w:val="1230"/>
    <w:link w:val="1231"/>
    <w:rPr>
      <w:rFonts w:ascii="宋体" w:hAnsi="宋体" w:eastAsia="宋体" w:cs="宋体"/>
      <w:sz w:val="21"/>
      <w:szCs w:val="21"/>
      <w:lang w:val="en-US" w:eastAsia="zh-CN" w:bidi="ar-SA"/>
    </w:rPr>
  </w:style>
  <w:style w:type="paragraph" w:styleId="1231">
    <w:name w:val="标准文本"/>
    <w:basedOn w:val="1166"/>
    <w:next w:val="1231"/>
    <w:link w:val="1230"/>
    <w:pPr>
      <w:ind w:firstLine="420"/>
      <w:spacing w:line="300" w:lineRule="auto"/>
    </w:pPr>
    <w:rPr>
      <w:rFonts w:ascii="宋体" w:hAnsi="宋体" w:cs="宋体"/>
      <w:szCs w:val="21"/>
    </w:rPr>
  </w:style>
  <w:style w:type="character" w:styleId="1232">
    <w:name w:val="List Paragraph Char"/>
    <w:next w:val="1232"/>
    <w:link w:val="1233"/>
    <w:rPr>
      <w:rFonts w:ascii="Calibri" w:hAnsi="Calibri"/>
      <w:sz w:val="21"/>
      <w:szCs w:val="22"/>
    </w:rPr>
  </w:style>
  <w:style w:type="paragraph" w:styleId="1233">
    <w:name w:val="List Paragraph2"/>
    <w:basedOn w:val="1166"/>
    <w:next w:val="1233"/>
    <w:link w:val="1232"/>
    <w:qFormat/>
    <w:pPr>
      <w:ind w:firstLine="420"/>
    </w:pPr>
    <w:rPr>
      <w:rFonts w:ascii="Calibri" w:hAnsi="Calibri"/>
      <w:szCs w:val="22"/>
    </w:rPr>
  </w:style>
  <w:style w:type="character" w:styleId="1234">
    <w:name w:val="font21"/>
    <w:next w:val="1234"/>
    <w:link w:val="1166"/>
    <w:uiPriority w:val="99"/>
    <w:rPr>
      <w:rFonts w:hint="eastAsia" w:ascii="宋体" w:hAnsi="宋体" w:eastAsia="宋体" w:cs="宋体"/>
      <w:i w:val="0"/>
      <w:color w:val="000000"/>
      <w:sz w:val="20"/>
      <w:szCs w:val="20"/>
      <w:u w:val="none"/>
    </w:rPr>
  </w:style>
  <w:style w:type="character" w:styleId="1235">
    <w:name w:val="style21"/>
    <w:next w:val="1235"/>
    <w:link w:val="1166"/>
    <w:rPr>
      <w:sz w:val="18"/>
      <w:szCs w:val="18"/>
    </w:rPr>
  </w:style>
  <w:style w:type="paragraph" w:styleId="1236">
    <w:name w:val="Normal1"/>
    <w:basedOn w:val="1166"/>
    <w:next w:val="1236"/>
    <w:link w:val="1166"/>
    <w:pPr>
      <w:jc w:val="left"/>
      <w:spacing w:after="200" w:line="300" w:lineRule="atLeast"/>
      <w:widowControl/>
    </w:pPr>
    <w:rPr>
      <w:rFonts w:ascii="Calibri" w:hAnsi="Calibri" w:cs="宋体"/>
      <w:sz w:val="22"/>
      <w:szCs w:val="22"/>
    </w:rPr>
  </w:style>
  <w:style w:type="paragraph" w:styleId="1237">
    <w:name w:val="需求书2"/>
    <w:basedOn w:val="1166"/>
    <w:next w:val="1237"/>
    <w:link w:val="1166"/>
    <w:rPr>
      <w:rFonts w:ascii="宋体" w:hAnsi="宋体"/>
      <w:b/>
      <w:spacing w:val="10"/>
      <w:sz w:val="24"/>
      <w:szCs w:val="24"/>
    </w:rPr>
  </w:style>
  <w:style w:type="paragraph" w:styleId="1238">
    <w:name w:val="List Paragraph1"/>
    <w:basedOn w:val="1166"/>
    <w:next w:val="1238"/>
    <w:link w:val="1166"/>
    <w:uiPriority w:val="99"/>
    <w:qFormat/>
    <w:pPr>
      <w:ind w:firstLine="420"/>
      <w:jc w:val="left"/>
      <w:spacing w:line="300" w:lineRule="auto"/>
    </w:pPr>
    <w:rPr>
      <w:szCs w:val="22"/>
    </w:rPr>
  </w:style>
  <w:style w:type="paragraph" w:styleId="1239">
    <w:name w:val="彩色列表 - 强调文字颜色 11"/>
    <w:basedOn w:val="1166"/>
    <w:next w:val="1239"/>
    <w:link w:val="1166"/>
    <w:pPr>
      <w:contextualSpacing/>
      <w:ind w:left="720"/>
      <w:jc w:val="left"/>
      <w:spacing w:before="100" w:after="100" w:line="276" w:lineRule="auto"/>
      <w:widowControl/>
    </w:pPr>
    <w:rPr>
      <w:rFonts w:ascii="Arial" w:hAnsi="Arial" w:cs="Arial"/>
      <w:color w:val="0f0f0f"/>
      <w:sz w:val="20"/>
      <w:lang w:eastAsia="en-US"/>
    </w:rPr>
  </w:style>
  <w:style w:type="paragraph" w:styleId="1240">
    <w:name w:val="样式 仿宋_GB2312 小四 行距: 1.5 倍行距1"/>
    <w:basedOn w:val="1166"/>
    <w:next w:val="1240"/>
    <w:link w:val="1166"/>
    <w:qFormat/>
    <w:pPr>
      <w:jc w:val="both"/>
      <w:spacing w:line="360" w:lineRule="auto"/>
      <w:widowControl w:val="off"/>
      <w:tabs>
        <w:tab w:val="left" w:pos="525" w:leader="none"/>
      </w:tabs>
    </w:pPr>
    <w:rPr>
      <w:rFonts w:ascii="仿宋_GB2312" w:hAnsi="仿宋_GB2312" w:eastAsia="仿宋_GB2312" w:cs="宋体"/>
      <w:sz w:val="24"/>
      <w:szCs w:val="20"/>
    </w:rPr>
  </w:style>
  <w:style w:type="paragraph" w:styleId="1241">
    <w:name w:val="无间隔"/>
    <w:next w:val="1241"/>
    <w:link w:val="1166"/>
    <w:uiPriority w:val="1"/>
    <w:qFormat/>
    <w:pPr>
      <w:jc w:val="both"/>
      <w:widowControl w:val="off"/>
    </w:pPr>
    <w:rPr>
      <w:sz w:val="21"/>
      <w:szCs w:val="22"/>
      <w:lang w:val="en-US" w:eastAsia="zh-CN" w:bidi="ar-SA"/>
    </w:rPr>
  </w:style>
  <w:style w:type="paragraph" w:styleId="1242">
    <w:name w:val="Char Char Char Char Char Char Char"/>
    <w:basedOn w:val="1166"/>
    <w:next w:val="1242"/>
    <w:link w:val="1166"/>
    <w:pPr>
      <w:ind w:left="432" w:hanging="432"/>
      <w:jc w:val="center"/>
      <w:tabs>
        <w:tab w:val="left" w:pos="432" w:leader="none"/>
      </w:tabs>
    </w:pPr>
    <w:rPr>
      <w:rFonts w:ascii="仿宋_GB2312" w:hAnsi="Tahoma" w:eastAsia="仿宋_GB2312"/>
      <w:sz w:val="24"/>
      <w:szCs w:val="24"/>
    </w:rPr>
  </w:style>
  <w:style w:type="paragraph" w:styleId="1243">
    <w:name w:val="正文 A"/>
    <w:next w:val="1243"/>
    <w:link w:val="1166"/>
    <w:qFormat/>
    <w:pPr>
      <w:jc w:val="both"/>
      <w:widowControl w:val="off"/>
    </w:pPr>
    <w:rPr>
      <w:rFonts w:eastAsia="Times New Roman"/>
      <w:color w:val="000000"/>
      <w:sz w:val="21"/>
      <w:szCs w:val="21"/>
      <w:lang w:val="en-US" w:eastAsia="zh-CN" w:bidi="ar-SA"/>
    </w:rPr>
  </w:style>
  <w:style w:type="paragraph" w:styleId="1244">
    <w:name w:val="列表段落"/>
    <w:basedOn w:val="1166"/>
    <w:next w:val="1244"/>
    <w:link w:val="1166"/>
    <w:uiPriority w:val="99"/>
    <w:qFormat/>
    <w:pPr>
      <w:ind w:firstLine="420"/>
    </w:pPr>
    <w:rPr>
      <w:rFonts w:ascii="Calibri" w:hAnsi="Calibri" w:eastAsia="宋体" w:cs="Times New Roman"/>
      <w:szCs w:val="22"/>
    </w:rPr>
  </w:style>
  <w:style w:type="paragraph" w:styleId="1245">
    <w:name w:val=" Char Char Char Char Char Char Char"/>
    <w:basedOn w:val="1166"/>
    <w:next w:val="1245"/>
    <w:link w:val="1166"/>
    <w:semiHidden/>
    <w:rPr>
      <w:rFonts w:ascii="Tahoma" w:hAnsi="Tahoma" w:cs="仿宋_GB2312"/>
      <w:sz w:val="24"/>
      <w:szCs w:val="28"/>
    </w:rPr>
  </w:style>
  <w:style w:type="paragraph" w:styleId="1246">
    <w:name w:val="列出段落1"/>
    <w:basedOn w:val="1166"/>
    <w:next w:val="1246"/>
    <w:link w:val="1166"/>
    <w:uiPriority w:val="34"/>
    <w:qFormat/>
    <w:pPr>
      <w:ind w:firstLine="420"/>
    </w:pPr>
    <w:rPr>
      <w:rFonts w:ascii="Calibri" w:hAnsi="Calibri"/>
      <w:szCs w:val="22"/>
    </w:rPr>
  </w:style>
  <w:style w:type="paragraph" w:styleId="1247">
    <w:name w:val="一级"/>
    <w:basedOn w:val="1166"/>
    <w:next w:val="1247"/>
    <w:link w:val="1166"/>
    <w:qFormat/>
    <w:pPr>
      <w:numPr>
        <w:ilvl w:val="0"/>
        <w:numId w:val="1"/>
      </w:numPr>
      <w:spacing w:line="360" w:lineRule="auto"/>
      <w:outlineLvl w:val="0"/>
    </w:pPr>
    <w:rPr>
      <w:b/>
      <w:sz w:val="32"/>
      <w:szCs w:val="32"/>
    </w:rPr>
  </w:style>
  <w:style w:type="paragraph" w:styleId="1248">
    <w:name w:val="正文1"/>
    <w:basedOn w:val="1166"/>
    <w:next w:val="1248"/>
    <w:link w:val="1166"/>
    <w:qFormat/>
    <w:pPr>
      <w:jc w:val="left"/>
      <w:spacing w:after="200" w:line="300" w:lineRule="atLeast"/>
      <w:widowControl/>
    </w:pPr>
    <w:rPr>
      <w:rFonts w:ascii="Calibri" w:hAnsi="Calibri" w:cs="宋体"/>
      <w:sz w:val="22"/>
      <w:szCs w:val="22"/>
    </w:rPr>
  </w:style>
  <w:style w:type="paragraph" w:styleId="1249">
    <w:name w:val="Default"/>
    <w:basedOn w:val="1250"/>
    <w:next w:val="1166"/>
    <w:link w:val="1166"/>
    <w:uiPriority w:val="99"/>
    <w:unhideWhenUsed/>
    <w:pPr>
      <w:widowControl w:val="off"/>
    </w:pPr>
    <w:rPr>
      <w:rFonts w:hint="eastAsia" w:ascii="楷体" w:hAnsi="楷体" w:eastAsia="楷体"/>
      <w:color w:val="000000"/>
      <w:sz w:val="24"/>
      <w:lang w:val="en-US" w:eastAsia="zh-CN" w:bidi="ar-SA"/>
    </w:rPr>
  </w:style>
  <w:style w:type="paragraph" w:styleId="1250">
    <w:name w:val="正文_2"/>
    <w:next w:val="1251"/>
    <w:link w:val="1166"/>
    <w:qFormat/>
    <w:pPr>
      <w:jc w:val="both"/>
      <w:widowControl w:val="off"/>
    </w:pPr>
    <w:rPr>
      <w:sz w:val="21"/>
      <w:szCs w:val="22"/>
      <w:lang w:val="en-US" w:eastAsia="zh-CN" w:bidi="ar-SA"/>
    </w:rPr>
  </w:style>
  <w:style w:type="paragraph" w:styleId="1251">
    <w:name w:val="Plain Text2"/>
    <w:basedOn w:val="1252"/>
    <w:next w:val="1251"/>
    <w:link w:val="1166"/>
    <w:qFormat/>
    <w:rPr>
      <w:rFonts w:ascii="宋体" w:hAnsi="Courier New" w:cs="Courier New"/>
      <w:szCs w:val="21"/>
    </w:rPr>
  </w:style>
  <w:style w:type="paragraph" w:styleId="1252">
    <w:name w:val="正文_1_0_0"/>
    <w:basedOn w:val="1253"/>
    <w:next w:val="1251"/>
    <w:link w:val="1166"/>
    <w:qFormat/>
  </w:style>
  <w:style w:type="paragraph" w:styleId="1253">
    <w:name w:val="正文_1_0"/>
    <w:basedOn w:val="1254"/>
    <w:next w:val="1251"/>
    <w:link w:val="1166"/>
    <w:qFormat/>
    <w:rPr>
      <w:rFonts w:cs="Times New Roman"/>
      <w:szCs w:val="22"/>
    </w:rPr>
  </w:style>
  <w:style w:type="paragraph" w:styleId="1254">
    <w:name w:val="正文_1"/>
    <w:next w:val="1255"/>
    <w:link w:val="1166"/>
    <w:qFormat/>
    <w:pPr>
      <w:jc w:val="both"/>
      <w:widowControl w:val="off"/>
    </w:pPr>
    <w:rPr>
      <w:rFonts w:cs="Calibri"/>
      <w:sz w:val="21"/>
      <w:szCs w:val="21"/>
      <w:lang w:val="en-US" w:eastAsia="zh-CN" w:bidi="ar-SA"/>
    </w:rPr>
  </w:style>
  <w:style w:type="paragraph" w:styleId="1255">
    <w:name w:val="Plain Text1"/>
    <w:basedOn w:val="1252"/>
    <w:next w:val="1255"/>
    <w:link w:val="1166"/>
    <w:qFormat/>
    <w:rPr>
      <w:rFonts w:ascii="宋体" w:hAnsi="Courier New" w:cs="Courier New"/>
      <w:szCs w:val="21"/>
    </w:rPr>
  </w:style>
  <w:style w:type="paragraph" w:styleId="1256">
    <w:name w:val="Heading 8"/>
    <w:basedOn w:val="1166"/>
    <w:next w:val="1256"/>
    <w:link w:val="1166"/>
    <w:uiPriority w:val="1"/>
    <w:qFormat/>
    <w:pPr>
      <w:ind w:left="153"/>
      <w:jc w:val="left"/>
      <w:spacing w:before="35"/>
      <w:outlineLvl w:val="8"/>
    </w:pPr>
    <w:rPr>
      <w:rFonts w:ascii="宋体" w:hAnsi="宋体" w:cs="Times New Roman"/>
      <w:b/>
      <w:bCs/>
      <w:szCs w:val="21"/>
      <w:lang w:eastAsia="en-US"/>
    </w:rPr>
  </w:style>
  <w:style w:type="paragraph" w:styleId="1257">
    <w:name w:val="BodyText1I1"/>
    <w:basedOn w:val="1258"/>
    <w:next w:val="1257"/>
    <w:link w:val="1166"/>
    <w:qFormat/>
    <w:pPr>
      <w:ind w:left="120" w:firstLine="420"/>
      <w:jc w:val="both"/>
      <w:spacing w:before="36"/>
    </w:pPr>
  </w:style>
  <w:style w:type="paragraph" w:styleId="1258">
    <w:name w:val="BodyText1"/>
    <w:basedOn w:val="1166"/>
    <w:next w:val="1166"/>
    <w:link w:val="1166"/>
    <w:qFormat/>
    <w:pPr>
      <w:ind w:left="120"/>
      <w:jc w:val="both"/>
      <w:spacing w:before="36"/>
    </w:pPr>
    <w:rPr>
      <w:rFonts w:ascii="宋体" w:hAnsi="宋体" w:eastAsia="宋体"/>
      <w:sz w:val="24"/>
      <w:szCs w:val="24"/>
      <w:lang w:val="en-US" w:eastAsia="zh-CN" w:bidi="ar-SA"/>
    </w:rPr>
  </w:style>
  <w:style w:type="paragraph" w:styleId="1259">
    <w:name w:val=" Char Char Char"/>
    <w:basedOn w:val="1166"/>
    <w:next w:val="1259"/>
    <w:link w:val="1166"/>
    <w:pPr>
      <w:jc w:val="center"/>
      <w:spacing w:line="400" w:lineRule="exact"/>
      <w:widowControl/>
    </w:pPr>
    <w:rPr>
      <w:szCs w:val="24"/>
    </w:rPr>
  </w:style>
  <w:style w:type="paragraph" w:styleId="1260">
    <w:name w:val="Heading 4"/>
    <w:basedOn w:val="1166"/>
    <w:next w:val="1260"/>
    <w:link w:val="1166"/>
    <w:uiPriority w:val="1"/>
    <w:qFormat/>
    <w:pPr>
      <w:ind w:left="153"/>
      <w:jc w:val="left"/>
      <w:spacing w:before="18"/>
      <w:outlineLvl w:val="4"/>
    </w:pPr>
    <w:rPr>
      <w:rFonts w:ascii="宋体" w:hAnsi="宋体" w:cs="Times New Roman"/>
      <w:b/>
      <w:bCs/>
      <w:sz w:val="28"/>
      <w:szCs w:val="28"/>
      <w:lang w:eastAsia="en-US"/>
    </w:rPr>
  </w:style>
  <w:style w:type="paragraph" w:styleId="1261">
    <w:name w:val="Table Paragraph"/>
    <w:basedOn w:val="1166"/>
    <w:next w:val="1261"/>
    <w:link w:val="1166"/>
    <w:uiPriority w:val="1"/>
    <w:qFormat/>
    <w:pPr>
      <w:spacing w:before="2"/>
    </w:pPr>
    <w:rPr>
      <w:rFonts w:ascii="宋体" w:hAnsi="宋体" w:eastAsia="宋体" w:cs="宋体"/>
      <w:lang w:val="zh-CN" w:eastAsia="zh-CN" w:bidi="zh-CN"/>
    </w:rPr>
  </w:style>
  <w:style w:type="paragraph" w:styleId="1262">
    <w:name w:val="样式 首行缩进:  2 字符"/>
    <w:basedOn w:val="1166"/>
    <w:next w:val="1262"/>
    <w:link w:val="1166"/>
    <w:pPr>
      <w:ind w:firstLine="200"/>
      <w:spacing w:line="400" w:lineRule="exact"/>
    </w:pPr>
    <w:rPr>
      <w:rFonts w:cs="宋体"/>
      <w:sz w:val="24"/>
      <w:szCs w:val="24"/>
    </w:rPr>
  </w:style>
  <w:style w:type="paragraph" w:styleId="1263">
    <w:name w:val="Char Char"/>
    <w:basedOn w:val="1166"/>
    <w:next w:val="1263"/>
    <w:link w:val="1166"/>
    <w:pPr>
      <w:ind w:left="360" w:hanging="360"/>
    </w:pPr>
    <w:rPr>
      <w:sz w:val="24"/>
      <w:szCs w:val="24"/>
    </w:rPr>
  </w:style>
  <w:style w:type="paragraph" w:styleId="1264">
    <w:name w:val="简单回函地址"/>
    <w:basedOn w:val="1166"/>
    <w:next w:val="1264"/>
    <w:link w:val="1166"/>
    <w:rPr>
      <w:szCs w:val="24"/>
    </w:rPr>
  </w:style>
  <w:style w:type="paragraph" w:styleId="1265">
    <w:name w:val="Body Text First Indent1"/>
    <w:basedOn w:val="1182"/>
    <w:next w:val="1265"/>
    <w:link w:val="1166"/>
    <w:qFormat/>
    <w:pPr>
      <w:ind w:firstLine="420"/>
    </w:pPr>
  </w:style>
  <w:style w:type="paragraph" w:styleId="1266">
    <w:name w:val="yiv1658056056msonormal"/>
    <w:basedOn w:val="1166"/>
    <w:next w:val="1266"/>
    <w:link w:val="1166"/>
    <w:uiPriority w:val="99"/>
    <w:pPr>
      <w:jc w:val="left"/>
      <w:spacing w:before="100" w:beforeAutospacing="1" w:after="100" w:afterAutospacing="1"/>
      <w:widowControl/>
    </w:pPr>
    <w:rPr>
      <w:rFonts w:ascii="宋体" w:hAnsi="宋体" w:cs="宋体"/>
      <w:sz w:val="24"/>
      <w:szCs w:val="24"/>
    </w:rPr>
  </w:style>
  <w:style w:type="paragraph" w:styleId="1267">
    <w:name w:val="p15"/>
    <w:basedOn w:val="1166"/>
    <w:next w:val="1267"/>
    <w:link w:val="1166"/>
    <w:uiPriority w:val="99"/>
    <w:unhideWhenUsed/>
    <w:pPr>
      <w:widowControl/>
    </w:pPr>
    <w:rPr>
      <w:rFonts w:hint="eastAsia" w:ascii="宋体" w:hAnsi="宋体"/>
      <w:b/>
    </w:rPr>
  </w:style>
  <w:style w:type="paragraph" w:styleId="1268">
    <w:name w:val="_Style 2"/>
    <w:basedOn w:val="1166"/>
    <w:next w:val="1268"/>
    <w:link w:val="1166"/>
    <w:uiPriority w:val="34"/>
    <w:qFormat/>
    <w:pPr>
      <w:ind w:firstLine="420"/>
    </w:pPr>
    <w:rPr>
      <w:szCs w:val="24"/>
    </w:rPr>
  </w:style>
  <w:style w:type="paragraph" w:styleId="1269">
    <w:name w:val="List Paragraph"/>
    <w:basedOn w:val="1166"/>
    <w:next w:val="1269"/>
    <w:link w:val="1166"/>
    <w:uiPriority w:val="34"/>
    <w:qFormat/>
    <w:pPr>
      <w:ind w:firstLine="420"/>
    </w:pPr>
    <w:rPr>
      <w:szCs w:val="22"/>
    </w:rPr>
  </w:style>
  <w:style w:type="character" w:styleId="1270">
    <w:name w:val="font11"/>
    <w:next w:val="1270"/>
    <w:link w:val="1166"/>
    <w:unhideWhenUsed/>
    <w:qFormat/>
    <w:rPr>
      <w:rFonts w:hint="eastAsia" w:ascii="宋体" w:hAnsi="宋体" w:eastAsia="宋体" w:cs="宋体"/>
      <w:color w:val="000000"/>
      <w:sz w:val="21"/>
      <w:szCs w:val="21"/>
    </w:rPr>
  </w:style>
  <w:style w:type="paragraph" w:styleId="1271">
    <w:name w:val="_Style 92"/>
    <w:basedOn w:val="1166"/>
    <w:next w:val="1244"/>
    <w:link w:val="1166"/>
    <w:uiPriority w:val="34"/>
    <w:qFormat/>
    <w:pPr>
      <w:ind w:firstLine="200"/>
      <w:spacing w:line="360" w:lineRule="auto"/>
    </w:pPr>
    <w:rPr>
      <w:rFonts w:eastAsia="楷体_GB2312"/>
      <w:sz w:val="24"/>
    </w:rPr>
  </w:style>
  <w:style w:type="paragraph" w:styleId="1272">
    <w:name w:val="彩色列表1"/>
    <w:basedOn w:val="1166"/>
    <w:next w:val="1272"/>
    <w:link w:val="1166"/>
    <w:qFormat/>
    <w:pPr>
      <w:ind w:firstLine="420"/>
    </w:pPr>
    <w:rPr>
      <w:rFonts w:ascii="Calibri" w:hAnsi="Calibri"/>
      <w:szCs w:val="22"/>
    </w:rPr>
  </w:style>
  <w:style w:type="paragraph" w:styleId="1273">
    <w:name w:val="正文_9_1"/>
    <w:next w:val="1273"/>
    <w:link w:val="1166"/>
    <w:qFormat/>
    <w:pPr>
      <w:jc w:val="both"/>
      <w:widowControl w:val="off"/>
    </w:pPr>
    <w:rPr>
      <w:sz w:val="21"/>
      <w:szCs w:val="24"/>
      <w:lang w:val="en-US" w:eastAsia="zh-CN" w:bidi="ar-SA"/>
    </w:rPr>
  </w:style>
  <w:style w:type="character" w:styleId="1274">
    <w:name w:val="批注文字 字符1"/>
    <w:next w:val="1274"/>
    <w:link w:val="1166"/>
    <w:qFormat/>
    <w:rPr>
      <w:rFonts w:eastAsia="Times New Roman"/>
      <w:sz w:val="24"/>
      <w:szCs w:val="24"/>
    </w:rPr>
  </w:style>
  <w:style w:type="character" w:styleId="1275" w:default="1">
    <w:name w:val="Default Paragraph Font"/>
    <w:uiPriority w:val="1"/>
    <w:semiHidden/>
    <w:unhideWhenUsed/>
  </w:style>
  <w:style w:type="numbering" w:styleId="1276" w:default="1">
    <w:name w:val="No List"/>
    <w:uiPriority w:val="99"/>
    <w:semiHidden/>
    <w:unhideWhenUsed/>
  </w:style>
  <w:style w:type="table" w:styleId="12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朱琳</cp:lastModifiedBy>
  <cp:revision>3</cp:revision>
  <dcterms:created xsi:type="dcterms:W3CDTF">2025-09-22T03:04:00Z</dcterms:created>
  <dcterms:modified xsi:type="dcterms:W3CDTF">2026-08-21T08:24:25Z</dcterms:modified>
</cp:coreProperties>
</file>