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BE3210">
      <w:pPr>
        <w:spacing w:line="360" w:lineRule="auto"/>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 </w:t>
      </w:r>
    </w:p>
    <w:p w14:paraId="6F937843">
      <w:pPr>
        <w:spacing w:line="360" w:lineRule="auto"/>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72"/>
          <w:szCs w:val="72"/>
          <w:highlight w:val="none"/>
        </w:rPr>
        <w:t>无锡市惠山区政府采购</w:t>
      </w:r>
    </w:p>
    <w:p w14:paraId="07798420">
      <w:pPr>
        <w:spacing w:line="360" w:lineRule="auto"/>
        <w:jc w:val="center"/>
        <w:rPr>
          <w:rFonts w:ascii="黑体" w:hAnsi="华文中宋" w:eastAsia="黑体"/>
          <w:bCs/>
          <w:color w:val="auto"/>
          <w:spacing w:val="20"/>
          <w:sz w:val="48"/>
          <w:szCs w:val="48"/>
          <w:highlight w:val="none"/>
        </w:rPr>
      </w:pPr>
    </w:p>
    <w:p w14:paraId="5BCE74BF">
      <w:pPr>
        <w:spacing w:line="360" w:lineRule="auto"/>
        <w:jc w:val="center"/>
        <w:rPr>
          <w:rFonts w:ascii="宋体" w:hAnsi="宋体" w:cs="宋体"/>
          <w:bCs/>
          <w:color w:val="auto"/>
          <w:spacing w:val="20"/>
          <w:sz w:val="52"/>
          <w:szCs w:val="52"/>
          <w:highlight w:val="none"/>
        </w:rPr>
      </w:pPr>
      <w:r>
        <w:rPr>
          <w:rFonts w:hint="eastAsia" w:ascii="宋体" w:hAnsi="宋体" w:cs="宋体"/>
          <w:bCs/>
          <w:color w:val="auto"/>
          <w:spacing w:val="20"/>
          <w:sz w:val="52"/>
          <w:szCs w:val="52"/>
          <w:highlight w:val="none"/>
        </w:rPr>
        <w:t>公   开</w:t>
      </w:r>
    </w:p>
    <w:p w14:paraId="1A61BB46">
      <w:pPr>
        <w:spacing w:line="360" w:lineRule="auto"/>
        <w:jc w:val="center"/>
        <w:rPr>
          <w:rFonts w:ascii="宋体" w:hAnsi="宋体" w:cs="宋体"/>
          <w:bCs/>
          <w:color w:val="auto"/>
          <w:spacing w:val="20"/>
          <w:sz w:val="52"/>
          <w:szCs w:val="52"/>
          <w:highlight w:val="none"/>
        </w:rPr>
      </w:pPr>
      <w:r>
        <w:rPr>
          <w:rFonts w:hint="eastAsia" w:ascii="宋体" w:hAnsi="宋体" w:cs="宋体"/>
          <w:bCs/>
          <w:color w:val="auto"/>
          <w:spacing w:val="20"/>
          <w:sz w:val="52"/>
          <w:szCs w:val="52"/>
          <w:highlight w:val="none"/>
        </w:rPr>
        <mc:AlternateContent>
          <mc:Choice Requires="wps">
            <w:drawing>
              <wp:anchor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6" name="直接连接符 6"/>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wps:wsp>
                  </a:graphicData>
                </a:graphic>
              </wp:anchor>
            </w:drawing>
          </mc:Choice>
          <mc:Fallback>
            <w:pict>
              <v:line id="_x0000_s1026" o:spid="_x0000_s1026" o:spt="20" style="position:absolute;left:0pt;margin-left:-8.95pt;margin-top:15.6pt;height:0pt;width:0.05pt;z-index:251660288;mso-width-relative:page;mso-height-relative:page;" filled="f"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K02t9NUAAAAJAQAADwAAAAAAAAABACAAAAAiAAAAZHJzL2Rvd25yZXYueG1sUEsBAhQAFAAA&#10;AAgAh07iQGCf1BG5AQAAYQMAAA4AAAAAAAAAAQAgAAAAJAEAAGRycy9lMm9Eb2MueG1sUEsFBgAA&#10;AAAGAAYAWQEAAE8FAAAAAA==&#10;">
                <v:fill on="f" focussize="0,0"/>
                <v:stroke color="#000000" joinstyle="round"/>
                <v:imagedata o:title=""/>
                <o:lock v:ext="edit" aspectratio="f"/>
              </v:line>
            </w:pict>
          </mc:Fallback>
        </mc:AlternateContent>
      </w:r>
      <w:r>
        <w:rPr>
          <w:rFonts w:hint="eastAsia" w:ascii="宋体" w:hAnsi="宋体" w:cs="宋体"/>
          <w:bCs/>
          <w:color w:val="auto"/>
          <w:spacing w:val="20"/>
          <w:sz w:val="52"/>
          <w:szCs w:val="52"/>
          <w:highlight w:val="none"/>
        </w:rPr>
        <w:t>招  标  文  件</w:t>
      </w:r>
    </w:p>
    <w:p w14:paraId="325A37E2">
      <w:pPr>
        <w:tabs>
          <w:tab w:val="left" w:pos="9921"/>
        </w:tabs>
        <w:spacing w:line="360" w:lineRule="auto"/>
        <w:jc w:val="center"/>
        <w:rPr>
          <w:rFonts w:ascii="宋体" w:hAnsi="宋体" w:cs="宋体"/>
          <w:b/>
          <w:color w:val="auto"/>
          <w:sz w:val="30"/>
          <w:highlight w:val="none"/>
        </w:rPr>
      </w:pPr>
      <w:r>
        <w:rPr>
          <w:rFonts w:hint="eastAsia" w:ascii="宋体" w:hAnsi="宋体" w:cs="宋体"/>
          <w:b/>
          <w:color w:val="auto"/>
          <w:sz w:val="30"/>
          <w:highlight w:val="none"/>
        </w:rPr>
        <w:t>（全流程电子化）</w:t>
      </w:r>
    </w:p>
    <w:p w14:paraId="4A1EAF92">
      <w:pPr>
        <w:tabs>
          <w:tab w:val="left" w:pos="9921"/>
        </w:tabs>
        <w:spacing w:line="360" w:lineRule="auto"/>
        <w:jc w:val="center"/>
        <w:rPr>
          <w:rFonts w:ascii="华文中宋" w:hAnsi="华文中宋" w:eastAsia="华文中宋"/>
          <w:bCs/>
          <w:color w:val="auto"/>
          <w:sz w:val="30"/>
          <w:highlight w:val="none"/>
        </w:rPr>
      </w:pPr>
      <w:r>
        <w:rPr>
          <w:rFonts w:hint="eastAsia" w:ascii="黑体" w:hAnsi="华文中宋" w:eastAsia="黑体"/>
          <w:bCs/>
          <w:color w:val="auto"/>
          <w:spacing w:val="20"/>
          <w:sz w:val="52"/>
          <w:szCs w:val="52"/>
          <w:highlight w:val="none"/>
        </w:rPr>
        <w:t>（暗标）</w:t>
      </w:r>
    </w:p>
    <w:p w14:paraId="16423F0C">
      <w:pPr>
        <w:spacing w:line="360" w:lineRule="auto"/>
        <w:ind w:right="-27"/>
        <w:jc w:val="left"/>
        <w:rPr>
          <w:rFonts w:ascii="宋体" w:hAnsi="宋体"/>
          <w:b/>
          <w:bCs/>
          <w:color w:val="auto"/>
          <w:sz w:val="28"/>
          <w:szCs w:val="28"/>
          <w:highlight w:val="none"/>
        </w:rPr>
      </w:pPr>
    </w:p>
    <w:p w14:paraId="06795C05">
      <w:pPr>
        <w:spacing w:line="360" w:lineRule="auto"/>
        <w:ind w:right="-27"/>
        <w:jc w:val="left"/>
        <w:rPr>
          <w:rFonts w:ascii="宋体" w:hAnsi="宋体"/>
          <w:b/>
          <w:bCs/>
          <w:color w:val="auto"/>
          <w:sz w:val="28"/>
          <w:szCs w:val="28"/>
          <w:highlight w:val="none"/>
        </w:rPr>
      </w:pPr>
    </w:p>
    <w:p w14:paraId="78CBE92E">
      <w:pPr>
        <w:spacing w:line="360" w:lineRule="auto"/>
        <w:ind w:right="-27"/>
        <w:jc w:val="left"/>
        <w:rPr>
          <w:rFonts w:hint="eastAsia" w:ascii="宋体" w:hAnsi="宋体" w:eastAsia="宋体"/>
          <w:b/>
          <w:bCs/>
          <w:color w:val="auto"/>
          <w:sz w:val="28"/>
          <w:szCs w:val="28"/>
          <w:highlight w:val="none"/>
          <w:u w:val="single"/>
          <w:lang w:eastAsia="zh-CN"/>
        </w:rPr>
      </w:pPr>
      <w:r>
        <w:rPr>
          <w:rFonts w:hint="eastAsia" w:ascii="宋体" w:hAnsi="宋体"/>
          <w:b/>
          <w:bCs/>
          <w:color w:val="auto"/>
          <w:sz w:val="28"/>
          <w:szCs w:val="28"/>
          <w:highlight w:val="none"/>
        </w:rPr>
        <w:t>项 目 编 号 ：</w:t>
      </w:r>
      <w:r>
        <w:rPr>
          <w:rFonts w:hint="eastAsia" w:ascii="宋体" w:hAnsi="宋体"/>
          <w:b/>
          <w:bCs/>
          <w:color w:val="auto"/>
          <w:sz w:val="28"/>
          <w:szCs w:val="28"/>
          <w:highlight w:val="none"/>
          <w:u w:val="single"/>
          <w:lang w:eastAsia="zh-CN"/>
        </w:rPr>
        <w:t>JSZC-320206-JXCZ-G2026-0004</w:t>
      </w:r>
    </w:p>
    <w:p w14:paraId="41BD80D9">
      <w:pPr>
        <w:spacing w:line="360" w:lineRule="auto"/>
        <w:ind w:right="-27"/>
        <w:jc w:val="left"/>
        <w:rPr>
          <w:rFonts w:ascii="宋体" w:hAnsi="宋体"/>
          <w:b/>
          <w:bCs/>
          <w:color w:val="auto"/>
          <w:sz w:val="28"/>
          <w:szCs w:val="28"/>
          <w:highlight w:val="none"/>
          <w:u w:val="single"/>
        </w:rPr>
      </w:pPr>
      <w:r>
        <w:rPr>
          <w:rFonts w:hint="eastAsia" w:ascii="宋体" w:hAnsi="宋体"/>
          <w:b/>
          <w:bCs/>
          <w:color w:val="auto"/>
          <w:sz w:val="28"/>
          <w:szCs w:val="28"/>
          <w:highlight w:val="none"/>
        </w:rPr>
        <w:t>项 目 名 称 ：</w:t>
      </w:r>
      <w:r>
        <w:rPr>
          <w:rFonts w:hint="eastAsia" w:ascii="宋体" w:hAnsi="宋体"/>
          <w:b/>
          <w:bCs/>
          <w:color w:val="auto"/>
          <w:sz w:val="28"/>
          <w:szCs w:val="28"/>
          <w:highlight w:val="none"/>
          <w:u w:val="single"/>
        </w:rPr>
        <w:t>2026-2027年度度假区(阳山镇)机关食堂外包服务项目</w:t>
      </w:r>
    </w:p>
    <w:p w14:paraId="1E04D77B">
      <w:pPr>
        <w:spacing w:line="360" w:lineRule="auto"/>
        <w:ind w:right="-27"/>
        <w:jc w:val="left"/>
        <w:rPr>
          <w:rFonts w:ascii="宋体" w:hAnsi="宋体"/>
          <w:b/>
          <w:bCs/>
          <w:color w:val="auto"/>
          <w:sz w:val="28"/>
          <w:szCs w:val="28"/>
          <w:highlight w:val="none"/>
        </w:rPr>
      </w:pPr>
      <w:r>
        <w:rPr>
          <w:rFonts w:hint="eastAsia" w:ascii="宋体" w:hAnsi="宋体"/>
          <w:b/>
          <w:bCs/>
          <w:color w:val="auto"/>
          <w:sz w:val="28"/>
          <w:szCs w:val="28"/>
          <w:highlight w:val="none"/>
        </w:rPr>
        <w:t>采   购  人 ：</w:t>
      </w:r>
      <w:r>
        <w:rPr>
          <w:rFonts w:hint="eastAsia" w:ascii="宋体" w:hAnsi="宋体"/>
          <w:b/>
          <w:bCs/>
          <w:color w:val="auto"/>
          <w:sz w:val="28"/>
          <w:szCs w:val="28"/>
          <w:highlight w:val="none"/>
          <w:u w:val="single"/>
        </w:rPr>
        <w:t>无锡市惠山区阳山镇人民政府</w:t>
      </w:r>
      <w:r>
        <w:rPr>
          <w:rFonts w:ascii="宋体" w:hAnsi="宋体"/>
          <w:b/>
          <w:bCs/>
          <w:color w:val="auto"/>
          <w:sz w:val="28"/>
          <w:szCs w:val="28"/>
          <w:highlight w:val="none"/>
          <w:u w:val="single"/>
        </w:rPr>
        <w:t xml:space="preserve"> </w:t>
      </w:r>
    </w:p>
    <w:p w14:paraId="3ACB4A92">
      <w:pPr>
        <w:spacing w:line="360" w:lineRule="auto"/>
        <w:ind w:right="-27"/>
        <w:jc w:val="left"/>
        <w:rPr>
          <w:rFonts w:ascii="宋体" w:hAnsi="宋体"/>
          <w:b/>
          <w:bCs/>
          <w:color w:val="auto"/>
          <w:sz w:val="44"/>
          <w:szCs w:val="44"/>
          <w:highlight w:val="none"/>
        </w:rPr>
      </w:pPr>
      <w:r>
        <w:rPr>
          <w:rFonts w:hint="eastAsia" w:ascii="宋体" w:hAnsi="宋体"/>
          <w:b/>
          <w:bCs/>
          <w:color w:val="auto"/>
          <w:sz w:val="28"/>
          <w:szCs w:val="28"/>
          <w:highlight w:val="none"/>
        </w:rPr>
        <w:t>代 理 机 构 ：</w:t>
      </w:r>
      <w:r>
        <w:rPr>
          <w:rFonts w:hint="eastAsia" w:ascii="宋体" w:hAnsi="宋体"/>
          <w:b/>
          <w:bCs/>
          <w:color w:val="auto"/>
          <w:sz w:val="28"/>
          <w:szCs w:val="28"/>
          <w:highlight w:val="none"/>
          <w:u w:val="single"/>
        </w:rPr>
        <w:t xml:space="preserve">江苏长卓项目管理咨询有限公司 </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p>
    <w:p w14:paraId="23F8A86B">
      <w:pPr>
        <w:spacing w:line="360" w:lineRule="auto"/>
        <w:jc w:val="center"/>
        <w:rPr>
          <w:rFonts w:ascii="宋体" w:hAnsi="宋体"/>
          <w:b/>
          <w:bCs/>
          <w:color w:val="auto"/>
          <w:sz w:val="44"/>
          <w:szCs w:val="44"/>
          <w:highlight w:val="none"/>
        </w:rPr>
      </w:pPr>
    </w:p>
    <w:p w14:paraId="1561E17F">
      <w:pPr>
        <w:spacing w:line="360" w:lineRule="auto"/>
        <w:jc w:val="center"/>
        <w:rPr>
          <w:rFonts w:ascii="宋体" w:hAnsi="宋体"/>
          <w:b/>
          <w:bCs/>
          <w:color w:val="auto"/>
          <w:sz w:val="44"/>
          <w:highlight w:val="none"/>
        </w:rPr>
      </w:pPr>
      <w:r>
        <w:rPr>
          <w:rFonts w:hint="eastAsia" w:ascii="宋体" w:hAnsi="宋体"/>
          <w:b/>
          <w:bCs/>
          <w:color w:val="auto"/>
          <w:sz w:val="44"/>
          <w:szCs w:val="44"/>
          <w:highlight w:val="none"/>
        </w:rPr>
        <w:t>二〇二六年</w:t>
      </w:r>
      <w:r>
        <w:rPr>
          <w:rFonts w:hint="eastAsia" w:ascii="宋体" w:hAnsi="宋体"/>
          <w:b/>
          <w:bCs/>
          <w:color w:val="auto"/>
          <w:sz w:val="44"/>
          <w:szCs w:val="44"/>
          <w:highlight w:val="none"/>
          <w:lang w:val="en-US" w:eastAsia="zh-CN"/>
        </w:rPr>
        <w:t>七</w:t>
      </w:r>
      <w:r>
        <w:rPr>
          <w:rFonts w:hint="eastAsia" w:ascii="宋体" w:hAnsi="宋体"/>
          <w:b/>
          <w:bCs/>
          <w:color w:val="auto"/>
          <w:sz w:val="44"/>
          <w:szCs w:val="44"/>
          <w:highlight w:val="none"/>
        </w:rPr>
        <w:t>月</w:t>
      </w:r>
    </w:p>
    <w:p w14:paraId="671489B2">
      <w:pPr>
        <w:pStyle w:val="486"/>
        <w:spacing w:line="360" w:lineRule="auto"/>
        <w:jc w:val="center"/>
        <w:rPr>
          <w:rFonts w:ascii="Times New Roman" w:hAnsi="Times New Roman"/>
          <w:b w:val="0"/>
          <w:bCs w:val="0"/>
          <w:color w:val="auto"/>
          <w:sz w:val="21"/>
          <w:szCs w:val="24"/>
          <w:highlight w:val="none"/>
          <w:lang w:val="zh-CN"/>
        </w:rPr>
        <w:sectPr>
          <w:headerReference r:id="rId4" w:type="first"/>
          <w:footerReference r:id="rId6" w:type="first"/>
          <w:headerReference r:id="rId3" w:type="default"/>
          <w:footerReference r:id="rId5" w:type="default"/>
          <w:pgSz w:w="11906" w:h="16838"/>
          <w:pgMar w:top="1304" w:right="1304" w:bottom="1304" w:left="1304" w:header="624" w:footer="794" w:gutter="0"/>
          <w:pgBorders>
            <w:top w:val="none" w:sz="0" w:space="0"/>
            <w:left w:val="none" w:sz="0" w:space="0"/>
            <w:bottom w:val="none" w:sz="0" w:space="0"/>
            <w:right w:val="none" w:sz="0" w:space="0"/>
          </w:pgBorders>
          <w:pgNumType w:fmt="decimal" w:start="1"/>
          <w:cols w:space="720" w:num="1"/>
          <w:titlePg/>
          <w:docGrid w:linePitch="360" w:charSpace="0"/>
        </w:sectPr>
      </w:pPr>
    </w:p>
    <w:sdt>
      <w:sdtPr>
        <w:rPr>
          <w:rFonts w:ascii="Times New Roman" w:hAnsi="Times New Roman"/>
          <w:b w:val="0"/>
          <w:bCs w:val="0"/>
          <w:color w:val="auto"/>
          <w:sz w:val="21"/>
          <w:szCs w:val="24"/>
          <w:highlight w:val="none"/>
          <w:lang w:val="zh-CN"/>
        </w:rPr>
        <w:id w:val="-473139669"/>
        <w:docPartObj>
          <w:docPartGallery w:val="Table of Contents"/>
          <w:docPartUnique/>
        </w:docPartObj>
      </w:sdtPr>
      <w:sdtEndPr>
        <w:rPr>
          <w:rFonts w:ascii="Times New Roman" w:hAnsi="Times New Roman"/>
          <w:b w:val="0"/>
          <w:bCs w:val="0"/>
          <w:color w:val="auto"/>
          <w:sz w:val="21"/>
          <w:szCs w:val="24"/>
          <w:highlight w:val="none"/>
          <w:lang w:val="zh-CN"/>
        </w:rPr>
      </w:sdtEndPr>
      <w:sdtContent>
        <w:p w14:paraId="19F35339">
          <w:pPr>
            <w:pStyle w:val="486"/>
            <w:spacing w:line="360" w:lineRule="auto"/>
            <w:jc w:val="center"/>
            <w:rPr>
              <w:color w:val="auto"/>
              <w:highlight w:val="none"/>
            </w:rPr>
          </w:pPr>
          <w:r>
            <w:rPr>
              <w:color w:val="auto"/>
              <w:highlight w:val="none"/>
              <w:lang w:val="zh-CN"/>
            </w:rPr>
            <w:t>目录</w:t>
          </w:r>
        </w:p>
        <w:p w14:paraId="26CC7837">
          <w:pPr>
            <w:pStyle w:val="44"/>
            <w:tabs>
              <w:tab w:val="right" w:leader="dot" w:pos="9736"/>
            </w:tabs>
            <w:spacing w:after="240" w:line="360" w:lineRule="auto"/>
            <w:rPr>
              <w:rFonts w:ascii="宋体" w:hAnsi="宋体" w:cs="宋体"/>
              <w:b/>
              <w:bCs/>
              <w:color w:val="auto"/>
              <w:sz w:val="28"/>
              <w:szCs w:val="32"/>
              <w:highlight w:val="none"/>
            </w:rPr>
          </w:pPr>
          <w:r>
            <w:rPr>
              <w:rFonts w:hint="eastAsia" w:ascii="宋体" w:hAnsi="宋体" w:cs="宋体"/>
              <w:b/>
              <w:bCs/>
              <w:color w:val="auto"/>
              <w:sz w:val="52"/>
              <w:szCs w:val="72"/>
              <w:highlight w:val="none"/>
            </w:rPr>
            <w:fldChar w:fldCharType="begin"/>
          </w:r>
          <w:r>
            <w:rPr>
              <w:rFonts w:hint="eastAsia" w:ascii="宋体" w:hAnsi="宋体" w:cs="宋体"/>
              <w:b/>
              <w:bCs/>
              <w:color w:val="auto"/>
              <w:sz w:val="52"/>
              <w:szCs w:val="72"/>
              <w:highlight w:val="none"/>
            </w:rPr>
            <w:instrText xml:space="preserve"> TOC \o "1-3" \h \z \u </w:instrText>
          </w:r>
          <w:r>
            <w:rPr>
              <w:rFonts w:hint="eastAsia" w:ascii="宋体" w:hAnsi="宋体" w:cs="宋体"/>
              <w:b/>
              <w:bCs/>
              <w:color w:val="auto"/>
              <w:sz w:val="52"/>
              <w:szCs w:val="72"/>
              <w:highlight w:val="none"/>
            </w:rPr>
            <w:fldChar w:fldCharType="separate"/>
          </w:r>
          <w:r>
            <w:rPr>
              <w:color w:val="auto"/>
              <w:highlight w:val="none"/>
            </w:rPr>
            <w:fldChar w:fldCharType="begin"/>
          </w:r>
          <w:r>
            <w:rPr>
              <w:color w:val="auto"/>
              <w:highlight w:val="none"/>
            </w:rPr>
            <w:instrText xml:space="preserve"> HYPERLINK \l "_Toc116946286" \o "#_Toc116946286" </w:instrText>
          </w:r>
          <w:r>
            <w:rPr>
              <w:color w:val="auto"/>
              <w:highlight w:val="none"/>
            </w:rPr>
            <w:fldChar w:fldCharType="separate"/>
          </w:r>
          <w:r>
            <w:rPr>
              <w:rStyle w:val="76"/>
              <w:rFonts w:hint="eastAsia" w:ascii="宋体" w:hAnsi="宋体" w:cs="宋体"/>
              <w:b/>
              <w:bCs/>
              <w:color w:val="auto"/>
              <w:sz w:val="28"/>
              <w:szCs w:val="36"/>
              <w:highlight w:val="none"/>
            </w:rPr>
            <w:t>一．投标邀请</w:t>
          </w:r>
          <w:r>
            <w:rPr>
              <w:rFonts w:hint="eastAsia" w:ascii="宋体" w:hAnsi="宋体" w:cs="宋体"/>
              <w:b/>
              <w:bCs/>
              <w:color w:val="auto"/>
              <w:sz w:val="28"/>
              <w:szCs w:val="36"/>
              <w:highlight w:val="none"/>
            </w:rPr>
            <w:tab/>
          </w:r>
          <w:r>
            <w:rPr>
              <w:rFonts w:hint="eastAsia" w:ascii="宋体" w:hAnsi="宋体" w:cs="宋体"/>
              <w:b/>
              <w:bCs/>
              <w:color w:val="auto"/>
              <w:sz w:val="28"/>
              <w:szCs w:val="36"/>
              <w:highlight w:val="none"/>
            </w:rPr>
            <w:t>1</w:t>
          </w:r>
          <w:r>
            <w:rPr>
              <w:rFonts w:hint="eastAsia" w:ascii="宋体" w:hAnsi="宋体" w:cs="宋体"/>
              <w:b/>
              <w:bCs/>
              <w:color w:val="auto"/>
              <w:sz w:val="28"/>
              <w:szCs w:val="36"/>
              <w:highlight w:val="none"/>
            </w:rPr>
            <w:fldChar w:fldCharType="end"/>
          </w:r>
        </w:p>
        <w:p w14:paraId="0D2CACE7">
          <w:pPr>
            <w:pStyle w:val="44"/>
            <w:tabs>
              <w:tab w:val="right" w:leader="dot" w:pos="9736"/>
            </w:tabs>
            <w:spacing w:after="240" w:line="360" w:lineRule="auto"/>
            <w:rPr>
              <w:rFonts w:ascii="宋体" w:hAnsi="宋体" w:cs="宋体"/>
              <w:b/>
              <w:bCs/>
              <w:color w:val="auto"/>
              <w:sz w:val="28"/>
              <w:szCs w:val="32"/>
              <w:highlight w:val="none"/>
            </w:rPr>
          </w:pPr>
          <w:r>
            <w:rPr>
              <w:color w:val="auto"/>
              <w:highlight w:val="none"/>
            </w:rPr>
            <w:fldChar w:fldCharType="begin"/>
          </w:r>
          <w:r>
            <w:rPr>
              <w:color w:val="auto"/>
              <w:highlight w:val="none"/>
            </w:rPr>
            <w:instrText xml:space="preserve"> HYPERLINK \l "_Toc116946287" \o "#_Toc116946287" </w:instrText>
          </w:r>
          <w:r>
            <w:rPr>
              <w:color w:val="auto"/>
              <w:highlight w:val="none"/>
            </w:rPr>
            <w:fldChar w:fldCharType="separate"/>
          </w:r>
          <w:r>
            <w:rPr>
              <w:rStyle w:val="76"/>
              <w:rFonts w:hint="eastAsia" w:ascii="宋体" w:hAnsi="宋体" w:cs="宋体"/>
              <w:b/>
              <w:bCs/>
              <w:color w:val="auto"/>
              <w:sz w:val="28"/>
              <w:szCs w:val="36"/>
              <w:highlight w:val="none"/>
            </w:rPr>
            <w:t>二．投标供应商须知</w:t>
          </w:r>
          <w:r>
            <w:rPr>
              <w:rFonts w:hint="eastAsia" w:ascii="宋体" w:hAnsi="宋体" w:cs="宋体"/>
              <w:b/>
              <w:bCs/>
              <w:color w:val="auto"/>
              <w:sz w:val="28"/>
              <w:szCs w:val="36"/>
              <w:highlight w:val="none"/>
            </w:rPr>
            <w:tab/>
          </w:r>
          <w:r>
            <w:rPr>
              <w:rFonts w:hint="eastAsia" w:ascii="宋体" w:hAnsi="宋体" w:cs="宋体"/>
              <w:b/>
              <w:bCs/>
              <w:color w:val="auto"/>
              <w:sz w:val="28"/>
              <w:szCs w:val="36"/>
              <w:highlight w:val="none"/>
            </w:rPr>
            <w:t>8</w:t>
          </w:r>
          <w:r>
            <w:rPr>
              <w:rFonts w:hint="eastAsia" w:ascii="宋体" w:hAnsi="宋体" w:cs="宋体"/>
              <w:b/>
              <w:bCs/>
              <w:color w:val="auto"/>
              <w:sz w:val="28"/>
              <w:szCs w:val="36"/>
              <w:highlight w:val="none"/>
            </w:rPr>
            <w:fldChar w:fldCharType="end"/>
          </w:r>
        </w:p>
        <w:p w14:paraId="05F1C202">
          <w:pPr>
            <w:pStyle w:val="44"/>
            <w:tabs>
              <w:tab w:val="right" w:leader="dot" w:pos="9736"/>
            </w:tabs>
            <w:spacing w:after="240" w:line="360" w:lineRule="auto"/>
            <w:rPr>
              <w:rFonts w:ascii="宋体" w:hAnsi="宋体" w:cs="宋体"/>
              <w:b/>
              <w:bCs/>
              <w:color w:val="auto"/>
              <w:sz w:val="28"/>
              <w:szCs w:val="32"/>
              <w:highlight w:val="none"/>
            </w:rPr>
          </w:pPr>
          <w:r>
            <w:rPr>
              <w:color w:val="auto"/>
              <w:highlight w:val="none"/>
            </w:rPr>
            <w:fldChar w:fldCharType="begin"/>
          </w:r>
          <w:r>
            <w:rPr>
              <w:color w:val="auto"/>
              <w:highlight w:val="none"/>
            </w:rPr>
            <w:instrText xml:space="preserve"> HYPERLINK \l "_Toc116946326" \o "#_Toc116946326" </w:instrText>
          </w:r>
          <w:r>
            <w:rPr>
              <w:color w:val="auto"/>
              <w:highlight w:val="none"/>
            </w:rPr>
            <w:fldChar w:fldCharType="separate"/>
          </w:r>
          <w:r>
            <w:rPr>
              <w:rStyle w:val="76"/>
              <w:rFonts w:hint="eastAsia" w:ascii="宋体" w:hAnsi="宋体" w:cs="宋体"/>
              <w:b/>
              <w:bCs/>
              <w:color w:val="auto"/>
              <w:sz w:val="28"/>
              <w:szCs w:val="36"/>
              <w:highlight w:val="none"/>
              <w:lang w:val="zh-CN"/>
            </w:rPr>
            <w:t>三．采购需求</w:t>
          </w:r>
          <w:r>
            <w:rPr>
              <w:rFonts w:hint="eastAsia" w:ascii="宋体" w:hAnsi="宋体" w:cs="宋体"/>
              <w:b/>
              <w:bCs/>
              <w:color w:val="auto"/>
              <w:sz w:val="28"/>
              <w:szCs w:val="36"/>
              <w:highlight w:val="none"/>
            </w:rPr>
            <w:tab/>
          </w:r>
          <w:r>
            <w:rPr>
              <w:rFonts w:hint="eastAsia" w:ascii="宋体" w:hAnsi="宋体" w:cs="宋体"/>
              <w:b/>
              <w:bCs/>
              <w:color w:val="auto"/>
              <w:sz w:val="28"/>
              <w:szCs w:val="36"/>
              <w:highlight w:val="none"/>
            </w:rPr>
            <w:t>3</w:t>
          </w:r>
          <w:r>
            <w:rPr>
              <w:rFonts w:hint="eastAsia" w:ascii="宋体" w:hAnsi="宋体" w:cs="宋体"/>
              <w:b/>
              <w:bCs/>
              <w:color w:val="auto"/>
              <w:sz w:val="28"/>
              <w:szCs w:val="36"/>
              <w:highlight w:val="none"/>
            </w:rPr>
            <w:fldChar w:fldCharType="end"/>
          </w:r>
          <w:r>
            <w:rPr>
              <w:rFonts w:hint="eastAsia" w:ascii="宋体" w:hAnsi="宋体" w:cs="宋体"/>
              <w:b/>
              <w:bCs/>
              <w:color w:val="auto"/>
              <w:sz w:val="28"/>
              <w:szCs w:val="36"/>
              <w:highlight w:val="none"/>
            </w:rPr>
            <w:t>6</w:t>
          </w:r>
        </w:p>
        <w:p w14:paraId="26AC8106">
          <w:pPr>
            <w:pStyle w:val="44"/>
            <w:tabs>
              <w:tab w:val="right" w:leader="dot" w:pos="9736"/>
            </w:tabs>
            <w:spacing w:after="240" w:line="360" w:lineRule="auto"/>
            <w:rPr>
              <w:rFonts w:ascii="宋体" w:hAnsi="宋体" w:cs="宋体"/>
              <w:b/>
              <w:bCs/>
              <w:color w:val="auto"/>
              <w:sz w:val="28"/>
              <w:szCs w:val="32"/>
              <w:highlight w:val="none"/>
            </w:rPr>
          </w:pPr>
          <w:r>
            <w:rPr>
              <w:color w:val="auto"/>
              <w:highlight w:val="none"/>
            </w:rPr>
            <w:fldChar w:fldCharType="begin"/>
          </w:r>
          <w:r>
            <w:rPr>
              <w:color w:val="auto"/>
              <w:highlight w:val="none"/>
            </w:rPr>
            <w:instrText xml:space="preserve"> HYPERLINK \l "_Toc116946342" \o "#_Toc116946342" </w:instrText>
          </w:r>
          <w:r>
            <w:rPr>
              <w:color w:val="auto"/>
              <w:highlight w:val="none"/>
            </w:rPr>
            <w:fldChar w:fldCharType="separate"/>
          </w:r>
          <w:r>
            <w:rPr>
              <w:rStyle w:val="76"/>
              <w:rFonts w:hint="eastAsia" w:ascii="宋体" w:hAnsi="宋体" w:cs="宋体"/>
              <w:b/>
              <w:bCs/>
              <w:color w:val="auto"/>
              <w:sz w:val="28"/>
              <w:szCs w:val="36"/>
              <w:highlight w:val="none"/>
              <w:lang w:val="zh-CN"/>
            </w:rPr>
            <w:t>四．合同条款及格式</w:t>
          </w:r>
          <w:r>
            <w:rPr>
              <w:rFonts w:hint="eastAsia" w:ascii="宋体" w:hAnsi="宋体" w:cs="宋体"/>
              <w:b/>
              <w:bCs/>
              <w:color w:val="auto"/>
              <w:sz w:val="28"/>
              <w:szCs w:val="36"/>
              <w:highlight w:val="none"/>
            </w:rPr>
            <w:tab/>
          </w:r>
          <w:r>
            <w:rPr>
              <w:rFonts w:hint="eastAsia" w:ascii="宋体" w:hAnsi="宋体" w:cs="宋体"/>
              <w:b/>
              <w:bCs/>
              <w:color w:val="auto"/>
              <w:sz w:val="28"/>
              <w:szCs w:val="36"/>
              <w:highlight w:val="none"/>
            </w:rPr>
            <w:t>5</w:t>
          </w:r>
          <w:r>
            <w:rPr>
              <w:rFonts w:hint="eastAsia" w:ascii="宋体" w:hAnsi="宋体" w:cs="宋体"/>
              <w:b/>
              <w:bCs/>
              <w:color w:val="auto"/>
              <w:sz w:val="28"/>
              <w:szCs w:val="36"/>
              <w:highlight w:val="none"/>
            </w:rPr>
            <w:fldChar w:fldCharType="end"/>
          </w:r>
          <w:r>
            <w:rPr>
              <w:rFonts w:hint="eastAsia" w:ascii="宋体" w:hAnsi="宋体" w:cs="宋体"/>
              <w:b/>
              <w:bCs/>
              <w:color w:val="auto"/>
              <w:sz w:val="28"/>
              <w:szCs w:val="36"/>
              <w:highlight w:val="none"/>
            </w:rPr>
            <w:t>1</w:t>
          </w:r>
        </w:p>
        <w:p w14:paraId="42DE82CB">
          <w:pPr>
            <w:pStyle w:val="44"/>
            <w:tabs>
              <w:tab w:val="right" w:leader="dot" w:pos="9742"/>
            </w:tabs>
            <w:spacing w:after="240" w:line="360" w:lineRule="auto"/>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"_Toc116946344" \o "#_Toc116946344" </w:instrText>
          </w:r>
          <w:r>
            <w:rPr>
              <w:color w:val="auto"/>
              <w:highlight w:val="none"/>
            </w:rPr>
            <w:fldChar w:fldCharType="separate"/>
          </w:r>
          <w:r>
            <w:rPr>
              <w:rStyle w:val="76"/>
              <w:rFonts w:hint="eastAsia" w:ascii="宋体" w:hAnsi="宋体" w:cs="宋体"/>
              <w:b/>
              <w:bCs/>
              <w:color w:val="auto"/>
              <w:sz w:val="28"/>
              <w:szCs w:val="36"/>
              <w:highlight w:val="none"/>
            </w:rPr>
            <w:t>五. 附件</w:t>
          </w:r>
          <w:r>
            <w:rPr>
              <w:rFonts w:hint="eastAsia" w:ascii="宋体" w:hAnsi="宋体" w:cs="宋体"/>
              <w:b/>
              <w:bCs/>
              <w:color w:val="auto"/>
              <w:sz w:val="28"/>
              <w:szCs w:val="36"/>
              <w:highlight w:val="none"/>
            </w:rPr>
            <w:tab/>
          </w:r>
          <w:r>
            <w:rPr>
              <w:rFonts w:hint="eastAsia" w:ascii="宋体" w:hAnsi="宋体" w:cs="宋体"/>
              <w:b/>
              <w:bCs/>
              <w:color w:val="auto"/>
              <w:sz w:val="28"/>
              <w:szCs w:val="36"/>
              <w:highlight w:val="none"/>
            </w:rPr>
            <w:t>6</w:t>
          </w:r>
          <w:r>
            <w:rPr>
              <w:rFonts w:hint="eastAsia" w:ascii="宋体" w:hAnsi="宋体" w:cs="宋体"/>
              <w:b/>
              <w:bCs/>
              <w:color w:val="auto"/>
              <w:sz w:val="28"/>
              <w:szCs w:val="36"/>
              <w:highlight w:val="none"/>
            </w:rPr>
            <w:fldChar w:fldCharType="end"/>
          </w:r>
          <w:r>
            <w:rPr>
              <w:rFonts w:hint="eastAsia" w:ascii="宋体" w:hAnsi="宋体" w:cs="宋体"/>
              <w:b/>
              <w:bCs/>
              <w:color w:val="auto"/>
              <w:sz w:val="52"/>
              <w:szCs w:val="72"/>
              <w:highlight w:val="none"/>
              <w:lang w:val="zh-CN"/>
            </w:rPr>
            <w:fldChar w:fldCharType="end"/>
          </w:r>
          <w:r>
            <w:rPr>
              <w:rFonts w:hint="eastAsia" w:ascii="宋体" w:hAnsi="宋体" w:cs="宋体"/>
              <w:b/>
              <w:bCs/>
              <w:color w:val="auto"/>
              <w:sz w:val="28"/>
              <w:szCs w:val="40"/>
              <w:highlight w:val="none"/>
            </w:rPr>
            <w:t>1</w:t>
          </w:r>
        </w:p>
      </w:sdtContent>
    </w:sdt>
    <w:p w14:paraId="6D4C87C0">
      <w:pPr>
        <w:spacing w:line="360" w:lineRule="auto"/>
        <w:rPr>
          <w:rFonts w:ascii="宋体" w:hAnsi="宋体"/>
          <w:bCs/>
          <w:color w:val="auto"/>
          <w:sz w:val="28"/>
          <w:highlight w:val="none"/>
        </w:rPr>
      </w:pPr>
    </w:p>
    <w:p w14:paraId="2C00C112">
      <w:pPr>
        <w:spacing w:line="360" w:lineRule="auto"/>
        <w:rPr>
          <w:rFonts w:ascii="宋体" w:hAnsi="宋体"/>
          <w:bCs/>
          <w:color w:val="auto"/>
          <w:sz w:val="28"/>
          <w:highlight w:val="none"/>
        </w:rPr>
      </w:pPr>
    </w:p>
    <w:p w14:paraId="33FB8DCE">
      <w:pPr>
        <w:spacing w:line="360" w:lineRule="auto"/>
        <w:rPr>
          <w:rFonts w:ascii="宋体" w:hAnsi="宋体"/>
          <w:bCs/>
          <w:color w:val="auto"/>
          <w:sz w:val="28"/>
          <w:highlight w:val="none"/>
        </w:rPr>
      </w:pPr>
    </w:p>
    <w:p w14:paraId="547BEF80">
      <w:pPr>
        <w:tabs>
          <w:tab w:val="left" w:pos="8920"/>
        </w:tabs>
        <w:spacing w:line="360" w:lineRule="auto"/>
        <w:rPr>
          <w:rFonts w:ascii="宋体" w:hAnsi="宋体"/>
          <w:bCs/>
          <w:color w:val="auto"/>
          <w:sz w:val="32"/>
          <w:highlight w:val="none"/>
        </w:rPr>
      </w:pPr>
      <w:r>
        <w:rPr>
          <w:rFonts w:hint="eastAsia" w:ascii="宋体" w:hAnsi="宋体"/>
          <w:bCs/>
          <w:color w:val="auto"/>
          <w:sz w:val="32"/>
          <w:highlight w:val="none"/>
        </w:rPr>
        <w:tab/>
      </w:r>
    </w:p>
    <w:p w14:paraId="319FEF45">
      <w:pPr>
        <w:spacing w:line="360" w:lineRule="auto"/>
        <w:rPr>
          <w:rFonts w:ascii="宋体" w:hAnsi="宋体"/>
          <w:bCs/>
          <w:color w:val="auto"/>
          <w:sz w:val="32"/>
          <w:highlight w:val="none"/>
        </w:rPr>
      </w:pPr>
    </w:p>
    <w:p w14:paraId="5FAB07E0">
      <w:pPr>
        <w:spacing w:line="360" w:lineRule="auto"/>
        <w:rPr>
          <w:rFonts w:ascii="宋体" w:hAnsi="宋体"/>
          <w:bCs/>
          <w:color w:val="auto"/>
          <w:sz w:val="32"/>
          <w:highlight w:val="none"/>
        </w:rPr>
      </w:pPr>
    </w:p>
    <w:p w14:paraId="3F5A0619">
      <w:pPr>
        <w:spacing w:line="360" w:lineRule="auto"/>
        <w:rPr>
          <w:rFonts w:ascii="宋体" w:hAnsi="宋体"/>
          <w:bCs/>
          <w:color w:val="auto"/>
          <w:sz w:val="32"/>
          <w:highlight w:val="none"/>
        </w:rPr>
      </w:pPr>
    </w:p>
    <w:p w14:paraId="7BA8D23B">
      <w:pPr>
        <w:spacing w:line="360" w:lineRule="auto"/>
        <w:rPr>
          <w:rFonts w:ascii="宋体" w:hAnsi="宋体"/>
          <w:bCs/>
          <w:color w:val="auto"/>
          <w:sz w:val="32"/>
          <w:highlight w:val="none"/>
        </w:rPr>
      </w:pPr>
    </w:p>
    <w:p w14:paraId="169629E2">
      <w:pPr>
        <w:spacing w:line="360" w:lineRule="auto"/>
        <w:rPr>
          <w:rFonts w:ascii="宋体" w:hAnsi="宋体"/>
          <w:bCs/>
          <w:color w:val="auto"/>
          <w:sz w:val="32"/>
          <w:highlight w:val="none"/>
        </w:rPr>
      </w:pPr>
    </w:p>
    <w:p w14:paraId="19D16DBD">
      <w:pPr>
        <w:pStyle w:val="63"/>
        <w:spacing w:before="0" w:line="360" w:lineRule="auto"/>
        <w:outlineLvl w:val="9"/>
        <w:rPr>
          <w:color w:val="auto"/>
          <w:highlight w:val="none"/>
        </w:rPr>
        <w:sectPr>
          <w:footerReference r:id="rId8" w:type="first"/>
          <w:footerReference r:id="rId7" w:type="default"/>
          <w:pgSz w:w="11906" w:h="16838"/>
          <w:pgMar w:top="1304" w:right="1304" w:bottom="1304" w:left="1304" w:header="624" w:footer="794" w:gutter="0"/>
          <w:pgBorders>
            <w:top w:val="none" w:sz="0" w:space="0"/>
            <w:left w:val="none" w:sz="0" w:space="0"/>
            <w:bottom w:val="none" w:sz="0" w:space="0"/>
            <w:right w:val="none" w:sz="0" w:space="0"/>
          </w:pgBorders>
          <w:pgNumType w:fmt="decimal"/>
          <w:cols w:space="720" w:num="1"/>
          <w:docGrid w:linePitch="360" w:charSpace="0"/>
        </w:sectPr>
      </w:pPr>
      <w:bookmarkStart w:id="0" w:name="报价方须知前附表"/>
      <w:bookmarkEnd w:id="0"/>
      <w:bookmarkStart w:id="1" w:name="_Toc35780493"/>
      <w:bookmarkStart w:id="2" w:name="_Toc116946286"/>
    </w:p>
    <w:p w14:paraId="126BACB3">
      <w:pPr>
        <w:pStyle w:val="63"/>
        <w:spacing w:before="0" w:line="360" w:lineRule="auto"/>
        <w:rPr>
          <w:color w:val="auto"/>
          <w:highlight w:val="none"/>
        </w:rPr>
      </w:pPr>
      <w:r>
        <w:rPr>
          <w:rFonts w:hint="eastAsia"/>
          <w:color w:val="auto"/>
          <w:highlight w:val="none"/>
        </w:rPr>
        <w:t>一、投标邀请</w:t>
      </w:r>
      <w:bookmarkEnd w:id="1"/>
      <w:bookmarkEnd w:id="2"/>
    </w:p>
    <w:p w14:paraId="47CD1BFB">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江苏长卓项目管理咨询有限公司受无锡市惠山区阳山镇人民政府的委托，对2026-2027年度度假区(阳山镇)机关食堂外包服务项目进行公开招标采购，欢迎你单位参加投标并提请注意下列附表中的相关事项：</w:t>
      </w:r>
    </w:p>
    <w:tbl>
      <w:tblPr>
        <w:tblStyle w:val="67"/>
        <w:tblW w:w="94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8738"/>
      </w:tblGrid>
      <w:tr w14:paraId="64D09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tcPr>
          <w:p w14:paraId="22B73491">
            <w:pPr>
              <w:spacing w:line="360" w:lineRule="auto"/>
              <w:jc w:val="center"/>
              <w:rPr>
                <w:rFonts w:ascii="宋体" w:hAnsi="宋体"/>
                <w:b/>
                <w:color w:val="auto"/>
                <w:sz w:val="24"/>
                <w:szCs w:val="24"/>
                <w:highlight w:val="none"/>
              </w:rPr>
            </w:pPr>
            <w:r>
              <w:rPr>
                <w:rFonts w:hint="eastAsia" w:ascii="宋体" w:hAnsi="宋体"/>
                <w:b/>
                <w:color w:val="auto"/>
                <w:sz w:val="24"/>
                <w:szCs w:val="24"/>
                <w:highlight w:val="none"/>
              </w:rPr>
              <w:t>序号</w:t>
            </w:r>
          </w:p>
        </w:tc>
        <w:tc>
          <w:tcPr>
            <w:tcW w:w="8738" w:type="dxa"/>
          </w:tcPr>
          <w:p w14:paraId="696863FB">
            <w:pPr>
              <w:spacing w:line="360" w:lineRule="auto"/>
              <w:jc w:val="center"/>
              <w:rPr>
                <w:rFonts w:ascii="宋体" w:hAnsi="宋体"/>
                <w:b/>
                <w:color w:val="auto"/>
                <w:sz w:val="24"/>
                <w:szCs w:val="24"/>
                <w:highlight w:val="none"/>
              </w:rPr>
            </w:pPr>
            <w:r>
              <w:rPr>
                <w:rFonts w:hint="eastAsia" w:ascii="宋体" w:hAnsi="宋体"/>
                <w:b/>
                <w:color w:val="auto"/>
                <w:sz w:val="24"/>
                <w:szCs w:val="24"/>
                <w:highlight w:val="none"/>
              </w:rPr>
              <w:t>内    容</w:t>
            </w:r>
          </w:p>
        </w:tc>
      </w:tr>
      <w:tr w14:paraId="69506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35" w:type="dxa"/>
            <w:vAlign w:val="center"/>
          </w:tcPr>
          <w:p w14:paraId="30F34A79">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1</w:t>
            </w:r>
          </w:p>
        </w:tc>
        <w:tc>
          <w:tcPr>
            <w:tcW w:w="8738" w:type="dxa"/>
          </w:tcPr>
          <w:p w14:paraId="007CDEA0">
            <w:pPr>
              <w:numPr>
                <w:ilvl w:val="0"/>
                <w:numId w:val="6"/>
              </w:numPr>
              <w:spacing w:line="360" w:lineRule="auto"/>
              <w:rPr>
                <w:rFonts w:ascii="宋体" w:hAnsi="宋体"/>
                <w:bCs/>
                <w:color w:val="auto"/>
                <w:sz w:val="24"/>
                <w:szCs w:val="24"/>
                <w:highlight w:val="none"/>
              </w:rPr>
            </w:pPr>
            <w:r>
              <w:rPr>
                <w:rFonts w:hint="eastAsia" w:ascii="宋体" w:hAnsi="宋体"/>
                <w:b/>
                <w:color w:val="auto"/>
                <w:sz w:val="24"/>
                <w:szCs w:val="24"/>
                <w:highlight w:val="none"/>
              </w:rPr>
              <w:t>项目名称：</w:t>
            </w:r>
            <w:r>
              <w:rPr>
                <w:rFonts w:hint="eastAsia" w:ascii="宋体" w:hAnsi="宋体"/>
                <w:bCs/>
                <w:color w:val="auto"/>
                <w:sz w:val="24"/>
                <w:szCs w:val="24"/>
                <w:highlight w:val="none"/>
              </w:rPr>
              <w:t>2026-2027年度度假区(阳山镇)机关食堂外包服务项目</w:t>
            </w:r>
          </w:p>
          <w:p w14:paraId="51754B5C">
            <w:pPr>
              <w:spacing w:line="360" w:lineRule="auto"/>
              <w:rPr>
                <w:rFonts w:hint="eastAsia" w:ascii="宋体" w:hAnsi="宋体" w:eastAsia="宋体"/>
                <w:bCs/>
                <w:color w:val="auto"/>
                <w:sz w:val="24"/>
                <w:szCs w:val="24"/>
                <w:highlight w:val="none"/>
                <w:lang w:eastAsia="zh-CN"/>
              </w:rPr>
            </w:pPr>
            <w:r>
              <w:rPr>
                <w:rFonts w:hint="eastAsia" w:ascii="宋体" w:hAnsi="宋体"/>
                <w:b/>
                <w:color w:val="auto"/>
                <w:sz w:val="24"/>
                <w:szCs w:val="24"/>
                <w:highlight w:val="none"/>
              </w:rPr>
              <w:t>2</w:t>
            </w:r>
            <w:r>
              <w:rPr>
                <w:rFonts w:ascii="宋体" w:hAnsi="宋体"/>
                <w:b/>
                <w:color w:val="auto"/>
                <w:sz w:val="24"/>
                <w:szCs w:val="24"/>
                <w:highlight w:val="none"/>
              </w:rPr>
              <w:t>.</w:t>
            </w:r>
            <w:r>
              <w:rPr>
                <w:rFonts w:hint="eastAsia" w:ascii="宋体" w:hAnsi="宋体"/>
                <w:b/>
                <w:color w:val="auto"/>
                <w:sz w:val="24"/>
                <w:szCs w:val="24"/>
                <w:highlight w:val="none"/>
              </w:rPr>
              <w:t>采购项目编号：</w:t>
            </w:r>
            <w:r>
              <w:rPr>
                <w:rFonts w:hint="eastAsia" w:ascii="宋体" w:hAnsi="宋体"/>
                <w:b/>
                <w:color w:val="auto"/>
                <w:sz w:val="24"/>
                <w:szCs w:val="24"/>
                <w:highlight w:val="none"/>
                <w:lang w:eastAsia="zh-CN"/>
              </w:rPr>
              <w:t>JSZC-320206-JXCZ-G2026-0004</w:t>
            </w:r>
          </w:p>
          <w:p w14:paraId="1BD8DAD9">
            <w:pPr>
              <w:spacing w:line="360" w:lineRule="auto"/>
              <w:rPr>
                <w:rFonts w:ascii="宋体" w:hAnsi="宋体"/>
                <w:bCs/>
                <w:color w:val="auto"/>
                <w:sz w:val="24"/>
                <w:szCs w:val="24"/>
                <w:highlight w:val="none"/>
              </w:rPr>
            </w:pPr>
            <w:r>
              <w:rPr>
                <w:rFonts w:ascii="宋体" w:hAnsi="宋体"/>
                <w:b/>
                <w:color w:val="auto"/>
                <w:sz w:val="24"/>
                <w:szCs w:val="24"/>
                <w:highlight w:val="none"/>
              </w:rPr>
              <w:t>3</w:t>
            </w:r>
            <w:r>
              <w:rPr>
                <w:rFonts w:hint="eastAsia" w:ascii="宋体" w:hAnsi="宋体"/>
                <w:b/>
                <w:color w:val="auto"/>
                <w:sz w:val="24"/>
                <w:szCs w:val="24"/>
                <w:highlight w:val="none"/>
              </w:rPr>
              <w:t>.采购方式：</w:t>
            </w:r>
            <w:r>
              <w:rPr>
                <w:rFonts w:hint="eastAsia" w:ascii="宋体" w:hAnsi="宋体"/>
                <w:bCs/>
                <w:color w:val="auto"/>
                <w:sz w:val="24"/>
                <w:szCs w:val="24"/>
                <w:highlight w:val="none"/>
              </w:rPr>
              <w:t>公开招标</w:t>
            </w:r>
          </w:p>
        </w:tc>
      </w:tr>
      <w:tr w14:paraId="03369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5" w:type="dxa"/>
            <w:vAlign w:val="center"/>
          </w:tcPr>
          <w:p w14:paraId="4DA38384">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2</w:t>
            </w:r>
          </w:p>
        </w:tc>
        <w:tc>
          <w:tcPr>
            <w:tcW w:w="8738" w:type="dxa"/>
            <w:tcBorders>
              <w:bottom w:val="single" w:color="auto" w:sz="4" w:space="0"/>
            </w:tcBorders>
          </w:tcPr>
          <w:p w14:paraId="14F9441C">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采购项目概况、说明：</w:t>
            </w:r>
          </w:p>
          <w:p w14:paraId="39B6A1E4">
            <w:pPr>
              <w:spacing w:line="360" w:lineRule="auto"/>
              <w:ind w:firstLine="480"/>
              <w:rPr>
                <w:rFonts w:ascii="宋体" w:hAnsi="宋体"/>
                <w:bCs/>
                <w:color w:val="auto"/>
                <w:sz w:val="24"/>
                <w:szCs w:val="24"/>
                <w:highlight w:val="none"/>
              </w:rPr>
            </w:pPr>
            <w:bookmarkStart w:id="3" w:name="_Hlk47623091"/>
            <w:r>
              <w:rPr>
                <w:rFonts w:hint="eastAsia" w:ascii="宋体" w:hAnsi="宋体"/>
                <w:b/>
                <w:bCs/>
                <w:color w:val="auto"/>
                <w:sz w:val="24"/>
                <w:szCs w:val="24"/>
                <w:highlight w:val="none"/>
              </w:rPr>
              <w:t>1</w:t>
            </w:r>
            <w:bookmarkEnd w:id="3"/>
            <w:r>
              <w:rPr>
                <w:rFonts w:ascii="宋体" w:hAnsi="宋体"/>
                <w:b/>
                <w:bCs/>
                <w:color w:val="auto"/>
                <w:sz w:val="24"/>
                <w:szCs w:val="24"/>
                <w:highlight w:val="none"/>
              </w:rPr>
              <w:t>.</w:t>
            </w:r>
            <w:bookmarkStart w:id="4" w:name="_Hlk148734490"/>
            <w:r>
              <w:rPr>
                <w:rFonts w:hint="eastAsia" w:ascii="宋体" w:hAnsi="宋体"/>
                <w:b/>
                <w:bCs/>
                <w:color w:val="auto"/>
                <w:sz w:val="24"/>
                <w:szCs w:val="24"/>
                <w:highlight w:val="none"/>
              </w:rPr>
              <w:t>项目概况：</w:t>
            </w:r>
            <w:r>
              <w:rPr>
                <w:rFonts w:hint="eastAsia" w:ascii="宋体" w:hAnsi="宋体"/>
                <w:bCs/>
                <w:color w:val="auto"/>
                <w:sz w:val="24"/>
                <w:szCs w:val="24"/>
                <w:highlight w:val="none"/>
              </w:rPr>
              <w:t>本项目为2026-2027年度度假区(阳山镇)机关食堂外包服务，项目地点位于无锡市阳山镇政府机关食堂，服务内容包括但不限于食堂运营及管理、食材采购及配送、以及其他相关配套服务；阳山镇政府员工数量约400人左右，用餐人数：早餐100人、午餐400人，晚餐（备桌）约15人，周末及法定节假日每天约10人用餐，另有访客工作餐需求。具体内容及要求详见招标文件“三.采购需求”。</w:t>
            </w:r>
          </w:p>
          <w:p w14:paraId="2E6D78C1">
            <w:pPr>
              <w:spacing w:line="360" w:lineRule="auto"/>
              <w:ind w:firstLine="482"/>
              <w:rPr>
                <w:rFonts w:ascii="宋体" w:hAnsi="宋体"/>
                <w:b/>
                <w:color w:val="auto"/>
                <w:sz w:val="24"/>
                <w:szCs w:val="24"/>
                <w:highlight w:val="none"/>
              </w:rPr>
            </w:pPr>
            <w:r>
              <w:rPr>
                <w:rFonts w:hint="eastAsia" w:ascii="宋体" w:hAnsi="宋体"/>
                <w:b/>
                <w:color w:val="auto"/>
                <w:sz w:val="24"/>
                <w:szCs w:val="24"/>
                <w:highlight w:val="none"/>
              </w:rPr>
              <w:t>2.采购预算金额：7896144.00元/两年</w:t>
            </w:r>
            <w:r>
              <w:rPr>
                <w:rFonts w:hint="eastAsia" w:ascii="宋体" w:hAnsi="宋体"/>
                <w:bCs/>
                <w:color w:val="auto"/>
                <w:sz w:val="24"/>
                <w:szCs w:val="24"/>
                <w:highlight w:val="none"/>
              </w:rPr>
              <w:t>。</w:t>
            </w:r>
          </w:p>
          <w:p w14:paraId="38BE3E2F">
            <w:pPr>
              <w:spacing w:line="360" w:lineRule="auto"/>
              <w:ind w:firstLine="482"/>
              <w:rPr>
                <w:rFonts w:ascii="宋体" w:hAnsi="宋体"/>
                <w:b/>
                <w:color w:val="auto"/>
                <w:sz w:val="24"/>
                <w:szCs w:val="24"/>
                <w:highlight w:val="none"/>
              </w:rPr>
            </w:pPr>
            <w:r>
              <w:rPr>
                <w:rFonts w:hint="eastAsia" w:ascii="宋体" w:hAnsi="宋体"/>
                <w:b/>
                <w:color w:val="auto"/>
                <w:sz w:val="24"/>
                <w:szCs w:val="24"/>
                <w:highlight w:val="none"/>
              </w:rPr>
              <w:t>3.最高限价：7896144.00元/两年，其中：食堂运营及管理费用最高限价为2819184.00元/两年；食材采购及配送费用</w:t>
            </w:r>
            <w:r>
              <w:rPr>
                <w:rFonts w:hint="eastAsia" w:ascii="宋体" w:hAnsi="宋体"/>
                <w:b/>
                <w:color w:val="auto"/>
                <w:sz w:val="24"/>
                <w:szCs w:val="24"/>
                <w:highlight w:val="none"/>
                <w:lang w:val="en-US" w:eastAsia="zh-CN"/>
              </w:rPr>
              <w:t>为</w:t>
            </w:r>
            <w:r>
              <w:rPr>
                <w:rFonts w:hint="eastAsia" w:ascii="宋体" w:hAnsi="宋体"/>
                <w:b/>
                <w:color w:val="auto"/>
                <w:sz w:val="24"/>
                <w:szCs w:val="24"/>
                <w:highlight w:val="none"/>
              </w:rPr>
              <w:t>5076960.00元/两年，该部分为不可竞争费用，采用固定金额及对应固定折扣率，即食材采购及配送费用</w:t>
            </w:r>
            <w:r>
              <w:rPr>
                <w:rFonts w:hint="eastAsia" w:ascii="宋体" w:hAnsi="宋体"/>
                <w:b/>
                <w:color w:val="auto"/>
                <w:sz w:val="24"/>
                <w:szCs w:val="24"/>
                <w:highlight w:val="none"/>
                <w:lang w:val="en-US" w:eastAsia="zh-CN"/>
              </w:rPr>
              <w:t>为</w:t>
            </w:r>
            <w:r>
              <w:rPr>
                <w:rFonts w:hint="eastAsia" w:ascii="宋体" w:hAnsi="宋体"/>
                <w:b/>
                <w:color w:val="auto"/>
                <w:sz w:val="24"/>
                <w:szCs w:val="24"/>
                <w:highlight w:val="none"/>
              </w:rPr>
              <w:t>5076960.00元/两年</w:t>
            </w:r>
            <w:r>
              <w:rPr>
                <w:rFonts w:hint="eastAsia" w:ascii="宋体" w:hAnsi="宋体"/>
                <w:b/>
                <w:color w:val="auto"/>
                <w:sz w:val="24"/>
                <w:szCs w:val="24"/>
                <w:highlight w:val="none"/>
                <w:lang w:eastAsia="zh-CN"/>
              </w:rPr>
              <w:t>，</w:t>
            </w:r>
            <w:r>
              <w:rPr>
                <w:rFonts w:hint="eastAsia" w:ascii="宋体" w:hAnsi="宋体"/>
                <w:b/>
                <w:color w:val="auto"/>
                <w:sz w:val="24"/>
                <w:szCs w:val="24"/>
                <w:highlight w:val="none"/>
              </w:rPr>
              <w:t>对应固定折扣率为85%，投标供应商不得调整；</w:t>
            </w:r>
          </w:p>
          <w:p w14:paraId="75646225">
            <w:pPr>
              <w:spacing w:line="360" w:lineRule="auto"/>
              <w:ind w:firstLine="482" w:firstLineChars="200"/>
              <w:rPr>
                <w:rFonts w:ascii="宋体" w:hAnsi="宋体"/>
                <w:b/>
                <w:color w:val="auto"/>
                <w:sz w:val="24"/>
                <w:szCs w:val="24"/>
                <w:highlight w:val="none"/>
              </w:rPr>
            </w:pPr>
            <w:r>
              <w:rPr>
                <w:rFonts w:hint="eastAsia" w:ascii="宋体" w:hAnsi="宋体"/>
                <w:b/>
                <w:color w:val="auto"/>
                <w:sz w:val="24"/>
                <w:szCs w:val="24"/>
                <w:highlight w:val="none"/>
              </w:rPr>
              <w:t>注：供应商投标报价不得超过食堂运营及管理费用最高限价；食材采购及配送费用须按给定金额（折扣率）填报，不得调整；否则按无效标处理。</w:t>
            </w:r>
          </w:p>
          <w:p w14:paraId="271613D0">
            <w:pPr>
              <w:spacing w:line="360" w:lineRule="auto"/>
              <w:ind w:firstLine="482"/>
              <w:rPr>
                <w:rFonts w:ascii="宋体" w:hAnsi="宋体"/>
                <w:bCs/>
                <w:color w:val="auto"/>
                <w:sz w:val="24"/>
                <w:szCs w:val="24"/>
                <w:highlight w:val="none"/>
              </w:rPr>
            </w:pPr>
            <w:r>
              <w:rPr>
                <w:rFonts w:hint="eastAsia" w:ascii="宋体" w:hAnsi="宋体"/>
                <w:b/>
                <w:color w:val="auto"/>
                <w:sz w:val="24"/>
                <w:szCs w:val="24"/>
                <w:highlight w:val="none"/>
              </w:rPr>
              <w:t>4.服务期：</w:t>
            </w:r>
            <w:r>
              <w:rPr>
                <w:rFonts w:hint="eastAsia" w:ascii="宋体" w:hAnsi="宋体"/>
                <w:bCs/>
                <w:color w:val="auto"/>
                <w:sz w:val="24"/>
                <w:szCs w:val="24"/>
                <w:highlight w:val="none"/>
              </w:rPr>
              <w:t xml:space="preserve">自合同签订之日起两年（具体起始日期以采购人通知为准）。合同一年一签订，合同履约期内，须严格遵守采购人的考核标准，如考核评价未达到采购人要求，采购人有权无条件单方面终止合同。 </w:t>
            </w:r>
          </w:p>
          <w:p w14:paraId="1502DB78">
            <w:pPr>
              <w:spacing w:line="360" w:lineRule="auto"/>
              <w:ind w:firstLine="472"/>
              <w:rPr>
                <w:rFonts w:ascii="宋体" w:hAnsi="宋体"/>
                <w:bCs/>
                <w:color w:val="auto"/>
                <w:sz w:val="24"/>
                <w:szCs w:val="24"/>
                <w:highlight w:val="none"/>
              </w:rPr>
            </w:pPr>
            <w:r>
              <w:rPr>
                <w:rFonts w:hint="eastAsia" w:ascii="宋体" w:hAnsi="宋体"/>
                <w:b/>
                <w:color w:val="auto"/>
                <w:sz w:val="24"/>
                <w:szCs w:val="24"/>
                <w:highlight w:val="none"/>
              </w:rPr>
              <w:t>5</w:t>
            </w:r>
            <w:r>
              <w:rPr>
                <w:rFonts w:ascii="宋体" w:hAnsi="宋体"/>
                <w:b/>
                <w:color w:val="auto"/>
                <w:sz w:val="24"/>
                <w:szCs w:val="24"/>
                <w:highlight w:val="none"/>
              </w:rPr>
              <w:t>.</w:t>
            </w:r>
            <w:r>
              <w:rPr>
                <w:rFonts w:hint="eastAsia" w:ascii="宋体" w:hAnsi="宋体"/>
                <w:b/>
                <w:color w:val="auto"/>
                <w:sz w:val="24"/>
                <w:szCs w:val="24"/>
                <w:highlight w:val="none"/>
              </w:rPr>
              <w:t>质量要求：</w:t>
            </w:r>
            <w:r>
              <w:rPr>
                <w:rFonts w:hint="eastAsia" w:ascii="宋体" w:hAnsi="宋体"/>
                <w:bCs/>
                <w:color w:val="auto"/>
                <w:sz w:val="24"/>
                <w:szCs w:val="24"/>
                <w:highlight w:val="none"/>
              </w:rPr>
              <w:t>所供食材符合国家相关食品安全卫生标准；运营及管理服务达到采购人要求。</w:t>
            </w:r>
            <w:bookmarkEnd w:id="4"/>
          </w:p>
          <w:p w14:paraId="29AA5A52">
            <w:pPr>
              <w:spacing w:line="360" w:lineRule="auto"/>
              <w:ind w:firstLine="472"/>
              <w:rPr>
                <w:rFonts w:ascii="宋体" w:hAnsi="宋体"/>
                <w:bCs/>
                <w:color w:val="auto"/>
                <w:sz w:val="24"/>
                <w:szCs w:val="24"/>
                <w:highlight w:val="none"/>
              </w:rPr>
            </w:pPr>
            <w:r>
              <w:rPr>
                <w:rFonts w:hint="eastAsia" w:ascii="宋体" w:hAnsi="宋体"/>
                <w:b/>
                <w:color w:val="auto"/>
                <w:sz w:val="24"/>
                <w:szCs w:val="24"/>
                <w:highlight w:val="none"/>
              </w:rPr>
              <w:t>6.验收标准：</w:t>
            </w:r>
            <w:r>
              <w:rPr>
                <w:rFonts w:hint="eastAsia" w:ascii="宋体" w:hAnsi="宋体" w:cs="宋体"/>
                <w:color w:val="auto"/>
                <w:sz w:val="24"/>
                <w:szCs w:val="24"/>
                <w:highlight w:val="none"/>
              </w:rPr>
              <w:t>按招标文件要求进行验收，中标供应商须无条件配合。</w:t>
            </w:r>
          </w:p>
          <w:p w14:paraId="0757B975">
            <w:pPr>
              <w:spacing w:line="360" w:lineRule="auto"/>
              <w:ind w:firstLine="482"/>
              <w:rPr>
                <w:rFonts w:ascii="宋体" w:hAnsi="宋体"/>
                <w:bCs/>
                <w:color w:val="auto"/>
                <w:sz w:val="24"/>
                <w:szCs w:val="24"/>
                <w:highlight w:val="none"/>
              </w:rPr>
            </w:pPr>
            <w:r>
              <w:rPr>
                <w:rFonts w:hint="eastAsia" w:ascii="宋体" w:hAnsi="宋体"/>
                <w:b/>
                <w:bCs/>
                <w:color w:val="auto"/>
                <w:sz w:val="24"/>
                <w:szCs w:val="24"/>
                <w:highlight w:val="none"/>
              </w:rPr>
              <w:t>7</w:t>
            </w:r>
            <w:r>
              <w:rPr>
                <w:rFonts w:ascii="宋体" w:hAnsi="宋体"/>
                <w:b/>
                <w:bCs/>
                <w:color w:val="auto"/>
                <w:sz w:val="24"/>
                <w:szCs w:val="24"/>
                <w:highlight w:val="none"/>
              </w:rPr>
              <w:t>.</w:t>
            </w:r>
            <w:r>
              <w:rPr>
                <w:rFonts w:hint="eastAsia" w:ascii="宋体" w:hAnsi="宋体"/>
                <w:b/>
                <w:bCs/>
                <w:color w:val="auto"/>
                <w:sz w:val="24"/>
                <w:szCs w:val="24"/>
                <w:highlight w:val="none"/>
              </w:rPr>
              <w:t>本项目是否专门面向中小企业（含监狱企业、残疾人福利性单位）采购：</w:t>
            </w:r>
            <w:r>
              <w:rPr>
                <w:rFonts w:hint="eastAsia" w:ascii="宋体" w:hAnsi="宋体"/>
                <w:color w:val="auto"/>
                <w:sz w:val="24"/>
                <w:szCs w:val="24"/>
                <w:highlight w:val="none"/>
              </w:rPr>
              <w:t>是。</w:t>
            </w:r>
          </w:p>
          <w:p w14:paraId="4B7283C9">
            <w:pPr>
              <w:spacing w:line="360" w:lineRule="auto"/>
              <w:ind w:firstLine="482"/>
              <w:rPr>
                <w:rFonts w:ascii="宋体" w:hAnsi="宋体"/>
                <w:bCs/>
                <w:color w:val="auto"/>
                <w:sz w:val="24"/>
                <w:szCs w:val="24"/>
                <w:highlight w:val="none"/>
              </w:rPr>
            </w:pPr>
            <w:r>
              <w:rPr>
                <w:rFonts w:hint="eastAsia" w:ascii="宋体" w:hAnsi="宋体"/>
                <w:b/>
                <w:bCs/>
                <w:color w:val="auto"/>
                <w:sz w:val="24"/>
                <w:szCs w:val="24"/>
                <w:highlight w:val="none"/>
              </w:rPr>
              <w:t>8</w:t>
            </w:r>
            <w:r>
              <w:rPr>
                <w:rFonts w:ascii="宋体" w:hAnsi="宋体"/>
                <w:b/>
                <w:bCs/>
                <w:color w:val="auto"/>
                <w:sz w:val="24"/>
                <w:szCs w:val="24"/>
                <w:highlight w:val="none"/>
              </w:rPr>
              <w:t>.</w:t>
            </w:r>
            <w:r>
              <w:rPr>
                <w:rFonts w:hint="eastAsia" w:ascii="宋体" w:hAnsi="宋体"/>
                <w:b/>
                <w:bCs/>
                <w:color w:val="auto"/>
                <w:sz w:val="24"/>
                <w:szCs w:val="24"/>
                <w:highlight w:val="none"/>
              </w:rPr>
              <w:t>本项目采购的标的对应的中小企业划分标准所属行业为：餐饮业。</w:t>
            </w:r>
            <w:r>
              <w:rPr>
                <w:rFonts w:hint="eastAsia" w:ascii="宋体" w:hAnsi="宋体"/>
                <w:color w:val="auto"/>
                <w:sz w:val="24"/>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tc>
      </w:tr>
      <w:tr w14:paraId="05FA0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61676381">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3</w:t>
            </w:r>
          </w:p>
        </w:tc>
        <w:tc>
          <w:tcPr>
            <w:tcW w:w="8738" w:type="dxa"/>
          </w:tcPr>
          <w:p w14:paraId="56612B66">
            <w:pPr>
              <w:spacing w:line="360" w:lineRule="auto"/>
              <w:rPr>
                <w:rFonts w:ascii="宋体" w:hAnsi="宋体"/>
                <w:bCs/>
                <w:color w:val="auto"/>
                <w:sz w:val="24"/>
                <w:szCs w:val="24"/>
                <w:highlight w:val="none"/>
              </w:rPr>
            </w:pPr>
            <w:r>
              <w:rPr>
                <w:rFonts w:hint="eastAsia" w:ascii="宋体" w:hAnsi="宋体"/>
                <w:b/>
                <w:bCs/>
                <w:color w:val="auto"/>
                <w:sz w:val="24"/>
                <w:szCs w:val="24"/>
                <w:highlight w:val="none"/>
              </w:rPr>
              <w:t>投标供应商资格要求</w:t>
            </w:r>
            <w:r>
              <w:rPr>
                <w:rFonts w:hint="eastAsia" w:ascii="宋体" w:hAnsi="宋体"/>
                <w:bCs/>
                <w:color w:val="auto"/>
                <w:sz w:val="24"/>
                <w:szCs w:val="24"/>
                <w:highlight w:val="none"/>
              </w:rPr>
              <w:t>：</w:t>
            </w:r>
          </w:p>
          <w:p w14:paraId="68CAC93C">
            <w:pPr>
              <w:spacing w:line="360" w:lineRule="auto"/>
              <w:ind w:firstLine="482"/>
              <w:rPr>
                <w:rFonts w:ascii="宋体" w:hAnsi="宋体" w:cs="Arial"/>
                <w:b/>
                <w:bCs/>
                <w:color w:val="auto"/>
                <w:sz w:val="24"/>
                <w:szCs w:val="21"/>
                <w:highlight w:val="none"/>
              </w:rPr>
            </w:pPr>
            <w:r>
              <w:rPr>
                <w:rFonts w:hint="eastAsia" w:ascii="宋体" w:hAnsi="宋体" w:cs="Arial"/>
                <w:b/>
                <w:bCs/>
                <w:color w:val="auto"/>
                <w:sz w:val="24"/>
                <w:szCs w:val="21"/>
                <w:highlight w:val="none"/>
              </w:rPr>
              <w:t>1.满足《中华人民共和国政府采购法》第二十二条规定：</w:t>
            </w:r>
          </w:p>
          <w:p w14:paraId="4696F330">
            <w:pPr>
              <w:spacing w:line="360" w:lineRule="auto"/>
              <w:ind w:firstLine="382"/>
              <w:rPr>
                <w:rFonts w:ascii="宋体" w:hAnsi="宋体" w:cs="宋体"/>
                <w:bCs/>
                <w:color w:val="auto"/>
                <w:sz w:val="24"/>
                <w:szCs w:val="24"/>
                <w:highlight w:val="none"/>
              </w:rPr>
            </w:pPr>
            <w:r>
              <w:rPr>
                <w:rFonts w:hint="eastAsia" w:ascii="宋体" w:hAnsi="宋体" w:cs="宋体"/>
                <w:bCs/>
                <w:color w:val="auto"/>
                <w:sz w:val="24"/>
                <w:szCs w:val="24"/>
                <w:highlight w:val="none"/>
              </w:rPr>
              <w:t>（1）具有独立承担民事责任的能力；[提供营业执照副本或事业单位法人证书或民办非企业单位登记证书或社会团体法人登记证书或基金会法人登记证书或其他组织的营业执照等证明文件]；</w:t>
            </w:r>
          </w:p>
          <w:p w14:paraId="27FC63F6">
            <w:pPr>
              <w:spacing w:line="360" w:lineRule="auto"/>
              <w:ind w:firstLine="382"/>
              <w:rPr>
                <w:rFonts w:ascii="宋体" w:hAnsi="宋体" w:cs="宋体"/>
                <w:bCs/>
                <w:color w:val="auto"/>
                <w:sz w:val="24"/>
                <w:szCs w:val="24"/>
                <w:highlight w:val="none"/>
              </w:rPr>
            </w:pPr>
            <w:r>
              <w:rPr>
                <w:rFonts w:hint="eastAsia" w:ascii="宋体" w:hAnsi="宋体" w:cs="宋体"/>
                <w:bCs/>
                <w:color w:val="auto"/>
                <w:sz w:val="24"/>
                <w:szCs w:val="24"/>
                <w:highlight w:val="none"/>
              </w:rPr>
              <w:t>（2）具有良好的商业信誉和健全的财务会计制度；[提供近三个月中任意一个月份（不含开标当月）的财务状况报告（资产负债表和利润表）或由会计师事务所出具的2025年度的财务审计报告原件扫描件并加盖公章或签电子公章]；</w:t>
            </w:r>
          </w:p>
          <w:p w14:paraId="1893A0F2">
            <w:pPr>
              <w:spacing w:line="360" w:lineRule="auto"/>
              <w:ind w:firstLine="382"/>
              <w:rPr>
                <w:rFonts w:ascii="宋体" w:hAnsi="宋体" w:cs="宋体"/>
                <w:bCs/>
                <w:color w:val="auto"/>
                <w:sz w:val="24"/>
                <w:szCs w:val="24"/>
                <w:highlight w:val="none"/>
              </w:rPr>
            </w:pPr>
            <w:r>
              <w:rPr>
                <w:rFonts w:hint="eastAsia" w:ascii="宋体" w:hAnsi="宋体" w:cs="宋体"/>
                <w:bCs/>
                <w:color w:val="auto"/>
                <w:sz w:val="24"/>
                <w:szCs w:val="24"/>
                <w:highlight w:val="none"/>
              </w:rPr>
              <w:t>（3）具有依法缴纳税收和社会保障资金的良好记录；[提供近三个月中任意一个月份（不含开标当月）的依法缴纳税收和社会保障资金的相关材料（提供相关主管部门证明或银行代扣证明，或者提供依法免税的主管部门出具的相应证明材料、不需要缴纳社会保障资金的主管部门出具的证明材料]；</w:t>
            </w:r>
          </w:p>
          <w:p w14:paraId="72922FD0">
            <w:pPr>
              <w:spacing w:line="360" w:lineRule="auto"/>
              <w:ind w:firstLine="382"/>
              <w:rPr>
                <w:rFonts w:ascii="宋体" w:hAnsi="宋体" w:cs="宋体"/>
                <w:bCs/>
                <w:color w:val="auto"/>
                <w:sz w:val="24"/>
                <w:szCs w:val="24"/>
                <w:highlight w:val="none"/>
              </w:rPr>
            </w:pPr>
            <w:r>
              <w:rPr>
                <w:rFonts w:hint="eastAsia" w:ascii="宋体" w:hAnsi="宋体" w:cs="宋体"/>
                <w:bCs/>
                <w:color w:val="auto"/>
                <w:sz w:val="24"/>
                <w:szCs w:val="24"/>
                <w:highlight w:val="none"/>
              </w:rPr>
              <w:t>（4）参加政府采购活动前三年内，在经营活动中没有重大违法记录；[提供参加本次政府采购活动前3年内在经营活动中没有重大违法记录的书面声明]；</w:t>
            </w:r>
          </w:p>
          <w:p w14:paraId="6D413ED6">
            <w:pPr>
              <w:spacing w:line="360" w:lineRule="auto"/>
              <w:ind w:firstLine="360"/>
              <w:rPr>
                <w:rFonts w:ascii="宋体" w:hAnsi="宋体" w:cs="宋体"/>
                <w:bCs/>
                <w:color w:val="auto"/>
                <w:sz w:val="24"/>
                <w:szCs w:val="24"/>
                <w:highlight w:val="none"/>
              </w:rPr>
            </w:pPr>
            <w:r>
              <w:rPr>
                <w:rFonts w:hint="eastAsia" w:ascii="宋体" w:hAnsi="宋体" w:cs="宋体"/>
                <w:bCs/>
                <w:color w:val="auto"/>
                <w:sz w:val="24"/>
                <w:szCs w:val="24"/>
                <w:highlight w:val="none"/>
              </w:rPr>
              <w:t>（5）法律、行政法规规定的其他条件。</w:t>
            </w:r>
          </w:p>
          <w:p w14:paraId="7B1496BE">
            <w:pPr>
              <w:spacing w:line="360" w:lineRule="auto"/>
              <w:ind w:firstLine="482"/>
              <w:rPr>
                <w:rFonts w:ascii="宋体" w:hAnsi="宋体"/>
                <w:b/>
                <w:bCs/>
                <w:color w:val="auto"/>
                <w:sz w:val="24"/>
                <w:szCs w:val="24"/>
                <w:highlight w:val="none"/>
                <w:u w:val="single"/>
              </w:rPr>
            </w:pPr>
            <w:r>
              <w:rPr>
                <w:rFonts w:hint="eastAsia" w:ascii="宋体" w:hAnsi="宋体"/>
                <w:b/>
                <w:bCs/>
                <w:color w:val="auto"/>
                <w:sz w:val="24"/>
                <w:szCs w:val="24"/>
                <w:highlight w:val="none"/>
              </w:rPr>
              <w:t>2</w:t>
            </w:r>
            <w:r>
              <w:rPr>
                <w:rFonts w:ascii="宋体" w:hAnsi="宋体"/>
                <w:b/>
                <w:bCs/>
                <w:color w:val="auto"/>
                <w:sz w:val="24"/>
                <w:szCs w:val="24"/>
                <w:highlight w:val="none"/>
              </w:rPr>
              <w:t>.</w:t>
            </w:r>
            <w:r>
              <w:rPr>
                <w:rFonts w:hint="eastAsia" w:ascii="宋体" w:hAnsi="宋体"/>
                <w:b/>
                <w:bCs/>
                <w:color w:val="auto"/>
                <w:sz w:val="24"/>
                <w:szCs w:val="24"/>
                <w:highlight w:val="none"/>
              </w:rPr>
              <w:t>落实政府采购政策需满足的资格要求：</w:t>
            </w:r>
            <w:r>
              <w:rPr>
                <w:rFonts w:hint="eastAsia" w:ascii="宋体" w:hAnsi="宋体"/>
                <w:b/>
                <w:bCs/>
                <w:color w:val="auto"/>
                <w:sz w:val="24"/>
                <w:szCs w:val="24"/>
                <w:highlight w:val="none"/>
                <w:u w:val="single"/>
              </w:rPr>
              <w:t>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p>
          <w:p w14:paraId="5FE7F2BA">
            <w:pPr>
              <w:spacing w:line="360" w:lineRule="auto"/>
              <w:ind w:firstLine="482"/>
              <w:rPr>
                <w:rFonts w:ascii="宋体" w:hAnsi="宋体"/>
                <w:b/>
                <w:bCs/>
                <w:color w:val="auto"/>
                <w:sz w:val="24"/>
                <w:szCs w:val="24"/>
                <w:highlight w:val="none"/>
              </w:rPr>
            </w:pPr>
            <w:r>
              <w:rPr>
                <w:rFonts w:ascii="宋体" w:hAnsi="宋体"/>
                <w:b/>
                <w:bCs/>
                <w:color w:val="auto"/>
                <w:sz w:val="24"/>
                <w:szCs w:val="24"/>
                <w:highlight w:val="none"/>
              </w:rPr>
              <w:t>3</w:t>
            </w:r>
            <w:r>
              <w:rPr>
                <w:rFonts w:hint="eastAsia" w:ascii="宋体" w:hAnsi="宋体"/>
                <w:b/>
                <w:bCs/>
                <w:color w:val="auto"/>
                <w:sz w:val="24"/>
                <w:szCs w:val="24"/>
                <w:highlight w:val="none"/>
              </w:rPr>
              <w:t>.特定资格要求：</w:t>
            </w:r>
          </w:p>
          <w:p w14:paraId="6057C593">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（1）投标供应商具有有效期内的餐饮服务许可证或者食品经营许可证；</w:t>
            </w:r>
          </w:p>
          <w:p w14:paraId="224389D9">
            <w:pPr>
              <w:spacing w:line="360" w:lineRule="auto"/>
              <w:ind w:firstLine="480" w:firstLineChars="200"/>
              <w:rPr>
                <w:rFonts w:ascii="宋体" w:hAnsi="宋体" w:cs="宋体"/>
                <w:bCs/>
                <w:color w:val="auto"/>
                <w:sz w:val="24"/>
                <w:szCs w:val="24"/>
                <w:highlight w:val="none"/>
              </w:rPr>
            </w:pPr>
            <w:bookmarkStart w:id="5" w:name="_Hlk46833112"/>
            <w:r>
              <w:rPr>
                <w:rFonts w:hint="eastAsia" w:ascii="宋体" w:hAnsi="宋体" w:cs="宋体"/>
                <w:bCs/>
                <w:color w:val="auto"/>
                <w:sz w:val="24"/>
                <w:szCs w:val="24"/>
                <w:highlight w:val="none"/>
              </w:rPr>
              <w:t>（2）投标供应商授权代理人、项目负责人必须为投标供应商企业在职员工，需提供</w:t>
            </w:r>
            <w:r>
              <w:rPr>
                <w:rFonts w:hint="eastAsia" w:ascii="宋体" w:hAnsi="宋体" w:cs="宋体"/>
                <w:color w:val="auto"/>
                <w:sz w:val="24"/>
                <w:szCs w:val="24"/>
                <w:highlight w:val="none"/>
              </w:rPr>
              <w:t>由法定的社保收缴部门出具的2026年</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月—2026年</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月的投标供应商依法为其缴纳</w:t>
            </w:r>
            <w:r>
              <w:rPr>
                <w:rFonts w:ascii="宋体" w:hAnsi="宋体" w:cs="宋体"/>
                <w:color w:val="auto"/>
                <w:sz w:val="24"/>
                <w:szCs w:val="24"/>
                <w:highlight w:val="none"/>
              </w:rPr>
              <w:t>社会</w:t>
            </w:r>
            <w:r>
              <w:rPr>
                <w:rFonts w:hint="eastAsia" w:ascii="宋体" w:hAnsi="宋体" w:cs="宋体"/>
                <w:color w:val="auto"/>
                <w:sz w:val="24"/>
                <w:szCs w:val="24"/>
                <w:highlight w:val="none"/>
              </w:rPr>
              <w:t>保险证明</w:t>
            </w:r>
            <w:r>
              <w:rPr>
                <w:rFonts w:hint="eastAsia" w:ascii="宋体" w:hAnsi="宋体" w:cs="宋体"/>
                <w:b/>
                <w:bCs/>
                <w:color w:val="auto"/>
                <w:sz w:val="24"/>
                <w:szCs w:val="24"/>
                <w:highlight w:val="none"/>
              </w:rPr>
              <w:t>（由相关主管部门出具，如投标供应商成立时间迟于要求开始的时间，则时间要求为投标供应商成立时间至截止时间；法定代表人亲自参加投标或担任本项目的项目负责人的除外；社保缴费证明必须提交带有社保部门红章的或含有县（区）级及以上社保部门电子加盖公章或签电子公章或带二维码验证的扫描件）</w:t>
            </w:r>
            <w:bookmarkEnd w:id="5"/>
            <w:r>
              <w:rPr>
                <w:rFonts w:hint="eastAsia" w:ascii="宋体" w:hAnsi="宋体" w:cs="宋体"/>
                <w:bCs/>
                <w:color w:val="auto"/>
                <w:sz w:val="24"/>
                <w:szCs w:val="24"/>
                <w:highlight w:val="none"/>
              </w:rPr>
              <w:t>；</w:t>
            </w:r>
          </w:p>
          <w:p w14:paraId="140BFD76">
            <w:pPr>
              <w:spacing w:line="360" w:lineRule="auto"/>
              <w:ind w:firstLine="480"/>
              <w:rPr>
                <w:rFonts w:ascii="宋体" w:hAnsi="宋体" w:cs="宋体"/>
                <w:bCs/>
                <w:color w:val="auto"/>
                <w:sz w:val="24"/>
                <w:szCs w:val="24"/>
                <w:highlight w:val="none"/>
              </w:rPr>
            </w:pPr>
            <w:r>
              <w:rPr>
                <w:rFonts w:hint="eastAsia" w:ascii="宋体" w:hAnsi="宋体" w:cs="宋体"/>
                <w:color w:val="auto"/>
                <w:sz w:val="24"/>
                <w:szCs w:val="24"/>
                <w:highlight w:val="none"/>
              </w:rPr>
              <w:t>（3）</w:t>
            </w:r>
            <w:r>
              <w:rPr>
                <w:rFonts w:hint="eastAsia" w:ascii="宋体" w:hAnsi="宋体" w:cs="宋体"/>
                <w:bCs/>
                <w:color w:val="auto"/>
                <w:sz w:val="24"/>
                <w:szCs w:val="24"/>
                <w:highlight w:val="none"/>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2B07511D">
            <w:pPr>
              <w:spacing w:line="360" w:lineRule="auto"/>
              <w:ind w:firstLine="480"/>
              <w:rPr>
                <w:rFonts w:ascii="宋体" w:hAnsi="宋体" w:cs="宋体"/>
                <w:color w:val="auto"/>
                <w:sz w:val="24"/>
                <w:szCs w:val="24"/>
                <w:highlight w:val="none"/>
              </w:rPr>
            </w:pPr>
            <w:r>
              <w:rPr>
                <w:rFonts w:hint="eastAsia" w:ascii="宋体" w:hAnsi="宋体" w:cs="宋体"/>
                <w:bCs/>
                <w:color w:val="auto"/>
                <w:sz w:val="24"/>
                <w:szCs w:val="24"/>
                <w:highlight w:val="none"/>
              </w:rPr>
              <w:t>（4）供应商未被列入“信用中国”网站（www.creditchina.gov.cn）“失信被执行人、重大税收违法失信主体名单、严重失信主体名单”（有上述处罚记录但处罚期已届满的，视为无记录，以代理机构评标当日查询结果为准）。</w:t>
            </w:r>
          </w:p>
          <w:p w14:paraId="52BF96AF">
            <w:pPr>
              <w:widowControl/>
              <w:shd w:val="clear" w:color="auto" w:fill="FFFFFF"/>
              <w:spacing w:line="360" w:lineRule="auto"/>
              <w:ind w:firstLine="482"/>
              <w:rPr>
                <w:rFonts w:ascii="宋体" w:hAnsi="宋体"/>
                <w:b/>
                <w:bCs/>
                <w:color w:val="auto"/>
                <w:sz w:val="24"/>
                <w:szCs w:val="24"/>
                <w:highlight w:val="none"/>
              </w:rPr>
            </w:pPr>
            <w:r>
              <w:rPr>
                <w:rFonts w:ascii="宋体" w:hAnsi="宋体"/>
                <w:b/>
                <w:bCs/>
                <w:color w:val="auto"/>
                <w:sz w:val="24"/>
                <w:szCs w:val="24"/>
                <w:highlight w:val="none"/>
              </w:rPr>
              <w:t>注：</w:t>
            </w:r>
            <w:r>
              <w:rPr>
                <w:rFonts w:hint="eastAsia" w:ascii="宋体" w:hAnsi="宋体"/>
                <w:b/>
                <w:bCs/>
                <w:color w:val="auto"/>
                <w:sz w:val="24"/>
                <w:szCs w:val="24"/>
                <w:highlight w:val="none"/>
              </w:rPr>
              <w:t>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1B04868D">
            <w:pPr>
              <w:widowControl/>
              <w:shd w:val="clear" w:color="auto" w:fill="FFFFFF"/>
              <w:spacing w:line="360" w:lineRule="auto"/>
              <w:ind w:firstLine="482"/>
              <w:rPr>
                <w:rFonts w:ascii="宋体" w:hAnsi="宋体"/>
                <w:b/>
                <w:bCs/>
                <w:color w:val="auto"/>
                <w:sz w:val="24"/>
                <w:szCs w:val="24"/>
                <w:highlight w:val="none"/>
              </w:rPr>
            </w:pPr>
            <w:r>
              <w:rPr>
                <w:rFonts w:hint="eastAsia" w:ascii="宋体" w:hAnsi="宋体"/>
                <w:b/>
                <w:bCs/>
                <w:color w:val="auto"/>
                <w:sz w:val="24"/>
                <w:szCs w:val="24"/>
                <w:highlight w:val="none"/>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17AA93EF">
            <w:pPr>
              <w:widowControl/>
              <w:shd w:val="clear" w:color="auto" w:fill="FFFFFF"/>
              <w:spacing w:line="360" w:lineRule="auto"/>
              <w:ind w:firstLine="482"/>
              <w:rPr>
                <w:rFonts w:ascii="宋体" w:hAnsi="宋体"/>
                <w:b/>
                <w:color w:val="auto"/>
                <w:sz w:val="24"/>
                <w:szCs w:val="24"/>
                <w:highlight w:val="none"/>
              </w:rPr>
            </w:pPr>
            <w:r>
              <w:rPr>
                <w:rFonts w:hint="eastAsia" w:ascii="宋体" w:hAnsi="宋体"/>
                <w:b/>
                <w:color w:val="auto"/>
                <w:sz w:val="24"/>
                <w:szCs w:val="24"/>
                <w:highlight w:val="none"/>
              </w:rPr>
              <w:t>4.本项目</w:t>
            </w:r>
            <w:r>
              <w:rPr>
                <w:rFonts w:hint="eastAsia" w:ascii="宋体" w:hAnsi="宋体"/>
                <w:b/>
                <w:color w:val="auto"/>
                <w:sz w:val="24"/>
                <w:szCs w:val="24"/>
                <w:highlight w:val="none"/>
                <w:u w:val="single"/>
              </w:rPr>
              <w:t>不接受</w:t>
            </w:r>
            <w:r>
              <w:rPr>
                <w:rFonts w:hint="eastAsia" w:ascii="宋体" w:hAnsi="宋体"/>
                <w:b/>
                <w:color w:val="auto"/>
                <w:sz w:val="24"/>
                <w:szCs w:val="24"/>
                <w:highlight w:val="none"/>
              </w:rPr>
              <w:t>联合体投标。</w:t>
            </w:r>
          </w:p>
        </w:tc>
      </w:tr>
      <w:tr w14:paraId="2F3F7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63037544">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4</w:t>
            </w:r>
          </w:p>
        </w:tc>
        <w:tc>
          <w:tcPr>
            <w:tcW w:w="8738" w:type="dxa"/>
          </w:tcPr>
          <w:p w14:paraId="16B6AFBC">
            <w:pPr>
              <w:spacing w:line="360" w:lineRule="auto"/>
              <w:jc w:val="lef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
                <w:bCs/>
                <w:color w:val="auto"/>
                <w:sz w:val="24"/>
                <w:szCs w:val="24"/>
                <w:highlight w:val="none"/>
              </w:rPr>
              <w:t>招标文件获取信息：</w:t>
            </w:r>
            <w:r>
              <w:rPr>
                <w:rFonts w:cs="宋体" w:asciiTheme="minorEastAsia" w:hAnsiTheme="minorEastAsia" w:eastAsiaTheme="minorEastAsia"/>
                <w:bCs/>
                <w:color w:val="auto"/>
                <w:sz w:val="24"/>
                <w:szCs w:val="24"/>
                <w:highlight w:val="none"/>
              </w:rPr>
              <w:t xml:space="preserve"> </w:t>
            </w:r>
          </w:p>
          <w:p w14:paraId="798086B3">
            <w:pPr>
              <w:spacing w:line="360" w:lineRule="auto"/>
              <w:ind w:firstLine="480"/>
              <w:jc w:val="lef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1.获取招标文件方式：</w:t>
            </w:r>
            <w:r>
              <w:rPr>
                <w:rFonts w:hint="eastAsia" w:cs="宋体" w:asciiTheme="minorEastAsia" w:hAnsiTheme="minorEastAsia" w:eastAsiaTheme="minorEastAsia"/>
                <w:b/>
                <w:bCs/>
                <w:color w:val="auto"/>
                <w:sz w:val="24"/>
                <w:szCs w:val="24"/>
                <w:highlight w:val="none"/>
              </w:rPr>
              <w:t>供应商登录苏采云</w:t>
            </w:r>
            <w:r>
              <w:rPr>
                <w:rFonts w:hint="eastAsia" w:cs="宋体" w:asciiTheme="minorEastAsia" w:hAnsiTheme="minorEastAsia" w:eastAsiaTheme="minorEastAsia"/>
                <w:b/>
                <w:bCs/>
                <w:color w:val="auto"/>
                <w:sz w:val="24"/>
                <w:szCs w:val="24"/>
                <w:highlight w:val="none"/>
                <w:lang w:eastAsia="zh-CN"/>
              </w:rPr>
              <w:t xml:space="preserve">https://jszfcg.jsczt.cn/jszc/login </w:t>
            </w:r>
            <w:r>
              <w:rPr>
                <w:rFonts w:hint="eastAsia" w:cs="宋体" w:asciiTheme="minorEastAsia" w:hAnsiTheme="minorEastAsia" w:eastAsiaTheme="minorEastAsia"/>
                <w:b/>
                <w:bCs/>
                <w:color w:val="auto"/>
                <w:sz w:val="24"/>
                <w:szCs w:val="24"/>
                <w:highlight w:val="none"/>
              </w:rPr>
              <w:t>，招标文件（后缀名为“</w:t>
            </w:r>
            <w:r>
              <w:rPr>
                <w:rFonts w:hint="eastAsia" w:cs="宋体" w:asciiTheme="minorEastAsia" w:hAnsiTheme="minorEastAsia" w:eastAsiaTheme="minorEastAsia"/>
                <w:b/>
                <w:bCs/>
                <w:color w:val="auto"/>
                <w:sz w:val="24"/>
                <w:szCs w:val="24"/>
                <w:highlight w:val="none"/>
                <w:lang w:val="en-US" w:eastAsia="zh-CN"/>
              </w:rPr>
              <w:t>.</w:t>
            </w:r>
            <w:r>
              <w:rPr>
                <w:rFonts w:hint="eastAsia" w:cs="宋体" w:asciiTheme="minorEastAsia" w:hAnsiTheme="minorEastAsia" w:eastAsiaTheme="minorEastAsia"/>
                <w:b/>
                <w:bCs/>
                <w:color w:val="auto"/>
                <w:sz w:val="24"/>
                <w:szCs w:val="24"/>
                <w:highlight w:val="none"/>
              </w:rPr>
              <w:t>kedt”）、供应商操作手册及政府采购客户端工具也可通过“苏采云”系统－－已报名项目－－报名详情页面内相应链接进行下载。</w:t>
            </w:r>
          </w:p>
          <w:p w14:paraId="52BC8533">
            <w:pPr>
              <w:spacing w:line="360" w:lineRule="auto"/>
              <w:ind w:firstLine="480"/>
              <w:jc w:val="left"/>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t>2</w:t>
            </w:r>
            <w:r>
              <w:rPr>
                <w:rFonts w:hint="eastAsia" w:cs="宋体" w:asciiTheme="minorEastAsia" w:hAnsiTheme="minorEastAsia" w:eastAsiaTheme="minorEastAsia"/>
                <w:bCs/>
                <w:color w:val="auto"/>
                <w:sz w:val="24"/>
                <w:szCs w:val="24"/>
                <w:highlight w:val="none"/>
              </w:rPr>
              <w:t>.招标文件获取时间：</w:t>
            </w:r>
            <w:r>
              <w:rPr>
                <w:rFonts w:hint="eastAsia" w:cs="宋体" w:asciiTheme="minorEastAsia" w:hAnsiTheme="minorEastAsia" w:eastAsiaTheme="minorEastAsia"/>
                <w:b/>
                <w:color w:val="auto"/>
                <w:sz w:val="24"/>
                <w:szCs w:val="24"/>
                <w:highlight w:val="none"/>
                <w:u w:val="single"/>
              </w:rPr>
              <w:t>自招标文件公告发布之日起5个工作日</w:t>
            </w:r>
            <w:r>
              <w:rPr>
                <w:rFonts w:hint="eastAsia" w:cs="宋体" w:asciiTheme="minorEastAsia" w:hAnsiTheme="minorEastAsia" w:eastAsiaTheme="minorEastAsia"/>
                <w:bCs/>
                <w:color w:val="auto"/>
                <w:sz w:val="24"/>
                <w:szCs w:val="24"/>
                <w:highlight w:val="none"/>
              </w:rPr>
              <w:t>。</w:t>
            </w:r>
          </w:p>
          <w:p w14:paraId="254EDF41">
            <w:pPr>
              <w:pStyle w:val="317"/>
              <w:spacing w:line="360" w:lineRule="auto"/>
              <w:ind w:firstLine="480"/>
              <w:rPr>
                <w:rFonts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rPr>
              <w:t>3.招标文件获取地点：</w:t>
            </w:r>
            <w:r>
              <w:rPr>
                <w:rFonts w:hint="eastAsia" w:cs="宋体" w:asciiTheme="minorEastAsia" w:hAnsiTheme="minorEastAsia" w:eastAsiaTheme="minorEastAsia"/>
                <w:b/>
                <w:color w:val="auto"/>
                <w:szCs w:val="24"/>
                <w:highlight w:val="none"/>
              </w:rPr>
              <w:t>供应商登录苏采云</w:t>
            </w:r>
            <w:r>
              <w:rPr>
                <w:color w:val="auto"/>
                <w:highlight w:val="none"/>
              </w:rPr>
              <w:fldChar w:fldCharType="begin"/>
            </w:r>
            <w:r>
              <w:rPr>
                <w:color w:val="auto"/>
                <w:highlight w:val="none"/>
              </w:rPr>
              <w:instrText xml:space="preserve">HYPERLINK "http://jszfcg.jsczt.cn/" \o "http://jszfcg.jsczt.cn/"</w:instrText>
            </w:r>
            <w:r>
              <w:rPr>
                <w:color w:val="auto"/>
                <w:highlight w:val="none"/>
              </w:rPr>
              <w:fldChar w:fldCharType="separate"/>
            </w:r>
            <w:r>
              <w:rPr>
                <w:rStyle w:val="76"/>
                <w:rFonts w:hint="eastAsia" w:cs="宋体" w:asciiTheme="minorEastAsia" w:hAnsiTheme="minorEastAsia" w:eastAsiaTheme="minorEastAsia"/>
                <w:b/>
                <w:color w:val="auto"/>
                <w:szCs w:val="24"/>
                <w:highlight w:val="none"/>
                <w:lang w:eastAsia="zh-CN"/>
              </w:rPr>
              <w:t xml:space="preserve">https://jszfcg.jsczt.cn/jszc/login </w:t>
            </w:r>
            <w:r>
              <w:rPr>
                <w:rStyle w:val="76"/>
                <w:rFonts w:cs="宋体" w:asciiTheme="minorEastAsia" w:hAnsiTheme="minorEastAsia" w:eastAsiaTheme="minorEastAsia"/>
                <w:b/>
                <w:color w:val="auto"/>
                <w:szCs w:val="24"/>
                <w:highlight w:val="none"/>
              </w:rPr>
              <w:fldChar w:fldCharType="end"/>
            </w:r>
            <w:r>
              <w:rPr>
                <w:rFonts w:hint="eastAsia" w:cs="宋体" w:asciiTheme="minorEastAsia" w:hAnsiTheme="minorEastAsia" w:eastAsiaTheme="minorEastAsia"/>
                <w:b/>
                <w:color w:val="auto"/>
                <w:szCs w:val="24"/>
                <w:highlight w:val="none"/>
              </w:rPr>
              <w:t>进行获取</w:t>
            </w:r>
            <w:r>
              <w:rPr>
                <w:rFonts w:hint="eastAsia" w:cs="宋体" w:asciiTheme="minorEastAsia" w:hAnsiTheme="minorEastAsia" w:eastAsiaTheme="minorEastAsia"/>
                <w:bCs/>
                <w:color w:val="auto"/>
                <w:szCs w:val="24"/>
                <w:highlight w:val="none"/>
              </w:rPr>
              <w:t>。</w:t>
            </w:r>
          </w:p>
          <w:p w14:paraId="5DD77F67">
            <w:pPr>
              <w:pStyle w:val="317"/>
              <w:spacing w:line="360" w:lineRule="auto"/>
              <w:ind w:firstLine="480"/>
              <w:rPr>
                <w:rFonts w:cs="宋体" w:asciiTheme="minorEastAsia" w:hAnsiTheme="minorEastAsia" w:eastAsiaTheme="minorEastAsia"/>
                <w:bCs/>
                <w:color w:val="auto"/>
                <w:szCs w:val="24"/>
                <w:highlight w:val="none"/>
              </w:rPr>
            </w:pPr>
            <w:r>
              <w:rPr>
                <w:rFonts w:cs="宋体" w:asciiTheme="minorEastAsia" w:hAnsiTheme="minorEastAsia" w:eastAsiaTheme="minorEastAsia"/>
                <w:bCs/>
                <w:color w:val="auto"/>
                <w:szCs w:val="24"/>
                <w:highlight w:val="none"/>
              </w:rPr>
              <w:t>4.</w:t>
            </w:r>
            <w:r>
              <w:rPr>
                <w:rFonts w:hint="eastAsia" w:cs="宋体" w:asciiTheme="minorEastAsia" w:hAnsiTheme="minorEastAsia" w:eastAsiaTheme="minorEastAsia"/>
                <w:bCs/>
                <w:color w:val="auto"/>
                <w:szCs w:val="24"/>
                <w:highlight w:val="none"/>
              </w:rPr>
              <w:t>售价：0元。</w:t>
            </w:r>
          </w:p>
        </w:tc>
      </w:tr>
      <w:tr w14:paraId="0B02A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3065236D">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5</w:t>
            </w:r>
          </w:p>
        </w:tc>
        <w:tc>
          <w:tcPr>
            <w:tcW w:w="8738" w:type="dxa"/>
          </w:tcPr>
          <w:p w14:paraId="330CC6AB">
            <w:pPr>
              <w:widowControl/>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潜在投标供应商访问江苏省政府采购（苏采云）平台的网络地址和方法：</w:t>
            </w:r>
          </w:p>
          <w:p w14:paraId="0C2E5F32">
            <w:pPr>
              <w:spacing w:line="360" w:lineRule="auto"/>
              <w:ind w:firstLine="480"/>
              <w:jc w:val="lef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1.请有意参加本项目投标的供应商按以下流程进行操作：</w:t>
            </w:r>
          </w:p>
          <w:p w14:paraId="6A06C92B">
            <w:pPr>
              <w:spacing w:line="360" w:lineRule="auto"/>
              <w:ind w:firstLine="480"/>
              <w:jc w:val="lef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（1）潜在供应商访问江苏省政府采购（苏采云）平台的方法：“苏采云”系统用户注册－－获取“CA数字证书”--CA绑定与登录--网上报名－－下载招标文件（后缀名为“</w:t>
            </w:r>
            <w:r>
              <w:rPr>
                <w:rFonts w:hint="eastAsia" w:cs="宋体" w:asciiTheme="minorEastAsia" w:hAnsiTheme="minorEastAsia" w:eastAsiaTheme="minorEastAsia"/>
                <w:bCs/>
                <w:color w:val="auto"/>
                <w:sz w:val="24"/>
                <w:szCs w:val="24"/>
                <w:highlight w:val="none"/>
                <w:lang w:val="en-US" w:eastAsia="zh-CN"/>
              </w:rPr>
              <w:t>.</w:t>
            </w:r>
            <w:r>
              <w:rPr>
                <w:rFonts w:hint="eastAsia" w:cs="宋体" w:asciiTheme="minorEastAsia" w:hAnsiTheme="minorEastAsia" w:eastAsiaTheme="minorEastAsia"/>
                <w:bCs/>
                <w:color w:val="auto"/>
                <w:sz w:val="24"/>
                <w:szCs w:val="24"/>
                <w:highlight w:val="none"/>
              </w:rPr>
              <w:t>kedt”）--将后缀名为“</w:t>
            </w:r>
            <w:r>
              <w:rPr>
                <w:rFonts w:hint="eastAsia" w:cs="宋体" w:asciiTheme="minorEastAsia" w:hAnsiTheme="minorEastAsia" w:eastAsiaTheme="minorEastAsia"/>
                <w:bCs/>
                <w:color w:val="auto"/>
                <w:sz w:val="24"/>
                <w:szCs w:val="24"/>
                <w:highlight w:val="none"/>
                <w:lang w:val="en-US" w:eastAsia="zh-CN"/>
              </w:rPr>
              <w:t>.</w:t>
            </w:r>
            <w:r>
              <w:rPr>
                <w:rFonts w:hint="eastAsia" w:cs="宋体" w:asciiTheme="minorEastAsia" w:hAnsiTheme="minorEastAsia" w:eastAsiaTheme="minorEastAsia"/>
                <w:bCs/>
                <w:color w:val="auto"/>
                <w:sz w:val="24"/>
                <w:szCs w:val="24"/>
                <w:highlight w:val="none"/>
              </w:rPr>
              <w:t>kedt”的招标文件导入政府采购客户端工具－－制作投标文件－－导出加密的投标文件（后缀名为zip）--通过“苏采云”系统上传投标文件。</w:t>
            </w:r>
          </w:p>
          <w:p w14:paraId="216065D1">
            <w:pPr>
              <w:spacing w:line="360" w:lineRule="auto"/>
              <w:ind w:firstLine="480"/>
              <w:jc w:val="lef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一楼CA办理窗口。</w:t>
            </w:r>
          </w:p>
          <w:p w14:paraId="0A2ECBAF">
            <w:pPr>
              <w:spacing w:line="360" w:lineRule="auto"/>
              <w:ind w:firstLine="480"/>
              <w:jc w:val="lef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（3）咨询电话：供应商注册：0519-86722801、0519-86722806，CA及电子加盖公章或签电子公章：0510-81827781。</w:t>
            </w:r>
          </w:p>
          <w:p w14:paraId="4048BA5D">
            <w:pPr>
              <w:spacing w:line="360" w:lineRule="auto"/>
              <w:ind w:firstLine="480"/>
              <w:jc w:val="lef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（4）潜在供应商访问“苏采云”系统的网络地址和方法：“苏采云”系统的网址</w:t>
            </w:r>
            <w:r>
              <w:rPr>
                <w:rFonts w:hint="eastAsia" w:cs="宋体" w:asciiTheme="minorEastAsia" w:hAnsiTheme="minorEastAsia" w:eastAsiaTheme="minorEastAsia"/>
                <w:bCs/>
                <w:color w:val="auto"/>
                <w:sz w:val="24"/>
                <w:szCs w:val="24"/>
                <w:highlight w:val="none"/>
                <w:lang w:eastAsia="zh-CN"/>
              </w:rPr>
              <w:t xml:space="preserve">https://jszfcg.jsczt.cn/jszc/login </w:t>
            </w:r>
            <w:r>
              <w:rPr>
                <w:rFonts w:hint="eastAsia" w:cs="宋体" w:asciiTheme="minorEastAsia" w:hAnsiTheme="minorEastAsia" w:eastAsiaTheme="minorEastAsia"/>
                <w:bCs/>
                <w:color w:val="auto"/>
                <w:sz w:val="24"/>
                <w:szCs w:val="24"/>
                <w:highlight w:val="none"/>
              </w:rPr>
              <w:t>。</w:t>
            </w:r>
          </w:p>
          <w:p w14:paraId="412247B2">
            <w:pPr>
              <w:spacing w:line="360" w:lineRule="auto"/>
              <w:ind w:firstLine="480"/>
              <w:jc w:val="lef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（5）招标文件（后缀名为“</w:t>
            </w:r>
            <w:r>
              <w:rPr>
                <w:rFonts w:hint="eastAsia" w:cs="宋体" w:asciiTheme="minorEastAsia" w:hAnsiTheme="minorEastAsia" w:eastAsiaTheme="minorEastAsia"/>
                <w:bCs/>
                <w:color w:val="auto"/>
                <w:sz w:val="24"/>
                <w:szCs w:val="24"/>
                <w:highlight w:val="none"/>
                <w:lang w:val="en-US" w:eastAsia="zh-CN"/>
              </w:rPr>
              <w:t>.</w:t>
            </w:r>
            <w:r>
              <w:rPr>
                <w:rFonts w:hint="eastAsia" w:cs="宋体" w:asciiTheme="minorEastAsia" w:hAnsiTheme="minorEastAsia" w:eastAsiaTheme="minorEastAsia"/>
                <w:bCs/>
                <w:color w:val="auto"/>
                <w:sz w:val="24"/>
                <w:szCs w:val="24"/>
                <w:highlight w:val="none"/>
              </w:rPr>
              <w:t>kedt”）、供应商操作手册及政府采购客户端工具也可通过“苏采云”系统－－已报名项目－－报名详情页面内相应链接进行下载。</w:t>
            </w:r>
          </w:p>
          <w:p w14:paraId="5B253D32">
            <w:pPr>
              <w:spacing w:line="360" w:lineRule="auto"/>
              <w:ind w:firstLine="480"/>
              <w:jc w:val="lef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（6）招标代理机构（采购代理机构）将数据电文形式的招标文件加载至“苏采云”系统，供潜在供应商下载或者查阅。     </w:t>
            </w:r>
          </w:p>
          <w:p w14:paraId="3EA99695">
            <w:pPr>
              <w:spacing w:line="360" w:lineRule="auto"/>
              <w:ind w:firstLine="480"/>
              <w:jc w:val="left"/>
              <w:rPr>
                <w:rFonts w:ascii="宋体" w:hAnsi="宋体" w:cs="宋体"/>
                <w:b/>
                <w:bCs/>
                <w:color w:val="auto"/>
                <w:sz w:val="24"/>
                <w:szCs w:val="24"/>
                <w:highlight w:val="none"/>
              </w:rPr>
            </w:pPr>
            <w:r>
              <w:rPr>
                <w:rFonts w:hint="eastAsia" w:cs="宋体" w:asciiTheme="minorEastAsia" w:hAnsiTheme="minorEastAsia" w:eastAsiaTheme="minorEastAsia"/>
                <w:bCs/>
                <w:color w:val="auto"/>
                <w:sz w:val="24"/>
                <w:szCs w:val="24"/>
                <w:highlight w:val="none"/>
              </w:rPr>
              <w:t>（7）苏采云系统使用谷歌浏览器参与不见面开标。</w:t>
            </w:r>
          </w:p>
        </w:tc>
      </w:tr>
      <w:tr w14:paraId="29305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35" w:type="dxa"/>
            <w:vAlign w:val="center"/>
          </w:tcPr>
          <w:p w14:paraId="011EB42D">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6</w:t>
            </w:r>
          </w:p>
        </w:tc>
        <w:tc>
          <w:tcPr>
            <w:tcW w:w="8738" w:type="dxa"/>
          </w:tcPr>
          <w:p w14:paraId="11F2C305">
            <w:pPr>
              <w:pStyle w:val="317"/>
              <w:spacing w:line="360" w:lineRule="auto"/>
              <w:rPr>
                <w:rFonts w:hAnsi="宋体" w:cs="宋体"/>
                <w:bCs/>
                <w:color w:val="auto"/>
                <w:highlight w:val="none"/>
              </w:rPr>
            </w:pPr>
            <w:r>
              <w:rPr>
                <w:rFonts w:hint="eastAsia" w:hAnsi="宋体" w:cs="宋体"/>
                <w:b/>
                <w:bCs/>
                <w:color w:val="auto"/>
                <w:highlight w:val="none"/>
              </w:rPr>
              <w:t>现场踏勘：</w:t>
            </w:r>
            <w:r>
              <w:rPr>
                <w:rFonts w:hint="eastAsia" w:hAnsi="宋体" w:cs="宋体"/>
                <w:color w:val="auto"/>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07021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vAlign w:val="center"/>
          </w:tcPr>
          <w:p w14:paraId="3DBE6F7D">
            <w:pPr>
              <w:spacing w:line="360" w:lineRule="auto"/>
              <w:jc w:val="center"/>
              <w:rPr>
                <w:rFonts w:ascii="宋体" w:hAnsi="宋体"/>
                <w:bCs/>
                <w:color w:val="auto"/>
                <w:sz w:val="24"/>
                <w:szCs w:val="24"/>
                <w:highlight w:val="none"/>
              </w:rPr>
            </w:pPr>
            <w:r>
              <w:rPr>
                <w:rFonts w:ascii="宋体" w:hAnsi="宋体"/>
                <w:bCs/>
                <w:color w:val="auto"/>
                <w:sz w:val="24"/>
                <w:szCs w:val="24"/>
                <w:highlight w:val="none"/>
              </w:rPr>
              <w:t>7</w:t>
            </w:r>
          </w:p>
        </w:tc>
        <w:tc>
          <w:tcPr>
            <w:tcW w:w="8738" w:type="dxa"/>
          </w:tcPr>
          <w:p w14:paraId="4DC7D9FA">
            <w:pPr>
              <w:spacing w:line="360" w:lineRule="auto"/>
              <w:rPr>
                <w:rFonts w:ascii="宋体" w:hAnsi="宋体"/>
                <w:bCs/>
                <w:color w:val="auto"/>
                <w:sz w:val="24"/>
                <w:szCs w:val="24"/>
                <w:highlight w:val="none"/>
              </w:rPr>
            </w:pPr>
            <w:r>
              <w:rPr>
                <w:rFonts w:hint="eastAsia" w:ascii="宋体" w:hAnsi="宋体"/>
                <w:b/>
                <w:color w:val="auto"/>
                <w:sz w:val="24"/>
                <w:szCs w:val="24"/>
                <w:highlight w:val="none"/>
              </w:rPr>
              <w:t>投标有效期：</w:t>
            </w:r>
            <w:r>
              <w:rPr>
                <w:rFonts w:hint="eastAsia" w:ascii="宋体" w:hAnsi="宋体"/>
                <w:bCs/>
                <w:color w:val="auto"/>
                <w:sz w:val="24"/>
                <w:szCs w:val="24"/>
                <w:highlight w:val="none"/>
              </w:rPr>
              <w:t>开标之日起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rPr>
              <w:t>天</w:t>
            </w:r>
          </w:p>
        </w:tc>
      </w:tr>
      <w:tr w14:paraId="45AD3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35" w:type="dxa"/>
            <w:vAlign w:val="center"/>
          </w:tcPr>
          <w:p w14:paraId="769CCAE3">
            <w:pPr>
              <w:spacing w:line="360" w:lineRule="auto"/>
              <w:jc w:val="center"/>
              <w:rPr>
                <w:rFonts w:ascii="宋体" w:hAnsi="宋体"/>
                <w:bCs/>
                <w:color w:val="auto"/>
                <w:sz w:val="24"/>
                <w:szCs w:val="24"/>
                <w:highlight w:val="none"/>
              </w:rPr>
            </w:pPr>
            <w:r>
              <w:rPr>
                <w:rFonts w:ascii="宋体" w:hAnsi="宋体"/>
                <w:bCs/>
                <w:color w:val="auto"/>
                <w:sz w:val="24"/>
                <w:szCs w:val="24"/>
                <w:highlight w:val="none"/>
              </w:rPr>
              <w:t>8</w:t>
            </w:r>
          </w:p>
        </w:tc>
        <w:tc>
          <w:tcPr>
            <w:tcW w:w="8738" w:type="dxa"/>
          </w:tcPr>
          <w:p w14:paraId="78204B2A">
            <w:pPr>
              <w:spacing w:line="360" w:lineRule="auto"/>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b/>
                <w:bCs/>
                <w:color w:val="auto"/>
                <w:sz w:val="24"/>
                <w:szCs w:val="24"/>
                <w:highlight w:val="none"/>
              </w:rPr>
              <w:t>投标文件接收信息：</w:t>
            </w:r>
          </w:p>
          <w:p w14:paraId="09F08F42">
            <w:pPr>
              <w:spacing w:line="360" w:lineRule="auto"/>
              <w:rPr>
                <w:rFonts w:cs="宋体"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网上投标截止时间：202</w:t>
            </w:r>
            <w:r>
              <w:rPr>
                <w:rFonts w:hint="eastAsia" w:cs="宋体" w:asciiTheme="minorEastAsia" w:hAnsiTheme="minorEastAsia" w:eastAsiaTheme="minorEastAsia"/>
                <w:color w:val="auto"/>
                <w:sz w:val="24"/>
                <w:szCs w:val="24"/>
                <w:highlight w:val="none"/>
              </w:rPr>
              <w:t>6</w:t>
            </w:r>
            <w:r>
              <w:rPr>
                <w:rFonts w:hint="eastAsia" w:cs="宋体" w:asciiTheme="minorEastAsia" w:hAnsiTheme="minorEastAsia" w:eastAsiaTheme="minorEastAsia"/>
                <w:color w:val="auto"/>
                <w:sz w:val="24"/>
                <w:szCs w:val="24"/>
                <w:highlight w:val="none"/>
                <w:lang w:val="zh-CN"/>
              </w:rPr>
              <w:t>年</w:t>
            </w:r>
            <w:r>
              <w:rPr>
                <w:rFonts w:hint="eastAsia" w:cs="宋体" w:asciiTheme="minorEastAsia" w:hAnsiTheme="minorEastAsia" w:eastAsiaTheme="minorEastAsia"/>
                <w:color w:val="auto"/>
                <w:sz w:val="24"/>
                <w:szCs w:val="24"/>
                <w:highlight w:val="none"/>
                <w:lang w:val="en-US" w:eastAsia="zh-CN"/>
              </w:rPr>
              <w:t>8</w:t>
            </w:r>
            <w:r>
              <w:rPr>
                <w:rFonts w:hint="eastAsia" w:cs="宋体" w:asciiTheme="minorEastAsia" w:hAnsiTheme="minorEastAsia" w:eastAsiaTheme="minorEastAsia"/>
                <w:color w:val="auto"/>
                <w:sz w:val="24"/>
                <w:szCs w:val="24"/>
                <w:highlight w:val="none"/>
                <w:lang w:val="zh-CN"/>
              </w:rPr>
              <w:t>月</w:t>
            </w:r>
            <w:r>
              <w:rPr>
                <w:rFonts w:hint="eastAsia" w:cs="宋体" w:asciiTheme="minorEastAsia" w:hAnsiTheme="minorEastAsia" w:eastAsiaTheme="minorEastAsia"/>
                <w:color w:val="auto"/>
                <w:sz w:val="24"/>
                <w:szCs w:val="24"/>
                <w:highlight w:val="none"/>
                <w:lang w:val="en-US" w:eastAsia="zh-CN"/>
              </w:rPr>
              <w:t>18</w:t>
            </w:r>
            <w:r>
              <w:rPr>
                <w:rFonts w:hint="eastAsia" w:cs="宋体" w:asciiTheme="minorEastAsia" w:hAnsiTheme="minorEastAsia" w:eastAsiaTheme="minorEastAsia"/>
                <w:color w:val="auto"/>
                <w:sz w:val="24"/>
                <w:szCs w:val="24"/>
                <w:highlight w:val="none"/>
                <w:lang w:val="zh-CN"/>
              </w:rPr>
              <w:t>日</w:t>
            </w:r>
            <w:r>
              <w:rPr>
                <w:rFonts w:hint="eastAsia" w:cs="宋体" w:asciiTheme="minorEastAsia" w:hAnsiTheme="minorEastAsia" w:eastAsiaTheme="minorEastAsia"/>
                <w:color w:val="auto"/>
                <w:sz w:val="24"/>
                <w:szCs w:val="24"/>
                <w:highlight w:val="none"/>
              </w:rPr>
              <w:t>09:3</w:t>
            </w:r>
            <w:r>
              <w:rPr>
                <w:rFonts w:hint="eastAsia" w:cs="宋体" w:asciiTheme="minorEastAsia" w:hAnsiTheme="minorEastAsia" w:eastAsiaTheme="minorEastAsia"/>
                <w:color w:val="auto"/>
                <w:sz w:val="24"/>
                <w:szCs w:val="24"/>
                <w:highlight w:val="none"/>
                <w:lang w:val="zh-CN"/>
              </w:rPr>
              <w:t>0（报价截止时间后的投标文件恕不接受）</w:t>
            </w:r>
          </w:p>
          <w:p w14:paraId="6CB49A56">
            <w:pPr>
              <w:spacing w:line="360" w:lineRule="auto"/>
              <w:rPr>
                <w:rFonts w:cs="宋体"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网上</w:t>
            </w:r>
            <w:r>
              <w:rPr>
                <w:rFonts w:hint="eastAsia" w:cs="宋体" w:asciiTheme="minorEastAsia" w:hAnsiTheme="minorEastAsia" w:eastAsiaTheme="minorEastAsia"/>
                <w:color w:val="auto"/>
                <w:sz w:val="24"/>
                <w:szCs w:val="24"/>
                <w:highlight w:val="none"/>
              </w:rPr>
              <w:t>投标</w:t>
            </w:r>
            <w:r>
              <w:rPr>
                <w:rFonts w:hint="eastAsia" w:cs="宋体" w:asciiTheme="minorEastAsia" w:hAnsiTheme="minorEastAsia" w:eastAsiaTheme="minorEastAsia"/>
                <w:color w:val="auto"/>
                <w:sz w:val="24"/>
                <w:szCs w:val="24"/>
                <w:highlight w:val="none"/>
                <w:lang w:val="zh-CN"/>
              </w:rPr>
              <w:t>解密时间：202</w:t>
            </w:r>
            <w:r>
              <w:rPr>
                <w:rFonts w:hint="eastAsia" w:cs="宋体" w:asciiTheme="minorEastAsia" w:hAnsiTheme="minorEastAsia" w:eastAsiaTheme="minorEastAsia"/>
                <w:color w:val="auto"/>
                <w:sz w:val="24"/>
                <w:szCs w:val="24"/>
                <w:highlight w:val="none"/>
              </w:rPr>
              <w:t>6</w:t>
            </w:r>
            <w:r>
              <w:rPr>
                <w:rFonts w:hint="eastAsia" w:cs="宋体" w:asciiTheme="minorEastAsia" w:hAnsiTheme="minorEastAsia" w:eastAsiaTheme="minorEastAsia"/>
                <w:color w:val="auto"/>
                <w:sz w:val="24"/>
                <w:szCs w:val="24"/>
                <w:highlight w:val="none"/>
                <w:lang w:val="zh-CN"/>
              </w:rPr>
              <w:t>年</w:t>
            </w:r>
            <w:r>
              <w:rPr>
                <w:rFonts w:hint="eastAsia" w:cs="宋体" w:asciiTheme="minorEastAsia" w:hAnsiTheme="minorEastAsia" w:eastAsiaTheme="minorEastAsia"/>
                <w:color w:val="auto"/>
                <w:sz w:val="24"/>
                <w:szCs w:val="24"/>
                <w:highlight w:val="none"/>
                <w:lang w:val="en-US" w:eastAsia="zh-CN"/>
              </w:rPr>
              <w:t>8</w:t>
            </w:r>
            <w:r>
              <w:rPr>
                <w:rFonts w:hint="eastAsia" w:cs="宋体" w:asciiTheme="minorEastAsia" w:hAnsiTheme="minorEastAsia" w:eastAsiaTheme="minorEastAsia"/>
                <w:color w:val="auto"/>
                <w:sz w:val="24"/>
                <w:szCs w:val="24"/>
                <w:highlight w:val="none"/>
                <w:lang w:val="zh-CN"/>
              </w:rPr>
              <w:t>月</w:t>
            </w:r>
            <w:r>
              <w:rPr>
                <w:rFonts w:hint="eastAsia" w:cs="宋体" w:asciiTheme="minorEastAsia" w:hAnsiTheme="minorEastAsia" w:eastAsiaTheme="minorEastAsia"/>
                <w:color w:val="auto"/>
                <w:sz w:val="24"/>
                <w:szCs w:val="24"/>
                <w:highlight w:val="none"/>
                <w:lang w:val="en-US" w:eastAsia="zh-CN"/>
              </w:rPr>
              <w:t>18</w:t>
            </w:r>
            <w:r>
              <w:rPr>
                <w:rFonts w:hint="eastAsia" w:cs="宋体" w:asciiTheme="minorEastAsia" w:hAnsiTheme="minorEastAsia" w:eastAsiaTheme="minorEastAsia"/>
                <w:color w:val="auto"/>
                <w:sz w:val="24"/>
                <w:szCs w:val="24"/>
                <w:highlight w:val="none"/>
                <w:lang w:val="zh-CN"/>
              </w:rPr>
              <w:t>日</w:t>
            </w:r>
            <w:r>
              <w:rPr>
                <w:rFonts w:hint="eastAsia" w:cs="宋体" w:asciiTheme="minorEastAsia" w:hAnsiTheme="minorEastAsia" w:eastAsiaTheme="minorEastAsia"/>
                <w:color w:val="auto"/>
                <w:sz w:val="24"/>
                <w:szCs w:val="24"/>
                <w:highlight w:val="none"/>
              </w:rPr>
              <w:t>09:3</w:t>
            </w:r>
            <w:r>
              <w:rPr>
                <w:rFonts w:hint="eastAsia" w:cs="宋体" w:asciiTheme="minorEastAsia" w:hAnsiTheme="minorEastAsia" w:eastAsiaTheme="minorEastAsia"/>
                <w:color w:val="auto"/>
                <w:sz w:val="24"/>
                <w:szCs w:val="24"/>
                <w:highlight w:val="none"/>
                <w:lang w:val="zh-CN"/>
              </w:rPr>
              <w:t>0</w:t>
            </w:r>
          </w:p>
          <w:p w14:paraId="6791BA65">
            <w:pPr>
              <w:spacing w:line="360" w:lineRule="auto"/>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lang w:val="zh-CN"/>
              </w:rPr>
              <w:t>本项目招标文件规定的供应商按时在线解密方式：开启时间后30分钟内，通过“苏采云”系统（使用“CA数字证书”）解密。</w:t>
            </w:r>
          </w:p>
          <w:p w14:paraId="5CA896EC">
            <w:pPr>
              <w:spacing w:line="360" w:lineRule="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val="zh-CN"/>
              </w:rPr>
              <w:t>递交地点</w:t>
            </w:r>
            <w:r>
              <w:rPr>
                <w:rFonts w:hint="eastAsia" w:cs="宋体" w:asciiTheme="minorEastAsia" w:hAnsiTheme="minorEastAsia" w:eastAsiaTheme="minorEastAsia"/>
                <w:color w:val="auto"/>
                <w:sz w:val="24"/>
                <w:szCs w:val="24"/>
                <w:highlight w:val="none"/>
              </w:rPr>
              <w:t>：</w:t>
            </w:r>
            <w:r>
              <w:rPr>
                <w:rFonts w:hint="eastAsia" w:asciiTheme="minorEastAsia" w:hAnsiTheme="minorEastAsia" w:eastAsiaTheme="minorEastAsia"/>
                <w:b/>
                <w:color w:val="auto"/>
                <w:sz w:val="24"/>
                <w:szCs w:val="24"/>
                <w:highlight w:val="none"/>
              </w:rPr>
              <w:t>“苏采云”系统（网址：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lang w:eastAsia="zh-CN"/>
              </w:rPr>
              <w:t xml:space="preserve">https://jszfcg.jsczt.cn/jszc/login </w:t>
            </w:r>
            <w:r>
              <w:rPr>
                <w:rFonts w:hint="eastAsia" w:asciiTheme="minorEastAsia" w:hAnsiTheme="minorEastAsia" w:eastAsiaTheme="minorEastAsia"/>
                <w:b/>
                <w:color w:val="auto"/>
                <w:sz w:val="24"/>
                <w:szCs w:val="24"/>
                <w:highlight w:val="none"/>
              </w:rPr>
              <w:t>）“报名详情”</w:t>
            </w:r>
            <w:r>
              <w:rPr>
                <w:rFonts w:hint="eastAsia" w:asciiTheme="minorEastAsia" w:hAnsiTheme="minorEastAsia" w:eastAsiaTheme="minorEastAsia"/>
                <w:b/>
                <w:color w:val="auto"/>
                <w:sz w:val="24"/>
                <w:szCs w:val="24"/>
                <w:highlight w:val="none"/>
              </w:rPr>
              <w:fldChar w:fldCharType="end"/>
            </w:r>
          </w:p>
          <w:p w14:paraId="4AB2BA98">
            <w:pPr>
              <w:spacing w:line="360" w:lineRule="auto"/>
              <w:rPr>
                <w:rFonts w:ascii="宋体" w:hAnsi="宋体" w:cs="宋体"/>
                <w:color w:val="auto"/>
                <w:sz w:val="24"/>
                <w:szCs w:val="24"/>
                <w:highlight w:val="none"/>
              </w:rPr>
            </w:pPr>
            <w:r>
              <w:rPr>
                <w:rFonts w:hint="eastAsia" w:cs="宋体" w:asciiTheme="minorEastAsia" w:hAnsiTheme="minorEastAsia" w:eastAsiaTheme="minorEastAsia"/>
                <w:color w:val="auto"/>
                <w:sz w:val="24"/>
                <w:szCs w:val="24"/>
                <w:highlight w:val="none"/>
              </w:rPr>
              <w:t>开标地点：</w:t>
            </w:r>
            <w:r>
              <w:rPr>
                <w:rFonts w:hint="eastAsia" w:cs="宋体" w:asciiTheme="minorEastAsia" w:hAnsiTheme="minorEastAsia" w:eastAsiaTheme="minorEastAsia"/>
                <w:b/>
                <w:bCs/>
                <w:color w:val="auto"/>
                <w:sz w:val="24"/>
                <w:szCs w:val="24"/>
                <w:highlight w:val="none"/>
              </w:rPr>
              <w:t xml:space="preserve">“苏采云”系统（网址： </w:t>
            </w:r>
            <w:r>
              <w:rPr>
                <w:rFonts w:hint="eastAsia" w:cs="宋体" w:asciiTheme="minorEastAsia" w:hAnsiTheme="minorEastAsia" w:eastAsiaTheme="minorEastAsia"/>
                <w:b/>
                <w:bCs/>
                <w:color w:val="auto"/>
                <w:sz w:val="24"/>
                <w:szCs w:val="24"/>
                <w:highlight w:val="none"/>
                <w:lang w:eastAsia="zh-CN"/>
              </w:rPr>
              <w:t xml:space="preserve">https://jszfcg.jsczt.cn/jszc/login </w:t>
            </w:r>
            <w:r>
              <w:rPr>
                <w:rFonts w:hint="eastAsia" w:cs="宋体" w:asciiTheme="minorEastAsia" w:hAnsiTheme="minorEastAsia" w:eastAsiaTheme="minorEastAsia"/>
                <w:b/>
                <w:bCs/>
                <w:color w:val="auto"/>
                <w:sz w:val="24"/>
                <w:szCs w:val="24"/>
                <w:highlight w:val="none"/>
              </w:rPr>
              <w:t>）“开标大厅”</w:t>
            </w:r>
          </w:p>
        </w:tc>
      </w:tr>
      <w:tr w14:paraId="5A9B7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204D5AF8">
            <w:pPr>
              <w:spacing w:line="360" w:lineRule="auto"/>
              <w:jc w:val="center"/>
              <w:rPr>
                <w:rFonts w:ascii="宋体" w:hAnsi="宋体"/>
                <w:bCs/>
                <w:color w:val="auto"/>
                <w:sz w:val="24"/>
                <w:szCs w:val="24"/>
                <w:highlight w:val="none"/>
              </w:rPr>
            </w:pPr>
            <w:r>
              <w:rPr>
                <w:rFonts w:ascii="宋体" w:hAnsi="宋体"/>
                <w:bCs/>
                <w:color w:val="auto"/>
                <w:sz w:val="24"/>
                <w:szCs w:val="24"/>
                <w:highlight w:val="none"/>
              </w:rPr>
              <w:t>9</w:t>
            </w:r>
          </w:p>
        </w:tc>
        <w:tc>
          <w:tcPr>
            <w:tcW w:w="8738" w:type="dxa"/>
          </w:tcPr>
          <w:p w14:paraId="52A79D0E">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评审有关信息：</w:t>
            </w:r>
          </w:p>
          <w:p w14:paraId="03410E70">
            <w:pPr>
              <w:spacing w:line="360" w:lineRule="auto"/>
              <w:rPr>
                <w:rFonts w:ascii="宋体" w:hAnsi="宋体"/>
                <w:b/>
                <w:bCs/>
                <w:color w:val="auto"/>
                <w:sz w:val="24"/>
                <w:szCs w:val="24"/>
                <w:highlight w:val="none"/>
              </w:rPr>
            </w:pPr>
            <w:r>
              <w:rPr>
                <w:rFonts w:hint="eastAsia" w:ascii="宋体" w:hAnsi="宋体" w:cs="宋体"/>
                <w:color w:val="auto"/>
                <w:sz w:val="24"/>
                <w:szCs w:val="24"/>
                <w:highlight w:val="none"/>
              </w:rPr>
              <w:t>评审时间：</w:t>
            </w:r>
            <w:r>
              <w:rPr>
                <w:rFonts w:hint="eastAsia" w:cs="宋体" w:asciiTheme="minorEastAsia" w:hAnsiTheme="minorEastAsia" w:eastAsiaTheme="minorEastAsia"/>
                <w:color w:val="auto"/>
                <w:sz w:val="24"/>
                <w:szCs w:val="24"/>
                <w:highlight w:val="none"/>
                <w:lang w:val="zh-CN"/>
              </w:rPr>
              <w:t>202</w:t>
            </w:r>
            <w:r>
              <w:rPr>
                <w:rFonts w:hint="eastAsia" w:cs="宋体" w:asciiTheme="minorEastAsia" w:hAnsiTheme="minorEastAsia" w:eastAsiaTheme="minorEastAsia"/>
                <w:color w:val="auto"/>
                <w:sz w:val="24"/>
                <w:szCs w:val="24"/>
                <w:highlight w:val="none"/>
              </w:rPr>
              <w:t>6</w:t>
            </w:r>
            <w:r>
              <w:rPr>
                <w:rFonts w:hint="eastAsia" w:cs="宋体" w:asciiTheme="minorEastAsia" w:hAnsiTheme="minorEastAsia" w:eastAsiaTheme="minorEastAsia"/>
                <w:color w:val="auto"/>
                <w:sz w:val="24"/>
                <w:szCs w:val="24"/>
                <w:highlight w:val="none"/>
                <w:lang w:val="zh-CN"/>
              </w:rPr>
              <w:t>年</w:t>
            </w:r>
            <w:r>
              <w:rPr>
                <w:rFonts w:hint="eastAsia" w:cs="宋体" w:asciiTheme="minorEastAsia" w:hAnsiTheme="minorEastAsia" w:eastAsiaTheme="minorEastAsia"/>
                <w:color w:val="auto"/>
                <w:sz w:val="24"/>
                <w:szCs w:val="24"/>
                <w:highlight w:val="none"/>
                <w:lang w:val="en-US" w:eastAsia="zh-CN"/>
              </w:rPr>
              <w:t>8</w:t>
            </w:r>
            <w:r>
              <w:rPr>
                <w:rFonts w:hint="eastAsia" w:cs="宋体" w:asciiTheme="minorEastAsia" w:hAnsiTheme="minorEastAsia" w:eastAsiaTheme="minorEastAsia"/>
                <w:color w:val="auto"/>
                <w:sz w:val="24"/>
                <w:szCs w:val="24"/>
                <w:highlight w:val="none"/>
                <w:lang w:val="zh-CN"/>
              </w:rPr>
              <w:t>月</w:t>
            </w:r>
            <w:r>
              <w:rPr>
                <w:rFonts w:hint="eastAsia" w:cs="宋体" w:asciiTheme="minorEastAsia" w:hAnsiTheme="minorEastAsia" w:eastAsiaTheme="minorEastAsia"/>
                <w:color w:val="auto"/>
                <w:sz w:val="24"/>
                <w:szCs w:val="24"/>
                <w:highlight w:val="none"/>
                <w:lang w:val="en-US" w:eastAsia="zh-CN"/>
              </w:rPr>
              <w:t>18</w:t>
            </w:r>
            <w:r>
              <w:rPr>
                <w:rFonts w:hint="eastAsia" w:cs="宋体" w:asciiTheme="minorEastAsia" w:hAnsiTheme="minorEastAsia" w:eastAsiaTheme="minorEastAsia"/>
                <w:color w:val="auto"/>
                <w:sz w:val="24"/>
                <w:szCs w:val="24"/>
                <w:highlight w:val="none"/>
                <w:lang w:val="zh-CN"/>
              </w:rPr>
              <w:t>日</w:t>
            </w:r>
          </w:p>
          <w:p w14:paraId="71D384D3">
            <w:pPr>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评审地点：</w:t>
            </w:r>
            <w:r>
              <w:rPr>
                <w:rFonts w:hint="eastAsia" w:ascii="宋体" w:hAnsi="宋体" w:cs="宋体"/>
                <w:bCs/>
                <w:color w:val="auto"/>
                <w:sz w:val="24"/>
                <w:szCs w:val="24"/>
                <w:highlight w:val="none"/>
              </w:rPr>
              <w:t>无锡市惠山区政和大道209号住建局大楼4楼评标室</w:t>
            </w:r>
          </w:p>
        </w:tc>
      </w:tr>
      <w:tr w14:paraId="7D260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1A3BC865">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0</w:t>
            </w:r>
          </w:p>
        </w:tc>
        <w:tc>
          <w:tcPr>
            <w:tcW w:w="8738" w:type="dxa"/>
            <w:vAlign w:val="center"/>
          </w:tcPr>
          <w:p w14:paraId="02837A80">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确定中标有关信息：</w:t>
            </w:r>
          </w:p>
          <w:p w14:paraId="08FF2FA2">
            <w:pPr>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确定中标单位时间：</w:t>
            </w:r>
            <w:r>
              <w:rPr>
                <w:rFonts w:hint="eastAsia" w:cs="宋体" w:asciiTheme="minorEastAsia" w:hAnsiTheme="minorEastAsia" w:eastAsiaTheme="minorEastAsia"/>
                <w:color w:val="auto"/>
                <w:sz w:val="24"/>
                <w:szCs w:val="24"/>
                <w:highlight w:val="none"/>
                <w:lang w:val="zh-CN"/>
              </w:rPr>
              <w:t>202</w:t>
            </w:r>
            <w:r>
              <w:rPr>
                <w:rFonts w:hint="eastAsia" w:cs="宋体" w:asciiTheme="minorEastAsia" w:hAnsiTheme="minorEastAsia" w:eastAsiaTheme="minorEastAsia"/>
                <w:color w:val="auto"/>
                <w:sz w:val="24"/>
                <w:szCs w:val="24"/>
                <w:highlight w:val="none"/>
              </w:rPr>
              <w:t>6</w:t>
            </w:r>
            <w:r>
              <w:rPr>
                <w:rFonts w:hint="eastAsia" w:cs="宋体" w:asciiTheme="minorEastAsia" w:hAnsiTheme="minorEastAsia" w:eastAsiaTheme="minorEastAsia"/>
                <w:color w:val="auto"/>
                <w:sz w:val="24"/>
                <w:szCs w:val="24"/>
                <w:highlight w:val="none"/>
                <w:lang w:val="zh-CN"/>
              </w:rPr>
              <w:t>年</w:t>
            </w:r>
            <w:r>
              <w:rPr>
                <w:rFonts w:hint="eastAsia" w:cs="宋体" w:asciiTheme="minorEastAsia" w:hAnsiTheme="minorEastAsia" w:eastAsiaTheme="minorEastAsia"/>
                <w:color w:val="auto"/>
                <w:sz w:val="24"/>
                <w:szCs w:val="24"/>
                <w:highlight w:val="none"/>
                <w:lang w:val="en-US" w:eastAsia="zh-CN"/>
              </w:rPr>
              <w:t>8</w:t>
            </w:r>
            <w:r>
              <w:rPr>
                <w:rFonts w:hint="eastAsia" w:cs="宋体" w:asciiTheme="minorEastAsia" w:hAnsiTheme="minorEastAsia" w:eastAsiaTheme="minorEastAsia"/>
                <w:color w:val="auto"/>
                <w:sz w:val="24"/>
                <w:szCs w:val="24"/>
                <w:highlight w:val="none"/>
                <w:lang w:val="zh-CN"/>
              </w:rPr>
              <w:t>月</w:t>
            </w:r>
            <w:r>
              <w:rPr>
                <w:rFonts w:hint="eastAsia" w:cs="宋体" w:asciiTheme="minorEastAsia" w:hAnsiTheme="minorEastAsia" w:eastAsiaTheme="minorEastAsia"/>
                <w:color w:val="auto"/>
                <w:sz w:val="24"/>
                <w:szCs w:val="24"/>
                <w:highlight w:val="none"/>
                <w:lang w:val="en-US" w:eastAsia="zh-CN"/>
              </w:rPr>
              <w:t>18</w:t>
            </w:r>
            <w:r>
              <w:rPr>
                <w:rFonts w:hint="eastAsia" w:cs="宋体" w:asciiTheme="minorEastAsia" w:hAnsiTheme="minorEastAsia" w:eastAsiaTheme="minorEastAsia"/>
                <w:color w:val="auto"/>
                <w:sz w:val="24"/>
                <w:szCs w:val="24"/>
                <w:highlight w:val="none"/>
                <w:lang w:val="zh-CN"/>
              </w:rPr>
              <w:t>日</w:t>
            </w:r>
          </w:p>
          <w:p w14:paraId="40D316FF">
            <w:pPr>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评审地点：</w:t>
            </w:r>
            <w:r>
              <w:rPr>
                <w:rFonts w:hint="eastAsia" w:ascii="宋体" w:hAnsi="宋体" w:cs="宋体"/>
                <w:bCs/>
                <w:color w:val="auto"/>
                <w:sz w:val="24"/>
                <w:szCs w:val="24"/>
                <w:highlight w:val="none"/>
              </w:rPr>
              <w:t>无锡市惠山区政和大道209号住建局大楼4楼评标室</w:t>
            </w:r>
          </w:p>
        </w:tc>
      </w:tr>
      <w:tr w14:paraId="2DF82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36FA8002">
            <w:pPr>
              <w:spacing w:line="360" w:lineRule="auto"/>
              <w:jc w:val="center"/>
              <w:rPr>
                <w:rFonts w:ascii="宋体" w:hAnsi="宋体"/>
                <w:bCs/>
                <w:color w:val="auto"/>
                <w:sz w:val="24"/>
                <w:szCs w:val="24"/>
                <w:highlight w:val="none"/>
              </w:rPr>
            </w:pPr>
            <w:r>
              <w:rPr>
                <w:rFonts w:ascii="宋体" w:hAnsi="宋体"/>
                <w:bCs/>
                <w:color w:val="auto"/>
                <w:sz w:val="24"/>
                <w:szCs w:val="24"/>
                <w:highlight w:val="none"/>
              </w:rPr>
              <w:t>11</w:t>
            </w:r>
          </w:p>
        </w:tc>
        <w:tc>
          <w:tcPr>
            <w:tcW w:w="8738" w:type="dxa"/>
          </w:tcPr>
          <w:p w14:paraId="430DA3B8">
            <w:pPr>
              <w:spacing w:line="360" w:lineRule="auto"/>
              <w:rPr>
                <w:rFonts w:ascii="宋体" w:hAnsi="宋体"/>
                <w:color w:val="auto"/>
                <w:sz w:val="24"/>
                <w:szCs w:val="24"/>
                <w:highlight w:val="none"/>
              </w:rPr>
            </w:pPr>
            <w:r>
              <w:rPr>
                <w:rFonts w:hint="eastAsia" w:ascii="宋体" w:hAnsi="宋体" w:cs="宋体"/>
                <w:b/>
                <w:bCs/>
                <w:color w:val="auto"/>
                <w:sz w:val="24"/>
                <w:highlight w:val="none"/>
              </w:rPr>
              <w:t>投标文件制作要求：</w:t>
            </w:r>
          </w:p>
          <w:p w14:paraId="7D4E9F42">
            <w:pPr>
              <w:spacing w:line="360" w:lineRule="auto"/>
              <w:rPr>
                <w:rFonts w:ascii="宋体" w:hAnsi="宋体"/>
                <w:color w:val="auto"/>
                <w:sz w:val="24"/>
                <w:szCs w:val="24"/>
                <w:highlight w:val="none"/>
              </w:rPr>
            </w:pPr>
            <w:r>
              <w:rPr>
                <w:rFonts w:hint="eastAsia" w:ascii="宋体" w:hAnsi="宋体"/>
                <w:color w:val="auto"/>
                <w:sz w:val="24"/>
                <w:szCs w:val="24"/>
                <w:highlight w:val="none"/>
              </w:rPr>
              <w:t>1.因本项目作为采用线上电子开评标</w:t>
            </w:r>
            <w:r>
              <w:rPr>
                <w:rFonts w:hint="eastAsia" w:ascii="宋体" w:hAnsi="宋体"/>
                <w:b/>
                <w:bCs/>
                <w:color w:val="auto"/>
                <w:sz w:val="24"/>
                <w:szCs w:val="24"/>
                <w:highlight w:val="none"/>
              </w:rPr>
              <w:t>（网上不见面开标）</w:t>
            </w:r>
            <w:r>
              <w:rPr>
                <w:rFonts w:hint="eastAsia" w:ascii="宋体" w:hAnsi="宋体"/>
                <w:color w:val="auto"/>
                <w:sz w:val="24"/>
                <w:szCs w:val="24"/>
                <w:highlight w:val="none"/>
              </w:rPr>
              <w:t>，供应商在苏采云系统规定的时间内对投标文件进行解密。</w:t>
            </w:r>
          </w:p>
          <w:p w14:paraId="4C40A9E0">
            <w:pPr>
              <w:spacing w:line="360" w:lineRule="auto"/>
              <w:rPr>
                <w:rFonts w:ascii="宋体" w:hAnsi="宋体"/>
                <w:b/>
                <w:bCs/>
                <w:color w:val="auto"/>
                <w:sz w:val="24"/>
                <w:szCs w:val="24"/>
                <w:highlight w:val="none"/>
              </w:rPr>
            </w:pPr>
            <w:r>
              <w:rPr>
                <w:rFonts w:ascii="宋体" w:hAnsi="宋体"/>
                <w:b/>
                <w:bCs/>
                <w:color w:val="auto"/>
                <w:sz w:val="24"/>
                <w:szCs w:val="24"/>
                <w:highlight w:val="none"/>
              </w:rPr>
              <w:t>2</w:t>
            </w:r>
            <w:r>
              <w:rPr>
                <w:rFonts w:hint="eastAsia" w:ascii="宋体" w:hAnsi="宋体"/>
                <w:b/>
                <w:bCs/>
                <w:color w:val="auto"/>
                <w:sz w:val="24"/>
                <w:szCs w:val="24"/>
                <w:highlight w:val="none"/>
              </w:rPr>
              <w:t>.中标供应商在收到中标通知书后与采购人签订合同前，必须提供与系统中电子投标文件一致的纸质投标文件一式两份。</w:t>
            </w:r>
          </w:p>
          <w:p w14:paraId="67C1DCCD">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3</w:t>
            </w:r>
            <w:r>
              <w:rPr>
                <w:rFonts w:hint="eastAsia" w:ascii="宋体" w:hAnsi="宋体" w:cs="宋体"/>
                <w:b/>
                <w:bCs/>
                <w:color w:val="auto"/>
                <w:sz w:val="24"/>
                <w:szCs w:val="24"/>
                <w:highlight w:val="none"/>
              </w:rPr>
              <w:t>.供应商请仔细阅读供应商注册流程和公开招标文件中关于电子开评标等相关事项，如有问题可发送邮件或移动电话咨询。</w:t>
            </w:r>
          </w:p>
          <w:p w14:paraId="134089EE">
            <w:pPr>
              <w:spacing w:line="360" w:lineRule="auto"/>
              <w:rPr>
                <w:rFonts w:ascii="宋体" w:hAnsi="宋体"/>
                <w:bCs/>
                <w:color w:val="auto"/>
                <w:sz w:val="24"/>
                <w:szCs w:val="24"/>
                <w:highlight w:val="none"/>
              </w:rPr>
            </w:pPr>
            <w:r>
              <w:rPr>
                <w:rFonts w:ascii="宋体" w:hAnsi="宋体" w:cs="宋体"/>
                <w:b/>
                <w:bCs/>
                <w:color w:val="auto"/>
                <w:sz w:val="24"/>
                <w:szCs w:val="24"/>
                <w:highlight w:val="none"/>
              </w:rPr>
              <w:t>4.</w:t>
            </w:r>
            <w:r>
              <w:rPr>
                <w:rFonts w:hint="eastAsia" w:ascii="宋体" w:hAnsi="宋体" w:cs="宋体"/>
                <w:b/>
                <w:bCs/>
                <w:color w:val="auto"/>
                <w:sz w:val="24"/>
                <w:szCs w:val="24"/>
                <w:highlight w:val="none"/>
              </w:rPr>
              <w:t>本次采购采用“苏采云”系统进行采购活动，招标文件发布、报价、评审和中标结果发布全程电子化。</w:t>
            </w:r>
          </w:p>
        </w:tc>
      </w:tr>
      <w:tr w14:paraId="0D1E2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230AE6BE">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2</w:t>
            </w:r>
          </w:p>
        </w:tc>
        <w:tc>
          <w:tcPr>
            <w:tcW w:w="8738" w:type="dxa"/>
            <w:tcBorders>
              <w:top w:val="single" w:color="auto" w:sz="4" w:space="0"/>
              <w:left w:val="single" w:color="auto" w:sz="4" w:space="0"/>
              <w:bottom w:val="single" w:color="auto" w:sz="4" w:space="0"/>
              <w:right w:val="single" w:color="auto" w:sz="4" w:space="0"/>
            </w:tcBorders>
          </w:tcPr>
          <w:p w14:paraId="7442C297">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特别提醒：</w:t>
            </w:r>
          </w:p>
          <w:p w14:paraId="40300434">
            <w:pPr>
              <w:spacing w:line="360" w:lineRule="auto"/>
              <w:rPr>
                <w:rFonts w:ascii="宋体" w:hAnsi="宋体" w:cs="宋体"/>
                <w:b/>
                <w:bCs/>
                <w:color w:val="auto"/>
                <w:sz w:val="24"/>
                <w:highlight w:val="none"/>
              </w:rPr>
            </w:pPr>
            <w:r>
              <w:rPr>
                <w:rFonts w:hint="eastAsia" w:ascii="宋体" w:hAnsi="宋体" w:cs="宋体"/>
                <w:b/>
                <w:bCs/>
                <w:color w:val="auto"/>
                <w:sz w:val="24"/>
                <w:szCs w:val="24"/>
                <w:highlight w:val="none"/>
              </w:rPr>
              <w:t>若资格审查中或评审过程中，采购人/代理机构/评标委员会对投标文件存在疑问，投标供应商被授权代表须在接到在线询标函后30分钟内，在开标界面在线以澄清函回复并加盖公章或签电子公章；若投标供应商被授权代表未在规定时间内按上述要求作出回复，则视为投标供应商默认资审结果或评审结果。</w:t>
            </w:r>
          </w:p>
        </w:tc>
      </w:tr>
      <w:tr w14:paraId="54D57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58E675BD">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3</w:t>
            </w:r>
          </w:p>
        </w:tc>
        <w:tc>
          <w:tcPr>
            <w:tcW w:w="8738" w:type="dxa"/>
            <w:tcBorders>
              <w:top w:val="single" w:color="auto" w:sz="4" w:space="0"/>
              <w:left w:val="single" w:color="auto" w:sz="4" w:space="0"/>
              <w:bottom w:val="single" w:color="auto" w:sz="4" w:space="0"/>
              <w:right w:val="single" w:color="auto" w:sz="4" w:space="0"/>
            </w:tcBorders>
          </w:tcPr>
          <w:p w14:paraId="1C3FC0D5">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评标委员会组成：评标委员会成员人数为5人（含）以上单数，由采购人依法组建。</w:t>
            </w:r>
          </w:p>
        </w:tc>
      </w:tr>
      <w:tr w14:paraId="6D388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735" w:type="dxa"/>
            <w:vAlign w:val="center"/>
          </w:tcPr>
          <w:p w14:paraId="1C61FE2B">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4</w:t>
            </w:r>
          </w:p>
        </w:tc>
        <w:tc>
          <w:tcPr>
            <w:tcW w:w="8738" w:type="dxa"/>
          </w:tcPr>
          <w:p w14:paraId="76607369">
            <w:pPr>
              <w:spacing w:line="360" w:lineRule="auto"/>
              <w:rPr>
                <w:rFonts w:ascii="宋体" w:hAnsi="宋体"/>
                <w:color w:val="auto"/>
                <w:sz w:val="24"/>
                <w:szCs w:val="24"/>
                <w:highlight w:val="none"/>
              </w:rPr>
            </w:pPr>
            <w:r>
              <w:rPr>
                <w:rFonts w:hint="eastAsia" w:ascii="宋体" w:hAnsi="宋体"/>
                <w:b/>
                <w:color w:val="auto"/>
                <w:sz w:val="24"/>
                <w:szCs w:val="24"/>
                <w:highlight w:val="none"/>
              </w:rPr>
              <w:t>评标方法：</w:t>
            </w:r>
            <w:r>
              <w:rPr>
                <w:rFonts w:hint="eastAsia" w:ascii="宋体" w:hAnsi="宋体"/>
                <w:color w:val="auto"/>
                <w:sz w:val="24"/>
                <w:szCs w:val="24"/>
                <w:highlight w:val="none"/>
              </w:rPr>
              <w:t>综合评分法。</w:t>
            </w:r>
          </w:p>
        </w:tc>
      </w:tr>
      <w:tr w14:paraId="25C97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735" w:type="dxa"/>
            <w:vAlign w:val="center"/>
          </w:tcPr>
          <w:p w14:paraId="2BC90271">
            <w:pPr>
              <w:spacing w:line="360" w:lineRule="auto"/>
              <w:jc w:val="center"/>
              <w:rPr>
                <w:rFonts w:ascii="宋体" w:hAnsi="宋体"/>
                <w:color w:val="auto"/>
                <w:sz w:val="24"/>
                <w:szCs w:val="24"/>
                <w:highlight w:val="none"/>
              </w:rPr>
            </w:pPr>
            <w:r>
              <w:rPr>
                <w:rFonts w:ascii="宋体" w:hAnsi="宋体"/>
                <w:color w:val="auto"/>
                <w:sz w:val="24"/>
                <w:szCs w:val="24"/>
                <w:highlight w:val="none"/>
              </w:rPr>
              <w:t>15</w:t>
            </w:r>
          </w:p>
        </w:tc>
        <w:tc>
          <w:tcPr>
            <w:tcW w:w="8738" w:type="dxa"/>
          </w:tcPr>
          <w:p w14:paraId="596F818A">
            <w:pPr>
              <w:spacing w:line="360" w:lineRule="auto"/>
              <w:rPr>
                <w:rFonts w:ascii="宋体" w:hAnsi="宋体"/>
                <w:b/>
                <w:color w:val="auto"/>
                <w:sz w:val="24"/>
                <w:szCs w:val="24"/>
                <w:highlight w:val="none"/>
              </w:rPr>
            </w:pPr>
            <w:r>
              <w:rPr>
                <w:rFonts w:hint="eastAsia" w:ascii="宋体" w:hAnsi="宋体"/>
                <w:b/>
                <w:color w:val="auto"/>
                <w:sz w:val="24"/>
                <w:szCs w:val="24"/>
                <w:highlight w:val="none"/>
              </w:rPr>
              <w:t>中标候选供应商的确定原则及标准：</w:t>
            </w:r>
            <w:r>
              <w:rPr>
                <w:rFonts w:hint="eastAsia" w:ascii="宋体" w:hAnsi="宋体"/>
                <w:color w:val="auto"/>
                <w:sz w:val="24"/>
                <w:szCs w:val="24"/>
                <w:highlight w:val="none"/>
              </w:rPr>
              <w:t>在最大限度满足招标文件实质性要求的前提下，按照招标文件中明确的价格、技术、财务状况、信誉、业绩、服务等因素和评分标准，对每个供应商进行综合评审后，以评审总得分最高的投标供应商作为第一名中标候选供应商。</w:t>
            </w:r>
          </w:p>
        </w:tc>
      </w:tr>
      <w:tr w14:paraId="3938C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vAlign w:val="center"/>
          </w:tcPr>
          <w:p w14:paraId="3D2D33DC">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16</w:t>
            </w:r>
          </w:p>
        </w:tc>
        <w:tc>
          <w:tcPr>
            <w:tcW w:w="8738" w:type="dxa"/>
          </w:tcPr>
          <w:p w14:paraId="0A2B4668">
            <w:pPr>
              <w:spacing w:line="360" w:lineRule="auto"/>
              <w:jc w:val="left"/>
              <w:rPr>
                <w:rFonts w:ascii="宋体" w:hAnsi="宋体" w:cs="宋体"/>
                <w:b/>
                <w:bCs/>
                <w:color w:val="auto"/>
                <w:sz w:val="24"/>
                <w:highlight w:val="none"/>
              </w:rPr>
            </w:pPr>
            <w:r>
              <w:rPr>
                <w:rFonts w:hint="eastAsia" w:ascii="宋体" w:hAnsi="宋体" w:cs="宋体"/>
                <w:b/>
                <w:bCs/>
                <w:color w:val="auto"/>
                <w:sz w:val="24"/>
                <w:highlight w:val="none"/>
              </w:rPr>
              <w:t>投标保证金：</w:t>
            </w:r>
            <w:r>
              <w:rPr>
                <w:rFonts w:hint="eastAsia" w:ascii="宋体" w:hAnsi="宋体" w:cs="宋体"/>
                <w:color w:val="auto"/>
                <w:sz w:val="24"/>
                <w:highlight w:val="none"/>
              </w:rPr>
              <w:t>本项目不收取投标保证金。</w:t>
            </w:r>
          </w:p>
        </w:tc>
      </w:tr>
      <w:tr w14:paraId="56622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vAlign w:val="center"/>
          </w:tcPr>
          <w:p w14:paraId="517EDDC4">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17</w:t>
            </w:r>
          </w:p>
        </w:tc>
        <w:tc>
          <w:tcPr>
            <w:tcW w:w="8738" w:type="dxa"/>
          </w:tcPr>
          <w:p w14:paraId="0B0E8DBC">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履约保证金要求：</w:t>
            </w:r>
          </w:p>
          <w:p w14:paraId="48601D7E">
            <w:pPr>
              <w:spacing w:line="360" w:lineRule="auto"/>
              <w:rPr>
                <w:rFonts w:ascii="宋体" w:hAnsi="宋体" w:cs="宋体"/>
                <w:color w:val="auto"/>
                <w:sz w:val="24"/>
                <w:highlight w:val="none"/>
              </w:rPr>
            </w:pPr>
            <w:r>
              <w:rPr>
                <w:rFonts w:hint="eastAsia" w:ascii="宋体" w:hAnsi="宋体" w:cs="宋体"/>
                <w:color w:val="auto"/>
                <w:sz w:val="24"/>
                <w:highlight w:val="none"/>
              </w:rPr>
              <w:t>1.本项目要求中标供应商递交履约担保。</w:t>
            </w:r>
          </w:p>
          <w:p w14:paraId="2A584D75">
            <w:pPr>
              <w:spacing w:line="360" w:lineRule="auto"/>
              <w:rPr>
                <w:rFonts w:ascii="宋体" w:hAnsi="宋体" w:cs="宋体"/>
                <w:color w:val="auto"/>
                <w:sz w:val="24"/>
                <w:highlight w:val="none"/>
              </w:rPr>
            </w:pPr>
            <w:r>
              <w:rPr>
                <w:rFonts w:hint="eastAsia" w:ascii="宋体" w:hAnsi="宋体" w:cs="宋体"/>
                <w:color w:val="auto"/>
                <w:sz w:val="24"/>
                <w:highlight w:val="none"/>
              </w:rPr>
              <w:t>2.履约担保的形式：银行保函或现金。</w:t>
            </w:r>
          </w:p>
          <w:p w14:paraId="18A03D73">
            <w:pPr>
              <w:spacing w:line="360" w:lineRule="auto"/>
              <w:rPr>
                <w:rFonts w:ascii="宋体" w:hAnsi="宋体" w:cs="宋体"/>
                <w:b/>
                <w:bCs/>
                <w:color w:val="auto"/>
                <w:sz w:val="24"/>
                <w:highlight w:val="none"/>
              </w:rPr>
            </w:pPr>
            <w:r>
              <w:rPr>
                <w:rFonts w:hint="eastAsia" w:ascii="宋体" w:hAnsi="宋体" w:cs="宋体"/>
                <w:color w:val="auto"/>
                <w:sz w:val="24"/>
                <w:highlight w:val="none"/>
              </w:rPr>
              <w:t>3.履约担保的金额：中标总金额的10%,中标供应商应在收到中标通知书后10日内向采购人足额提交履约担保。</w:t>
            </w:r>
          </w:p>
        </w:tc>
      </w:tr>
      <w:tr w14:paraId="424F9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vAlign w:val="center"/>
          </w:tcPr>
          <w:p w14:paraId="0E153299">
            <w:pPr>
              <w:spacing w:line="360" w:lineRule="auto"/>
              <w:jc w:val="center"/>
              <w:rPr>
                <w:rFonts w:ascii="宋体" w:hAnsi="宋体"/>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rPr>
              <w:t>8</w:t>
            </w:r>
          </w:p>
        </w:tc>
        <w:tc>
          <w:tcPr>
            <w:tcW w:w="8738" w:type="dxa"/>
            <w:tcBorders>
              <w:top w:val="single" w:color="auto" w:sz="4" w:space="0"/>
              <w:left w:val="single" w:color="auto" w:sz="4" w:space="0"/>
              <w:bottom w:val="single" w:color="auto" w:sz="4" w:space="0"/>
              <w:right w:val="single" w:color="auto" w:sz="4" w:space="0"/>
            </w:tcBorders>
          </w:tcPr>
          <w:p w14:paraId="5E42C36A">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本项目监督管理部门：无锡市惠山区财政局</w:t>
            </w:r>
          </w:p>
        </w:tc>
      </w:tr>
      <w:tr w14:paraId="761ED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735" w:type="dxa"/>
            <w:vAlign w:val="center"/>
          </w:tcPr>
          <w:p w14:paraId="0352DDCF">
            <w:pPr>
              <w:spacing w:line="360" w:lineRule="auto"/>
              <w:jc w:val="center"/>
              <w:rPr>
                <w:rFonts w:ascii="宋体" w:hAnsi="宋体"/>
                <w:color w:val="auto"/>
                <w:sz w:val="24"/>
                <w:szCs w:val="24"/>
                <w:highlight w:val="none"/>
              </w:rPr>
            </w:pPr>
            <w:r>
              <w:rPr>
                <w:rFonts w:hint="eastAsia" w:ascii="宋体" w:hAnsi="宋体"/>
                <w:bCs/>
                <w:color w:val="auto"/>
                <w:sz w:val="24"/>
                <w:szCs w:val="24"/>
                <w:highlight w:val="none"/>
              </w:rPr>
              <w:t>19</w:t>
            </w:r>
          </w:p>
        </w:tc>
        <w:tc>
          <w:tcPr>
            <w:tcW w:w="8738" w:type="dxa"/>
          </w:tcPr>
          <w:p w14:paraId="1D13F637">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凡对本次采购提出询问，请按以下方式联系：</w:t>
            </w:r>
          </w:p>
          <w:p w14:paraId="21D94F50">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1.采 购 人：无锡市惠山区阳山镇人民政府</w:t>
            </w:r>
          </w:p>
          <w:p w14:paraId="28C46470">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联系人：金唯新、蔡婉琳</w:t>
            </w:r>
          </w:p>
          <w:p w14:paraId="114DF542">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联系电话：0510-83959066</w:t>
            </w:r>
          </w:p>
          <w:p w14:paraId="76C68CE9">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联系地址：江苏省无锡市惠山区人民西路12号</w:t>
            </w:r>
          </w:p>
          <w:p w14:paraId="3A18BFBB">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2.采购代理机构：江苏长卓项目管理咨询有限公司</w:t>
            </w:r>
          </w:p>
          <w:p w14:paraId="628030CA">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统一社会信用代码：91320206MACMB5MJ8G</w:t>
            </w:r>
          </w:p>
          <w:p w14:paraId="6ADC96A3">
            <w:pPr>
              <w:spacing w:line="360" w:lineRule="auto"/>
              <w:rPr>
                <w:color w:val="auto"/>
                <w:highlight w:val="none"/>
              </w:rPr>
            </w:pPr>
            <w:r>
              <w:rPr>
                <w:rFonts w:hint="eastAsia" w:ascii="宋体" w:hAnsi="宋体"/>
                <w:bCs/>
                <w:color w:val="auto"/>
                <w:sz w:val="24"/>
                <w:szCs w:val="24"/>
                <w:highlight w:val="none"/>
              </w:rPr>
              <w:t>联系人：张一、汪雪青、朱晴怡、张娜</w:t>
            </w:r>
          </w:p>
          <w:p w14:paraId="2B8BE294">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联系电话：</w:t>
            </w:r>
            <w:r>
              <w:rPr>
                <w:rFonts w:ascii="宋体" w:hAnsi="宋体"/>
                <w:bCs/>
                <w:color w:val="auto"/>
                <w:sz w:val="24"/>
                <w:szCs w:val="24"/>
                <w:highlight w:val="none"/>
              </w:rPr>
              <w:t>0510-</w:t>
            </w:r>
            <w:r>
              <w:rPr>
                <w:rFonts w:hint="eastAsia" w:ascii="宋体" w:hAnsi="宋体"/>
                <w:bCs/>
                <w:color w:val="auto"/>
                <w:sz w:val="24"/>
                <w:szCs w:val="24"/>
                <w:highlight w:val="none"/>
              </w:rPr>
              <w:t>83587133、13814867392</w:t>
            </w:r>
          </w:p>
          <w:p w14:paraId="308008E1">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邮箱：464474819@qq.com</w:t>
            </w:r>
          </w:p>
          <w:p w14:paraId="3AE173A9">
            <w:pPr>
              <w:spacing w:line="360" w:lineRule="auto"/>
              <w:rPr>
                <w:rFonts w:ascii="宋体" w:hAnsi="宋体" w:cs="宋体"/>
                <w:b/>
                <w:bCs/>
                <w:color w:val="auto"/>
                <w:sz w:val="24"/>
                <w:highlight w:val="none"/>
              </w:rPr>
            </w:pPr>
            <w:r>
              <w:rPr>
                <w:rFonts w:hint="eastAsia" w:ascii="宋体" w:hAnsi="宋体"/>
                <w:bCs/>
                <w:color w:val="auto"/>
                <w:sz w:val="24"/>
                <w:szCs w:val="24"/>
                <w:highlight w:val="none"/>
              </w:rPr>
              <w:t>联系地址：无锡市惠山区清华创业大厦B栋904室</w:t>
            </w:r>
          </w:p>
        </w:tc>
      </w:tr>
      <w:tr w14:paraId="124DF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735" w:type="dxa"/>
            <w:vAlign w:val="center"/>
          </w:tcPr>
          <w:p w14:paraId="195098B8">
            <w:pPr>
              <w:spacing w:line="360" w:lineRule="auto"/>
              <w:jc w:val="center"/>
              <w:rPr>
                <w:rFonts w:ascii="宋体" w:hAnsi="宋体"/>
                <w:bCs/>
                <w:color w:val="auto"/>
                <w:sz w:val="24"/>
                <w:szCs w:val="24"/>
                <w:highlight w:val="none"/>
              </w:rPr>
            </w:pPr>
            <w:r>
              <w:rPr>
                <w:rFonts w:ascii="宋体" w:hAnsi="宋体"/>
                <w:bCs/>
                <w:color w:val="auto"/>
                <w:sz w:val="24"/>
                <w:szCs w:val="24"/>
                <w:highlight w:val="none"/>
              </w:rPr>
              <w:t>2</w:t>
            </w:r>
            <w:r>
              <w:rPr>
                <w:rFonts w:hint="eastAsia" w:ascii="宋体" w:hAnsi="宋体"/>
                <w:bCs/>
                <w:color w:val="auto"/>
                <w:sz w:val="24"/>
                <w:szCs w:val="24"/>
                <w:highlight w:val="none"/>
              </w:rPr>
              <w:t>0</w:t>
            </w:r>
          </w:p>
        </w:tc>
        <w:tc>
          <w:tcPr>
            <w:tcW w:w="8738" w:type="dxa"/>
          </w:tcPr>
          <w:p w14:paraId="43FF7B9F">
            <w:pPr>
              <w:widowControl/>
              <w:spacing w:line="360" w:lineRule="auto"/>
              <w:rPr>
                <w:b/>
                <w:bCs/>
                <w:color w:val="auto"/>
                <w:sz w:val="24"/>
                <w:szCs w:val="32"/>
                <w:highlight w:val="none"/>
              </w:rPr>
            </w:pPr>
            <w:r>
              <w:rPr>
                <w:rFonts w:hint="eastAsia"/>
                <w:b/>
                <w:bCs/>
                <w:color w:val="auto"/>
                <w:sz w:val="24"/>
                <w:szCs w:val="32"/>
                <w:highlight w:val="none"/>
              </w:rPr>
              <w:t>根据采购项目特点或政策需要补充的其他新增内容：</w:t>
            </w:r>
          </w:p>
          <w:p w14:paraId="3B36661E">
            <w:pPr>
              <w:widowControl/>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w:t>
            </w:r>
            <w:r>
              <w:rPr>
                <w:rFonts w:ascii="宋体" w:hAnsi="宋体" w:cs="宋体"/>
                <w:color w:val="auto"/>
                <w:sz w:val="24"/>
                <w:szCs w:val="24"/>
                <w:highlight w:val="none"/>
              </w:rPr>
              <w:t>.</w:t>
            </w:r>
            <w:r>
              <w:rPr>
                <w:rFonts w:hint="eastAsia" w:ascii="宋体" w:hAnsi="宋体" w:cs="宋体"/>
                <w:color w:val="auto"/>
                <w:sz w:val="24"/>
                <w:szCs w:val="24"/>
                <w:highlight w:val="none"/>
              </w:rPr>
              <w:t>除招标文件中有特殊要求外：投标文件中所使用的计量单位，应采用中华人民共和国法定计量单位及通用图形符号；投标语言：中文（有关产品型号、专用名词等可除外）；投标币种：人民币。</w:t>
            </w:r>
          </w:p>
          <w:p w14:paraId="30F86132">
            <w:pPr>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rPr>
              <w:t>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p>
          <w:p w14:paraId="43B57BE7">
            <w:pPr>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rPr>
              <w:t>投标供应商不得有下列法律禁止的行为，情节严重的由有权机关依法追究其法律责任：</w:t>
            </w:r>
          </w:p>
          <w:p w14:paraId="245F245C">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（1）采取不正当手段诋毁、排挤其他供应商的；</w:t>
            </w:r>
          </w:p>
          <w:p w14:paraId="7102B649">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（2）与采购人、其他供应商或者采购代理机构恶意串通的；</w:t>
            </w:r>
          </w:p>
          <w:p w14:paraId="1017F8B2">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（3）向采购人、代理机构、评标委员会行贿或者提供其他不正当利益的； </w:t>
            </w:r>
          </w:p>
          <w:p w14:paraId="02AC86FB">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（4）以他人名义投标或者其他方式弄虚作假，骗取中标；</w:t>
            </w:r>
          </w:p>
          <w:p w14:paraId="2FC2F525">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（5）在采购过程中与采购人进行协商谈判的；</w:t>
            </w:r>
          </w:p>
          <w:p w14:paraId="65435B7E">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（6）提供虚假证明材料谋取中标的；</w:t>
            </w:r>
          </w:p>
          <w:p w14:paraId="6419D374">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（7）中标后无正当理由拒不与采购人签订合同的；</w:t>
            </w:r>
          </w:p>
          <w:p w14:paraId="4DD1EB72">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（8）未按照招标文件确定的事项签订合同；</w:t>
            </w:r>
          </w:p>
          <w:p w14:paraId="09425A3F">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（9）将采购合同转包；</w:t>
            </w:r>
          </w:p>
          <w:p w14:paraId="518CD098">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（10）擅自变更、中止或者终止采购合同；</w:t>
            </w:r>
          </w:p>
          <w:p w14:paraId="222B296B">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（11）拒绝有关部门监督检查或者提供虚假情况的。</w:t>
            </w:r>
          </w:p>
          <w:p w14:paraId="6CE0AB4F">
            <w:pPr>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4.</w:t>
            </w:r>
            <w:r>
              <w:rPr>
                <w:rFonts w:hint="eastAsia" w:ascii="宋体" w:hAnsi="宋体" w:cs="宋体"/>
                <w:color w:val="auto"/>
                <w:sz w:val="24"/>
                <w:szCs w:val="24"/>
                <w:highlight w:val="none"/>
              </w:rPr>
              <w:t>本次采购属于服务类政府采购，采购人、代理机构、投标供应商、评标委员会的相关行为均受</w:t>
            </w:r>
            <w:bookmarkStart w:id="6" w:name="_Hlk127308831"/>
            <w:r>
              <w:rPr>
                <w:rFonts w:hint="eastAsia" w:ascii="宋体" w:hAnsi="宋体" w:cs="宋体"/>
                <w:color w:val="auto"/>
                <w:sz w:val="24"/>
                <w:szCs w:val="24"/>
                <w:highlight w:val="none"/>
              </w:rPr>
              <w:t>《中华人民共和国政府采购法》《中华人民共和国政府采购法实施条例》、财政部规章以及政府采购项目所在地有关法律</w:t>
            </w:r>
            <w:bookmarkEnd w:id="6"/>
            <w:r>
              <w:rPr>
                <w:rFonts w:hint="eastAsia" w:ascii="宋体" w:hAnsi="宋体" w:cs="宋体"/>
                <w:color w:val="auto"/>
                <w:sz w:val="24"/>
                <w:szCs w:val="24"/>
                <w:highlight w:val="none"/>
              </w:rPr>
              <w:t>的约束，其权利受到上述法律法规的保护。</w:t>
            </w:r>
          </w:p>
          <w:p w14:paraId="0218F3CF">
            <w:pPr>
              <w:spacing w:line="360" w:lineRule="auto"/>
              <w:ind w:firstLine="480"/>
              <w:rPr>
                <w:color w:val="auto"/>
                <w:highlight w:val="none"/>
              </w:rPr>
            </w:pPr>
            <w:r>
              <w:rPr>
                <w:rFonts w:hint="eastAsia" w:ascii="宋体" w:hAnsi="宋体" w:cs="宋体"/>
                <w:color w:val="auto"/>
                <w:sz w:val="24"/>
                <w:szCs w:val="24"/>
                <w:highlight w:val="none"/>
              </w:rPr>
              <w:t>5.根据《国务院办公厅关于在政府采购中实施本国产品标准及相关政策的通知》（国办发。〔2025〕34号）和《关于贯彻落实〈国务院办公厅关于在政府采购中实施本国产品标准及相关政策的通知〉的意见》（财库〔2025〕30号），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tc>
      </w:tr>
    </w:tbl>
    <w:p w14:paraId="53A1752E">
      <w:pPr>
        <w:pStyle w:val="63"/>
        <w:spacing w:before="0" w:after="0" w:line="360" w:lineRule="auto"/>
        <w:jc w:val="both"/>
        <w:outlineLvl w:val="9"/>
        <w:rPr>
          <w:color w:val="auto"/>
          <w:highlight w:val="none"/>
        </w:rPr>
      </w:pPr>
      <w:bookmarkStart w:id="7" w:name="二．报价方须知"/>
      <w:bookmarkEnd w:id="7"/>
      <w:bookmarkStart w:id="8" w:name="_Toc116946287"/>
      <w:bookmarkStart w:id="9" w:name="_Toc35780494"/>
      <w:bookmarkStart w:id="10" w:name="_Toc39873211"/>
      <w:bookmarkStart w:id="11" w:name="_Toc36850784"/>
      <w:bookmarkStart w:id="12" w:name="_Hlk51102776"/>
      <w:bookmarkStart w:id="13" w:name="_Toc35780505"/>
    </w:p>
    <w:p w14:paraId="74193C53">
      <w:pPr>
        <w:pStyle w:val="63"/>
        <w:spacing w:before="0" w:after="0" w:line="360" w:lineRule="auto"/>
        <w:outlineLvl w:val="9"/>
        <w:rPr>
          <w:color w:val="auto"/>
          <w:highlight w:val="none"/>
        </w:rPr>
      </w:pPr>
    </w:p>
    <w:p w14:paraId="43BA0882">
      <w:pPr>
        <w:pStyle w:val="63"/>
        <w:spacing w:before="0" w:after="0" w:line="360" w:lineRule="auto"/>
        <w:rPr>
          <w:color w:val="auto"/>
          <w:highlight w:val="none"/>
        </w:rPr>
      </w:pPr>
      <w:r>
        <w:rPr>
          <w:rFonts w:hint="eastAsia"/>
          <w:color w:val="auto"/>
          <w:highlight w:val="none"/>
        </w:rPr>
        <w:t>二、投标供应商须知</w:t>
      </w:r>
      <w:bookmarkEnd w:id="8"/>
      <w:bookmarkEnd w:id="9"/>
    </w:p>
    <w:p w14:paraId="52E528D6">
      <w:pPr>
        <w:tabs>
          <w:tab w:val="left" w:pos="945"/>
        </w:tabs>
        <w:spacing w:line="360" w:lineRule="auto"/>
        <w:ind w:firstLine="482"/>
        <w:outlineLvl w:val="0"/>
        <w:rPr>
          <w:rFonts w:ascii="宋体" w:hAnsi="宋体"/>
          <w:b/>
          <w:color w:val="auto"/>
          <w:sz w:val="24"/>
          <w:szCs w:val="24"/>
          <w:highlight w:val="none"/>
        </w:rPr>
      </w:pPr>
      <w:bookmarkStart w:id="14" w:name="_Toc116946288"/>
      <w:bookmarkStart w:id="15" w:name="_Toc98277324"/>
      <w:bookmarkStart w:id="16" w:name="_Toc39873202"/>
      <w:bookmarkStart w:id="17" w:name="_Toc35780495"/>
      <w:r>
        <w:rPr>
          <w:rFonts w:hint="eastAsia" w:ascii="宋体" w:hAnsi="宋体"/>
          <w:b/>
          <w:color w:val="auto"/>
          <w:sz w:val="24"/>
          <w:szCs w:val="24"/>
          <w:highlight w:val="none"/>
        </w:rPr>
        <w:t>（一）遵循原则：</w:t>
      </w:r>
      <w:bookmarkEnd w:id="14"/>
      <w:bookmarkEnd w:id="15"/>
      <w:bookmarkEnd w:id="16"/>
      <w:bookmarkEnd w:id="17"/>
    </w:p>
    <w:p w14:paraId="3C5C69C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公开透明原则、公平竞争原则、公正原则和诚实信用原则。</w:t>
      </w:r>
    </w:p>
    <w:p w14:paraId="40525DBE">
      <w:pPr>
        <w:tabs>
          <w:tab w:val="left" w:pos="945"/>
        </w:tabs>
        <w:spacing w:line="360" w:lineRule="auto"/>
        <w:ind w:firstLine="482"/>
        <w:outlineLvl w:val="0"/>
        <w:rPr>
          <w:rFonts w:ascii="宋体" w:hAnsi="宋体"/>
          <w:b/>
          <w:color w:val="auto"/>
          <w:sz w:val="24"/>
          <w:szCs w:val="24"/>
          <w:highlight w:val="none"/>
        </w:rPr>
      </w:pPr>
      <w:bookmarkStart w:id="18" w:name="_Toc39873203"/>
      <w:bookmarkStart w:id="19" w:name="_Toc98277325"/>
      <w:bookmarkStart w:id="20" w:name="_Toc35780496"/>
      <w:bookmarkStart w:id="21" w:name="_Toc116946289"/>
      <w:r>
        <w:rPr>
          <w:rFonts w:hint="eastAsia" w:ascii="宋体" w:hAnsi="宋体"/>
          <w:b/>
          <w:color w:val="auto"/>
          <w:sz w:val="24"/>
          <w:szCs w:val="24"/>
          <w:highlight w:val="none"/>
        </w:rPr>
        <w:t>（二）招标文件：</w:t>
      </w:r>
      <w:bookmarkEnd w:id="18"/>
      <w:bookmarkEnd w:id="19"/>
      <w:bookmarkEnd w:id="20"/>
      <w:bookmarkEnd w:id="21"/>
    </w:p>
    <w:p w14:paraId="32E31E30">
      <w:pPr>
        <w:numPr>
          <w:ilvl w:val="0"/>
          <w:numId w:val="7"/>
        </w:numPr>
        <w:tabs>
          <w:tab w:val="left" w:pos="-1260"/>
          <w:tab w:val="left" w:pos="525"/>
          <w:tab w:val="left" w:pos="945"/>
        </w:tabs>
        <w:spacing w:line="360" w:lineRule="auto"/>
        <w:ind w:left="0" w:firstLine="523"/>
        <w:rPr>
          <w:rFonts w:ascii="宋体" w:hAnsi="宋体"/>
          <w:bCs/>
          <w:color w:val="auto"/>
          <w:sz w:val="24"/>
          <w:szCs w:val="24"/>
          <w:highlight w:val="none"/>
        </w:rPr>
      </w:pPr>
      <w:bookmarkStart w:id="22" w:name="_Toc39873204"/>
      <w:bookmarkStart w:id="23" w:name="_Toc35780497"/>
      <w:r>
        <w:rPr>
          <w:rFonts w:hint="eastAsia" w:ascii="宋体" w:hAnsi="宋体"/>
          <w:bCs/>
          <w:color w:val="auto"/>
          <w:sz w:val="24"/>
          <w:szCs w:val="24"/>
          <w:highlight w:val="none"/>
        </w:rPr>
        <w:t>招标文件包括本文件目录所列全部内容，投标供应商应仔细阅读，并在投标文件中充分响应招标文件的所有要求。</w:t>
      </w:r>
    </w:p>
    <w:p w14:paraId="4E09DAF3">
      <w:pPr>
        <w:numPr>
          <w:ilvl w:val="0"/>
          <w:numId w:val="7"/>
        </w:numPr>
        <w:tabs>
          <w:tab w:val="left" w:pos="-1260"/>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招标文件中的“法定代表人”是指投标供应商的营业执照的“法定代表人”或相关部门的登记证明文件中的“负责人”。</w:t>
      </w:r>
    </w:p>
    <w:p w14:paraId="6B216900">
      <w:pPr>
        <w:numPr>
          <w:ilvl w:val="0"/>
          <w:numId w:val="7"/>
        </w:numPr>
        <w:tabs>
          <w:tab w:val="left" w:pos="-1260"/>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投标供应商应登录</w:t>
      </w:r>
      <w:r>
        <w:rPr>
          <w:rFonts w:hint="eastAsia" w:ascii="宋体" w:hAnsi="宋体"/>
          <w:b/>
          <w:color w:val="auto"/>
          <w:sz w:val="24"/>
          <w:szCs w:val="24"/>
          <w:highlight w:val="none"/>
        </w:rPr>
        <w:t xml:space="preserve">“苏采云”系统（网址： </w:t>
      </w:r>
      <w:r>
        <w:rPr>
          <w:rFonts w:hint="eastAsia" w:ascii="宋体" w:hAnsi="宋体"/>
          <w:b/>
          <w:color w:val="auto"/>
          <w:sz w:val="24"/>
          <w:szCs w:val="24"/>
          <w:highlight w:val="none"/>
          <w:lang w:eastAsia="zh-CN"/>
        </w:rPr>
        <w:t xml:space="preserve">https://jszfcg.jsczt.cn/jszc/login </w:t>
      </w:r>
      <w:r>
        <w:rPr>
          <w:rFonts w:hint="eastAsia" w:ascii="宋体" w:hAnsi="宋体"/>
          <w:b/>
          <w:color w:val="auto"/>
          <w:sz w:val="24"/>
          <w:szCs w:val="24"/>
          <w:highlight w:val="none"/>
        </w:rPr>
        <w:t>）</w:t>
      </w:r>
      <w:r>
        <w:rPr>
          <w:rFonts w:hint="eastAsia" w:ascii="宋体" w:hAnsi="宋体"/>
          <w:bCs/>
          <w:color w:val="auto"/>
          <w:sz w:val="24"/>
          <w:szCs w:val="24"/>
          <w:highlight w:val="none"/>
        </w:rPr>
        <w:t>下载招标文件及有关资料，按招标文件要求提交全部资料并对招标文件各项内容做出实质性响应，否则报价无效。</w:t>
      </w:r>
    </w:p>
    <w:p w14:paraId="7BC62533">
      <w:pPr>
        <w:numPr>
          <w:ilvl w:val="0"/>
          <w:numId w:val="7"/>
        </w:numPr>
        <w:tabs>
          <w:tab w:val="left" w:pos="0"/>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投标供应商一旦参加本项目投标，即表明承诺接受了本招标文件中的所有条件和规定。</w:t>
      </w:r>
    </w:p>
    <w:p w14:paraId="7B8E0DA2">
      <w:pPr>
        <w:numPr>
          <w:ilvl w:val="0"/>
          <w:numId w:val="7"/>
        </w:numPr>
        <w:tabs>
          <w:tab w:val="left" w:pos="0"/>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招标文件仅作为本次招投标使用。</w:t>
      </w:r>
    </w:p>
    <w:p w14:paraId="13AE06A7">
      <w:pPr>
        <w:tabs>
          <w:tab w:val="left" w:pos="945"/>
        </w:tabs>
        <w:spacing w:line="360" w:lineRule="auto"/>
        <w:ind w:firstLine="482"/>
        <w:outlineLvl w:val="0"/>
        <w:rPr>
          <w:rFonts w:ascii="宋体" w:hAnsi="宋体"/>
          <w:b/>
          <w:color w:val="auto"/>
          <w:sz w:val="24"/>
          <w:szCs w:val="24"/>
          <w:highlight w:val="none"/>
        </w:rPr>
      </w:pPr>
      <w:bookmarkStart w:id="24" w:name="_Toc116946290"/>
      <w:bookmarkStart w:id="25" w:name="_Toc98277326"/>
      <w:r>
        <w:rPr>
          <w:rFonts w:hint="eastAsia" w:ascii="宋体" w:hAnsi="宋体"/>
          <w:b/>
          <w:color w:val="auto"/>
          <w:sz w:val="24"/>
          <w:szCs w:val="24"/>
          <w:highlight w:val="none"/>
        </w:rPr>
        <w:t>（三）招标文件的解释：</w:t>
      </w:r>
      <w:bookmarkEnd w:id="22"/>
      <w:bookmarkEnd w:id="23"/>
      <w:bookmarkEnd w:id="24"/>
      <w:bookmarkEnd w:id="25"/>
    </w:p>
    <w:p w14:paraId="1641DF74">
      <w:pPr>
        <w:numPr>
          <w:ilvl w:val="2"/>
          <w:numId w:val="8"/>
        </w:numPr>
        <w:tabs>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投标供应商如有需要对招标文件要求澄清的问题，请以书面</w:t>
      </w:r>
      <w:r>
        <w:rPr>
          <w:rFonts w:hint="eastAsia" w:ascii="宋体" w:hAnsi="宋体"/>
          <w:bCs/>
          <w:color w:val="auto"/>
          <w:sz w:val="24"/>
          <w:highlight w:val="none"/>
        </w:rPr>
        <w:t>（或电子邮件）</w:t>
      </w:r>
      <w:r>
        <w:rPr>
          <w:rFonts w:hint="eastAsia" w:ascii="宋体" w:hAnsi="宋体"/>
          <w:bCs/>
          <w:color w:val="auto"/>
          <w:sz w:val="24"/>
          <w:szCs w:val="24"/>
          <w:highlight w:val="none"/>
        </w:rPr>
        <w:t>形式提出，并于</w:t>
      </w:r>
      <w:r>
        <w:rPr>
          <w:rFonts w:hint="eastAsia" w:ascii="宋体" w:hAnsi="宋体"/>
          <w:b/>
          <w:color w:val="auto"/>
          <w:sz w:val="24"/>
          <w:szCs w:val="24"/>
          <w:highlight w:val="none"/>
        </w:rPr>
        <w:t>2026年</w:t>
      </w:r>
      <w:r>
        <w:rPr>
          <w:rFonts w:hint="eastAsia" w:ascii="宋体" w:hAnsi="宋体"/>
          <w:b/>
          <w:color w:val="auto"/>
          <w:sz w:val="24"/>
          <w:szCs w:val="24"/>
          <w:highlight w:val="none"/>
          <w:lang w:val="en-US" w:eastAsia="zh-CN"/>
        </w:rPr>
        <w:t>7</w:t>
      </w:r>
      <w:r>
        <w:rPr>
          <w:rFonts w:hint="eastAsia" w:ascii="宋体" w:hAnsi="宋体"/>
          <w:b/>
          <w:color w:val="auto"/>
          <w:sz w:val="24"/>
          <w:szCs w:val="24"/>
          <w:highlight w:val="none"/>
        </w:rPr>
        <w:t>月</w:t>
      </w:r>
      <w:r>
        <w:rPr>
          <w:rFonts w:hint="eastAsia" w:ascii="宋体" w:hAnsi="宋体"/>
          <w:b/>
          <w:color w:val="auto"/>
          <w:sz w:val="24"/>
          <w:szCs w:val="24"/>
          <w:highlight w:val="none"/>
          <w:lang w:val="en-US" w:eastAsia="zh-CN"/>
        </w:rPr>
        <w:t>30</w:t>
      </w:r>
      <w:r>
        <w:rPr>
          <w:rFonts w:hint="eastAsia" w:ascii="宋体" w:hAnsi="宋体"/>
          <w:b/>
          <w:color w:val="auto"/>
          <w:sz w:val="24"/>
          <w:szCs w:val="24"/>
          <w:highlight w:val="none"/>
        </w:rPr>
        <w:t>日10:00</w:t>
      </w:r>
      <w:r>
        <w:rPr>
          <w:rFonts w:hint="eastAsia" w:ascii="宋体" w:hAnsi="宋体"/>
          <w:bCs/>
          <w:color w:val="auto"/>
          <w:sz w:val="24"/>
          <w:szCs w:val="24"/>
          <w:highlight w:val="none"/>
        </w:rPr>
        <w:t>前送至代理机构。</w:t>
      </w:r>
    </w:p>
    <w:p w14:paraId="7826341D">
      <w:pPr>
        <w:numPr>
          <w:ilvl w:val="2"/>
          <w:numId w:val="8"/>
        </w:numPr>
        <w:tabs>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采购人或者采购代理机构将于</w:t>
      </w:r>
      <w:r>
        <w:rPr>
          <w:rFonts w:hint="eastAsia" w:ascii="宋体" w:hAnsi="宋体"/>
          <w:b/>
          <w:color w:val="auto"/>
          <w:sz w:val="24"/>
          <w:szCs w:val="24"/>
          <w:highlight w:val="none"/>
        </w:rPr>
        <w:t>2026年</w:t>
      </w:r>
      <w:r>
        <w:rPr>
          <w:rFonts w:hint="eastAsia" w:ascii="宋体" w:hAnsi="宋体"/>
          <w:b/>
          <w:color w:val="auto"/>
          <w:sz w:val="24"/>
          <w:szCs w:val="24"/>
          <w:highlight w:val="none"/>
          <w:lang w:val="en-US" w:eastAsia="zh-CN"/>
        </w:rPr>
        <w:t>7</w:t>
      </w:r>
      <w:r>
        <w:rPr>
          <w:rFonts w:hint="eastAsia" w:ascii="宋体" w:hAnsi="宋体"/>
          <w:b/>
          <w:color w:val="auto"/>
          <w:sz w:val="24"/>
          <w:szCs w:val="24"/>
          <w:highlight w:val="none"/>
        </w:rPr>
        <w:t>月</w:t>
      </w:r>
      <w:r>
        <w:rPr>
          <w:rFonts w:hint="eastAsia" w:ascii="宋体" w:hAnsi="宋体"/>
          <w:b/>
          <w:color w:val="auto"/>
          <w:sz w:val="24"/>
          <w:szCs w:val="24"/>
          <w:highlight w:val="none"/>
          <w:lang w:val="en-US" w:eastAsia="zh-CN"/>
        </w:rPr>
        <w:t>30</w:t>
      </w:r>
      <w:r>
        <w:rPr>
          <w:rFonts w:hint="eastAsia" w:ascii="宋体" w:hAnsi="宋体"/>
          <w:b/>
          <w:color w:val="auto"/>
          <w:sz w:val="24"/>
          <w:szCs w:val="24"/>
          <w:highlight w:val="none"/>
        </w:rPr>
        <w:t>日16:00</w:t>
      </w:r>
      <w:r>
        <w:rPr>
          <w:rFonts w:hint="eastAsia" w:ascii="宋体" w:hAnsi="宋体"/>
          <w:bCs/>
          <w:color w:val="auto"/>
          <w:sz w:val="24"/>
          <w:szCs w:val="24"/>
          <w:highlight w:val="none"/>
        </w:rPr>
        <w:t>前</w:t>
      </w:r>
      <w:r>
        <w:rPr>
          <w:rFonts w:hint="eastAsia" w:ascii="宋体" w:hAnsi="宋体"/>
          <w:bCs/>
          <w:color w:val="auto"/>
          <w:sz w:val="24"/>
          <w:highlight w:val="none"/>
        </w:rPr>
        <w:t>对投标供应商针对招标文件书面提出的要求澄清的问题进行书面（或电子邮件）形式答疑</w:t>
      </w:r>
      <w:r>
        <w:rPr>
          <w:rFonts w:hint="eastAsia" w:ascii="宋体" w:hAnsi="宋体"/>
          <w:bCs/>
          <w:color w:val="auto"/>
          <w:sz w:val="24"/>
          <w:szCs w:val="24"/>
          <w:highlight w:val="none"/>
        </w:rPr>
        <w:t>。</w:t>
      </w:r>
    </w:p>
    <w:p w14:paraId="6CAA279B">
      <w:pPr>
        <w:numPr>
          <w:ilvl w:val="2"/>
          <w:numId w:val="8"/>
        </w:numPr>
        <w:tabs>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本文件的最终解释权归采购人。</w:t>
      </w:r>
    </w:p>
    <w:p w14:paraId="56BE54E0">
      <w:pPr>
        <w:tabs>
          <w:tab w:val="left" w:pos="945"/>
        </w:tabs>
        <w:spacing w:line="360" w:lineRule="auto"/>
        <w:ind w:firstLine="482"/>
        <w:outlineLvl w:val="0"/>
        <w:rPr>
          <w:rFonts w:ascii="宋体" w:hAnsi="宋体"/>
          <w:b/>
          <w:color w:val="auto"/>
          <w:sz w:val="24"/>
          <w:szCs w:val="24"/>
          <w:highlight w:val="none"/>
        </w:rPr>
      </w:pPr>
      <w:bookmarkStart w:id="26" w:name="_Toc98277327"/>
      <w:bookmarkStart w:id="27" w:name="_Toc39873205"/>
      <w:bookmarkStart w:id="28" w:name="_Toc35780498"/>
      <w:bookmarkStart w:id="29" w:name="_Toc116946291"/>
      <w:r>
        <w:rPr>
          <w:rFonts w:hint="eastAsia" w:ascii="宋体" w:hAnsi="宋体"/>
          <w:b/>
          <w:color w:val="auto"/>
          <w:sz w:val="24"/>
          <w:szCs w:val="24"/>
          <w:highlight w:val="none"/>
        </w:rPr>
        <w:t>（四）招标文件的补充或修正：</w:t>
      </w:r>
      <w:bookmarkEnd w:id="26"/>
      <w:bookmarkEnd w:id="27"/>
      <w:bookmarkEnd w:id="28"/>
      <w:bookmarkEnd w:id="29"/>
      <w:r>
        <w:rPr>
          <w:rFonts w:hint="eastAsia" w:ascii="宋体" w:hAnsi="宋体"/>
          <w:b/>
          <w:color w:val="auto"/>
          <w:sz w:val="24"/>
          <w:szCs w:val="24"/>
          <w:highlight w:val="none"/>
        </w:rPr>
        <w:t xml:space="preserve"> </w:t>
      </w:r>
    </w:p>
    <w:p w14:paraId="5ECB010C">
      <w:pPr>
        <w:numPr>
          <w:ilvl w:val="0"/>
          <w:numId w:val="9"/>
        </w:numPr>
        <w:tabs>
          <w:tab w:val="left" w:pos="525"/>
          <w:tab w:val="left" w:pos="945"/>
        </w:tabs>
        <w:spacing w:line="360" w:lineRule="auto"/>
        <w:ind w:left="1" w:firstLine="523"/>
        <w:rPr>
          <w:rFonts w:ascii="宋体" w:hAnsi="宋体"/>
          <w:bCs/>
          <w:color w:val="auto"/>
          <w:sz w:val="24"/>
          <w:szCs w:val="24"/>
          <w:highlight w:val="none"/>
        </w:rPr>
      </w:pPr>
      <w:bookmarkStart w:id="30" w:name="_Toc39873206"/>
      <w:bookmarkStart w:id="31" w:name="_Toc35780499"/>
      <w:r>
        <w:rPr>
          <w:rFonts w:hint="eastAsia" w:ascii="宋体" w:hAnsi="宋体"/>
          <w:bCs/>
          <w:color w:val="auto"/>
          <w:sz w:val="24"/>
          <w:szCs w:val="24"/>
          <w:highlight w:val="none"/>
        </w:rPr>
        <w:t>采购人或者采购代理机构可以对已发出的招标文件进行必要的澄清或者修改，但不得改变采购标的和资格条件。澄清或者修改应当在</w:t>
      </w:r>
      <w:r>
        <w:rPr>
          <w:rFonts w:hint="eastAsia" w:ascii="宋体" w:hAnsi="宋体"/>
          <w:b/>
          <w:bCs/>
          <w:color w:val="auto"/>
          <w:sz w:val="24"/>
          <w:highlight w:val="none"/>
        </w:rPr>
        <w:t>江苏省政府采购网</w:t>
      </w:r>
      <w:r>
        <w:rPr>
          <w:rFonts w:hint="eastAsia" w:ascii="宋体" w:hAnsi="宋体"/>
          <w:color w:val="auto"/>
          <w:sz w:val="24"/>
          <w:highlight w:val="none"/>
        </w:rPr>
        <w:t>上</w:t>
      </w:r>
      <w:r>
        <w:rPr>
          <w:rFonts w:hint="eastAsia" w:ascii="宋体" w:hAnsi="宋体"/>
          <w:bCs/>
          <w:color w:val="auto"/>
          <w:sz w:val="24"/>
          <w:szCs w:val="24"/>
          <w:highlight w:val="none"/>
        </w:rPr>
        <w:t>发布澄清公告。澄清或者修改的内容为招标文件的组成部分，供应商应在投标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p>
    <w:p w14:paraId="2CF403E0">
      <w:pPr>
        <w:numPr>
          <w:ilvl w:val="0"/>
          <w:numId w:val="9"/>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p>
    <w:p w14:paraId="28456C09">
      <w:pPr>
        <w:tabs>
          <w:tab w:val="left" w:pos="945"/>
        </w:tabs>
        <w:spacing w:line="360" w:lineRule="auto"/>
        <w:ind w:firstLine="482"/>
        <w:outlineLvl w:val="0"/>
        <w:rPr>
          <w:rFonts w:ascii="宋体" w:hAnsi="宋体"/>
          <w:b/>
          <w:color w:val="auto"/>
          <w:sz w:val="24"/>
          <w:szCs w:val="24"/>
          <w:highlight w:val="none"/>
        </w:rPr>
      </w:pPr>
      <w:bookmarkStart w:id="32" w:name="_Toc98277328"/>
      <w:bookmarkStart w:id="33" w:name="_Toc116946292"/>
      <w:r>
        <w:rPr>
          <w:rFonts w:hint="eastAsia" w:ascii="宋体" w:hAnsi="宋体"/>
          <w:b/>
          <w:color w:val="auto"/>
          <w:sz w:val="24"/>
          <w:szCs w:val="24"/>
          <w:highlight w:val="none"/>
        </w:rPr>
        <w:t>（五）质疑与投诉</w:t>
      </w:r>
      <w:bookmarkEnd w:id="30"/>
      <w:bookmarkEnd w:id="31"/>
      <w:bookmarkEnd w:id="32"/>
      <w:bookmarkEnd w:id="33"/>
    </w:p>
    <w:p w14:paraId="0A4E6FF0">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质疑的提出和答复、投诉的提起和处理</w:t>
      </w:r>
      <w:r>
        <w:rPr>
          <w:rFonts w:hint="eastAsia" w:ascii="宋体" w:hAnsi="宋体"/>
          <w:bCs/>
          <w:color w:val="auto"/>
          <w:sz w:val="24"/>
          <w:szCs w:val="24"/>
          <w:highlight w:val="none"/>
        </w:rPr>
        <w:t>须按《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r>
        <w:rPr>
          <w:rFonts w:ascii="宋体" w:hAnsi="宋体"/>
          <w:bCs/>
          <w:color w:val="auto"/>
          <w:sz w:val="24"/>
          <w:szCs w:val="24"/>
          <w:highlight w:val="none"/>
        </w:rPr>
        <w:t xml:space="preserve"> </w:t>
      </w:r>
    </w:p>
    <w:p w14:paraId="7E28F56B">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2.质疑的提出</w:t>
      </w:r>
    </w:p>
    <w:p w14:paraId="045C02A9">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.1提出质疑的供应商应当是参与所质疑项目采购活动的供应商。</w:t>
      </w:r>
    </w:p>
    <w:p w14:paraId="58DEB960">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以书面形式</w:t>
      </w:r>
      <w:r>
        <w:rPr>
          <w:rFonts w:ascii="宋体" w:hAnsi="宋体"/>
          <w:bCs/>
          <w:color w:val="auto"/>
          <w:sz w:val="24"/>
          <w:szCs w:val="24"/>
          <w:highlight w:val="none"/>
        </w:rPr>
        <w:t>提出。</w:t>
      </w:r>
    </w:p>
    <w:p w14:paraId="737A899D">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7</w:t>
      </w:r>
      <w:r>
        <w:rPr>
          <w:rFonts w:ascii="宋体" w:hAnsi="宋体"/>
          <w:bCs/>
          <w:color w:val="auto"/>
          <w:sz w:val="24"/>
          <w:szCs w:val="24"/>
          <w:highlight w:val="none"/>
        </w:rPr>
        <w:t>个工作日内，以书面形式向采购</w:t>
      </w:r>
      <w:r>
        <w:rPr>
          <w:rFonts w:hint="eastAsia" w:ascii="宋体" w:hAnsi="宋体"/>
          <w:bCs/>
          <w:color w:val="auto"/>
          <w:sz w:val="24"/>
          <w:szCs w:val="24"/>
          <w:highlight w:val="none"/>
        </w:rPr>
        <w:t>代理机构</w:t>
      </w:r>
      <w:r>
        <w:rPr>
          <w:rFonts w:ascii="宋体" w:hAnsi="宋体"/>
          <w:bCs/>
          <w:color w:val="auto"/>
          <w:sz w:val="24"/>
          <w:szCs w:val="24"/>
          <w:highlight w:val="none"/>
        </w:rPr>
        <w:t>提出质疑。供应商须在法定质疑期内一次性提出针对同一采购程序环节的质疑。</w:t>
      </w:r>
    </w:p>
    <w:p w14:paraId="3EFE41E6">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供应商提出质疑应当提交质疑函和必要的证明材料。质疑函应当包括下列内容：</w:t>
      </w:r>
    </w:p>
    <w:p w14:paraId="3B32E3C1">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）供应商的姓名或者名称、地址、邮编、联系人及联系电话；</w:t>
      </w:r>
    </w:p>
    <w:p w14:paraId="2A583CBB">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）质疑项目的名称、编号；</w:t>
      </w:r>
    </w:p>
    <w:p w14:paraId="161E8EB4">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）具体、明确的质疑事项和与质疑事项相关的请求；</w:t>
      </w:r>
    </w:p>
    <w:p w14:paraId="2D554EC8">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3CBC1BC2">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）必要的法律依据；</w:t>
      </w:r>
    </w:p>
    <w:p w14:paraId="1781B7CC">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）提出质疑的日期。</w:t>
      </w:r>
    </w:p>
    <w:p w14:paraId="6674CA2D">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质疑函须原件递交。</w:t>
      </w:r>
    </w:p>
    <w:p w14:paraId="297CFB9D">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应当由本人签字；供应商为法人或者其他组织的，应当由法定代表人、主要负责人签字或者盖章，并加盖公章。</w:t>
      </w:r>
    </w:p>
    <w:p w14:paraId="3ACD72A7">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7</w:t>
      </w:r>
      <w:r>
        <w:rPr>
          <w:rFonts w:ascii="宋体" w:hAnsi="宋体"/>
          <w:bCs/>
          <w:color w:val="auto"/>
          <w:sz w:val="24"/>
          <w:szCs w:val="24"/>
          <w:highlight w:val="none"/>
        </w:rPr>
        <w:t>以联合体形式参加政府采购活动的，其投诉应当由组成联合体的所有供应商共同提出。</w:t>
      </w:r>
    </w:p>
    <w:p w14:paraId="76B4487B">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3.质疑的受理与答复</w:t>
      </w:r>
    </w:p>
    <w:p w14:paraId="7D4D9263">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.1采购</w:t>
      </w:r>
      <w:r>
        <w:rPr>
          <w:rFonts w:hint="eastAsia" w:ascii="宋体" w:hAnsi="宋体"/>
          <w:bCs/>
          <w:color w:val="auto"/>
          <w:sz w:val="24"/>
          <w:szCs w:val="24"/>
          <w:highlight w:val="none"/>
        </w:rPr>
        <w:t>代理机构</w:t>
      </w:r>
      <w:r>
        <w:rPr>
          <w:rFonts w:ascii="宋体" w:hAnsi="宋体"/>
          <w:bCs/>
          <w:color w:val="auto"/>
          <w:sz w:val="24"/>
          <w:szCs w:val="24"/>
          <w:highlight w:val="none"/>
        </w:rPr>
        <w:t>负责供应商质疑答复。</w:t>
      </w:r>
    </w:p>
    <w:p w14:paraId="23F5DBF9">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2质疑函由</w:t>
      </w:r>
      <w:r>
        <w:rPr>
          <w:rFonts w:ascii="宋体" w:hAnsi="宋体"/>
          <w:bCs/>
          <w:color w:val="auto"/>
          <w:sz w:val="24"/>
          <w:szCs w:val="24"/>
          <w:highlight w:val="none"/>
        </w:rPr>
        <w:t>采购</w:t>
      </w:r>
      <w:r>
        <w:rPr>
          <w:rFonts w:hint="eastAsia" w:ascii="宋体" w:hAnsi="宋体"/>
          <w:bCs/>
          <w:color w:val="auto"/>
          <w:sz w:val="24"/>
          <w:szCs w:val="24"/>
          <w:highlight w:val="none"/>
        </w:rPr>
        <w:t>代理机构办理签收手续。</w:t>
      </w:r>
    </w:p>
    <w:p w14:paraId="2A04AA9D">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3质疑函接收单位信息：</w:t>
      </w:r>
    </w:p>
    <w:p w14:paraId="101203A2">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接收单位：无锡市惠山区阳山镇人民政府、</w:t>
      </w:r>
      <w:r>
        <w:rPr>
          <w:rFonts w:hint="eastAsia" w:ascii="宋体" w:hAnsi="宋体" w:cs="宋体"/>
          <w:color w:val="auto"/>
          <w:sz w:val="24"/>
          <w:highlight w:val="none"/>
        </w:rPr>
        <w:t xml:space="preserve">江苏长卓项目管理咨询有限公司 </w:t>
      </w:r>
    </w:p>
    <w:p w14:paraId="1E2212FA">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地址：江苏省无锡市惠山区人民西路12号、</w:t>
      </w:r>
      <w:r>
        <w:rPr>
          <w:rFonts w:hint="eastAsia" w:ascii="宋体" w:hAnsi="宋体" w:cs="宋体"/>
          <w:color w:val="auto"/>
          <w:sz w:val="24"/>
          <w:highlight w:val="none"/>
        </w:rPr>
        <w:t>无锡市惠山区清华创业大厦B栋904室</w:t>
      </w:r>
    </w:p>
    <w:p w14:paraId="1C3ED258">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邮编：214000</w:t>
      </w:r>
    </w:p>
    <w:p w14:paraId="3118456C">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联系人：蔡婉琳、汪雪青</w:t>
      </w:r>
    </w:p>
    <w:p w14:paraId="0B2C16B5">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电话：0510-83959066、13814867392</w:t>
      </w:r>
    </w:p>
    <w:p w14:paraId="356FC265">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采购</w:t>
      </w:r>
      <w:r>
        <w:rPr>
          <w:rFonts w:hint="eastAsia" w:ascii="宋体" w:hAnsi="宋体"/>
          <w:bCs/>
          <w:color w:val="auto"/>
          <w:sz w:val="24"/>
          <w:szCs w:val="24"/>
          <w:highlight w:val="none"/>
        </w:rPr>
        <w:t>代理机构</w:t>
      </w:r>
      <w:r>
        <w:rPr>
          <w:rFonts w:ascii="宋体" w:hAnsi="宋体"/>
          <w:bCs/>
          <w:color w:val="auto"/>
          <w:sz w:val="24"/>
          <w:szCs w:val="24"/>
          <w:highlight w:val="none"/>
        </w:rPr>
        <w:t>应当在收到质疑函后7个工作日内</w:t>
      </w:r>
      <w:r>
        <w:rPr>
          <w:rFonts w:hint="eastAsia" w:ascii="宋体" w:hAnsi="宋体"/>
          <w:bCs/>
          <w:color w:val="auto"/>
          <w:sz w:val="24"/>
          <w:szCs w:val="24"/>
          <w:highlight w:val="none"/>
        </w:rPr>
        <w:t>作出</w:t>
      </w:r>
      <w:r>
        <w:rPr>
          <w:rFonts w:ascii="宋体" w:hAnsi="宋体"/>
          <w:bCs/>
          <w:color w:val="auto"/>
          <w:sz w:val="24"/>
          <w:szCs w:val="24"/>
          <w:highlight w:val="none"/>
        </w:rPr>
        <w:t>答复，并以书面形式通知质疑供应商和其他有关供应商。</w:t>
      </w:r>
    </w:p>
    <w:p w14:paraId="1B816FB7">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采购</w:t>
      </w:r>
      <w:r>
        <w:rPr>
          <w:rFonts w:hint="eastAsia" w:ascii="宋体" w:hAnsi="宋体"/>
          <w:bCs/>
          <w:color w:val="auto"/>
          <w:sz w:val="24"/>
          <w:szCs w:val="24"/>
          <w:highlight w:val="none"/>
        </w:rPr>
        <w:t>代理机构处理的其他要求按《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4FA77CD9">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4.投诉的提起</w:t>
      </w:r>
    </w:p>
    <w:p w14:paraId="676D619A">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质疑供应商对采购</w:t>
      </w:r>
      <w:r>
        <w:rPr>
          <w:rFonts w:hint="eastAsia" w:ascii="宋体" w:hAnsi="宋体"/>
          <w:bCs/>
          <w:color w:val="auto"/>
          <w:sz w:val="24"/>
          <w:szCs w:val="24"/>
          <w:highlight w:val="none"/>
        </w:rPr>
        <w:t>代理机构</w:t>
      </w:r>
      <w:r>
        <w:rPr>
          <w:rFonts w:ascii="宋体" w:hAnsi="宋体"/>
          <w:bCs/>
          <w:color w:val="auto"/>
          <w:sz w:val="24"/>
          <w:szCs w:val="24"/>
          <w:highlight w:val="none"/>
        </w:rPr>
        <w:t>的答复不满意或者采购</w:t>
      </w:r>
      <w:r>
        <w:rPr>
          <w:rFonts w:hint="eastAsia" w:ascii="宋体" w:hAnsi="宋体"/>
          <w:bCs/>
          <w:color w:val="auto"/>
          <w:sz w:val="24"/>
          <w:szCs w:val="24"/>
          <w:highlight w:val="none"/>
        </w:rPr>
        <w:t>代理机构</w:t>
      </w:r>
      <w:r>
        <w:rPr>
          <w:rFonts w:ascii="宋体" w:hAnsi="宋体"/>
          <w:bCs/>
          <w:color w:val="auto"/>
          <w:sz w:val="24"/>
          <w:szCs w:val="24"/>
          <w:highlight w:val="none"/>
        </w:rPr>
        <w:t>未在规定时间内</w:t>
      </w:r>
      <w:r>
        <w:rPr>
          <w:rFonts w:hint="eastAsia" w:ascii="宋体" w:hAnsi="宋体"/>
          <w:bCs/>
          <w:color w:val="auto"/>
          <w:sz w:val="24"/>
          <w:szCs w:val="24"/>
          <w:highlight w:val="none"/>
        </w:rPr>
        <w:t>作出</w:t>
      </w:r>
      <w:r>
        <w:rPr>
          <w:rFonts w:ascii="宋体" w:hAnsi="宋体"/>
          <w:bCs/>
          <w:color w:val="auto"/>
          <w:sz w:val="24"/>
          <w:szCs w:val="24"/>
          <w:highlight w:val="none"/>
        </w:rPr>
        <w:t>答复的，可以在答复期满后</w:t>
      </w:r>
      <w:r>
        <w:rPr>
          <w:rFonts w:hint="eastAsia" w:ascii="宋体" w:hAnsi="宋体"/>
          <w:bCs/>
          <w:color w:val="auto"/>
          <w:sz w:val="24"/>
          <w:szCs w:val="24"/>
          <w:highlight w:val="none"/>
        </w:rPr>
        <w:t>15</w:t>
      </w:r>
      <w:r>
        <w:rPr>
          <w:rFonts w:ascii="宋体" w:hAnsi="宋体"/>
          <w:bCs/>
          <w:color w:val="auto"/>
          <w:sz w:val="24"/>
          <w:szCs w:val="24"/>
          <w:highlight w:val="none"/>
        </w:rPr>
        <w:t>个工作日内向</w:t>
      </w:r>
      <w:r>
        <w:rPr>
          <w:rFonts w:hint="eastAsia" w:ascii="宋体" w:hAnsi="宋体"/>
          <w:bCs/>
          <w:color w:val="auto"/>
          <w:sz w:val="24"/>
          <w:szCs w:val="24"/>
          <w:highlight w:val="none"/>
        </w:rPr>
        <w:t>采购人</w:t>
      </w:r>
      <w:r>
        <w:rPr>
          <w:rFonts w:ascii="宋体" w:hAnsi="宋体"/>
          <w:bCs/>
          <w:color w:val="auto"/>
          <w:sz w:val="24"/>
          <w:szCs w:val="24"/>
          <w:highlight w:val="none"/>
        </w:rPr>
        <w:t>所属预算级次的财政部门提起投诉。</w:t>
      </w:r>
    </w:p>
    <w:p w14:paraId="6A4649CD">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2供应商</w:t>
      </w:r>
      <w:r>
        <w:rPr>
          <w:rFonts w:ascii="宋体" w:hAnsi="宋体"/>
          <w:bCs/>
          <w:color w:val="auto"/>
          <w:sz w:val="24"/>
          <w:szCs w:val="24"/>
          <w:highlight w:val="none"/>
        </w:rPr>
        <w:t>投诉时，应当提交投诉书和必要的证明材料，并按照被投诉采购</w:t>
      </w:r>
      <w:r>
        <w:rPr>
          <w:rFonts w:hint="eastAsia" w:ascii="宋体" w:hAnsi="宋体"/>
          <w:bCs/>
          <w:color w:val="auto"/>
          <w:sz w:val="24"/>
          <w:szCs w:val="24"/>
          <w:highlight w:val="none"/>
        </w:rPr>
        <w:t>代理机构</w:t>
      </w:r>
      <w:r>
        <w:rPr>
          <w:rFonts w:ascii="宋体" w:hAnsi="宋体"/>
          <w:bCs/>
          <w:color w:val="auto"/>
          <w:sz w:val="24"/>
          <w:szCs w:val="24"/>
          <w:highlight w:val="none"/>
        </w:rPr>
        <w:t>（以下简称被投诉人）和与投诉事项有关的供应商数量提供投诉书的副本。投诉书应当包括下列内容：</w:t>
      </w:r>
    </w:p>
    <w:p w14:paraId="258A3D27">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）投诉人和被投诉人的姓名或者名称、通讯地址、邮编、联系人及联系电话；</w:t>
      </w:r>
    </w:p>
    <w:p w14:paraId="4358C86D">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）质疑和质疑答复情况说明及相关证明材料；</w:t>
      </w:r>
    </w:p>
    <w:p w14:paraId="400DCD79">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）具体、明确的投诉事项和与投诉事项相关的投诉请求；</w:t>
      </w:r>
    </w:p>
    <w:p w14:paraId="6C90668F">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7ABB605A">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）法律依据；</w:t>
      </w:r>
    </w:p>
    <w:p w14:paraId="016C45D3">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）提起投诉的日期。</w:t>
      </w:r>
    </w:p>
    <w:p w14:paraId="31BF5D23">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投诉人为自然人的，投诉书应当由本人签字；投诉人为法人或者其他组织的，投诉书应当由法定代表人、主要负责人或者其授权代表签字或者盖章，并加盖公章。</w:t>
      </w:r>
    </w:p>
    <w:p w14:paraId="1564C503">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投诉人提起投诉应当符合下列条件：</w:t>
      </w:r>
    </w:p>
    <w:p w14:paraId="55E6B308">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）提起投诉前已依法进行质疑；</w:t>
      </w:r>
    </w:p>
    <w:p w14:paraId="0E6F1F2D">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）投诉书内容符合本办法的规定；</w:t>
      </w:r>
    </w:p>
    <w:p w14:paraId="580BB44C">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）在投诉有效期限内提起投诉；</w:t>
      </w:r>
    </w:p>
    <w:p w14:paraId="5410B53B">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）同一投诉事项未经财政部门投诉处理；</w:t>
      </w:r>
    </w:p>
    <w:p w14:paraId="2005684F">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）财政部规定的其他条件。</w:t>
      </w:r>
    </w:p>
    <w:p w14:paraId="0A7F6A4E">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供应商投诉的事项不得超出已质疑事项的范围，但基于质疑答复内容提出的投诉事项除外。</w:t>
      </w:r>
    </w:p>
    <w:p w14:paraId="551DF060">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5.由</w:t>
      </w:r>
      <w:r>
        <w:rPr>
          <w:rFonts w:ascii="宋体" w:hAnsi="宋体"/>
          <w:bCs/>
          <w:color w:val="auto"/>
          <w:sz w:val="24"/>
          <w:szCs w:val="24"/>
          <w:highlight w:val="none"/>
        </w:rPr>
        <w:t>采购人所属预算级次的财政部门</w:t>
      </w:r>
      <w:r>
        <w:rPr>
          <w:rFonts w:hint="eastAsia" w:ascii="宋体" w:hAnsi="宋体"/>
          <w:bCs/>
          <w:color w:val="auto"/>
          <w:sz w:val="24"/>
          <w:szCs w:val="24"/>
          <w:highlight w:val="none"/>
        </w:rPr>
        <w:t>根据《</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）相关规定进行</w:t>
      </w:r>
      <w:r>
        <w:rPr>
          <w:rFonts w:ascii="宋体" w:hAnsi="宋体"/>
          <w:bCs/>
          <w:color w:val="auto"/>
          <w:sz w:val="24"/>
          <w:szCs w:val="24"/>
          <w:highlight w:val="none"/>
        </w:rPr>
        <w:t>投诉处理</w:t>
      </w:r>
      <w:r>
        <w:rPr>
          <w:rFonts w:hint="eastAsia" w:ascii="宋体" w:hAnsi="宋体"/>
          <w:bCs/>
          <w:color w:val="auto"/>
          <w:sz w:val="24"/>
          <w:szCs w:val="24"/>
          <w:highlight w:val="none"/>
        </w:rPr>
        <w:t>。</w:t>
      </w:r>
    </w:p>
    <w:p w14:paraId="789B7BFF">
      <w:pPr>
        <w:tabs>
          <w:tab w:val="left" w:pos="945"/>
        </w:tabs>
        <w:spacing w:line="360" w:lineRule="auto"/>
        <w:ind w:firstLine="482"/>
        <w:outlineLvl w:val="0"/>
        <w:rPr>
          <w:rFonts w:ascii="宋体" w:hAnsi="宋体"/>
          <w:b/>
          <w:color w:val="auto"/>
          <w:sz w:val="24"/>
          <w:szCs w:val="24"/>
          <w:highlight w:val="none"/>
        </w:rPr>
      </w:pPr>
      <w:bookmarkStart w:id="34" w:name="_Toc98277329"/>
      <w:bookmarkStart w:id="35" w:name="_Toc39873207"/>
      <w:bookmarkStart w:id="36" w:name="_Toc116946293"/>
      <w:bookmarkStart w:id="37" w:name="_Toc35780500"/>
      <w:r>
        <w:rPr>
          <w:rFonts w:hint="eastAsia" w:ascii="宋体" w:hAnsi="宋体"/>
          <w:b/>
          <w:color w:val="auto"/>
          <w:sz w:val="24"/>
          <w:szCs w:val="24"/>
          <w:highlight w:val="none"/>
        </w:rPr>
        <w:t>（六） 投标文件的组成：</w:t>
      </w:r>
      <w:bookmarkEnd w:id="34"/>
      <w:bookmarkEnd w:id="35"/>
      <w:bookmarkEnd w:id="36"/>
      <w:bookmarkEnd w:id="37"/>
    </w:p>
    <w:p w14:paraId="7FF0DFC4">
      <w:pPr>
        <w:spacing w:line="360" w:lineRule="auto"/>
        <w:ind w:firstLine="482"/>
        <w:rPr>
          <w:rFonts w:ascii="宋体" w:hAnsi="宋体"/>
          <w:bCs/>
          <w:color w:val="auto"/>
          <w:sz w:val="24"/>
          <w:szCs w:val="24"/>
          <w:highlight w:val="none"/>
        </w:rPr>
      </w:pPr>
      <w:r>
        <w:rPr>
          <w:rFonts w:hint="eastAsia" w:ascii="宋体" w:hAnsi="宋体"/>
          <w:b/>
          <w:bCs/>
          <w:color w:val="auto"/>
          <w:sz w:val="24"/>
          <w:szCs w:val="24"/>
          <w:highlight w:val="none"/>
        </w:rPr>
        <w:t>第一部分</w:t>
      </w:r>
      <w:r>
        <w:rPr>
          <w:rFonts w:ascii="宋体" w:hAnsi="宋体"/>
          <w:b/>
          <w:bCs/>
          <w:color w:val="auto"/>
          <w:sz w:val="24"/>
          <w:szCs w:val="24"/>
          <w:highlight w:val="none"/>
        </w:rPr>
        <w:t>：</w:t>
      </w:r>
      <w:r>
        <w:rPr>
          <w:rFonts w:hint="eastAsia" w:ascii="宋体" w:hAnsi="宋体"/>
          <w:b/>
          <w:bCs/>
          <w:color w:val="auto"/>
          <w:sz w:val="24"/>
          <w:szCs w:val="24"/>
          <w:highlight w:val="none"/>
        </w:rPr>
        <w:t>商务标</w:t>
      </w:r>
    </w:p>
    <w:p w14:paraId="56C56567">
      <w:pPr>
        <w:numPr>
          <w:ilvl w:val="0"/>
          <w:numId w:val="10"/>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投标函（</w:t>
      </w:r>
      <w:r>
        <w:rPr>
          <w:rFonts w:hint="eastAsia" w:ascii="宋体" w:hAnsi="宋体"/>
          <w:b/>
          <w:bCs/>
          <w:color w:val="auto"/>
          <w:sz w:val="24"/>
          <w:szCs w:val="24"/>
          <w:highlight w:val="none"/>
        </w:rPr>
        <w:t>格式见附件）</w:t>
      </w:r>
    </w:p>
    <w:p w14:paraId="6DCFFC5A">
      <w:pPr>
        <w:numPr>
          <w:ilvl w:val="0"/>
          <w:numId w:val="10"/>
        </w:numPr>
        <w:tabs>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证明文件：</w:t>
      </w:r>
    </w:p>
    <w:p w14:paraId="5F110407">
      <w:pPr>
        <w:numPr>
          <w:ilvl w:val="1"/>
          <w:numId w:val="10"/>
        </w:numPr>
        <w:tabs>
          <w:tab w:val="left" w:pos="525"/>
          <w:tab w:val="left" w:pos="945"/>
          <w:tab w:val="clear" w:pos="990"/>
        </w:tabs>
        <w:spacing w:line="360" w:lineRule="auto"/>
        <w:ind w:hanging="564"/>
        <w:rPr>
          <w:rFonts w:ascii="宋体" w:hAnsi="宋体"/>
          <w:bCs/>
          <w:color w:val="auto"/>
          <w:sz w:val="24"/>
          <w:szCs w:val="24"/>
          <w:highlight w:val="none"/>
        </w:rPr>
      </w:pPr>
      <w:bookmarkStart w:id="38" w:name="_Hlk54189647"/>
      <w:bookmarkStart w:id="39" w:name="_Hlk39447281"/>
      <w:bookmarkStart w:id="40" w:name="_Hlk40019962"/>
      <w:r>
        <w:rPr>
          <w:rFonts w:hint="eastAsia" w:ascii="宋体" w:hAnsi="宋体"/>
          <w:bCs/>
          <w:color w:val="auto"/>
          <w:sz w:val="24"/>
          <w:szCs w:val="24"/>
          <w:highlight w:val="none"/>
        </w:rPr>
        <w:t>资格、资信证明文件</w:t>
      </w:r>
    </w:p>
    <w:bookmarkEnd w:id="38"/>
    <w:p w14:paraId="2AD459C9">
      <w:pPr>
        <w:tabs>
          <w:tab w:val="left" w:pos="0"/>
          <w:tab w:val="left" w:pos="945"/>
        </w:tabs>
        <w:spacing w:line="360" w:lineRule="auto"/>
        <w:ind w:firstLine="480"/>
        <w:rPr>
          <w:rFonts w:ascii="宋体" w:hAnsi="宋体"/>
          <w:bCs/>
          <w:color w:val="auto"/>
          <w:sz w:val="24"/>
          <w:szCs w:val="24"/>
          <w:highlight w:val="none"/>
        </w:rPr>
      </w:pPr>
      <w:bookmarkStart w:id="41" w:name="_Hlk111313981"/>
      <w:r>
        <w:rPr>
          <w:rFonts w:hint="eastAsia" w:ascii="宋体" w:hAnsi="宋体"/>
          <w:bCs/>
          <w:color w:val="auto"/>
          <w:sz w:val="24"/>
          <w:szCs w:val="24"/>
          <w:highlight w:val="none"/>
        </w:rPr>
        <w:t>①关于资格的声明函（格式见附件）；</w:t>
      </w:r>
    </w:p>
    <w:p w14:paraId="2F85344F">
      <w:pPr>
        <w:tabs>
          <w:tab w:val="left" w:pos="0"/>
          <w:tab w:val="left" w:pos="945"/>
        </w:tabs>
        <w:spacing w:line="360" w:lineRule="auto"/>
        <w:ind w:firstLine="480"/>
        <w:rPr>
          <w:rFonts w:ascii="宋体" w:hAnsi="宋体"/>
          <w:bCs/>
          <w:color w:val="auto"/>
          <w:sz w:val="24"/>
          <w:szCs w:val="24"/>
          <w:highlight w:val="none"/>
        </w:rPr>
      </w:pPr>
      <w:bookmarkStart w:id="42" w:name="_Hlk78664359"/>
      <w:r>
        <w:rPr>
          <w:rFonts w:hint="eastAsia" w:ascii="宋体" w:hAnsi="宋体"/>
          <w:bCs/>
          <w:color w:val="auto"/>
          <w:sz w:val="24"/>
          <w:szCs w:val="24"/>
          <w:highlight w:val="none"/>
        </w:rPr>
        <w:t>②具有独立承担民事责任能力的投标供应商营业执照副本或事业单位法人证书或民办非企业单位登记证书或社会团体法人登记证书或基金会法人登记证书或其他组织的营业执照等证明文件原件扫描件并加盖公章或签电子公章（投标供应商如是允许以分支机构身份参加投标的，提供投标供应商分支机构的营业执照原件扫描件）；</w:t>
      </w:r>
    </w:p>
    <w:p w14:paraId="24348EB2">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③供应商有效的餐饮服务许可证或者食品经营许可证（原件扫描件）；</w:t>
      </w:r>
    </w:p>
    <w:p w14:paraId="0F530DE5">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④投标供应商法定代表人授权委托书（格式见附件，法定代表人亲自参加投标的除外）（投标供应商如是允许以分支机构身份参加投标的，请自行将“法定代表人”更改为“负责人”，分支机构投标时涉及招标文件“法定代表人”要求的部分，其具体要求视同本条规定）；</w:t>
      </w:r>
    </w:p>
    <w:p w14:paraId="0048CBC2">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⑤投标供应商法定代表人身份证原件扫描件（身份证应为正、反面）；</w:t>
      </w:r>
    </w:p>
    <w:p w14:paraId="03BD827C">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⑥投标供应商法定代表人授权代表身份证原件扫描件（身份证应为正、反面，法定代表人亲自参加投标的除外）；</w:t>
      </w:r>
      <w:bookmarkEnd w:id="42"/>
    </w:p>
    <w:p w14:paraId="18437A96">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⑦投标供应商提供近三个月中任意一个月份（不含开标当月）的财务状况报告（资产负债表和利润表）或由会计师事务所出具的2025年度的财务审计报告原件扫描件并加盖公章或签电子公章；</w:t>
      </w:r>
    </w:p>
    <w:p w14:paraId="6FC27C6E">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⑧投标供应商近三个月中任意一个月份（不含开标当月）的依法缴纳税收的相关材料（提供相关主管部门证明或银行代扣证明，或者提供依法免税的主管部门出具的相应证明材料）扫描件并加盖公章或签电子公章；</w:t>
      </w:r>
    </w:p>
    <w:p w14:paraId="132C7ADE">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⑨投标供应商近三个月中任意一个月份（不含开标当月）的依法缴纳社会保障资金的相关材料（提供相关主管部门证明或银行代扣证明，或者提供依法不需要缴纳社会保障资金的主管部门出具的证明材料）扫描件并加盖公章或签电子公章；</w:t>
      </w:r>
    </w:p>
    <w:p w14:paraId="2C724BED">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⑩政府采购投标及履约承诺函（格式见附件）；</w:t>
      </w:r>
      <w:bookmarkStart w:id="43" w:name="_Hlk100178398"/>
      <w:bookmarkEnd w:id="43"/>
    </w:p>
    <w:p w14:paraId="37D77C32">
      <w:pPr>
        <w:tabs>
          <w:tab w:val="left" w:pos="0"/>
          <w:tab w:val="left" w:pos="945"/>
        </w:tabs>
        <w:spacing w:line="360" w:lineRule="auto"/>
        <w:ind w:firstLine="480"/>
        <w:rPr>
          <w:rFonts w:ascii="宋体" w:hAnsi="宋体"/>
          <w:bCs/>
          <w:color w:val="auto"/>
          <w:sz w:val="24"/>
          <w:szCs w:val="24"/>
          <w:highlight w:val="none"/>
        </w:rPr>
      </w:pPr>
      <w:r>
        <w:rPr>
          <w:rFonts w:hint="eastAsia" w:ascii="微软雅黑" w:hAnsi="微软雅黑" w:eastAsia="微软雅黑" w:cs="微软雅黑"/>
          <w:bCs/>
          <w:color w:val="auto"/>
          <w:sz w:val="24"/>
          <w:szCs w:val="24"/>
          <w:highlight w:val="none"/>
        </w:rPr>
        <w:t>⑪</w:t>
      </w:r>
      <w:r>
        <w:rPr>
          <w:rFonts w:hint="eastAsia" w:ascii="宋体" w:hAnsi="宋体"/>
          <w:bCs/>
          <w:color w:val="auto"/>
          <w:sz w:val="24"/>
          <w:szCs w:val="24"/>
          <w:highlight w:val="none"/>
        </w:rPr>
        <w:t>授权代理人提供由法定的社保收缴部门出具的2026年</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月—2026年</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月的投标供应商依法为其缴纳社会保险证明（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加盖公章或签电子公章或带二维码验证的扫描件）；</w:t>
      </w:r>
    </w:p>
    <w:p w14:paraId="60C44D60">
      <w:pPr>
        <w:tabs>
          <w:tab w:val="left" w:pos="0"/>
          <w:tab w:val="left" w:pos="945"/>
        </w:tabs>
        <w:spacing w:line="360" w:lineRule="auto"/>
        <w:ind w:firstLine="480"/>
        <w:rPr>
          <w:rFonts w:ascii="宋体" w:hAnsi="宋体"/>
          <w:bCs/>
          <w:color w:val="auto"/>
          <w:sz w:val="24"/>
          <w:szCs w:val="24"/>
          <w:highlight w:val="none"/>
        </w:rPr>
      </w:pPr>
      <w:r>
        <w:rPr>
          <w:rFonts w:hint="eastAsia" w:ascii="微软雅黑" w:hAnsi="微软雅黑" w:eastAsia="微软雅黑" w:cs="微软雅黑"/>
          <w:bCs/>
          <w:color w:val="auto"/>
          <w:sz w:val="24"/>
          <w:szCs w:val="24"/>
          <w:highlight w:val="none"/>
        </w:rPr>
        <w:t>⑫</w:t>
      </w:r>
      <w:r>
        <w:rPr>
          <w:rFonts w:hint="eastAsia" w:ascii="宋体" w:hAnsi="宋体"/>
          <w:bCs/>
          <w:color w:val="auto"/>
          <w:sz w:val="24"/>
          <w:szCs w:val="24"/>
          <w:highlight w:val="none"/>
        </w:rPr>
        <w:t>拟派项目负责人提供由法定的社保收缴部门出具的2026年</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rPr>
        <w:t>月—2026年</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月的投标供应商依法为其缴纳社会保险证明（由相关主管部门出具，如投标供应商成立时间迟于要求开始的时间，则时间要求为投标供应商成立时间至截止时间；法定代表人担任本项目的项目负责人的除外；社保缴费证明必须提交带有社保部门红章的或含有县（区）级及以上社保部门电子加盖公章或签电子公章或带二维码验证的扫描件）；</w:t>
      </w:r>
    </w:p>
    <w:p w14:paraId="65D93317">
      <w:pPr>
        <w:tabs>
          <w:tab w:val="left" w:pos="0"/>
          <w:tab w:val="left" w:pos="945"/>
        </w:tabs>
        <w:spacing w:line="360" w:lineRule="auto"/>
        <w:ind w:firstLine="480"/>
        <w:rPr>
          <w:rFonts w:ascii="宋体" w:hAnsi="宋体"/>
          <w:bCs/>
          <w:color w:val="auto"/>
          <w:sz w:val="24"/>
          <w:szCs w:val="24"/>
          <w:highlight w:val="none"/>
        </w:rPr>
      </w:pPr>
      <w:r>
        <w:rPr>
          <w:rFonts w:hint="eastAsia" w:ascii="微软雅黑" w:hAnsi="微软雅黑" w:eastAsia="微软雅黑" w:cs="微软雅黑"/>
          <w:bCs/>
          <w:color w:val="auto"/>
          <w:sz w:val="24"/>
          <w:szCs w:val="24"/>
          <w:highlight w:val="none"/>
        </w:rPr>
        <w:t>⑬</w:t>
      </w:r>
      <w:r>
        <w:rPr>
          <w:rFonts w:hint="eastAsia" w:ascii="宋体" w:hAnsi="宋体"/>
          <w:bCs/>
          <w:color w:val="auto"/>
          <w:sz w:val="24"/>
          <w:szCs w:val="24"/>
          <w:highlight w:val="none"/>
        </w:rPr>
        <w:t>供应商必须是中小微企业或监狱企业或残疾人福利性单位；供应商如为中小微企业的提供《中小企业声明函》原件扫描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原件扫描件；</w:t>
      </w:r>
    </w:p>
    <w:p w14:paraId="5889E3AD">
      <w:pPr>
        <w:tabs>
          <w:tab w:val="left" w:pos="0"/>
          <w:tab w:val="left" w:pos="945"/>
        </w:tabs>
        <w:spacing w:line="360" w:lineRule="auto"/>
        <w:ind w:firstLine="480"/>
        <w:rPr>
          <w:rFonts w:ascii="宋体" w:hAnsi="宋体"/>
          <w:bCs/>
          <w:color w:val="auto"/>
          <w:sz w:val="24"/>
          <w:szCs w:val="24"/>
          <w:highlight w:val="none"/>
        </w:rPr>
      </w:pPr>
      <w:r>
        <w:rPr>
          <w:rFonts w:hint="eastAsia" w:ascii="微软雅黑" w:hAnsi="微软雅黑" w:eastAsia="微软雅黑" w:cs="微软雅黑"/>
          <w:bCs/>
          <w:color w:val="auto"/>
          <w:sz w:val="24"/>
          <w:szCs w:val="24"/>
          <w:highlight w:val="none"/>
        </w:rPr>
        <w:t>⑭</w:t>
      </w:r>
      <w:r>
        <w:rPr>
          <w:rFonts w:hint="eastAsia" w:ascii="宋体" w:hAnsi="宋体"/>
          <w:bCs/>
          <w:color w:val="auto"/>
          <w:sz w:val="24"/>
          <w:szCs w:val="24"/>
          <w:highlight w:val="none"/>
        </w:rPr>
        <w:t>参加政府采购活动前3年内在经营活动中没有重大违法记录的书面声明（格式见附件）；</w:t>
      </w:r>
    </w:p>
    <w:bookmarkEnd w:id="41"/>
    <w:p w14:paraId="3CF05A62">
      <w:pPr>
        <w:tabs>
          <w:tab w:val="left" w:pos="0"/>
          <w:tab w:val="left" w:pos="945"/>
        </w:tabs>
        <w:spacing w:line="360" w:lineRule="auto"/>
        <w:ind w:firstLine="480"/>
        <w:rPr>
          <w:rFonts w:ascii="宋体" w:hAnsi="宋体"/>
          <w:bCs/>
          <w:color w:val="auto"/>
          <w:sz w:val="24"/>
          <w:szCs w:val="24"/>
          <w:highlight w:val="none"/>
        </w:rPr>
      </w:pPr>
      <w:r>
        <w:rPr>
          <w:rFonts w:hint="eastAsia" w:ascii="微软雅黑" w:hAnsi="微软雅黑" w:eastAsia="微软雅黑" w:cs="微软雅黑"/>
          <w:bCs/>
          <w:color w:val="auto"/>
          <w:sz w:val="24"/>
          <w:szCs w:val="24"/>
          <w:highlight w:val="none"/>
        </w:rPr>
        <w:t>⑮</w:t>
      </w:r>
      <w:r>
        <w:rPr>
          <w:rFonts w:hint="eastAsia" w:ascii="宋体" w:hAnsi="宋体"/>
          <w:bCs/>
          <w:color w:val="auto"/>
          <w:sz w:val="24"/>
          <w:szCs w:val="24"/>
          <w:highlight w:val="none"/>
        </w:rPr>
        <w:t>供应商未被列入“信用中国”网站（www.creditchina.gov.cn）“失信被执行人、重大税收违法失信主体名单、严重失信主体名单”（有上述处罚记录但处罚期已届满的，视为无记录，以代理机构评标当日查询结果为准）；</w:t>
      </w:r>
    </w:p>
    <w:p w14:paraId="6BC84913">
      <w:pPr>
        <w:tabs>
          <w:tab w:val="left" w:pos="0"/>
          <w:tab w:val="left" w:pos="945"/>
        </w:tabs>
        <w:spacing w:line="360" w:lineRule="auto"/>
        <w:ind w:firstLine="480"/>
        <w:rPr>
          <w:rFonts w:ascii="宋体" w:hAnsi="宋体"/>
          <w:bCs/>
          <w:color w:val="auto"/>
          <w:sz w:val="24"/>
          <w:szCs w:val="24"/>
          <w:highlight w:val="none"/>
        </w:rPr>
      </w:pPr>
      <w:r>
        <w:rPr>
          <w:rFonts w:hint="eastAsia" w:ascii="微软雅黑" w:hAnsi="微软雅黑" w:eastAsia="微软雅黑" w:cs="微软雅黑"/>
          <w:bCs/>
          <w:color w:val="auto"/>
          <w:sz w:val="24"/>
          <w:szCs w:val="24"/>
          <w:highlight w:val="none"/>
        </w:rPr>
        <w:t>⑯</w:t>
      </w:r>
      <w:r>
        <w:rPr>
          <w:rFonts w:hint="eastAsia" w:ascii="宋体" w:hAnsi="宋体"/>
          <w:bCs/>
          <w:color w:val="auto"/>
          <w:sz w:val="24"/>
          <w:szCs w:val="24"/>
          <w:highlight w:val="none"/>
        </w:rPr>
        <w:t>本项目不接受联合体投标；不允许分包、转包；</w:t>
      </w:r>
    </w:p>
    <w:p w14:paraId="7DA8582F">
      <w:pPr>
        <w:tabs>
          <w:tab w:val="left" w:pos="0"/>
          <w:tab w:val="left" w:pos="945"/>
        </w:tabs>
        <w:spacing w:line="360" w:lineRule="auto"/>
        <w:ind w:firstLine="480"/>
        <w:rPr>
          <w:color w:val="auto"/>
          <w:highlight w:val="none"/>
        </w:rPr>
      </w:pPr>
      <w:r>
        <w:rPr>
          <w:rFonts w:hint="eastAsia" w:ascii="微软雅黑" w:hAnsi="微软雅黑" w:eastAsia="微软雅黑" w:cs="微软雅黑"/>
          <w:bCs/>
          <w:color w:val="auto"/>
          <w:sz w:val="24"/>
          <w:szCs w:val="24"/>
          <w:highlight w:val="none"/>
        </w:rPr>
        <w:t>⑰</w:t>
      </w:r>
      <w:r>
        <w:rPr>
          <w:rFonts w:hint="eastAsia" w:ascii="宋体" w:hAnsi="宋体"/>
          <w:bCs/>
          <w:color w:val="auto"/>
          <w:sz w:val="24"/>
          <w:szCs w:val="24"/>
          <w:highlight w:val="none"/>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相关承诺要求内容。</w:t>
      </w:r>
    </w:p>
    <w:p w14:paraId="3E4BEDB3">
      <w:pPr>
        <w:tabs>
          <w:tab w:val="left" w:pos="420"/>
          <w:tab w:val="left" w:pos="945"/>
          <w:tab w:val="left" w:pos="1155"/>
          <w:tab w:val="left" w:pos="1378"/>
        </w:tabs>
        <w:spacing w:line="360" w:lineRule="auto"/>
        <w:ind w:firstLine="482"/>
        <w:rPr>
          <w:rFonts w:ascii="宋体" w:hAnsi="宋体"/>
          <w:b/>
          <w:bCs/>
          <w:color w:val="auto"/>
          <w:sz w:val="24"/>
          <w:szCs w:val="24"/>
          <w:highlight w:val="none"/>
        </w:rPr>
      </w:pPr>
      <w:r>
        <w:rPr>
          <w:rFonts w:hint="eastAsia" w:ascii="宋体" w:hAnsi="宋体"/>
          <w:b/>
          <w:bCs/>
          <w:color w:val="auto"/>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01EAB1CA">
      <w:pPr>
        <w:numPr>
          <w:ilvl w:val="1"/>
          <w:numId w:val="10"/>
        </w:numPr>
        <w:tabs>
          <w:tab w:val="left" w:pos="525"/>
          <w:tab w:val="left" w:pos="945"/>
          <w:tab w:val="clear" w:pos="990"/>
        </w:tabs>
        <w:spacing w:line="360" w:lineRule="auto"/>
        <w:ind w:hanging="564"/>
        <w:rPr>
          <w:rFonts w:ascii="宋体" w:hAnsi="宋体"/>
          <w:bCs/>
          <w:color w:val="auto"/>
          <w:sz w:val="24"/>
          <w:szCs w:val="24"/>
          <w:highlight w:val="none"/>
        </w:rPr>
      </w:pPr>
      <w:r>
        <w:rPr>
          <w:rFonts w:hint="eastAsia" w:ascii="宋体" w:hAnsi="宋体"/>
          <w:bCs/>
          <w:color w:val="auto"/>
          <w:sz w:val="24"/>
          <w:szCs w:val="24"/>
          <w:highlight w:val="none"/>
        </w:rPr>
        <w:t>补充性文件</w:t>
      </w:r>
    </w:p>
    <w:p w14:paraId="23B349FB">
      <w:pPr>
        <w:tabs>
          <w:tab w:val="left" w:pos="420"/>
          <w:tab w:val="left" w:pos="1155"/>
        </w:tabs>
        <w:spacing w:line="360" w:lineRule="auto"/>
        <w:ind w:left="523"/>
        <w:rPr>
          <w:rFonts w:ascii="宋体" w:hAnsi="宋体"/>
          <w:color w:val="auto"/>
          <w:sz w:val="24"/>
          <w:szCs w:val="24"/>
          <w:highlight w:val="none"/>
        </w:rPr>
      </w:pPr>
      <w:r>
        <w:rPr>
          <w:rFonts w:hint="eastAsia" w:ascii="宋体" w:hAnsi="宋体"/>
          <w:color w:val="auto"/>
          <w:sz w:val="24"/>
          <w:szCs w:val="24"/>
          <w:highlight w:val="none"/>
        </w:rPr>
        <w:t>①企业简介和经营情况说明；</w:t>
      </w:r>
    </w:p>
    <w:p w14:paraId="3029F37C">
      <w:pPr>
        <w:tabs>
          <w:tab w:val="left" w:pos="420"/>
          <w:tab w:val="left" w:pos="1155"/>
        </w:tabs>
        <w:spacing w:line="360" w:lineRule="auto"/>
        <w:ind w:left="523"/>
        <w:rPr>
          <w:rFonts w:ascii="宋体" w:hAnsi="宋体"/>
          <w:color w:val="auto"/>
          <w:sz w:val="24"/>
          <w:szCs w:val="24"/>
          <w:highlight w:val="none"/>
        </w:rPr>
      </w:pPr>
      <w:r>
        <w:rPr>
          <w:rFonts w:hint="eastAsia" w:ascii="宋体" w:hAnsi="宋体"/>
          <w:color w:val="auto"/>
          <w:sz w:val="24"/>
          <w:szCs w:val="24"/>
          <w:highlight w:val="none"/>
        </w:rPr>
        <w:t>②投标供应商认为必须提供的其他证明材料。</w:t>
      </w:r>
    </w:p>
    <w:p w14:paraId="546EA999">
      <w:pPr>
        <w:tabs>
          <w:tab w:val="left" w:pos="420"/>
          <w:tab w:val="left" w:pos="945"/>
          <w:tab w:val="left" w:pos="1155"/>
        </w:tabs>
        <w:spacing w:line="360" w:lineRule="auto"/>
        <w:ind w:firstLine="523"/>
        <w:rPr>
          <w:color w:val="auto"/>
          <w:highlight w:val="none"/>
        </w:rPr>
      </w:pPr>
      <w:r>
        <w:rPr>
          <w:rFonts w:hint="eastAsia" w:ascii="宋体" w:hAnsi="宋体"/>
          <w:b/>
          <w:bCs/>
          <w:color w:val="auto"/>
          <w:sz w:val="24"/>
          <w:szCs w:val="24"/>
          <w:highlight w:val="none"/>
        </w:rPr>
        <w:t>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color w:val="auto"/>
          <w:sz w:val="24"/>
          <w:szCs w:val="24"/>
          <w:highlight w:val="none"/>
        </w:rPr>
        <w:t>或其他</w:t>
      </w:r>
      <w:r>
        <w:rPr>
          <w:rFonts w:hint="eastAsia" w:ascii="宋体" w:hAnsi="宋体"/>
          <w:b/>
          <w:bCs/>
          <w:color w:val="auto"/>
          <w:sz w:val="24"/>
          <w:szCs w:val="24"/>
          <w:highlight w:val="none"/>
        </w:rPr>
        <w:t>可在中国大陆有效居留的许可证明。投标供应商所提交的证明文件的完整、清晰与否，将直接影响其投标文件的审核和评分结果。</w:t>
      </w:r>
    </w:p>
    <w:p w14:paraId="346D2C59">
      <w:pPr>
        <w:numPr>
          <w:ilvl w:val="0"/>
          <w:numId w:val="10"/>
        </w:numPr>
        <w:tabs>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开标一览表（格式见附件）</w:t>
      </w:r>
    </w:p>
    <w:p w14:paraId="5B4B1D09">
      <w:pPr>
        <w:numPr>
          <w:ilvl w:val="0"/>
          <w:numId w:val="10"/>
        </w:numPr>
        <w:tabs>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明细报价表（格式见附件）</w:t>
      </w:r>
    </w:p>
    <w:p w14:paraId="6BA5BFC7">
      <w:pPr>
        <w:spacing w:line="360" w:lineRule="auto"/>
        <w:ind w:firstLine="523"/>
        <w:rPr>
          <w:rFonts w:ascii="宋体" w:hAnsi="宋体"/>
          <w:b/>
          <w:bCs/>
          <w:color w:val="auto"/>
          <w:sz w:val="24"/>
          <w:szCs w:val="24"/>
          <w:highlight w:val="none"/>
        </w:rPr>
      </w:pPr>
      <w:r>
        <w:rPr>
          <w:rFonts w:hint="eastAsia" w:ascii="宋体" w:hAnsi="宋体"/>
          <w:b/>
          <w:bCs/>
          <w:color w:val="auto"/>
          <w:sz w:val="24"/>
          <w:szCs w:val="24"/>
          <w:highlight w:val="none"/>
        </w:rPr>
        <w:t>注：经评标委员会认定投标供应商的投标报价明显低于其他通过符合性审查投标供应商的报价，有可能影响产品质量或者不能诚信履约，投标供应商必须在30分钟内提供书面说明，必要时提交相关证明材料以证明其报价合理性。投标供应商不能证明其报价合理性的，评标委员会应当将其作为无效投标处理。</w:t>
      </w:r>
    </w:p>
    <w:bookmarkEnd w:id="39"/>
    <w:bookmarkEnd w:id="40"/>
    <w:p w14:paraId="50BB2982">
      <w:pPr>
        <w:numPr>
          <w:ilvl w:val="0"/>
          <w:numId w:val="10"/>
        </w:numPr>
        <w:tabs>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偏离表</w:t>
      </w:r>
      <w:r>
        <w:rPr>
          <w:rFonts w:hint="eastAsia" w:ascii="宋体" w:hAnsi="宋体"/>
          <w:b/>
          <w:bCs/>
          <w:color w:val="auto"/>
          <w:sz w:val="24"/>
          <w:szCs w:val="24"/>
          <w:highlight w:val="none"/>
        </w:rPr>
        <w:t>（格式见附件）</w:t>
      </w:r>
    </w:p>
    <w:p w14:paraId="37342F94">
      <w:pPr>
        <w:numPr>
          <w:ilvl w:val="0"/>
          <w:numId w:val="10"/>
        </w:numPr>
        <w:tabs>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企业业绩一览表</w:t>
      </w:r>
      <w:r>
        <w:rPr>
          <w:rFonts w:hint="eastAsia" w:ascii="宋体" w:hAnsi="宋体"/>
          <w:b/>
          <w:bCs/>
          <w:color w:val="auto"/>
          <w:sz w:val="24"/>
          <w:szCs w:val="24"/>
          <w:highlight w:val="none"/>
        </w:rPr>
        <w:t>（格式见附件）</w:t>
      </w:r>
    </w:p>
    <w:p w14:paraId="681201F3">
      <w:pPr>
        <w:numPr>
          <w:ilvl w:val="0"/>
          <w:numId w:val="10"/>
        </w:numPr>
        <w:tabs>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投标供应商拟投入本项目人员一览表</w:t>
      </w:r>
      <w:r>
        <w:rPr>
          <w:rFonts w:hint="eastAsia" w:ascii="宋体" w:hAnsi="宋体"/>
          <w:b/>
          <w:bCs/>
          <w:color w:val="auto"/>
          <w:sz w:val="24"/>
          <w:szCs w:val="24"/>
          <w:highlight w:val="none"/>
        </w:rPr>
        <w:t>（格式见附件）</w:t>
      </w:r>
    </w:p>
    <w:p w14:paraId="15E1C888">
      <w:pPr>
        <w:numPr>
          <w:ilvl w:val="0"/>
          <w:numId w:val="10"/>
        </w:numPr>
        <w:tabs>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评分标准中对应</w:t>
      </w:r>
      <w:r>
        <w:rPr>
          <w:rFonts w:ascii="宋体" w:hAnsi="宋体"/>
          <w:bCs/>
          <w:color w:val="auto"/>
          <w:sz w:val="24"/>
          <w:szCs w:val="24"/>
          <w:highlight w:val="none"/>
        </w:rPr>
        <w:t>的其他</w:t>
      </w:r>
      <w:r>
        <w:rPr>
          <w:rFonts w:hint="eastAsia" w:ascii="宋体" w:hAnsi="宋体"/>
          <w:bCs/>
          <w:color w:val="auto"/>
          <w:sz w:val="24"/>
          <w:szCs w:val="24"/>
          <w:highlight w:val="none"/>
        </w:rPr>
        <w:t>所需证明材料（</w:t>
      </w:r>
      <w:r>
        <w:rPr>
          <w:rFonts w:hint="eastAsia" w:ascii="宋体" w:hAnsi="宋体"/>
          <w:b/>
          <w:bCs/>
          <w:color w:val="auto"/>
          <w:sz w:val="24"/>
          <w:szCs w:val="24"/>
          <w:highlight w:val="none"/>
        </w:rPr>
        <w:t>如有自行添加</w:t>
      </w:r>
      <w:r>
        <w:rPr>
          <w:rFonts w:hint="eastAsia" w:ascii="宋体" w:hAnsi="宋体"/>
          <w:bCs/>
          <w:color w:val="auto"/>
          <w:sz w:val="24"/>
          <w:szCs w:val="24"/>
          <w:highlight w:val="none"/>
        </w:rPr>
        <w:t>）</w:t>
      </w:r>
    </w:p>
    <w:p w14:paraId="11D6C98C">
      <w:pPr>
        <w:numPr>
          <w:ilvl w:val="0"/>
          <w:numId w:val="10"/>
        </w:numPr>
        <w:tabs>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要求采购人提供的配合（</w:t>
      </w:r>
      <w:r>
        <w:rPr>
          <w:rFonts w:hint="eastAsia" w:ascii="宋体" w:hAnsi="宋体"/>
          <w:b/>
          <w:bCs/>
          <w:color w:val="auto"/>
          <w:sz w:val="24"/>
          <w:szCs w:val="24"/>
          <w:highlight w:val="none"/>
        </w:rPr>
        <w:t>如有自拟并自行添加</w:t>
      </w:r>
      <w:r>
        <w:rPr>
          <w:rFonts w:hint="eastAsia" w:ascii="宋体" w:hAnsi="宋体"/>
          <w:bCs/>
          <w:color w:val="auto"/>
          <w:sz w:val="24"/>
          <w:szCs w:val="24"/>
          <w:highlight w:val="none"/>
        </w:rPr>
        <w:t>）</w:t>
      </w:r>
    </w:p>
    <w:p w14:paraId="77FEC5EA">
      <w:pPr>
        <w:numPr>
          <w:ilvl w:val="0"/>
          <w:numId w:val="10"/>
        </w:numPr>
        <w:tabs>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关于符合本国产品标准的声明函</w:t>
      </w:r>
      <w:r>
        <w:rPr>
          <w:rFonts w:hint="eastAsia" w:ascii="宋体" w:hAnsi="宋体"/>
          <w:b/>
          <w:color w:val="auto"/>
          <w:sz w:val="24"/>
          <w:szCs w:val="24"/>
          <w:highlight w:val="none"/>
        </w:rPr>
        <w:t>（如有，格式见附件）</w:t>
      </w:r>
    </w:p>
    <w:p w14:paraId="03FB9BD8">
      <w:pPr>
        <w:tabs>
          <w:tab w:val="left" w:pos="525"/>
          <w:tab w:val="left" w:pos="945"/>
        </w:tabs>
        <w:spacing w:line="360" w:lineRule="auto"/>
        <w:ind w:left="523"/>
        <w:rPr>
          <w:rFonts w:ascii="宋体" w:hAnsi="宋体"/>
          <w:b/>
          <w:bCs/>
          <w:color w:val="auto"/>
          <w:sz w:val="24"/>
          <w:szCs w:val="24"/>
          <w:highlight w:val="none"/>
        </w:rPr>
      </w:pPr>
      <w:r>
        <w:rPr>
          <w:rFonts w:hint="eastAsia" w:ascii="宋体" w:hAnsi="宋体"/>
          <w:bCs/>
          <w:color w:val="auto"/>
          <w:sz w:val="24"/>
          <w:szCs w:val="24"/>
          <w:highlight w:val="none"/>
        </w:rPr>
        <w:t>11.其他</w:t>
      </w:r>
      <w:r>
        <w:rPr>
          <w:rFonts w:hint="eastAsia" w:ascii="宋体" w:hAnsi="宋体"/>
          <w:b/>
          <w:color w:val="auto"/>
          <w:sz w:val="24"/>
          <w:szCs w:val="24"/>
          <w:highlight w:val="none"/>
        </w:rPr>
        <w:t>（投标供应商认为有必要提供的声明和文件，如有自拟并自行添加）</w:t>
      </w:r>
    </w:p>
    <w:p w14:paraId="66966E6E">
      <w:pPr>
        <w:spacing w:line="360" w:lineRule="auto"/>
        <w:ind w:firstLine="482"/>
        <w:rPr>
          <w:rFonts w:ascii="宋体" w:hAnsi="宋体"/>
          <w:b/>
          <w:bCs/>
          <w:color w:val="auto"/>
          <w:sz w:val="24"/>
          <w:szCs w:val="24"/>
          <w:highlight w:val="none"/>
        </w:rPr>
      </w:pPr>
      <w:r>
        <w:rPr>
          <w:rFonts w:hint="eastAsia" w:ascii="宋体" w:hAnsi="宋体"/>
          <w:b/>
          <w:bCs/>
          <w:color w:val="auto"/>
          <w:sz w:val="24"/>
          <w:szCs w:val="24"/>
          <w:highlight w:val="none"/>
        </w:rPr>
        <w:t>第二部分：技术标（暗标）</w:t>
      </w:r>
    </w:p>
    <w:p w14:paraId="34175E4F">
      <w:pPr>
        <w:spacing w:line="360" w:lineRule="auto"/>
        <w:ind w:firstLine="482"/>
        <w:rPr>
          <w:rFonts w:ascii="宋体" w:hAnsi="宋体" w:cs="宋体"/>
          <w:bCs/>
          <w:color w:val="auto"/>
          <w:sz w:val="24"/>
          <w:highlight w:val="none"/>
        </w:rPr>
      </w:pPr>
      <w:r>
        <w:rPr>
          <w:rFonts w:hint="eastAsia" w:ascii="宋体" w:hAnsi="宋体" w:cs="宋体"/>
          <w:bCs/>
          <w:color w:val="auto"/>
          <w:sz w:val="24"/>
          <w:highlight w:val="none"/>
        </w:rPr>
        <w:t>1.餐饮服务管理工作实施方案；</w:t>
      </w:r>
    </w:p>
    <w:p w14:paraId="7F89C933">
      <w:pPr>
        <w:spacing w:line="360" w:lineRule="auto"/>
        <w:ind w:firstLine="482"/>
        <w:rPr>
          <w:rFonts w:ascii="宋体" w:hAnsi="宋体" w:cs="宋体"/>
          <w:bCs/>
          <w:color w:val="auto"/>
          <w:sz w:val="24"/>
          <w:highlight w:val="none"/>
        </w:rPr>
      </w:pPr>
      <w:r>
        <w:rPr>
          <w:rFonts w:hint="eastAsia" w:ascii="宋体" w:hAnsi="宋体" w:cs="宋体"/>
          <w:bCs/>
          <w:color w:val="auto"/>
          <w:sz w:val="24"/>
          <w:highlight w:val="none"/>
        </w:rPr>
        <w:t>2.日常管理流程图；</w:t>
      </w:r>
    </w:p>
    <w:p w14:paraId="63F894D3">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3.日常管理制度和工作标准；</w:t>
      </w:r>
    </w:p>
    <w:p w14:paraId="527240B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4.防火、防食物中毒等突发事件的应急预案；</w:t>
      </w:r>
    </w:p>
    <w:p w14:paraId="0428783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5.保障应急任务后备人员充足的承诺；</w:t>
      </w:r>
    </w:p>
    <w:p w14:paraId="1F983BAF">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6.供餐模式及品种方案；</w:t>
      </w:r>
    </w:p>
    <w:p w14:paraId="2E36656B">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7.协调及投诉处理方案；</w:t>
      </w:r>
    </w:p>
    <w:p w14:paraId="77DD803A">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8.正式接管前具体措施；</w:t>
      </w:r>
    </w:p>
    <w:p w14:paraId="078D206B">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9.针对食品安全和消防安全的培训方案及实施细则；</w:t>
      </w:r>
    </w:p>
    <w:p w14:paraId="4C21595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10.特色服务和创新服务方案；</w:t>
      </w:r>
    </w:p>
    <w:p w14:paraId="366D992E">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11.食品质量及食品安全控制方案。</w:t>
      </w:r>
    </w:p>
    <w:p w14:paraId="259A3821">
      <w:pPr>
        <w:tabs>
          <w:tab w:val="left" w:pos="525"/>
          <w:tab w:val="left" w:pos="945"/>
        </w:tabs>
        <w:spacing w:line="360" w:lineRule="auto"/>
        <w:ind w:firstLine="480"/>
        <w:rPr>
          <w:rFonts w:ascii="宋体" w:hAnsi="宋体"/>
          <w:b/>
          <w:color w:val="auto"/>
          <w:sz w:val="24"/>
          <w:szCs w:val="24"/>
          <w:highlight w:val="none"/>
        </w:rPr>
      </w:pPr>
      <w:r>
        <w:rPr>
          <w:rFonts w:hint="eastAsia" w:ascii="宋体" w:hAnsi="宋体"/>
          <w:b/>
          <w:color w:val="auto"/>
          <w:sz w:val="24"/>
          <w:szCs w:val="24"/>
          <w:highlight w:val="none"/>
          <w:u w:val="single"/>
        </w:rPr>
        <w:t>特别注意：本项目采用暗标形式，投标供应商须参照评标办法的相关要求对商务部分和技术文件部分分别进行制作。其中技术文件部分属于暗标，投标供应商在制作技术文件部分相关内容时不得有体现投标供应商身份的内容，否则投标无效。</w:t>
      </w:r>
    </w:p>
    <w:p w14:paraId="2868093B">
      <w:pPr>
        <w:tabs>
          <w:tab w:val="left" w:pos="525"/>
          <w:tab w:val="left" w:pos="945"/>
        </w:tabs>
        <w:spacing w:line="360" w:lineRule="auto"/>
        <w:ind w:firstLine="480"/>
        <w:rPr>
          <w:rFonts w:ascii="宋体" w:hAnsi="宋体"/>
          <w:b/>
          <w:color w:val="auto"/>
          <w:sz w:val="24"/>
          <w:szCs w:val="24"/>
          <w:highlight w:val="none"/>
        </w:rPr>
      </w:pPr>
      <w:r>
        <w:rPr>
          <w:rFonts w:hint="eastAsia" w:ascii="宋体" w:hAnsi="宋体"/>
          <w:b/>
          <w:color w:val="auto"/>
          <w:sz w:val="24"/>
          <w:szCs w:val="24"/>
          <w:highlight w:val="none"/>
        </w:rPr>
        <w:t>不得有体现投标供应商身份的内容是指：</w:t>
      </w:r>
    </w:p>
    <w:p w14:paraId="3A36DB99">
      <w:pPr>
        <w:tabs>
          <w:tab w:val="left" w:pos="525"/>
          <w:tab w:val="left" w:pos="945"/>
        </w:tabs>
        <w:spacing w:line="360" w:lineRule="auto"/>
        <w:ind w:firstLine="480"/>
        <w:rPr>
          <w:rFonts w:ascii="宋体" w:hAnsi="宋体"/>
          <w:b/>
          <w:color w:val="auto"/>
          <w:sz w:val="24"/>
          <w:szCs w:val="24"/>
          <w:highlight w:val="none"/>
        </w:rPr>
      </w:pPr>
      <w:r>
        <w:rPr>
          <w:rFonts w:hint="eastAsia" w:ascii="宋体" w:hAnsi="宋体"/>
          <w:b/>
          <w:color w:val="auto"/>
          <w:sz w:val="24"/>
          <w:szCs w:val="24"/>
          <w:highlight w:val="none"/>
        </w:rPr>
        <w:t>①技术部分不得出现能够体现投标供应商身份、名称的相关描述、材料、文件等内容；</w:t>
      </w:r>
    </w:p>
    <w:p w14:paraId="65935B24">
      <w:pPr>
        <w:tabs>
          <w:tab w:val="left" w:pos="525"/>
          <w:tab w:val="left" w:pos="945"/>
        </w:tabs>
        <w:spacing w:line="360" w:lineRule="auto"/>
        <w:ind w:firstLine="480"/>
        <w:rPr>
          <w:rFonts w:ascii="宋体" w:hAnsi="宋体"/>
          <w:b/>
          <w:color w:val="auto"/>
          <w:sz w:val="24"/>
          <w:szCs w:val="24"/>
          <w:highlight w:val="none"/>
        </w:rPr>
      </w:pPr>
      <w:r>
        <w:rPr>
          <w:rFonts w:hint="eastAsia" w:ascii="宋体" w:hAnsi="宋体"/>
          <w:b/>
          <w:color w:val="auto"/>
          <w:sz w:val="24"/>
          <w:szCs w:val="24"/>
          <w:highlight w:val="none"/>
        </w:rPr>
        <w:t>②技术部分不得更改，不得在其中涂改、标注或做任何可以辨认投标供应商及所属人员身份的名称、印章、商标等标记；</w:t>
      </w:r>
    </w:p>
    <w:p w14:paraId="611C56C2">
      <w:pPr>
        <w:tabs>
          <w:tab w:val="left" w:pos="525"/>
          <w:tab w:val="left" w:pos="945"/>
        </w:tabs>
        <w:spacing w:line="360" w:lineRule="auto"/>
        <w:ind w:firstLine="480"/>
        <w:rPr>
          <w:rFonts w:ascii="宋体" w:hAnsi="宋体"/>
          <w:b/>
          <w:color w:val="auto"/>
          <w:sz w:val="24"/>
          <w:szCs w:val="24"/>
          <w:highlight w:val="none"/>
        </w:rPr>
      </w:pPr>
      <w:r>
        <w:rPr>
          <w:rFonts w:hint="eastAsia" w:ascii="宋体" w:hAnsi="宋体"/>
          <w:b/>
          <w:color w:val="auto"/>
          <w:sz w:val="24"/>
          <w:szCs w:val="24"/>
          <w:highlight w:val="none"/>
        </w:rPr>
        <w:t>③技术部分应当版面整洁、字迹清楚、不许批注或进行底纹、阴影、水印等特殊设置，不得采用任何不符合常规、有别于其他投标供应商的特殊做法；</w:t>
      </w:r>
    </w:p>
    <w:p w14:paraId="173932C9">
      <w:pPr>
        <w:tabs>
          <w:tab w:val="left" w:pos="525"/>
          <w:tab w:val="left" w:pos="945"/>
        </w:tabs>
        <w:spacing w:line="360" w:lineRule="auto"/>
        <w:ind w:firstLine="480"/>
        <w:rPr>
          <w:rFonts w:ascii="宋体" w:hAnsi="宋体" w:cs="宋体"/>
          <w:color w:val="auto"/>
          <w:sz w:val="24"/>
          <w:highlight w:val="none"/>
        </w:rPr>
      </w:pPr>
      <w:r>
        <w:rPr>
          <w:rFonts w:hint="eastAsia" w:ascii="宋体" w:hAnsi="宋体"/>
          <w:b/>
          <w:color w:val="auto"/>
          <w:sz w:val="24"/>
          <w:szCs w:val="24"/>
          <w:highlight w:val="none"/>
        </w:rPr>
        <w:t>④不得有其他体现投标供应商身份的内容。</w:t>
      </w:r>
    </w:p>
    <w:p w14:paraId="085E087D">
      <w:pPr>
        <w:spacing w:line="360" w:lineRule="auto"/>
        <w:ind w:firstLine="482"/>
        <w:outlineLvl w:val="0"/>
        <w:rPr>
          <w:rFonts w:ascii="宋体" w:hAnsi="宋体"/>
          <w:b/>
          <w:bCs/>
          <w:color w:val="auto"/>
          <w:sz w:val="24"/>
          <w:szCs w:val="24"/>
          <w:highlight w:val="none"/>
        </w:rPr>
      </w:pPr>
      <w:r>
        <w:rPr>
          <w:rFonts w:hint="eastAsia" w:ascii="宋体" w:hAnsi="宋体"/>
          <w:b/>
          <w:bCs/>
          <w:color w:val="auto"/>
          <w:sz w:val="24"/>
          <w:szCs w:val="24"/>
          <w:highlight w:val="none"/>
        </w:rPr>
        <w:t>（七） 投标文件的制作：</w:t>
      </w:r>
    </w:p>
    <w:p w14:paraId="1A78511E">
      <w:pPr>
        <w:spacing w:line="360" w:lineRule="auto"/>
        <w:ind w:firstLine="482"/>
        <w:rPr>
          <w:rFonts w:ascii="宋体" w:hAnsi="宋体"/>
          <w:color w:val="auto"/>
          <w:sz w:val="24"/>
          <w:szCs w:val="24"/>
          <w:highlight w:val="none"/>
        </w:rPr>
      </w:pPr>
      <w:bookmarkStart w:id="44" w:name="_Toc116946295"/>
      <w:bookmarkStart w:id="45" w:name="_Toc98277340"/>
      <w:bookmarkStart w:id="46" w:name="_Toc39873209"/>
      <w:bookmarkStart w:id="47" w:name="_Toc98277341"/>
      <w:bookmarkStart w:id="48" w:name="_Toc116946296"/>
      <w:bookmarkStart w:id="49" w:name="_Toc35780502"/>
      <w:r>
        <w:rPr>
          <w:rFonts w:hint="eastAsia" w:ascii="宋体" w:hAnsi="宋体"/>
          <w:color w:val="auto"/>
          <w:sz w:val="24"/>
          <w:szCs w:val="24"/>
          <w:highlight w:val="none"/>
        </w:rPr>
        <w:t>1.所有文件、往来函件均应使用简体中文（规格、型号辅助符号例外）。</w:t>
      </w:r>
    </w:p>
    <w:p w14:paraId="14CCBE19">
      <w:pPr>
        <w:tabs>
          <w:tab w:val="left" w:pos="525"/>
          <w:tab w:val="left" w:pos="1050"/>
        </w:tabs>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2.投标文件由投标供应商按给定格式如实填写（编写），须有法人（盖章）、法定代表人或法定代表人授权代表签字或盖章，方为有效，未尽事宜可自行补充。</w:t>
      </w:r>
    </w:p>
    <w:p w14:paraId="0DA58287">
      <w:pPr>
        <w:tabs>
          <w:tab w:val="left" w:pos="525"/>
          <w:tab w:val="left" w:pos="1050"/>
        </w:tabs>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3.如无特别说明，投标供应商报价一律以人民币为投标结算货币，结算单位为“元”。</w:t>
      </w:r>
    </w:p>
    <w:p w14:paraId="218D266C">
      <w:pPr>
        <w:tabs>
          <w:tab w:val="left" w:pos="525"/>
          <w:tab w:val="left" w:pos="1050"/>
        </w:tabs>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4.投标文件格式部分，应由投标供应商按给定格式提供，不得更改。</w:t>
      </w:r>
    </w:p>
    <w:p w14:paraId="3F07CB9C">
      <w:pPr>
        <w:tabs>
          <w:tab w:val="left" w:pos="945"/>
        </w:tabs>
        <w:spacing w:line="360" w:lineRule="auto"/>
        <w:ind w:firstLine="482"/>
        <w:outlineLvl w:val="0"/>
        <w:rPr>
          <w:rFonts w:ascii="宋体" w:hAnsi="宋体"/>
          <w:b/>
          <w:color w:val="auto"/>
          <w:sz w:val="24"/>
          <w:szCs w:val="24"/>
          <w:highlight w:val="none"/>
        </w:rPr>
      </w:pPr>
      <w:r>
        <w:rPr>
          <w:rFonts w:hint="eastAsia" w:ascii="宋体" w:hAnsi="宋体"/>
          <w:b/>
          <w:color w:val="auto"/>
          <w:sz w:val="24"/>
          <w:szCs w:val="24"/>
          <w:highlight w:val="none"/>
        </w:rPr>
        <w:t>（八）网上投标：</w:t>
      </w:r>
      <w:bookmarkEnd w:id="44"/>
      <w:bookmarkEnd w:id="45"/>
    </w:p>
    <w:p w14:paraId="291AF95D">
      <w:pPr>
        <w:tabs>
          <w:tab w:val="left" w:pos="1288"/>
        </w:tabs>
        <w:spacing w:line="360" w:lineRule="auto"/>
        <w:ind w:firstLine="48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w:t>
      </w:r>
      <w:r>
        <w:rPr>
          <w:rFonts w:hint="eastAsia" w:ascii="宋体" w:hAnsi="宋体"/>
          <w:color w:val="auto"/>
          <w:sz w:val="24"/>
          <w:highlight w:val="none"/>
        </w:rPr>
        <w:t>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p>
    <w:p w14:paraId="0ADD2886">
      <w:pPr>
        <w:tabs>
          <w:tab w:val="left" w:pos="525"/>
          <w:tab w:val="left" w:pos="1288"/>
        </w:tabs>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投标供应商应对CA数字证书妥善保管，如被他人盗用投标，后果自负。</w:t>
      </w:r>
    </w:p>
    <w:p w14:paraId="616857F2">
      <w:pPr>
        <w:tabs>
          <w:tab w:val="left" w:pos="525"/>
          <w:tab w:val="left" w:pos="1288"/>
        </w:tabs>
        <w:spacing w:line="360" w:lineRule="auto"/>
        <w:ind w:firstLine="480"/>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w:t>
      </w:r>
      <w:r>
        <w:rPr>
          <w:rFonts w:hint="eastAsia" w:ascii="宋体" w:hAnsi="宋体"/>
          <w:color w:val="auto"/>
          <w:sz w:val="24"/>
          <w:highlight w:val="none"/>
        </w:rPr>
        <w:t>投标供应商按招标文件规定的网上解密时间进行解密，如未按时解密后果自负。</w:t>
      </w:r>
    </w:p>
    <w:p w14:paraId="7B02D2C0">
      <w:pPr>
        <w:tabs>
          <w:tab w:val="left" w:pos="525"/>
          <w:tab w:val="left" w:pos="1288"/>
        </w:tabs>
        <w:spacing w:line="360" w:lineRule="auto"/>
        <w:ind w:firstLine="480"/>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w:t>
      </w:r>
      <w:r>
        <w:rPr>
          <w:rFonts w:hint="eastAsia" w:ascii="宋体" w:hAnsi="宋体"/>
          <w:color w:val="auto"/>
          <w:sz w:val="24"/>
          <w:highlight w:val="none"/>
        </w:rPr>
        <w:t>投标供应商应当对招标文件提出的要求和条件作出实质性响应，并在电子投标系统逐条应答。</w:t>
      </w:r>
    </w:p>
    <w:p w14:paraId="365C08E9">
      <w:pPr>
        <w:tabs>
          <w:tab w:val="left" w:pos="525"/>
          <w:tab w:val="left" w:pos="1288"/>
        </w:tabs>
        <w:spacing w:line="360" w:lineRule="auto"/>
        <w:ind w:firstLine="482"/>
        <w:rPr>
          <w:rFonts w:ascii="宋体" w:hAnsi="宋体"/>
          <w:color w:val="auto"/>
          <w:sz w:val="24"/>
          <w:highlight w:val="none"/>
        </w:rPr>
      </w:pPr>
      <w:r>
        <w:rPr>
          <w:rFonts w:hint="eastAsia" w:ascii="宋体" w:hAnsi="宋体"/>
          <w:color w:val="auto"/>
          <w:sz w:val="24"/>
          <w:highlight w:val="none"/>
        </w:rPr>
        <w:t>5</w:t>
      </w:r>
      <w:r>
        <w:rPr>
          <w:rFonts w:ascii="宋体" w:hAnsi="宋体"/>
          <w:color w:val="auto"/>
          <w:sz w:val="24"/>
          <w:highlight w:val="none"/>
        </w:rPr>
        <w:t>.</w:t>
      </w:r>
      <w:r>
        <w:rPr>
          <w:rFonts w:hint="eastAsia" w:ascii="宋体" w:hAnsi="宋体"/>
          <w:color w:val="auto"/>
          <w:sz w:val="24"/>
          <w:highlight w:val="none"/>
        </w:rPr>
        <w:t>投标供应商应对要求提供的资格证明文件（如资质证书、资格证书）、技术资料（如白皮书、彩页、手册、检测报告等）扫描上传至投标系统。</w:t>
      </w:r>
    </w:p>
    <w:p w14:paraId="03CEA18C">
      <w:pPr>
        <w:tabs>
          <w:tab w:val="left" w:pos="1288"/>
        </w:tabs>
        <w:spacing w:line="360" w:lineRule="auto"/>
        <w:ind w:firstLine="482"/>
        <w:rPr>
          <w:rFonts w:ascii="宋体" w:hAnsi="宋体"/>
          <w:color w:val="auto"/>
          <w:sz w:val="24"/>
          <w:highlight w:val="none"/>
        </w:rPr>
      </w:pPr>
      <w:r>
        <w:rPr>
          <w:rFonts w:hint="eastAsia" w:ascii="宋体" w:hAnsi="宋体"/>
          <w:color w:val="auto"/>
          <w:sz w:val="24"/>
          <w:highlight w:val="none"/>
        </w:rPr>
        <w:t>6</w:t>
      </w:r>
      <w:r>
        <w:rPr>
          <w:rFonts w:ascii="宋体" w:hAnsi="宋体"/>
          <w:color w:val="auto"/>
          <w:sz w:val="24"/>
          <w:highlight w:val="none"/>
        </w:rPr>
        <w:t>.</w:t>
      </w:r>
      <w:r>
        <w:rPr>
          <w:rFonts w:hint="eastAsia" w:ascii="宋体" w:hAnsi="宋体"/>
          <w:color w:val="auto"/>
          <w:sz w:val="24"/>
          <w:highlight w:val="none"/>
        </w:rPr>
        <w:t>投标供应商进行网上投标请参照《江苏省政府采购管理交易系统（苏采云）供应商操作指南》（网址：</w:t>
      </w:r>
      <w:r>
        <w:rPr>
          <w:rFonts w:ascii="宋体" w:hAnsi="宋体"/>
          <w:color w:val="auto"/>
          <w:sz w:val="24"/>
          <w:highlight w:val="none"/>
        </w:rPr>
        <w:t>http://www.ccgp-jiangsu.gov.cn/jiangsu/zlxz/ee/ee3a4bc5a3454aa2b0d9312230633ce9.html</w:t>
      </w:r>
      <w:r>
        <w:rPr>
          <w:rFonts w:hint="eastAsia" w:ascii="宋体" w:hAnsi="宋体"/>
          <w:color w:val="auto"/>
          <w:sz w:val="24"/>
          <w:highlight w:val="none"/>
        </w:rPr>
        <w:t>）。</w:t>
      </w:r>
    </w:p>
    <w:p w14:paraId="2918359A">
      <w:pPr>
        <w:tabs>
          <w:tab w:val="left" w:pos="945"/>
        </w:tabs>
        <w:spacing w:line="360" w:lineRule="auto"/>
        <w:ind w:firstLine="482"/>
        <w:outlineLvl w:val="0"/>
        <w:rPr>
          <w:rFonts w:ascii="宋体" w:hAnsi="宋体"/>
          <w:b/>
          <w:color w:val="auto"/>
          <w:sz w:val="24"/>
          <w:szCs w:val="24"/>
          <w:highlight w:val="none"/>
        </w:rPr>
      </w:pPr>
      <w:r>
        <w:rPr>
          <w:rFonts w:hint="eastAsia" w:ascii="宋体" w:hAnsi="宋体"/>
          <w:b/>
          <w:color w:val="auto"/>
          <w:sz w:val="24"/>
          <w:szCs w:val="24"/>
          <w:highlight w:val="none"/>
        </w:rPr>
        <w:t>（九） 无效投标文件的确认：</w:t>
      </w:r>
      <w:bookmarkEnd w:id="46"/>
      <w:bookmarkEnd w:id="47"/>
      <w:bookmarkEnd w:id="48"/>
      <w:bookmarkEnd w:id="49"/>
    </w:p>
    <w:p w14:paraId="20CD2233">
      <w:pPr>
        <w:tabs>
          <w:tab w:val="left" w:pos="945"/>
          <w:tab w:val="left" w:pos="1288"/>
        </w:tabs>
        <w:spacing w:line="360" w:lineRule="auto"/>
        <w:ind w:firstLine="480"/>
        <w:rPr>
          <w:rFonts w:ascii="宋体" w:hAnsi="宋体"/>
          <w:bCs/>
          <w:color w:val="auto"/>
          <w:sz w:val="24"/>
          <w:szCs w:val="24"/>
          <w:highlight w:val="none"/>
        </w:rPr>
      </w:pPr>
      <w:bookmarkStart w:id="50" w:name="_Toc39873210"/>
      <w:bookmarkStart w:id="51" w:name="_Toc35780503"/>
      <w:bookmarkStart w:id="52" w:name="_Toc98277342"/>
      <w:bookmarkStart w:id="53" w:name="_Toc116946297"/>
      <w:r>
        <w:rPr>
          <w:rFonts w:hint="eastAsia" w:ascii="宋体" w:hAnsi="宋体"/>
          <w:bCs/>
          <w:color w:val="auto"/>
          <w:sz w:val="24"/>
          <w:szCs w:val="24"/>
          <w:highlight w:val="none"/>
        </w:rPr>
        <w:t>投标供应商有下列情况之一者，投标文件无效：</w:t>
      </w:r>
      <w:bookmarkEnd w:id="50"/>
      <w:bookmarkEnd w:id="51"/>
    </w:p>
    <w:p w14:paraId="78A5BC6A">
      <w:pPr>
        <w:numPr>
          <w:ilvl w:val="0"/>
          <w:numId w:val="11"/>
        </w:numPr>
        <w:spacing w:line="360" w:lineRule="auto"/>
        <w:ind w:left="0" w:firstLine="480"/>
        <w:rPr>
          <w:rFonts w:ascii="宋体" w:hAnsi="宋体"/>
          <w:color w:val="auto"/>
          <w:sz w:val="24"/>
          <w:highlight w:val="none"/>
        </w:rPr>
      </w:pPr>
      <w:r>
        <w:rPr>
          <w:rFonts w:hint="eastAsia" w:ascii="宋体" w:hAnsi="宋体"/>
          <w:color w:val="auto"/>
          <w:sz w:val="24"/>
          <w:highlight w:val="none"/>
        </w:rPr>
        <w:t>电子投标文件未按规定期限报价的，纸质投标文件（如有）未按规定的期限、地点送达的；</w:t>
      </w:r>
    </w:p>
    <w:p w14:paraId="093A3010">
      <w:pPr>
        <w:numPr>
          <w:ilvl w:val="0"/>
          <w:numId w:val="11"/>
        </w:numPr>
        <w:tabs>
          <w:tab w:val="left" w:pos="1288"/>
        </w:tabs>
        <w:spacing w:line="360" w:lineRule="auto"/>
        <w:ind w:left="0" w:firstLine="480"/>
        <w:rPr>
          <w:rFonts w:ascii="宋体" w:hAnsi="宋体"/>
          <w:color w:val="auto"/>
          <w:sz w:val="24"/>
          <w:highlight w:val="none"/>
        </w:rPr>
      </w:pPr>
      <w:r>
        <w:rPr>
          <w:rFonts w:hint="eastAsia" w:ascii="宋体" w:hAnsi="宋体"/>
          <w:color w:val="auto"/>
          <w:sz w:val="24"/>
          <w:highlight w:val="none"/>
        </w:rPr>
        <w:t>电子投标文件未按招标文件要求加盖公章或签电子公章的；</w:t>
      </w:r>
    </w:p>
    <w:p w14:paraId="18528B8A">
      <w:pPr>
        <w:numPr>
          <w:ilvl w:val="0"/>
          <w:numId w:val="11"/>
        </w:numPr>
        <w:tabs>
          <w:tab w:val="left" w:pos="1288"/>
        </w:tabs>
        <w:spacing w:line="360" w:lineRule="auto"/>
        <w:ind w:left="0" w:firstLine="480"/>
        <w:rPr>
          <w:rFonts w:ascii="宋体" w:hAnsi="宋体"/>
          <w:color w:val="auto"/>
          <w:sz w:val="24"/>
          <w:highlight w:val="none"/>
        </w:rPr>
      </w:pPr>
      <w:r>
        <w:rPr>
          <w:rFonts w:hint="eastAsia" w:ascii="宋体" w:hAnsi="宋体"/>
          <w:color w:val="auto"/>
          <w:sz w:val="24"/>
          <w:highlight w:val="none"/>
        </w:rPr>
        <w:t>投标供应商在苏采云系统规定的时间内未成功解密电子投标文件的；</w:t>
      </w:r>
    </w:p>
    <w:p w14:paraId="31BFE9AD">
      <w:pPr>
        <w:numPr>
          <w:ilvl w:val="0"/>
          <w:numId w:val="11"/>
        </w:numPr>
        <w:tabs>
          <w:tab w:val="left" w:pos="1288"/>
        </w:tabs>
        <w:spacing w:line="360" w:lineRule="auto"/>
        <w:ind w:left="0" w:firstLine="480"/>
        <w:rPr>
          <w:rFonts w:ascii="宋体" w:hAnsi="宋体"/>
          <w:color w:val="auto"/>
          <w:sz w:val="24"/>
          <w:highlight w:val="none"/>
        </w:rPr>
      </w:pPr>
      <w:r>
        <w:rPr>
          <w:rFonts w:hint="eastAsia" w:ascii="宋体" w:hAnsi="宋体"/>
          <w:color w:val="auto"/>
          <w:sz w:val="24"/>
          <w:highlight w:val="none"/>
        </w:rPr>
        <w:t>投标供应商的法定代表人授权代表无法定代表人授权委托书的；</w:t>
      </w:r>
    </w:p>
    <w:p w14:paraId="2A7462B2">
      <w:pPr>
        <w:numPr>
          <w:ilvl w:val="0"/>
          <w:numId w:val="11"/>
        </w:numPr>
        <w:tabs>
          <w:tab w:val="left" w:pos="1288"/>
        </w:tabs>
        <w:spacing w:line="360" w:lineRule="auto"/>
        <w:ind w:left="0" w:firstLine="480"/>
        <w:rPr>
          <w:rFonts w:ascii="宋体" w:hAnsi="宋体"/>
          <w:color w:val="auto"/>
          <w:sz w:val="24"/>
          <w:highlight w:val="none"/>
        </w:rPr>
      </w:pPr>
      <w:r>
        <w:rPr>
          <w:rFonts w:hint="eastAsia" w:ascii="宋体" w:hAnsi="宋体"/>
          <w:color w:val="auto"/>
          <w:sz w:val="24"/>
          <w:highlight w:val="none"/>
        </w:rPr>
        <w:t>不具备招标文件中规定的资格要求及未按招标文件规定的要求提供资格证明文件的；</w:t>
      </w:r>
    </w:p>
    <w:p w14:paraId="4DFB2021">
      <w:pPr>
        <w:numPr>
          <w:ilvl w:val="0"/>
          <w:numId w:val="11"/>
        </w:numPr>
        <w:tabs>
          <w:tab w:val="left" w:pos="1288"/>
        </w:tabs>
        <w:spacing w:line="360" w:lineRule="auto"/>
        <w:ind w:left="0" w:firstLine="480"/>
        <w:rPr>
          <w:rFonts w:ascii="宋体" w:hAnsi="宋体"/>
          <w:color w:val="auto"/>
          <w:sz w:val="24"/>
          <w:highlight w:val="none"/>
        </w:rPr>
      </w:pPr>
      <w:r>
        <w:rPr>
          <w:rFonts w:hint="eastAsia" w:ascii="宋体" w:hAnsi="宋体"/>
          <w:color w:val="auto"/>
          <w:sz w:val="24"/>
          <w:highlight w:val="none"/>
        </w:rPr>
        <w:t>投标文件含有采购人不能接受的附加条件的；</w:t>
      </w:r>
    </w:p>
    <w:p w14:paraId="360C672F">
      <w:pPr>
        <w:numPr>
          <w:ilvl w:val="0"/>
          <w:numId w:val="11"/>
        </w:numPr>
        <w:tabs>
          <w:tab w:val="left" w:pos="1288"/>
        </w:tabs>
        <w:spacing w:line="360" w:lineRule="auto"/>
        <w:ind w:left="0" w:firstLine="480"/>
        <w:rPr>
          <w:rFonts w:ascii="宋体" w:hAnsi="宋体"/>
          <w:color w:val="auto"/>
          <w:sz w:val="24"/>
          <w:highlight w:val="none"/>
        </w:rPr>
      </w:pPr>
      <w:r>
        <w:rPr>
          <w:rFonts w:hint="eastAsia" w:ascii="宋体" w:hAnsi="宋体"/>
          <w:color w:val="auto"/>
          <w:sz w:val="24"/>
          <w:highlight w:val="none"/>
        </w:rPr>
        <w:t>投标文件未按招标文件规定的格式、内容和要求填写；没有在投标系统指定位置上传对应文件、材料的；</w:t>
      </w:r>
    </w:p>
    <w:p w14:paraId="14DF3DB5">
      <w:pPr>
        <w:numPr>
          <w:ilvl w:val="0"/>
          <w:numId w:val="11"/>
        </w:numPr>
        <w:tabs>
          <w:tab w:val="left" w:pos="1288"/>
        </w:tabs>
        <w:spacing w:line="360" w:lineRule="auto"/>
        <w:ind w:left="0" w:firstLine="480"/>
        <w:rPr>
          <w:rFonts w:ascii="宋体" w:hAnsi="宋体"/>
          <w:color w:val="auto"/>
          <w:sz w:val="24"/>
          <w:highlight w:val="none"/>
        </w:rPr>
      </w:pPr>
      <w:r>
        <w:rPr>
          <w:rFonts w:hint="eastAsia" w:ascii="宋体" w:hAnsi="宋体"/>
          <w:color w:val="auto"/>
          <w:sz w:val="24"/>
          <w:highlight w:val="none"/>
        </w:rPr>
        <w:t>投标文件书写潦草、字迹模糊不清、无法辨认的；</w:t>
      </w:r>
    </w:p>
    <w:p w14:paraId="534F151B">
      <w:pPr>
        <w:numPr>
          <w:ilvl w:val="0"/>
          <w:numId w:val="11"/>
        </w:numPr>
        <w:tabs>
          <w:tab w:val="left" w:pos="1288"/>
        </w:tabs>
        <w:spacing w:line="360" w:lineRule="auto"/>
        <w:ind w:left="0" w:firstLine="480"/>
        <w:rPr>
          <w:rFonts w:ascii="宋体" w:hAnsi="宋体"/>
          <w:color w:val="auto"/>
          <w:sz w:val="24"/>
          <w:highlight w:val="none"/>
        </w:rPr>
      </w:pPr>
      <w:r>
        <w:rPr>
          <w:rFonts w:hint="eastAsia" w:ascii="宋体" w:hAnsi="宋体"/>
          <w:color w:val="auto"/>
          <w:sz w:val="24"/>
          <w:highlight w:val="none"/>
        </w:rPr>
        <w:t>投标文件中有招标文件未允许提供的选择性内容的；</w:t>
      </w:r>
    </w:p>
    <w:p w14:paraId="1BE98A2C">
      <w:pPr>
        <w:numPr>
          <w:ilvl w:val="0"/>
          <w:numId w:val="11"/>
        </w:numPr>
        <w:tabs>
          <w:tab w:val="left" w:pos="1288"/>
        </w:tabs>
        <w:spacing w:line="360" w:lineRule="auto"/>
        <w:ind w:left="0" w:firstLine="480"/>
        <w:rPr>
          <w:rFonts w:ascii="宋体" w:hAnsi="宋体"/>
          <w:color w:val="auto"/>
          <w:sz w:val="24"/>
          <w:highlight w:val="none"/>
        </w:rPr>
      </w:pPr>
      <w:r>
        <w:rPr>
          <w:rFonts w:hint="eastAsia" w:ascii="宋体" w:hAnsi="宋体"/>
          <w:color w:val="auto"/>
          <w:sz w:val="24"/>
          <w:highlight w:val="none"/>
        </w:rPr>
        <w:t>恶意串通其他投标供应商，故意哄抬价格或压价的；</w:t>
      </w:r>
    </w:p>
    <w:p w14:paraId="696679E5">
      <w:pPr>
        <w:numPr>
          <w:ilvl w:val="0"/>
          <w:numId w:val="11"/>
        </w:numPr>
        <w:tabs>
          <w:tab w:val="left" w:pos="1288"/>
        </w:tabs>
        <w:spacing w:line="360" w:lineRule="auto"/>
        <w:ind w:left="0" w:firstLine="480"/>
        <w:rPr>
          <w:rFonts w:ascii="宋体" w:hAnsi="宋体"/>
          <w:color w:val="auto"/>
          <w:sz w:val="24"/>
          <w:highlight w:val="none"/>
        </w:rPr>
      </w:pPr>
      <w:r>
        <w:rPr>
          <w:rFonts w:hint="eastAsia" w:ascii="宋体" w:hAnsi="宋体"/>
          <w:color w:val="auto"/>
          <w:sz w:val="24"/>
          <w:highlight w:val="none"/>
        </w:rPr>
        <w:t>提供虚假材料的（包括工商营业执照、财务报表、资格证明文件等）；</w:t>
      </w:r>
    </w:p>
    <w:p w14:paraId="1B5F4413">
      <w:pPr>
        <w:numPr>
          <w:ilvl w:val="0"/>
          <w:numId w:val="11"/>
        </w:numPr>
        <w:tabs>
          <w:tab w:val="left" w:pos="1288"/>
        </w:tabs>
        <w:spacing w:line="360" w:lineRule="auto"/>
        <w:ind w:left="0" w:firstLine="480"/>
        <w:rPr>
          <w:rFonts w:ascii="宋体" w:hAnsi="宋体"/>
          <w:color w:val="auto"/>
          <w:sz w:val="24"/>
          <w:highlight w:val="none"/>
        </w:rPr>
      </w:pPr>
      <w:r>
        <w:rPr>
          <w:rFonts w:hint="eastAsia" w:ascii="宋体" w:hAnsi="宋体"/>
          <w:color w:val="auto"/>
          <w:sz w:val="24"/>
          <w:highlight w:val="none"/>
        </w:rPr>
        <w:t>投标文件商务标未加盖投标供应商公章及法定代表人或授权代表签字和盖章的；</w:t>
      </w:r>
    </w:p>
    <w:p w14:paraId="30C34660">
      <w:pPr>
        <w:numPr>
          <w:ilvl w:val="0"/>
          <w:numId w:val="11"/>
        </w:numPr>
        <w:tabs>
          <w:tab w:val="left" w:pos="1288"/>
        </w:tabs>
        <w:spacing w:line="360" w:lineRule="auto"/>
        <w:ind w:left="0" w:firstLine="480"/>
        <w:rPr>
          <w:rFonts w:ascii="宋体" w:hAnsi="宋体"/>
          <w:color w:val="auto"/>
          <w:sz w:val="24"/>
          <w:highlight w:val="none"/>
        </w:rPr>
      </w:pPr>
      <w:r>
        <w:rPr>
          <w:rFonts w:hint="eastAsia" w:ascii="宋体" w:hAnsi="宋体"/>
          <w:color w:val="auto"/>
          <w:sz w:val="24"/>
          <w:highlight w:val="none"/>
        </w:rPr>
        <w:t>不同投标供应商聘请同一人为其投标提供技术或经济咨询服务的；</w:t>
      </w:r>
    </w:p>
    <w:p w14:paraId="4E6F9090">
      <w:pPr>
        <w:numPr>
          <w:ilvl w:val="0"/>
          <w:numId w:val="11"/>
        </w:numPr>
        <w:tabs>
          <w:tab w:val="left" w:pos="1288"/>
        </w:tabs>
        <w:spacing w:line="360" w:lineRule="auto"/>
        <w:ind w:left="0" w:firstLine="480"/>
        <w:rPr>
          <w:rFonts w:ascii="宋体" w:hAnsi="宋体"/>
          <w:color w:val="auto"/>
          <w:sz w:val="24"/>
          <w:highlight w:val="none"/>
        </w:rPr>
      </w:pPr>
      <w:r>
        <w:rPr>
          <w:rFonts w:hint="eastAsia" w:ascii="宋体" w:hAnsi="宋体"/>
          <w:color w:val="auto"/>
          <w:sz w:val="24"/>
          <w:highlight w:val="none"/>
        </w:rPr>
        <w:t>不同投标供应商的投标文件异常一致或者投标报价呈规律性差异；</w:t>
      </w:r>
    </w:p>
    <w:p w14:paraId="2909CD4A">
      <w:pPr>
        <w:numPr>
          <w:ilvl w:val="0"/>
          <w:numId w:val="11"/>
        </w:numPr>
        <w:tabs>
          <w:tab w:val="left" w:pos="1288"/>
        </w:tabs>
        <w:spacing w:line="360" w:lineRule="auto"/>
        <w:ind w:left="0" w:firstLine="480"/>
        <w:rPr>
          <w:rFonts w:ascii="宋体" w:hAnsi="宋体"/>
          <w:color w:val="auto"/>
          <w:sz w:val="24"/>
          <w:highlight w:val="none"/>
        </w:rPr>
      </w:pPr>
      <w:r>
        <w:rPr>
          <w:rFonts w:hint="eastAsia" w:ascii="宋体" w:hAnsi="宋体"/>
          <w:color w:val="auto"/>
          <w:sz w:val="24"/>
          <w:highlight w:val="none"/>
        </w:rPr>
        <w:t>商务标和技术标，其中某一标被本项目评委确认为无效投标文件的；</w:t>
      </w:r>
    </w:p>
    <w:p w14:paraId="781555B6">
      <w:pPr>
        <w:numPr>
          <w:ilvl w:val="0"/>
          <w:numId w:val="11"/>
        </w:numPr>
        <w:tabs>
          <w:tab w:val="left" w:pos="1288"/>
        </w:tabs>
        <w:spacing w:line="360" w:lineRule="auto"/>
        <w:ind w:left="0" w:firstLine="480"/>
        <w:rPr>
          <w:rFonts w:ascii="宋体" w:hAnsi="宋体"/>
          <w:color w:val="auto"/>
          <w:sz w:val="24"/>
          <w:highlight w:val="none"/>
        </w:rPr>
      </w:pPr>
      <w:r>
        <w:rPr>
          <w:rFonts w:hint="eastAsia" w:ascii="宋体" w:hAnsi="宋体"/>
          <w:color w:val="auto"/>
          <w:sz w:val="24"/>
          <w:highlight w:val="none"/>
        </w:rPr>
        <w:t>改变招标文件规定的暂定价格或不可竞争费用的；</w:t>
      </w:r>
    </w:p>
    <w:p w14:paraId="65863268">
      <w:pPr>
        <w:numPr>
          <w:ilvl w:val="0"/>
          <w:numId w:val="11"/>
        </w:numPr>
        <w:tabs>
          <w:tab w:val="left" w:pos="1288"/>
        </w:tabs>
        <w:spacing w:line="360" w:lineRule="auto"/>
        <w:ind w:left="0" w:firstLine="480"/>
        <w:rPr>
          <w:rFonts w:ascii="宋体" w:hAnsi="宋体"/>
          <w:color w:val="auto"/>
          <w:sz w:val="24"/>
          <w:highlight w:val="none"/>
        </w:rPr>
      </w:pPr>
      <w:r>
        <w:rPr>
          <w:rFonts w:hint="eastAsia" w:ascii="宋体" w:hAnsi="宋体"/>
          <w:color w:val="auto"/>
          <w:sz w:val="24"/>
          <w:highlight w:val="none"/>
        </w:rPr>
        <w:t>改变招标文件提供的工程量清单中的名称、计量单位、采购数量及采购需求的；</w:t>
      </w:r>
    </w:p>
    <w:p w14:paraId="6848B365">
      <w:pPr>
        <w:numPr>
          <w:ilvl w:val="0"/>
          <w:numId w:val="11"/>
        </w:numPr>
        <w:tabs>
          <w:tab w:val="left" w:pos="1288"/>
        </w:tabs>
        <w:spacing w:line="360" w:lineRule="auto"/>
        <w:ind w:left="0" w:firstLine="480"/>
        <w:rPr>
          <w:rFonts w:ascii="宋体" w:hAnsi="宋体"/>
          <w:color w:val="auto"/>
          <w:sz w:val="24"/>
          <w:highlight w:val="none"/>
        </w:rPr>
      </w:pPr>
      <w:r>
        <w:rPr>
          <w:rFonts w:hint="eastAsia" w:ascii="宋体" w:hAnsi="宋体"/>
          <w:color w:val="auto"/>
          <w:sz w:val="24"/>
          <w:highlight w:val="none"/>
        </w:rPr>
        <w:t>未按要求提供技术文件的；</w:t>
      </w:r>
    </w:p>
    <w:p w14:paraId="48170DF2">
      <w:pPr>
        <w:numPr>
          <w:ilvl w:val="0"/>
          <w:numId w:val="11"/>
        </w:numPr>
        <w:tabs>
          <w:tab w:val="left" w:pos="1288"/>
        </w:tabs>
        <w:spacing w:line="360" w:lineRule="auto"/>
        <w:ind w:left="0" w:firstLine="480"/>
        <w:rPr>
          <w:rFonts w:ascii="宋体" w:hAnsi="宋体"/>
          <w:color w:val="auto"/>
          <w:sz w:val="24"/>
          <w:highlight w:val="none"/>
        </w:rPr>
      </w:pPr>
      <w:r>
        <w:rPr>
          <w:rFonts w:hint="eastAsia" w:ascii="宋体" w:hAnsi="宋体"/>
          <w:color w:val="auto"/>
          <w:sz w:val="24"/>
          <w:highlight w:val="none"/>
        </w:rPr>
        <w:t>投标文件商务标中同一方案有选择性投标报价且未声明以哪一个为准的；</w:t>
      </w:r>
    </w:p>
    <w:p w14:paraId="377ED81A">
      <w:pPr>
        <w:numPr>
          <w:ilvl w:val="0"/>
          <w:numId w:val="11"/>
        </w:numPr>
        <w:tabs>
          <w:tab w:val="left" w:pos="1288"/>
        </w:tabs>
        <w:spacing w:line="360" w:lineRule="auto"/>
        <w:ind w:left="0" w:firstLine="480"/>
        <w:rPr>
          <w:rFonts w:ascii="宋体" w:hAnsi="宋体"/>
          <w:color w:val="auto"/>
          <w:sz w:val="24"/>
          <w:highlight w:val="none"/>
        </w:rPr>
      </w:pPr>
      <w:r>
        <w:rPr>
          <w:rFonts w:hint="eastAsia" w:ascii="宋体" w:hAnsi="宋体"/>
          <w:color w:val="auto"/>
          <w:sz w:val="24"/>
          <w:highlight w:val="none"/>
        </w:rPr>
        <w:t>超过招标文件规定的最高限价的；</w:t>
      </w:r>
    </w:p>
    <w:p w14:paraId="18353976">
      <w:pPr>
        <w:numPr>
          <w:ilvl w:val="0"/>
          <w:numId w:val="11"/>
        </w:numPr>
        <w:tabs>
          <w:tab w:val="left" w:pos="1288"/>
        </w:tabs>
        <w:spacing w:line="360" w:lineRule="auto"/>
        <w:ind w:left="0" w:firstLine="480"/>
        <w:rPr>
          <w:rFonts w:ascii="宋体" w:hAnsi="宋体"/>
          <w:color w:val="auto"/>
          <w:sz w:val="24"/>
          <w:highlight w:val="none"/>
        </w:rPr>
      </w:pPr>
      <w:r>
        <w:rPr>
          <w:rFonts w:hint="eastAsia" w:ascii="宋体" w:hAnsi="宋体"/>
          <w:b/>
          <w:bCs/>
          <w:color w:val="auto"/>
          <w:sz w:val="24"/>
          <w:highlight w:val="none"/>
        </w:rPr>
        <w:t>评标委员会认定投标供应商的报价明显低于其他通过符合性审查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4CEA1971">
      <w:pPr>
        <w:tabs>
          <w:tab w:val="left" w:pos="0"/>
        </w:tabs>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评标委员会启动异常低价投标（响应）审查的情形和具体要求，包括：</w:t>
      </w:r>
    </w:p>
    <w:p w14:paraId="4BDED905">
      <w:pPr>
        <w:tabs>
          <w:tab w:val="left" w:pos="0"/>
        </w:tabs>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（1）评审过程中出现下列情形之一的，评标委员会应当启动异常低价投标（响应）审查程序：</w:t>
      </w:r>
    </w:p>
    <w:p w14:paraId="3F386DE8">
      <w:pPr>
        <w:tabs>
          <w:tab w:val="left" w:pos="0"/>
        </w:tabs>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①投标(响应)报价低于全部通过符合性审查供应商投标(响应)报价平均值50%的，即投标(响应)报价&lt;全部通过符合性审查供应商投标(响应)报价平均值×50%；</w:t>
      </w:r>
    </w:p>
    <w:p w14:paraId="72DD35FE">
      <w:pPr>
        <w:tabs>
          <w:tab w:val="left" w:pos="0"/>
        </w:tabs>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②投标(响应)报价低于通过符合性审查的次低报价供应商投标(响应)报价50%的，即投标(响应)报价&lt;通过符合性审查的次低报价供应商投标(响应)报价×50%；</w:t>
      </w:r>
    </w:p>
    <w:p w14:paraId="2B6D53E0">
      <w:pPr>
        <w:tabs>
          <w:tab w:val="left" w:pos="0"/>
        </w:tabs>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③投标(响应)报价低于采购项目最高限价45%的，即投标(响应)报价&lt;采购项目最高限价×45%；</w:t>
      </w:r>
    </w:p>
    <w:p w14:paraId="1C3782EE">
      <w:pPr>
        <w:tabs>
          <w:tab w:val="left" w:pos="0"/>
        </w:tabs>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④评审委员会基于专业判断，认为供应商报价过低，有可能影响产品质量或者不能诚信履约的其他情形。</w:t>
      </w:r>
    </w:p>
    <w:p w14:paraId="18A6B40A">
      <w:pPr>
        <w:tabs>
          <w:tab w:val="left" w:pos="0"/>
        </w:tabs>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采购人可以结合具体项目实际情况，提高上述第1项至第3项中启动异常低价投标(响应)审查的数值标准，但是最高不得超过65%。</w:t>
      </w:r>
    </w:p>
    <w:p w14:paraId="4E55935D">
      <w:pPr>
        <w:tabs>
          <w:tab w:val="left" w:pos="0"/>
        </w:tabs>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相关法律法规对供应商报价有规定的，从其规定。</w:t>
      </w:r>
    </w:p>
    <w:p w14:paraId="4403254F">
      <w:pPr>
        <w:tabs>
          <w:tab w:val="left" w:pos="0"/>
        </w:tabs>
        <w:spacing w:line="360" w:lineRule="auto"/>
        <w:ind w:firstLine="482" w:firstLineChars="200"/>
        <w:rPr>
          <w:rFonts w:ascii="宋体" w:hAnsi="宋体"/>
          <w:b/>
          <w:bCs/>
          <w:color w:val="auto"/>
          <w:sz w:val="24"/>
          <w:szCs w:val="24"/>
          <w:highlight w:val="none"/>
        </w:rPr>
      </w:pPr>
      <w:r>
        <w:rPr>
          <w:rFonts w:hint="eastAsia" w:ascii="宋体" w:hAnsi="宋体" w:cs="宋体"/>
          <w:b/>
          <w:bCs/>
          <w:color w:val="auto"/>
          <w:sz w:val="24"/>
          <w:highlight w:val="none"/>
        </w:rPr>
        <w:t>（2）启动异常低价投标（响应）审查后，评审委员会应当要求相关供应商通过“苏采云”系统在30分钟内，提供项目具体成本测算等与报价合理性相关的书面说明及相关证明材料，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标委员会应当将其作为无效投标（响应）处理。审查相关情况应当在评标报告中进行记录。</w:t>
      </w:r>
    </w:p>
    <w:p w14:paraId="47BB2F53">
      <w:pPr>
        <w:numPr>
          <w:ilvl w:val="0"/>
          <w:numId w:val="11"/>
        </w:numPr>
        <w:tabs>
          <w:tab w:val="left" w:pos="1288"/>
        </w:tabs>
        <w:spacing w:line="360" w:lineRule="auto"/>
        <w:ind w:left="0" w:firstLine="480"/>
        <w:rPr>
          <w:rFonts w:ascii="宋体" w:hAnsi="宋体"/>
          <w:color w:val="auto"/>
          <w:sz w:val="24"/>
          <w:highlight w:val="none"/>
        </w:rPr>
      </w:pPr>
      <w:r>
        <w:rPr>
          <w:rFonts w:hint="eastAsia" w:ascii="宋体" w:hAnsi="宋体"/>
          <w:color w:val="auto"/>
          <w:sz w:val="24"/>
          <w:highlight w:val="none"/>
        </w:rPr>
        <w:t>未通过初步资格性审查、投标文件资格性检查、投标文件符合性审查的；</w:t>
      </w:r>
    </w:p>
    <w:p w14:paraId="73136502">
      <w:pPr>
        <w:numPr>
          <w:ilvl w:val="0"/>
          <w:numId w:val="11"/>
        </w:numPr>
        <w:tabs>
          <w:tab w:val="left" w:pos="1288"/>
        </w:tabs>
        <w:spacing w:line="360" w:lineRule="auto"/>
        <w:ind w:left="0" w:firstLine="480"/>
        <w:rPr>
          <w:rFonts w:ascii="宋体" w:hAnsi="宋体"/>
          <w:color w:val="auto"/>
          <w:sz w:val="24"/>
          <w:highlight w:val="none"/>
        </w:rPr>
      </w:pPr>
      <w:r>
        <w:rPr>
          <w:rFonts w:hint="eastAsia" w:ascii="宋体" w:hAnsi="宋体"/>
          <w:color w:val="auto"/>
          <w:sz w:val="24"/>
          <w:highlight w:val="none"/>
        </w:rPr>
        <w:t>列入失信被执行人、重大税收违法案件当事人名单、政府采购严重违法失信行为记录名单及其他不符合《中华人民共和国政府采购法》第二十二条规定条件的；</w:t>
      </w:r>
    </w:p>
    <w:p w14:paraId="4A16E01B">
      <w:pPr>
        <w:numPr>
          <w:ilvl w:val="0"/>
          <w:numId w:val="11"/>
        </w:numPr>
        <w:tabs>
          <w:tab w:val="left" w:pos="1288"/>
        </w:tabs>
        <w:spacing w:line="360" w:lineRule="auto"/>
        <w:ind w:left="0" w:firstLine="480"/>
        <w:rPr>
          <w:rFonts w:ascii="宋体" w:hAnsi="宋体"/>
          <w:color w:val="auto"/>
          <w:sz w:val="24"/>
          <w:highlight w:val="none"/>
        </w:rPr>
      </w:pPr>
      <w:r>
        <w:rPr>
          <w:rFonts w:hint="eastAsia" w:ascii="宋体" w:hAnsi="宋体"/>
          <w:color w:val="auto"/>
          <w:sz w:val="24"/>
          <w:highlight w:val="none"/>
        </w:rPr>
        <w:t>技术文件编制粗糙，缺漏项较多或技术标页数过于偏少；</w:t>
      </w:r>
    </w:p>
    <w:p w14:paraId="6AA058AD">
      <w:pPr>
        <w:numPr>
          <w:ilvl w:val="0"/>
          <w:numId w:val="11"/>
        </w:numPr>
        <w:tabs>
          <w:tab w:val="left" w:pos="1288"/>
        </w:tabs>
        <w:spacing w:line="360" w:lineRule="auto"/>
        <w:ind w:left="0" w:firstLine="480"/>
        <w:rPr>
          <w:rFonts w:ascii="宋体" w:hAnsi="宋体"/>
          <w:color w:val="auto"/>
          <w:sz w:val="24"/>
          <w:highlight w:val="none"/>
        </w:rPr>
      </w:pPr>
      <w:r>
        <w:rPr>
          <w:rFonts w:hint="eastAsia" w:ascii="宋体" w:hAnsi="宋体"/>
          <w:color w:val="auto"/>
          <w:sz w:val="24"/>
          <w:highlight w:val="none"/>
        </w:rPr>
        <w:t>投标供应商的投标报价畸高或畸低，但投标总报价与各分项报价不能相互对应，在询标时没有合理的解释或者不能提供计算依据和报价依据的；</w:t>
      </w:r>
    </w:p>
    <w:p w14:paraId="2476E221">
      <w:pPr>
        <w:numPr>
          <w:ilvl w:val="0"/>
          <w:numId w:val="11"/>
        </w:numPr>
        <w:tabs>
          <w:tab w:val="left" w:pos="1288"/>
        </w:tabs>
        <w:spacing w:line="360" w:lineRule="auto"/>
        <w:ind w:left="0" w:firstLine="480"/>
        <w:rPr>
          <w:rFonts w:ascii="宋体" w:hAnsi="宋体"/>
          <w:color w:val="auto"/>
          <w:sz w:val="24"/>
          <w:highlight w:val="none"/>
        </w:rPr>
      </w:pPr>
      <w:r>
        <w:rPr>
          <w:rFonts w:hint="eastAsia" w:ascii="宋体" w:hAnsi="宋体"/>
          <w:color w:val="auto"/>
          <w:sz w:val="24"/>
          <w:highlight w:val="none"/>
        </w:rPr>
        <w:t>不同投标供应商的投标文件的目录序号、排版格式、文字风格等存在明显的相似性或一致性，特征显示由同一单位或者同一个人编制的；</w:t>
      </w:r>
    </w:p>
    <w:p w14:paraId="7FCDDA6F">
      <w:pPr>
        <w:numPr>
          <w:ilvl w:val="0"/>
          <w:numId w:val="11"/>
        </w:numPr>
        <w:tabs>
          <w:tab w:val="left" w:pos="1288"/>
        </w:tabs>
        <w:spacing w:line="360" w:lineRule="auto"/>
        <w:ind w:left="0" w:firstLine="480"/>
        <w:rPr>
          <w:rFonts w:ascii="宋体" w:hAnsi="宋体"/>
          <w:color w:val="auto"/>
          <w:sz w:val="24"/>
          <w:highlight w:val="none"/>
        </w:rPr>
      </w:pPr>
      <w:r>
        <w:rPr>
          <w:rFonts w:hint="eastAsia" w:ascii="宋体" w:hAnsi="宋体"/>
          <w:color w:val="auto"/>
          <w:sz w:val="24"/>
          <w:highlight w:val="none"/>
        </w:rPr>
        <w:t>不同投标供应商投标文件内容存在非正常一致、项目组成员或者联系人员出现同一人、投标文件中错误或异常一致或雷同、电子文档信息一致或雷同的；</w:t>
      </w:r>
    </w:p>
    <w:p w14:paraId="1741DB59">
      <w:pPr>
        <w:numPr>
          <w:ilvl w:val="0"/>
          <w:numId w:val="11"/>
        </w:numPr>
        <w:tabs>
          <w:tab w:val="left" w:pos="1288"/>
        </w:tabs>
        <w:spacing w:line="360" w:lineRule="auto"/>
        <w:ind w:left="0" w:firstLine="480"/>
        <w:rPr>
          <w:rFonts w:ascii="宋体" w:hAnsi="宋体"/>
          <w:color w:val="auto"/>
          <w:sz w:val="24"/>
          <w:highlight w:val="none"/>
        </w:rPr>
      </w:pPr>
      <w:r>
        <w:rPr>
          <w:rFonts w:hint="eastAsia" w:ascii="宋体" w:hAnsi="宋体"/>
          <w:color w:val="auto"/>
          <w:sz w:val="24"/>
          <w:highlight w:val="none"/>
        </w:rPr>
        <w:t>不同投标供应商的委托代理人、项目负责人以及其他相关人员有在同一个单位缴纳社会保险的；</w:t>
      </w:r>
    </w:p>
    <w:p w14:paraId="5488A518">
      <w:pPr>
        <w:numPr>
          <w:ilvl w:val="0"/>
          <w:numId w:val="11"/>
        </w:numPr>
        <w:tabs>
          <w:tab w:val="left" w:pos="900"/>
          <w:tab w:val="left" w:pos="1288"/>
        </w:tabs>
        <w:spacing w:line="360" w:lineRule="auto"/>
        <w:rPr>
          <w:rFonts w:ascii="宋体" w:hAnsi="宋体"/>
          <w:color w:val="auto"/>
          <w:sz w:val="24"/>
          <w:highlight w:val="none"/>
        </w:rPr>
      </w:pPr>
      <w:r>
        <w:rPr>
          <w:rFonts w:hint="eastAsia" w:ascii="宋体" w:hAnsi="宋体"/>
          <w:color w:val="auto"/>
          <w:sz w:val="24"/>
          <w:highlight w:val="none"/>
        </w:rPr>
        <w:t>同一投标文件中单位名称落款与公章不是同一单位的；</w:t>
      </w:r>
    </w:p>
    <w:p w14:paraId="193279AA">
      <w:pPr>
        <w:numPr>
          <w:ilvl w:val="0"/>
          <w:numId w:val="11"/>
        </w:numPr>
        <w:tabs>
          <w:tab w:val="left" w:pos="900"/>
          <w:tab w:val="left" w:pos="1288"/>
        </w:tabs>
        <w:spacing w:line="360" w:lineRule="auto"/>
        <w:rPr>
          <w:rFonts w:ascii="宋体" w:hAnsi="宋体"/>
          <w:color w:val="auto"/>
          <w:sz w:val="24"/>
          <w:highlight w:val="none"/>
        </w:rPr>
      </w:pPr>
      <w:r>
        <w:rPr>
          <w:rFonts w:hint="eastAsia" w:ascii="宋体" w:hAnsi="宋体"/>
          <w:color w:val="auto"/>
          <w:sz w:val="24"/>
          <w:highlight w:val="none"/>
        </w:rPr>
        <w:t>不同投标供应商委托同一单位或者个人办理投标事宜的；</w:t>
      </w:r>
    </w:p>
    <w:p w14:paraId="40723078">
      <w:pPr>
        <w:numPr>
          <w:ilvl w:val="0"/>
          <w:numId w:val="11"/>
        </w:numPr>
        <w:spacing w:line="360" w:lineRule="auto"/>
        <w:ind w:left="0" w:firstLine="480"/>
        <w:rPr>
          <w:rFonts w:ascii="宋体" w:hAnsi="宋体"/>
          <w:color w:val="auto"/>
          <w:sz w:val="24"/>
          <w:highlight w:val="none"/>
        </w:rPr>
      </w:pPr>
      <w:r>
        <w:rPr>
          <w:rFonts w:hint="eastAsia" w:ascii="宋体" w:hAnsi="宋体"/>
          <w:color w:val="auto"/>
          <w:sz w:val="24"/>
          <w:highlight w:val="none"/>
        </w:rPr>
        <w:t>不同投标供应商的投标文件由同一台电脑编制或者同一把数字证书加密锁加密或者同一台附属设备打印的；</w:t>
      </w:r>
    </w:p>
    <w:p w14:paraId="77BA50E5">
      <w:pPr>
        <w:numPr>
          <w:ilvl w:val="0"/>
          <w:numId w:val="11"/>
        </w:numPr>
        <w:spacing w:line="360" w:lineRule="auto"/>
        <w:ind w:left="0" w:firstLine="480"/>
        <w:rPr>
          <w:rFonts w:ascii="宋体" w:hAnsi="宋体"/>
          <w:color w:val="auto"/>
          <w:sz w:val="24"/>
          <w:highlight w:val="none"/>
        </w:rPr>
      </w:pPr>
      <w:r>
        <w:rPr>
          <w:rFonts w:hint="eastAsia" w:ascii="宋体" w:hAnsi="宋体"/>
          <w:color w:val="auto"/>
          <w:sz w:val="24"/>
          <w:highlight w:val="none"/>
        </w:rPr>
        <w:t>投标系统中不同投标供应商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p>
    <w:p w14:paraId="41BE5136">
      <w:pPr>
        <w:numPr>
          <w:ilvl w:val="0"/>
          <w:numId w:val="11"/>
        </w:numPr>
        <w:tabs>
          <w:tab w:val="left" w:pos="900"/>
          <w:tab w:val="left" w:pos="1288"/>
        </w:tabs>
        <w:spacing w:line="360" w:lineRule="auto"/>
        <w:rPr>
          <w:rFonts w:ascii="宋体" w:hAnsi="宋体"/>
          <w:color w:val="auto"/>
          <w:sz w:val="24"/>
          <w:highlight w:val="none"/>
        </w:rPr>
      </w:pPr>
      <w:r>
        <w:rPr>
          <w:rFonts w:hint="eastAsia" w:ascii="宋体" w:hAnsi="宋体"/>
          <w:color w:val="auto"/>
          <w:sz w:val="24"/>
          <w:highlight w:val="none"/>
        </w:rPr>
        <w:t>单位负责人为同一人或者存在直接控股、管理关系的不同供应商；</w:t>
      </w:r>
    </w:p>
    <w:p w14:paraId="3D3E4D60">
      <w:pPr>
        <w:numPr>
          <w:ilvl w:val="0"/>
          <w:numId w:val="11"/>
        </w:numPr>
        <w:tabs>
          <w:tab w:val="left" w:pos="900"/>
          <w:tab w:val="left" w:pos="1288"/>
        </w:tabs>
        <w:spacing w:line="360" w:lineRule="auto"/>
        <w:rPr>
          <w:rFonts w:ascii="宋体" w:hAnsi="宋体"/>
          <w:color w:val="auto"/>
          <w:sz w:val="24"/>
          <w:highlight w:val="none"/>
        </w:rPr>
      </w:pPr>
      <w:r>
        <w:rPr>
          <w:rFonts w:hint="eastAsia" w:ascii="宋体" w:hAnsi="宋体"/>
          <w:color w:val="auto"/>
          <w:sz w:val="24"/>
          <w:highlight w:val="none"/>
        </w:rPr>
        <w:t>电子投标文件与招标文件要求格式不一致而无法导入计算机评标系统；</w:t>
      </w:r>
    </w:p>
    <w:p w14:paraId="1A2B1DAA">
      <w:pPr>
        <w:numPr>
          <w:ilvl w:val="0"/>
          <w:numId w:val="11"/>
        </w:numPr>
        <w:spacing w:line="360" w:lineRule="auto"/>
        <w:ind w:left="0" w:firstLine="480"/>
        <w:rPr>
          <w:color w:val="auto"/>
          <w:highlight w:val="none"/>
        </w:rPr>
      </w:pPr>
      <w:r>
        <w:rPr>
          <w:rFonts w:hint="eastAsia" w:ascii="宋体" w:hAnsi="宋体"/>
          <w:color w:val="auto"/>
          <w:sz w:val="24"/>
          <w:highlight w:val="none"/>
        </w:rPr>
        <w:t>启用投标文件电子文本的项目，投标供应商因自身原因造成投标文件电子文本无法导入应急开评标系统的，视为放弃投标；</w:t>
      </w:r>
    </w:p>
    <w:p w14:paraId="031DC8AC">
      <w:pPr>
        <w:numPr>
          <w:ilvl w:val="0"/>
          <w:numId w:val="11"/>
        </w:numPr>
        <w:spacing w:line="360" w:lineRule="auto"/>
        <w:rPr>
          <w:rFonts w:ascii="宋体" w:hAnsi="宋体"/>
          <w:color w:val="auto"/>
          <w:sz w:val="24"/>
          <w:highlight w:val="none"/>
        </w:rPr>
      </w:pPr>
      <w:r>
        <w:rPr>
          <w:rFonts w:hint="eastAsia" w:ascii="宋体" w:hAnsi="宋体"/>
          <w:color w:val="auto"/>
          <w:sz w:val="24"/>
          <w:highlight w:val="none"/>
        </w:rPr>
        <w:t>投标文件内容不全或不符合法律法规和招标文件中规定的其他实质性要求的。</w:t>
      </w:r>
    </w:p>
    <w:p w14:paraId="28A80DA8">
      <w:pPr>
        <w:tabs>
          <w:tab w:val="left" w:pos="945"/>
        </w:tabs>
        <w:spacing w:line="360" w:lineRule="auto"/>
        <w:outlineLvl w:val="0"/>
        <w:rPr>
          <w:rFonts w:ascii="宋体" w:hAnsi="宋体"/>
          <w:b/>
          <w:color w:val="auto"/>
          <w:sz w:val="24"/>
          <w:szCs w:val="24"/>
          <w:highlight w:val="none"/>
        </w:rPr>
      </w:pPr>
      <w:r>
        <w:rPr>
          <w:rFonts w:hint="eastAsia" w:ascii="宋体" w:hAnsi="宋体"/>
          <w:b/>
          <w:color w:val="auto"/>
          <w:sz w:val="24"/>
          <w:szCs w:val="24"/>
          <w:highlight w:val="none"/>
        </w:rPr>
        <w:t>（十） 开标、评标：</w:t>
      </w:r>
      <w:bookmarkEnd w:id="52"/>
      <w:bookmarkEnd w:id="53"/>
    </w:p>
    <w:p w14:paraId="5220AF17">
      <w:pPr>
        <w:tabs>
          <w:tab w:val="left" w:pos="945"/>
        </w:tabs>
        <w:spacing w:line="360" w:lineRule="auto"/>
        <w:ind w:firstLine="482"/>
        <w:rPr>
          <w:rFonts w:asciiTheme="minorEastAsia" w:hAnsiTheme="minorEastAsia" w:eastAsiaTheme="minorEastAsia"/>
          <w:b/>
          <w:color w:val="auto"/>
          <w:sz w:val="24"/>
          <w:szCs w:val="24"/>
          <w:highlight w:val="none"/>
        </w:rPr>
      </w:pPr>
      <w:bookmarkStart w:id="54" w:name="_Toc116946298"/>
      <w:bookmarkStart w:id="55" w:name="_Toc98277343"/>
      <w:r>
        <w:rPr>
          <w:rFonts w:hint="eastAsia" w:asciiTheme="minorEastAsia" w:hAnsiTheme="minorEastAsia" w:eastAsiaTheme="minorEastAsia"/>
          <w:b/>
          <w:color w:val="auto"/>
          <w:sz w:val="24"/>
          <w:szCs w:val="24"/>
          <w:highlight w:val="none"/>
        </w:rPr>
        <w:t>1</w:t>
      </w:r>
      <w:r>
        <w:rPr>
          <w:rFonts w:asciiTheme="minorEastAsia" w:hAnsiTheme="minorEastAsia" w:eastAsiaTheme="minorEastAsia"/>
          <w:b/>
          <w:color w:val="auto"/>
          <w:sz w:val="24"/>
          <w:szCs w:val="24"/>
          <w:highlight w:val="none"/>
        </w:rPr>
        <w:t>.</w:t>
      </w:r>
      <w:r>
        <w:rPr>
          <w:rFonts w:hint="eastAsia" w:asciiTheme="minorEastAsia" w:hAnsiTheme="minorEastAsia" w:eastAsiaTheme="minorEastAsia"/>
          <w:b/>
          <w:color w:val="auto"/>
          <w:sz w:val="24"/>
          <w:szCs w:val="24"/>
          <w:highlight w:val="none"/>
        </w:rPr>
        <w:t>开标工作程序</w:t>
      </w:r>
      <w:bookmarkEnd w:id="54"/>
      <w:bookmarkEnd w:id="55"/>
    </w:p>
    <w:p w14:paraId="4AE9D3A8">
      <w:pPr>
        <w:tabs>
          <w:tab w:val="left" w:pos="480"/>
        </w:tabs>
        <w:spacing w:line="360" w:lineRule="auto"/>
        <w:ind w:firstLine="480"/>
        <w:rPr>
          <w:rFonts w:asciiTheme="minorEastAsia" w:hAnsiTheme="minorEastAsia" w:eastAsiaTheme="minorEastAsia"/>
          <w:bCs/>
          <w:color w:val="auto"/>
          <w:sz w:val="24"/>
          <w:highlight w:val="none"/>
        </w:rPr>
      </w:pPr>
      <w:bookmarkStart w:id="56" w:name="_Toc116946299"/>
      <w:bookmarkStart w:id="57" w:name="_Toc98277344"/>
      <w:r>
        <w:rPr>
          <w:rFonts w:hint="eastAsia" w:asciiTheme="minorEastAsia" w:hAnsiTheme="minorEastAsia" w:eastAsiaTheme="minorEastAsia"/>
          <w:bCs/>
          <w:color w:val="auto"/>
          <w:sz w:val="24"/>
          <w:highlight w:val="none"/>
        </w:rPr>
        <w:t>1.</w:t>
      </w:r>
      <w:bookmarkStart w:id="58" w:name="_Hlk71662661"/>
      <w:r>
        <w:rPr>
          <w:rFonts w:hint="eastAsia" w:asciiTheme="minorEastAsia" w:hAnsiTheme="minorEastAsia" w:eastAsiaTheme="minorEastAsia"/>
          <w:bCs/>
          <w:color w:val="auto"/>
          <w:sz w:val="24"/>
          <w:highlight w:val="none"/>
        </w:rPr>
        <w:t>1代理机构将在招标公告中规定的时间和地点组织公开开标。投标供应商应当按照《“苏采云”系统供应商操作手册》规定，参加开标活动和在苏采云系统规定的时间内对投标文件进行解密。</w:t>
      </w:r>
    </w:p>
    <w:p w14:paraId="0769A6C2">
      <w:pPr>
        <w:tabs>
          <w:tab w:val="left" w:pos="480"/>
        </w:tabs>
        <w:spacing w:line="360" w:lineRule="auto"/>
        <w:ind w:firstLine="480"/>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1</w:t>
      </w:r>
      <w:r>
        <w:rPr>
          <w:rFonts w:hint="eastAsia" w:asciiTheme="minorEastAsia" w:hAnsiTheme="minorEastAsia" w:eastAsiaTheme="minorEastAsia"/>
          <w:bCs/>
          <w:color w:val="auto"/>
          <w:sz w:val="24"/>
          <w:highlight w:val="none"/>
        </w:rPr>
        <w:t>.2开标仪式由代理机构组织。苏采云系统将自动对项目进行开标，并宣布各投标供应商名称和投标价格。</w:t>
      </w:r>
    </w:p>
    <w:p w14:paraId="7B2F01F7">
      <w:pPr>
        <w:tabs>
          <w:tab w:val="left" w:pos="480"/>
        </w:tabs>
        <w:spacing w:line="360" w:lineRule="auto"/>
        <w:ind w:firstLine="480"/>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1</w:t>
      </w:r>
      <w:r>
        <w:rPr>
          <w:rFonts w:hint="eastAsia" w:asciiTheme="minorEastAsia" w:hAnsiTheme="minorEastAsia" w:eastAsiaTheme="minorEastAsia"/>
          <w:bCs/>
          <w:color w:val="auto"/>
          <w:sz w:val="24"/>
          <w:highlight w:val="none"/>
        </w:rPr>
        <w:t>.3投标供应商在开标过程中涉及的投标文件解密、开标结果确认等工作，应按照《“苏采云”系统供应商操作手册》规定执行。</w:t>
      </w:r>
    </w:p>
    <w:p w14:paraId="556B685A">
      <w:pPr>
        <w:tabs>
          <w:tab w:val="left" w:pos="480"/>
        </w:tabs>
        <w:spacing w:line="360" w:lineRule="auto"/>
        <w:ind w:firstLine="480"/>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1</w:t>
      </w:r>
      <w:r>
        <w:rPr>
          <w:rFonts w:hint="eastAsia" w:asciiTheme="minorEastAsia" w:hAnsiTheme="minorEastAsia" w:eastAsiaTheme="minorEastAsia"/>
          <w:bCs/>
          <w:color w:val="auto"/>
          <w:sz w:val="24"/>
          <w:highlight w:val="none"/>
        </w:rPr>
        <w:t>.4投标供应商如果对开标过程和开标记录有疑义，应当根据《“苏采云”系统供应商操作手册》规定提出，如苏采云系统中《开标记录表》宣布后5分钟内未提出的，视同认可开标结果。</w:t>
      </w:r>
      <w:bookmarkEnd w:id="56"/>
      <w:bookmarkEnd w:id="57"/>
    </w:p>
    <w:p w14:paraId="148F15D8">
      <w:pPr>
        <w:tabs>
          <w:tab w:val="left" w:pos="480"/>
        </w:tabs>
        <w:spacing w:line="360" w:lineRule="auto"/>
        <w:ind w:firstLine="482"/>
        <w:rPr>
          <w:rFonts w:asciiTheme="minorEastAsia" w:hAnsiTheme="minorEastAsia" w:eastAsiaTheme="minorEastAsia"/>
          <w:b/>
          <w:color w:val="auto"/>
          <w:sz w:val="24"/>
          <w:highlight w:val="none"/>
        </w:rPr>
      </w:pPr>
      <w:bookmarkStart w:id="59" w:name="_Toc98277345"/>
      <w:bookmarkStart w:id="60" w:name="_Toc116946300"/>
      <w:r>
        <w:rPr>
          <w:rFonts w:hint="eastAsia" w:asciiTheme="minorEastAsia" w:hAnsiTheme="minorEastAsia" w:eastAsiaTheme="minorEastAsia"/>
          <w:b/>
          <w:color w:val="auto"/>
          <w:sz w:val="24"/>
          <w:highlight w:val="none"/>
        </w:rPr>
        <w:t>1.</w:t>
      </w:r>
      <w:r>
        <w:rPr>
          <w:rFonts w:asciiTheme="minorEastAsia" w:hAnsiTheme="minorEastAsia" w:eastAsiaTheme="minorEastAsia"/>
          <w:b/>
          <w:color w:val="auto"/>
          <w:sz w:val="24"/>
          <w:highlight w:val="none"/>
        </w:rPr>
        <w:t>5</w:t>
      </w:r>
      <w:r>
        <w:rPr>
          <w:rFonts w:hint="eastAsia" w:asciiTheme="minorEastAsia" w:hAnsiTheme="minorEastAsia" w:eastAsiaTheme="minorEastAsia"/>
          <w:b/>
          <w:color w:val="auto"/>
          <w:sz w:val="24"/>
          <w:highlight w:val="none"/>
        </w:rPr>
        <w:t>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59"/>
      <w:bookmarkEnd w:id="60"/>
    </w:p>
    <w:p w14:paraId="5045CE71">
      <w:pPr>
        <w:tabs>
          <w:tab w:val="left" w:pos="480"/>
        </w:tabs>
        <w:spacing w:line="360" w:lineRule="auto"/>
        <w:ind w:firstLine="480"/>
        <w:rPr>
          <w:rFonts w:asciiTheme="minorEastAsia" w:hAnsiTheme="minorEastAsia" w:eastAsiaTheme="minorEastAsia"/>
          <w:bCs/>
          <w:color w:val="auto"/>
          <w:sz w:val="24"/>
          <w:highlight w:val="none"/>
        </w:rPr>
      </w:pPr>
      <w:bookmarkStart w:id="61" w:name="_Toc116946301"/>
      <w:bookmarkStart w:id="62" w:name="_Toc98277346"/>
      <w:r>
        <w:rPr>
          <w:rFonts w:hint="eastAsia" w:asciiTheme="minorEastAsia" w:hAnsiTheme="minorEastAsia" w:eastAsiaTheme="minorEastAsia"/>
          <w:bCs/>
          <w:color w:val="auto"/>
          <w:sz w:val="24"/>
          <w:highlight w:val="none"/>
        </w:rPr>
        <w:t>1.</w:t>
      </w:r>
      <w:r>
        <w:rPr>
          <w:rFonts w:asciiTheme="minorEastAsia" w:hAnsiTheme="minorEastAsia" w:eastAsiaTheme="minorEastAsia"/>
          <w:bCs/>
          <w:color w:val="auto"/>
          <w:sz w:val="24"/>
          <w:highlight w:val="none"/>
        </w:rPr>
        <w:t>6</w:t>
      </w:r>
      <w:r>
        <w:rPr>
          <w:rFonts w:hint="eastAsia" w:asciiTheme="minorEastAsia" w:hAnsiTheme="minorEastAsia" w:eastAsiaTheme="minorEastAsia"/>
          <w:bCs/>
          <w:color w:val="auto"/>
          <w:sz w:val="24"/>
          <w:highlight w:val="none"/>
        </w:rPr>
        <w:t>投标截止时间后参加投标的供应商或解密投标文件的供应商不足三家的，不进行评审。</w:t>
      </w:r>
      <w:bookmarkEnd w:id="58"/>
      <w:bookmarkEnd w:id="61"/>
      <w:bookmarkEnd w:id="62"/>
    </w:p>
    <w:p w14:paraId="210DB020">
      <w:pPr>
        <w:tabs>
          <w:tab w:val="left" w:pos="480"/>
        </w:tabs>
        <w:spacing w:line="360" w:lineRule="auto"/>
        <w:ind w:firstLine="480"/>
        <w:rPr>
          <w:rFonts w:asciiTheme="minorEastAsia" w:hAnsiTheme="minorEastAsia" w:eastAsiaTheme="minorEastAsia"/>
          <w:bCs/>
          <w:color w:val="auto"/>
          <w:sz w:val="24"/>
          <w:highlight w:val="none"/>
        </w:rPr>
      </w:pPr>
      <w:bookmarkStart w:id="63" w:name="_Toc98277347"/>
      <w:bookmarkStart w:id="64" w:name="_Toc116946302"/>
      <w:r>
        <w:rPr>
          <w:rFonts w:asciiTheme="minorEastAsia" w:hAnsiTheme="minorEastAsia" w:eastAsiaTheme="minorEastAsia"/>
          <w:bCs/>
          <w:color w:val="auto"/>
          <w:sz w:val="24"/>
          <w:highlight w:val="none"/>
        </w:rPr>
        <w:t>1.7</w:t>
      </w:r>
      <w:r>
        <w:rPr>
          <w:rFonts w:hint="eastAsia" w:asciiTheme="minorEastAsia" w:hAnsiTheme="minorEastAsia" w:eastAsiaTheme="minorEastAsia"/>
          <w:bCs/>
          <w:color w:val="auto"/>
          <w:sz w:val="24"/>
          <w:highlight w:val="none"/>
        </w:rPr>
        <w:t>投标文件报价出现前后不一致的，按照下列规定修正：</w:t>
      </w:r>
      <w:bookmarkEnd w:id="63"/>
      <w:bookmarkEnd w:id="64"/>
    </w:p>
    <w:p w14:paraId="252A84C2">
      <w:pPr>
        <w:tabs>
          <w:tab w:val="left" w:pos="480"/>
        </w:tabs>
        <w:spacing w:line="360" w:lineRule="auto"/>
        <w:ind w:firstLine="480"/>
        <w:rPr>
          <w:rFonts w:asciiTheme="minorEastAsia" w:hAnsiTheme="minorEastAsia" w:eastAsiaTheme="minorEastAsia"/>
          <w:bCs/>
          <w:color w:val="auto"/>
          <w:sz w:val="24"/>
          <w:highlight w:val="none"/>
        </w:rPr>
      </w:pPr>
      <w:bookmarkStart w:id="65" w:name="_Toc98277348"/>
      <w:bookmarkStart w:id="66" w:name="_Toc116946303"/>
      <w:r>
        <w:rPr>
          <w:rFonts w:hint="eastAsia" w:asciiTheme="minorEastAsia" w:hAnsiTheme="minorEastAsia" w:eastAsiaTheme="minorEastAsia"/>
          <w:bCs/>
          <w:color w:val="auto"/>
          <w:sz w:val="24"/>
          <w:highlight w:val="none"/>
        </w:rPr>
        <w:t>（一）投标文件中开标一览表（报价表）内容与投标文件中相应内容不一致的，以开标一览表（报价表）为准；</w:t>
      </w:r>
      <w:bookmarkEnd w:id="65"/>
      <w:bookmarkEnd w:id="66"/>
    </w:p>
    <w:p w14:paraId="6B33C4BD">
      <w:pPr>
        <w:tabs>
          <w:tab w:val="left" w:pos="480"/>
        </w:tabs>
        <w:spacing w:line="360" w:lineRule="auto"/>
        <w:ind w:firstLine="480"/>
        <w:rPr>
          <w:rFonts w:asciiTheme="minorEastAsia" w:hAnsiTheme="minorEastAsia" w:eastAsiaTheme="minorEastAsia"/>
          <w:bCs/>
          <w:color w:val="auto"/>
          <w:sz w:val="24"/>
          <w:highlight w:val="none"/>
        </w:rPr>
      </w:pPr>
      <w:bookmarkStart w:id="67" w:name="_Toc98277349"/>
      <w:bookmarkStart w:id="68" w:name="_Toc116946304"/>
      <w:r>
        <w:rPr>
          <w:rFonts w:hint="eastAsia" w:asciiTheme="minorEastAsia" w:hAnsiTheme="minorEastAsia" w:eastAsiaTheme="minorEastAsia"/>
          <w:bCs/>
          <w:color w:val="auto"/>
          <w:sz w:val="24"/>
          <w:highlight w:val="none"/>
        </w:rPr>
        <w:t>（二）大写金额和小写金额不一致的，以大写金额为准；</w:t>
      </w:r>
      <w:bookmarkEnd w:id="67"/>
      <w:bookmarkEnd w:id="68"/>
    </w:p>
    <w:p w14:paraId="3C0F84B1">
      <w:pPr>
        <w:tabs>
          <w:tab w:val="left" w:pos="480"/>
        </w:tabs>
        <w:spacing w:line="360" w:lineRule="auto"/>
        <w:ind w:firstLine="480"/>
        <w:rPr>
          <w:rFonts w:asciiTheme="minorEastAsia" w:hAnsiTheme="minorEastAsia" w:eastAsiaTheme="minorEastAsia"/>
          <w:bCs/>
          <w:color w:val="auto"/>
          <w:sz w:val="24"/>
          <w:highlight w:val="none"/>
        </w:rPr>
      </w:pPr>
      <w:bookmarkStart w:id="69" w:name="_Toc98277350"/>
      <w:bookmarkStart w:id="70" w:name="_Toc116946305"/>
      <w:r>
        <w:rPr>
          <w:rFonts w:hint="eastAsia" w:asciiTheme="minorEastAsia" w:hAnsiTheme="minorEastAsia" w:eastAsiaTheme="minorEastAsia"/>
          <w:bCs/>
          <w:color w:val="auto"/>
          <w:sz w:val="24"/>
          <w:highlight w:val="none"/>
        </w:rPr>
        <w:t>（三）单价金额小数点或者百分比有明显错位的，以开标一览表的总价为准，并修改单价；</w:t>
      </w:r>
      <w:bookmarkEnd w:id="69"/>
      <w:bookmarkEnd w:id="70"/>
    </w:p>
    <w:p w14:paraId="3A6241DC">
      <w:pPr>
        <w:tabs>
          <w:tab w:val="left" w:pos="480"/>
        </w:tabs>
        <w:spacing w:line="360" w:lineRule="auto"/>
        <w:ind w:firstLine="480"/>
        <w:rPr>
          <w:rFonts w:asciiTheme="minorEastAsia" w:hAnsiTheme="minorEastAsia" w:eastAsiaTheme="minorEastAsia"/>
          <w:bCs/>
          <w:color w:val="auto"/>
          <w:sz w:val="24"/>
          <w:highlight w:val="none"/>
        </w:rPr>
      </w:pPr>
      <w:bookmarkStart w:id="71" w:name="_Toc98277351"/>
      <w:bookmarkStart w:id="72" w:name="_Toc116946306"/>
      <w:r>
        <w:rPr>
          <w:rFonts w:hint="eastAsia" w:asciiTheme="minorEastAsia" w:hAnsiTheme="minorEastAsia" w:eastAsiaTheme="minorEastAsia"/>
          <w:bCs/>
          <w:color w:val="auto"/>
          <w:sz w:val="24"/>
          <w:highlight w:val="none"/>
        </w:rPr>
        <w:t>（四）总价金额与按单价汇总金额不一致的，以单价金额计算结果为准。</w:t>
      </w:r>
      <w:bookmarkEnd w:id="71"/>
      <w:bookmarkEnd w:id="72"/>
    </w:p>
    <w:p w14:paraId="66855A4E">
      <w:pPr>
        <w:tabs>
          <w:tab w:val="left" w:pos="480"/>
        </w:tabs>
        <w:spacing w:line="360" w:lineRule="auto"/>
        <w:ind w:firstLine="480"/>
        <w:rPr>
          <w:rFonts w:asciiTheme="minorEastAsia" w:hAnsiTheme="minorEastAsia" w:eastAsiaTheme="minorEastAsia"/>
          <w:bCs/>
          <w:color w:val="auto"/>
          <w:sz w:val="24"/>
          <w:highlight w:val="none"/>
        </w:rPr>
      </w:pPr>
      <w:bookmarkStart w:id="73" w:name="_Toc116946307"/>
      <w:bookmarkStart w:id="74" w:name="_Toc98277352"/>
      <w:r>
        <w:rPr>
          <w:rFonts w:hint="eastAsia" w:asciiTheme="minorEastAsia" w:hAnsiTheme="minorEastAsia" w:eastAsiaTheme="minorEastAsia"/>
          <w:bCs/>
          <w:color w:val="auto"/>
          <w:sz w:val="24"/>
          <w:highlight w:val="none"/>
        </w:rPr>
        <w:t>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3"/>
      <w:bookmarkEnd w:id="74"/>
    </w:p>
    <w:p w14:paraId="24E643D2">
      <w:pPr>
        <w:tabs>
          <w:tab w:val="left" w:pos="480"/>
        </w:tabs>
        <w:spacing w:line="360" w:lineRule="auto"/>
        <w:ind w:firstLine="480"/>
        <w:rPr>
          <w:rFonts w:asciiTheme="minorEastAsia" w:hAnsiTheme="minorEastAsia" w:eastAsiaTheme="minorEastAsia"/>
          <w:bCs/>
          <w:color w:val="auto"/>
          <w:sz w:val="24"/>
          <w:highlight w:val="none"/>
        </w:rPr>
      </w:pPr>
      <w:bookmarkStart w:id="75" w:name="_Toc116946308"/>
      <w:bookmarkStart w:id="76" w:name="_Toc98277353"/>
      <w:r>
        <w:rPr>
          <w:rFonts w:hint="eastAsia" w:asciiTheme="minorEastAsia" w:hAnsiTheme="minorEastAsia" w:eastAsiaTheme="minorEastAsia"/>
          <w:bCs/>
          <w:color w:val="auto"/>
          <w:sz w:val="24"/>
          <w:highlight w:val="none"/>
        </w:rPr>
        <w:t>2</w:t>
      </w:r>
      <w:r>
        <w:rPr>
          <w:rFonts w:asciiTheme="minorEastAsia" w:hAnsiTheme="minorEastAsia" w:eastAsiaTheme="minorEastAsia"/>
          <w:bCs/>
          <w:color w:val="auto"/>
          <w:sz w:val="24"/>
          <w:highlight w:val="none"/>
        </w:rPr>
        <w:t>.</w:t>
      </w:r>
      <w:r>
        <w:rPr>
          <w:rFonts w:hint="eastAsia" w:asciiTheme="minorEastAsia" w:hAnsiTheme="minorEastAsia" w:eastAsiaTheme="minorEastAsia"/>
          <w:bCs/>
          <w:color w:val="auto"/>
          <w:sz w:val="24"/>
          <w:highlight w:val="none"/>
        </w:rPr>
        <w:t>投标供应商资格审查</w:t>
      </w:r>
      <w:bookmarkEnd w:id="75"/>
      <w:bookmarkEnd w:id="76"/>
    </w:p>
    <w:p w14:paraId="30C48ED4">
      <w:pPr>
        <w:tabs>
          <w:tab w:val="left" w:pos="480"/>
        </w:tabs>
        <w:spacing w:line="360" w:lineRule="auto"/>
        <w:ind w:firstLine="480"/>
        <w:rPr>
          <w:rFonts w:asciiTheme="minorEastAsia" w:hAnsiTheme="minorEastAsia" w:eastAsiaTheme="minorEastAsia"/>
          <w:bCs/>
          <w:color w:val="auto"/>
          <w:sz w:val="24"/>
          <w:highlight w:val="none"/>
        </w:rPr>
      </w:pPr>
      <w:bookmarkStart w:id="77" w:name="_Toc116946309"/>
      <w:bookmarkStart w:id="78" w:name="_Toc98277354"/>
      <w:r>
        <w:rPr>
          <w:rFonts w:asciiTheme="minorEastAsia" w:hAnsiTheme="minorEastAsia" w:eastAsiaTheme="minorEastAsia"/>
          <w:bCs/>
          <w:color w:val="auto"/>
          <w:sz w:val="24"/>
          <w:highlight w:val="none"/>
        </w:rPr>
        <w:t>2.</w:t>
      </w:r>
      <w:r>
        <w:rPr>
          <w:rFonts w:hint="eastAsia" w:asciiTheme="minorEastAsia" w:hAnsiTheme="minorEastAsia" w:eastAsiaTheme="minorEastAsia"/>
          <w:bCs/>
          <w:color w:val="auto"/>
          <w:sz w:val="24"/>
          <w:highlight w:val="none"/>
        </w:rPr>
        <w:t>1公开招标采购项目开标结束后，投标文件资格性检查由采购人或采购代理机构组建的资格审查小组负责。</w:t>
      </w:r>
      <w:bookmarkEnd w:id="77"/>
      <w:bookmarkEnd w:id="78"/>
    </w:p>
    <w:p w14:paraId="7FA8360D">
      <w:pPr>
        <w:tabs>
          <w:tab w:val="left" w:pos="480"/>
        </w:tabs>
        <w:spacing w:line="360" w:lineRule="auto"/>
        <w:ind w:firstLine="480"/>
        <w:rPr>
          <w:rFonts w:asciiTheme="minorEastAsia" w:hAnsiTheme="minorEastAsia" w:eastAsiaTheme="minorEastAsia"/>
          <w:bCs/>
          <w:color w:val="auto"/>
          <w:sz w:val="24"/>
          <w:highlight w:val="none"/>
        </w:rPr>
      </w:pPr>
      <w:bookmarkStart w:id="79" w:name="_Toc98277355"/>
      <w:bookmarkStart w:id="80" w:name="_Toc116946310"/>
      <w:r>
        <w:rPr>
          <w:rFonts w:hint="eastAsia" w:asciiTheme="minorEastAsia" w:hAnsiTheme="minorEastAsia" w:eastAsiaTheme="minorEastAsia"/>
          <w:bCs/>
          <w:color w:val="auto"/>
          <w:sz w:val="24"/>
          <w:highlight w:val="none"/>
        </w:rPr>
        <w:t>2</w:t>
      </w:r>
      <w:r>
        <w:rPr>
          <w:rFonts w:asciiTheme="minorEastAsia" w:hAnsiTheme="minorEastAsia" w:eastAsiaTheme="minorEastAsia"/>
          <w:bCs/>
          <w:color w:val="auto"/>
          <w:sz w:val="24"/>
          <w:highlight w:val="none"/>
        </w:rPr>
        <w:t>.2</w:t>
      </w:r>
      <w:r>
        <w:rPr>
          <w:rFonts w:hint="eastAsia" w:asciiTheme="minorEastAsia" w:hAnsiTheme="minorEastAsia" w:eastAsiaTheme="minorEastAsia"/>
          <w:bCs/>
          <w:color w:val="auto"/>
          <w:sz w:val="24"/>
          <w:highlight w:val="none"/>
        </w:rPr>
        <w:t>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79"/>
      <w:bookmarkEnd w:id="80"/>
    </w:p>
    <w:p w14:paraId="732E8529">
      <w:pPr>
        <w:tabs>
          <w:tab w:val="left" w:pos="480"/>
        </w:tabs>
        <w:spacing w:line="360" w:lineRule="auto"/>
        <w:ind w:firstLine="480"/>
        <w:rPr>
          <w:rFonts w:asciiTheme="minorEastAsia" w:hAnsiTheme="minorEastAsia" w:eastAsiaTheme="minorEastAsia"/>
          <w:bCs/>
          <w:color w:val="auto"/>
          <w:sz w:val="24"/>
          <w:highlight w:val="none"/>
        </w:rPr>
      </w:pPr>
      <w:bookmarkStart w:id="81" w:name="_Toc116946311"/>
      <w:bookmarkStart w:id="82" w:name="_Toc98277356"/>
      <w:r>
        <w:rPr>
          <w:rFonts w:asciiTheme="minorEastAsia" w:hAnsiTheme="minorEastAsia" w:eastAsiaTheme="minorEastAsia"/>
          <w:bCs/>
          <w:color w:val="auto"/>
          <w:sz w:val="24"/>
          <w:highlight w:val="none"/>
        </w:rPr>
        <w:t>2</w:t>
      </w:r>
      <w:r>
        <w:rPr>
          <w:rFonts w:hint="eastAsia" w:asciiTheme="minorEastAsia" w:hAnsiTheme="minorEastAsia" w:eastAsiaTheme="minorEastAsia"/>
          <w:bCs/>
          <w:color w:val="auto"/>
          <w:sz w:val="24"/>
          <w:highlight w:val="none"/>
        </w:rPr>
        <w:t>.</w:t>
      </w:r>
      <w:r>
        <w:rPr>
          <w:rFonts w:asciiTheme="minorEastAsia" w:hAnsiTheme="minorEastAsia" w:eastAsiaTheme="minorEastAsia"/>
          <w:bCs/>
          <w:color w:val="auto"/>
          <w:sz w:val="24"/>
          <w:highlight w:val="none"/>
        </w:rPr>
        <w:t>3</w:t>
      </w:r>
      <w:r>
        <w:rPr>
          <w:rFonts w:hint="eastAsia" w:asciiTheme="minorEastAsia" w:hAnsiTheme="minorEastAsia" w:eastAsiaTheme="minorEastAsia"/>
          <w:bCs/>
          <w:color w:val="auto"/>
          <w:sz w:val="24"/>
          <w:highlight w:val="none"/>
        </w:rPr>
        <w:t>关于对参与供应商信用记录的政府采购要求：投标</w:t>
      </w:r>
      <w:r>
        <w:rPr>
          <w:rFonts w:asciiTheme="minorEastAsia" w:hAnsiTheme="minorEastAsia" w:eastAsiaTheme="minorEastAsia"/>
          <w:bCs/>
          <w:color w:val="auto"/>
          <w:sz w:val="24"/>
          <w:highlight w:val="none"/>
        </w:rPr>
        <w:t>供应商未被列入“信用中国”网站</w:t>
      </w:r>
      <w:r>
        <w:rPr>
          <w:rFonts w:hint="eastAsia" w:asciiTheme="minorEastAsia" w:hAnsiTheme="minorEastAsia" w:eastAsiaTheme="minorEastAsia"/>
          <w:bCs/>
          <w:color w:val="auto"/>
          <w:sz w:val="24"/>
          <w:highlight w:val="none"/>
        </w:rPr>
        <w:t>（</w:t>
      </w:r>
      <w:r>
        <w:rPr>
          <w:rFonts w:asciiTheme="minorEastAsia" w:hAnsiTheme="minorEastAsia" w:eastAsiaTheme="minorEastAsia"/>
          <w:bCs/>
          <w:color w:val="auto"/>
          <w:sz w:val="24"/>
          <w:highlight w:val="none"/>
        </w:rPr>
        <w:t>www.creditchina.gov.cn</w:t>
      </w:r>
      <w:r>
        <w:rPr>
          <w:rFonts w:hint="eastAsia" w:asciiTheme="minorEastAsia" w:hAnsiTheme="minorEastAsia" w:eastAsiaTheme="minorEastAsia"/>
          <w:bCs/>
          <w:color w:val="auto"/>
          <w:sz w:val="24"/>
          <w:highlight w:val="none"/>
        </w:rPr>
        <w:t>）</w:t>
      </w:r>
      <w:r>
        <w:rPr>
          <w:rFonts w:asciiTheme="minorEastAsia" w:hAnsiTheme="minorEastAsia" w:eastAsiaTheme="minorEastAsia"/>
          <w:bCs/>
          <w:color w:val="auto"/>
          <w:sz w:val="24"/>
          <w:highlight w:val="none"/>
        </w:rPr>
        <w:t>“</w:t>
      </w:r>
      <w:r>
        <w:rPr>
          <w:rFonts w:hint="eastAsia" w:asciiTheme="minorEastAsia" w:hAnsiTheme="minorEastAsia" w:eastAsiaTheme="minorEastAsia"/>
          <w:bCs/>
          <w:color w:val="auto"/>
          <w:sz w:val="24"/>
          <w:highlight w:val="none"/>
        </w:rPr>
        <w:t>失信被执行人、重大税收违法失信主体名单、严重失信主体名单</w:t>
      </w:r>
      <w:r>
        <w:rPr>
          <w:rFonts w:asciiTheme="minorEastAsia" w:hAnsiTheme="minorEastAsia" w:eastAsiaTheme="minorEastAsia"/>
          <w:bCs/>
          <w:color w:val="auto"/>
          <w:sz w:val="24"/>
          <w:highlight w:val="none"/>
        </w:rPr>
        <w:t>”；不处于中国政府采购网</w:t>
      </w:r>
      <w:r>
        <w:rPr>
          <w:rFonts w:hint="eastAsia" w:asciiTheme="minorEastAsia" w:hAnsiTheme="minorEastAsia" w:eastAsiaTheme="minorEastAsia"/>
          <w:bCs/>
          <w:color w:val="auto"/>
          <w:sz w:val="24"/>
          <w:highlight w:val="none"/>
        </w:rPr>
        <w:t>（</w:t>
      </w:r>
      <w:r>
        <w:rPr>
          <w:rFonts w:asciiTheme="minorEastAsia" w:hAnsiTheme="minorEastAsia" w:eastAsiaTheme="minorEastAsia"/>
          <w:bCs/>
          <w:color w:val="auto"/>
          <w:sz w:val="24"/>
          <w:highlight w:val="none"/>
        </w:rPr>
        <w:t>www.ccgp.gov.cn</w:t>
      </w:r>
      <w:r>
        <w:rPr>
          <w:rFonts w:hint="eastAsia" w:asciiTheme="minorEastAsia" w:hAnsiTheme="minorEastAsia" w:eastAsiaTheme="minorEastAsia"/>
          <w:bCs/>
          <w:color w:val="auto"/>
          <w:sz w:val="24"/>
          <w:highlight w:val="none"/>
        </w:rPr>
        <w:t>）</w:t>
      </w:r>
      <w:r>
        <w:rPr>
          <w:rFonts w:asciiTheme="minorEastAsia" w:hAnsiTheme="minorEastAsia" w:eastAsiaTheme="minorEastAsia"/>
          <w:bCs/>
          <w:color w:val="auto"/>
          <w:sz w:val="24"/>
          <w:highlight w:val="none"/>
        </w:rPr>
        <w:t>“政府采购严重违法失信行为信息记录”中的禁止参加政府采购活动期间。（</w:t>
      </w:r>
      <w:r>
        <w:rPr>
          <w:rFonts w:hint="eastAsia" w:asciiTheme="minorEastAsia" w:hAnsiTheme="minorEastAsia" w:eastAsiaTheme="minorEastAsia"/>
          <w:bCs/>
          <w:color w:val="auto"/>
          <w:sz w:val="24"/>
          <w:highlight w:val="none"/>
        </w:rPr>
        <w:t>有上述处罚记录但处罚期已届满的，视为无记录，以代理机构评标当日查询结果为准</w:t>
      </w:r>
      <w:r>
        <w:rPr>
          <w:rFonts w:asciiTheme="minorEastAsia" w:hAnsiTheme="minorEastAsia" w:eastAsiaTheme="minorEastAsia"/>
          <w:bCs/>
          <w:color w:val="auto"/>
          <w:sz w:val="24"/>
          <w:highlight w:val="none"/>
        </w:rPr>
        <w:t>）</w:t>
      </w:r>
      <w:r>
        <w:rPr>
          <w:rFonts w:hint="eastAsia" w:asciiTheme="minorEastAsia" w:hAnsiTheme="minorEastAsia" w:eastAsiaTheme="minorEastAsia"/>
          <w:bCs/>
          <w:color w:val="auto"/>
          <w:sz w:val="24"/>
          <w:highlight w:val="none"/>
        </w:rPr>
        <w:t>。</w:t>
      </w:r>
      <w:bookmarkEnd w:id="81"/>
      <w:bookmarkEnd w:id="82"/>
    </w:p>
    <w:p w14:paraId="5AB75A39">
      <w:pPr>
        <w:tabs>
          <w:tab w:val="left" w:pos="480"/>
        </w:tabs>
        <w:spacing w:line="360" w:lineRule="auto"/>
        <w:ind w:firstLine="48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对信用记录查询结果显示被列入失信被执行人、重大税收违法失信主体名单、严重失信主体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p>
    <w:p w14:paraId="470D1EF0">
      <w:pPr>
        <w:tabs>
          <w:tab w:val="left" w:pos="1365"/>
        </w:tabs>
        <w:spacing w:line="360" w:lineRule="auto"/>
        <w:ind w:firstLine="564"/>
        <w:rPr>
          <w:rFonts w:asciiTheme="minorEastAsia" w:hAnsiTheme="minorEastAsia" w:eastAsiaTheme="minorEastAsia"/>
          <w:bCs/>
          <w:color w:val="auto"/>
          <w:sz w:val="24"/>
          <w:highlight w:val="none"/>
        </w:rPr>
      </w:pPr>
      <w:bookmarkStart w:id="83" w:name="_Toc98277358"/>
      <w:bookmarkStart w:id="84" w:name="_Toc116946314"/>
      <w:r>
        <w:rPr>
          <w:rFonts w:hint="eastAsia" w:asciiTheme="minorEastAsia" w:hAnsiTheme="minorEastAsia" w:eastAsiaTheme="minorEastAsia"/>
          <w:bCs/>
          <w:color w:val="auto"/>
          <w:sz w:val="24"/>
          <w:highlight w:val="none"/>
        </w:rPr>
        <w:t>2</w:t>
      </w:r>
      <w:r>
        <w:rPr>
          <w:rFonts w:asciiTheme="minorEastAsia" w:hAnsiTheme="minorEastAsia" w:eastAsiaTheme="minorEastAsia"/>
          <w:bCs/>
          <w:color w:val="auto"/>
          <w:sz w:val="24"/>
          <w:highlight w:val="none"/>
        </w:rPr>
        <w:t>.</w:t>
      </w:r>
      <w:r>
        <w:rPr>
          <w:rFonts w:hint="eastAsia" w:asciiTheme="minorEastAsia" w:hAnsiTheme="minorEastAsia" w:eastAsiaTheme="minorEastAsia"/>
          <w:bCs/>
          <w:color w:val="auto"/>
          <w:sz w:val="24"/>
          <w:highlight w:val="none"/>
        </w:rPr>
        <w:t>4资格审查不合格的投标供应商的投标文件不进入后续评审。</w:t>
      </w:r>
      <w:bookmarkEnd w:id="83"/>
      <w:bookmarkEnd w:id="84"/>
    </w:p>
    <w:p w14:paraId="5D68BC0C">
      <w:pPr>
        <w:tabs>
          <w:tab w:val="left" w:pos="1365"/>
        </w:tabs>
        <w:spacing w:line="360" w:lineRule="auto"/>
        <w:ind w:firstLine="566"/>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3.</w:t>
      </w:r>
      <w:r>
        <w:rPr>
          <w:rFonts w:hint="eastAsia" w:asciiTheme="minorEastAsia" w:hAnsiTheme="minorEastAsia" w:eastAsiaTheme="minorEastAsia"/>
          <w:b/>
          <w:bCs/>
          <w:color w:val="auto"/>
          <w:sz w:val="24"/>
          <w:highlight w:val="none"/>
        </w:rPr>
        <w:t>评标工作程序</w:t>
      </w:r>
    </w:p>
    <w:p w14:paraId="1602F08E">
      <w:pPr>
        <w:tabs>
          <w:tab w:val="left" w:pos="1365"/>
        </w:tabs>
        <w:spacing w:line="360" w:lineRule="auto"/>
        <w:ind w:firstLine="564"/>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3.1由专家及采购人代表组成评标委员会，并实行回避制度。</w:t>
      </w:r>
    </w:p>
    <w:p w14:paraId="09D3230C">
      <w:pPr>
        <w:tabs>
          <w:tab w:val="left" w:pos="1365"/>
        </w:tabs>
        <w:spacing w:line="360" w:lineRule="auto"/>
        <w:ind w:firstLine="566"/>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3</w:t>
      </w:r>
      <w:r>
        <w:rPr>
          <w:rFonts w:asciiTheme="minorEastAsia" w:hAnsiTheme="minorEastAsia" w:eastAsiaTheme="minorEastAsia"/>
          <w:b/>
          <w:color w:val="auto"/>
          <w:sz w:val="24"/>
          <w:highlight w:val="none"/>
        </w:rPr>
        <w:t>.2</w:t>
      </w:r>
      <w:r>
        <w:rPr>
          <w:rFonts w:hint="eastAsia" w:asciiTheme="minorEastAsia" w:hAnsiTheme="minorEastAsia" w:eastAsiaTheme="minorEastAsia"/>
          <w:b/>
          <w:color w:val="auto"/>
          <w:sz w:val="24"/>
          <w:highlight w:val="none"/>
        </w:rPr>
        <w:t>投标文件符合性检查</w:t>
      </w:r>
    </w:p>
    <w:p w14:paraId="03F44454">
      <w:pPr>
        <w:tabs>
          <w:tab w:val="left" w:pos="1365"/>
        </w:tabs>
        <w:spacing w:line="360" w:lineRule="auto"/>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w:t>
      </w:r>
      <w:r>
        <w:rPr>
          <w:rFonts w:hint="eastAsia" w:asciiTheme="minorEastAsia" w:hAnsiTheme="minorEastAsia" w:eastAsiaTheme="minorEastAsia"/>
          <w:bCs/>
          <w:color w:val="auto"/>
          <w:sz w:val="24"/>
          <w:highlight w:val="none"/>
        </w:rPr>
        <w:t>.1评委会将对资格符合的投标文件进行评审，以确定是否对招标文件的实质性要求做出响应。</w:t>
      </w:r>
    </w:p>
    <w:p w14:paraId="4CEDEA23">
      <w:pPr>
        <w:tabs>
          <w:tab w:val="left" w:pos="480"/>
        </w:tabs>
        <w:spacing w:line="360" w:lineRule="auto"/>
        <w:ind w:firstLine="482"/>
        <w:jc w:val="center"/>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资格性审查表</w:t>
      </w:r>
    </w:p>
    <w:tbl>
      <w:tblPr>
        <w:tblStyle w:val="67"/>
        <w:tblW w:w="9960"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9"/>
        <w:gridCol w:w="3011"/>
        <w:gridCol w:w="6240"/>
      </w:tblGrid>
      <w:tr w14:paraId="1B9C9B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47" w:hRule="atLeast"/>
        </w:trPr>
        <w:tc>
          <w:tcPr>
            <w:tcW w:w="709" w:type="dxa"/>
            <w:vAlign w:val="center"/>
          </w:tcPr>
          <w:p w14:paraId="5E3C0D37">
            <w:pPr>
              <w:spacing w:line="360" w:lineRule="auto"/>
              <w:jc w:val="center"/>
              <w:rPr>
                <w:rFonts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序号</w:t>
            </w:r>
          </w:p>
        </w:tc>
        <w:tc>
          <w:tcPr>
            <w:tcW w:w="9251" w:type="dxa"/>
            <w:gridSpan w:val="2"/>
            <w:vAlign w:val="center"/>
          </w:tcPr>
          <w:p w14:paraId="40D3E247">
            <w:pPr>
              <w:spacing w:line="360" w:lineRule="auto"/>
              <w:jc w:val="center"/>
              <w:rPr>
                <w:rFonts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资格审查内容</w:t>
            </w:r>
          </w:p>
        </w:tc>
      </w:tr>
      <w:tr w14:paraId="149D64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47" w:hRule="atLeast"/>
        </w:trPr>
        <w:tc>
          <w:tcPr>
            <w:tcW w:w="709" w:type="dxa"/>
            <w:vAlign w:val="center"/>
          </w:tcPr>
          <w:p w14:paraId="6212EC48">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1</w:t>
            </w:r>
          </w:p>
        </w:tc>
        <w:tc>
          <w:tcPr>
            <w:tcW w:w="3011" w:type="dxa"/>
            <w:vAlign w:val="center"/>
          </w:tcPr>
          <w:p w14:paraId="0AFF5EF3">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关于资格的声明函</w:t>
            </w:r>
          </w:p>
        </w:tc>
        <w:tc>
          <w:tcPr>
            <w:tcW w:w="6240" w:type="dxa"/>
            <w:vAlign w:val="center"/>
          </w:tcPr>
          <w:p w14:paraId="01EA4D20">
            <w:pPr>
              <w:spacing w:line="360" w:lineRule="auto"/>
              <w:jc w:val="lef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格式见附件</w:t>
            </w:r>
          </w:p>
        </w:tc>
      </w:tr>
      <w:tr w14:paraId="538C12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7529F0BE">
            <w:pPr>
              <w:spacing w:line="360" w:lineRule="auto"/>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2</w:t>
            </w:r>
          </w:p>
        </w:tc>
        <w:tc>
          <w:tcPr>
            <w:tcW w:w="3011" w:type="dxa"/>
            <w:vAlign w:val="center"/>
          </w:tcPr>
          <w:p w14:paraId="650596B7">
            <w:pPr>
              <w:spacing w:line="360" w:lineRule="auto"/>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具有独立承担民事责任的能力</w:t>
            </w:r>
          </w:p>
        </w:tc>
        <w:tc>
          <w:tcPr>
            <w:tcW w:w="6240" w:type="dxa"/>
            <w:vAlign w:val="center"/>
          </w:tcPr>
          <w:p w14:paraId="2273E7B0">
            <w:pPr>
              <w:spacing w:line="360" w:lineRule="auto"/>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具有独立承担民事责任能力的投标供应商营业执照副本或事业单位法人证书或民办非企业单位登记证书或社会团体法人登记证书或基金会法人登记证书或其他组织的营业执照等证明文件原件扫描件（原件或公证件或具有可查询二维码原件扫描件上传）</w:t>
            </w:r>
          </w:p>
        </w:tc>
      </w:tr>
      <w:tr w14:paraId="04FC48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3FAB77A6">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w:t>
            </w:r>
          </w:p>
        </w:tc>
        <w:tc>
          <w:tcPr>
            <w:tcW w:w="3011" w:type="dxa"/>
            <w:shd w:val="clear" w:color="auto" w:fill="auto"/>
            <w:vAlign w:val="center"/>
          </w:tcPr>
          <w:p w14:paraId="301A00E9">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特定资格</w:t>
            </w:r>
          </w:p>
        </w:tc>
        <w:tc>
          <w:tcPr>
            <w:tcW w:w="6240" w:type="dxa"/>
            <w:shd w:val="clear" w:color="auto" w:fill="auto"/>
            <w:vAlign w:val="center"/>
          </w:tcPr>
          <w:p w14:paraId="70A1A9CE">
            <w:pPr>
              <w:spacing w:line="360" w:lineRule="auto"/>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投标供应商具备有效期内的餐饮服务许可证或者食品经营许可证（原件或公证件或具有可查询二维码原件扫描件上传）</w:t>
            </w:r>
          </w:p>
        </w:tc>
      </w:tr>
      <w:tr w14:paraId="501581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5D801D4E">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4</w:t>
            </w:r>
          </w:p>
        </w:tc>
        <w:tc>
          <w:tcPr>
            <w:tcW w:w="3011" w:type="dxa"/>
            <w:vAlign w:val="center"/>
          </w:tcPr>
          <w:p w14:paraId="16F12995">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投标供应商法定代表人授权委托书</w:t>
            </w:r>
          </w:p>
        </w:tc>
        <w:tc>
          <w:tcPr>
            <w:tcW w:w="6240" w:type="dxa"/>
            <w:vAlign w:val="center"/>
          </w:tcPr>
          <w:p w14:paraId="3CD4F05A">
            <w:pPr>
              <w:spacing w:line="360" w:lineRule="auto"/>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格式见附件，法定代表人亲自参加投标的除外（投标供应商如是允许以分支机构身份参加投标的，请自行</w:t>
            </w:r>
            <w:r>
              <w:rPr>
                <w:rFonts w:asciiTheme="minorEastAsia" w:hAnsiTheme="minorEastAsia" w:eastAsiaTheme="minorEastAsia"/>
                <w:bCs/>
                <w:color w:val="auto"/>
                <w:szCs w:val="24"/>
                <w:highlight w:val="none"/>
              </w:rPr>
              <w:t>将“</w:t>
            </w:r>
            <w:r>
              <w:rPr>
                <w:rFonts w:hint="eastAsia" w:asciiTheme="minorEastAsia" w:hAnsiTheme="minorEastAsia" w:eastAsiaTheme="minorEastAsia"/>
                <w:bCs/>
                <w:color w:val="auto"/>
                <w:szCs w:val="24"/>
                <w:highlight w:val="none"/>
              </w:rPr>
              <w:t>法定代表人</w:t>
            </w:r>
            <w:r>
              <w:rPr>
                <w:rFonts w:asciiTheme="minorEastAsia" w:hAnsiTheme="minorEastAsia" w:eastAsiaTheme="minorEastAsia"/>
                <w:bCs/>
                <w:color w:val="auto"/>
                <w:szCs w:val="24"/>
                <w:highlight w:val="none"/>
              </w:rPr>
              <w:t>”</w:t>
            </w:r>
            <w:r>
              <w:rPr>
                <w:rFonts w:hint="eastAsia" w:asciiTheme="minorEastAsia" w:hAnsiTheme="minorEastAsia" w:eastAsiaTheme="minorEastAsia"/>
                <w:bCs/>
                <w:color w:val="auto"/>
                <w:szCs w:val="24"/>
                <w:highlight w:val="none"/>
              </w:rPr>
              <w:t>更改为</w:t>
            </w:r>
            <w:r>
              <w:rPr>
                <w:rFonts w:asciiTheme="minorEastAsia" w:hAnsiTheme="minorEastAsia" w:eastAsiaTheme="minorEastAsia"/>
                <w:bCs/>
                <w:color w:val="auto"/>
                <w:szCs w:val="24"/>
                <w:highlight w:val="none"/>
              </w:rPr>
              <w:t>“</w:t>
            </w:r>
            <w:r>
              <w:rPr>
                <w:rFonts w:hint="eastAsia" w:asciiTheme="minorEastAsia" w:hAnsiTheme="minorEastAsia" w:eastAsiaTheme="minorEastAsia"/>
                <w:bCs/>
                <w:color w:val="auto"/>
                <w:szCs w:val="24"/>
                <w:highlight w:val="none"/>
              </w:rPr>
              <w:t>负责人</w:t>
            </w:r>
            <w:r>
              <w:rPr>
                <w:rFonts w:asciiTheme="minorEastAsia" w:hAnsiTheme="minorEastAsia" w:eastAsiaTheme="minorEastAsia"/>
                <w:bCs/>
                <w:color w:val="auto"/>
                <w:szCs w:val="24"/>
                <w:highlight w:val="none"/>
              </w:rPr>
              <w:t>”</w:t>
            </w:r>
            <w:r>
              <w:rPr>
                <w:rFonts w:hint="eastAsia" w:asciiTheme="minorEastAsia" w:hAnsiTheme="minorEastAsia" w:eastAsiaTheme="minorEastAsia"/>
                <w:bCs/>
                <w:color w:val="auto"/>
                <w:szCs w:val="24"/>
                <w:highlight w:val="none"/>
              </w:rPr>
              <w:t>，分支机构</w:t>
            </w:r>
            <w:r>
              <w:rPr>
                <w:rFonts w:asciiTheme="minorEastAsia" w:hAnsiTheme="minorEastAsia" w:eastAsiaTheme="minorEastAsia"/>
                <w:bCs/>
                <w:color w:val="auto"/>
                <w:szCs w:val="24"/>
                <w:highlight w:val="none"/>
              </w:rPr>
              <w:t>投标时</w:t>
            </w:r>
            <w:r>
              <w:rPr>
                <w:rFonts w:hint="eastAsia" w:asciiTheme="minorEastAsia" w:hAnsiTheme="minorEastAsia" w:eastAsiaTheme="minorEastAsia"/>
                <w:bCs/>
                <w:color w:val="auto"/>
                <w:szCs w:val="24"/>
                <w:highlight w:val="none"/>
              </w:rPr>
              <w:t>涉及到招标文件</w:t>
            </w:r>
            <w:r>
              <w:rPr>
                <w:rFonts w:asciiTheme="minorEastAsia" w:hAnsiTheme="minorEastAsia" w:eastAsiaTheme="minorEastAsia"/>
                <w:bCs/>
                <w:color w:val="auto"/>
                <w:szCs w:val="24"/>
                <w:highlight w:val="none"/>
              </w:rPr>
              <w:t>“</w:t>
            </w:r>
            <w:r>
              <w:rPr>
                <w:rFonts w:hint="eastAsia" w:asciiTheme="minorEastAsia" w:hAnsiTheme="minorEastAsia" w:eastAsiaTheme="minorEastAsia"/>
                <w:bCs/>
                <w:color w:val="auto"/>
                <w:szCs w:val="24"/>
                <w:highlight w:val="none"/>
              </w:rPr>
              <w:t>法定代表人</w:t>
            </w:r>
            <w:r>
              <w:rPr>
                <w:rFonts w:asciiTheme="minorEastAsia" w:hAnsiTheme="minorEastAsia" w:eastAsiaTheme="minorEastAsia"/>
                <w:bCs/>
                <w:color w:val="auto"/>
                <w:szCs w:val="24"/>
                <w:highlight w:val="none"/>
              </w:rPr>
              <w:t>”</w:t>
            </w:r>
            <w:r>
              <w:rPr>
                <w:rFonts w:hint="eastAsia" w:asciiTheme="minorEastAsia" w:hAnsiTheme="minorEastAsia" w:eastAsiaTheme="minorEastAsia"/>
                <w:bCs/>
                <w:color w:val="auto"/>
                <w:szCs w:val="24"/>
                <w:highlight w:val="none"/>
              </w:rPr>
              <w:t>要求的部分</w:t>
            </w:r>
            <w:r>
              <w:rPr>
                <w:rFonts w:asciiTheme="minorEastAsia" w:hAnsiTheme="minorEastAsia" w:eastAsiaTheme="minorEastAsia"/>
                <w:bCs/>
                <w:color w:val="auto"/>
                <w:szCs w:val="24"/>
                <w:highlight w:val="none"/>
              </w:rPr>
              <w:t>，其</w:t>
            </w:r>
            <w:r>
              <w:rPr>
                <w:rFonts w:hint="eastAsia" w:asciiTheme="minorEastAsia" w:hAnsiTheme="minorEastAsia" w:eastAsiaTheme="minorEastAsia"/>
                <w:bCs/>
                <w:color w:val="auto"/>
                <w:szCs w:val="24"/>
                <w:highlight w:val="none"/>
              </w:rPr>
              <w:t>具体要求</w:t>
            </w:r>
            <w:r>
              <w:rPr>
                <w:rFonts w:asciiTheme="minorEastAsia" w:hAnsiTheme="minorEastAsia" w:eastAsiaTheme="minorEastAsia"/>
                <w:bCs/>
                <w:color w:val="auto"/>
                <w:szCs w:val="24"/>
                <w:highlight w:val="none"/>
              </w:rPr>
              <w:t>视同本条规定</w:t>
            </w:r>
            <w:r>
              <w:rPr>
                <w:rFonts w:hint="eastAsia" w:asciiTheme="minorEastAsia" w:hAnsiTheme="minorEastAsia" w:eastAsiaTheme="minorEastAsia"/>
                <w:bCs/>
                <w:color w:val="auto"/>
                <w:szCs w:val="24"/>
                <w:highlight w:val="none"/>
              </w:rPr>
              <w:t>）。</w:t>
            </w:r>
          </w:p>
        </w:tc>
      </w:tr>
      <w:tr w14:paraId="5C8FE5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6416701B">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5</w:t>
            </w:r>
          </w:p>
        </w:tc>
        <w:tc>
          <w:tcPr>
            <w:tcW w:w="3011" w:type="dxa"/>
            <w:vAlign w:val="center"/>
          </w:tcPr>
          <w:p w14:paraId="4BD79CC4">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投标供应商法定代表人身份证原件扫描件</w:t>
            </w:r>
          </w:p>
        </w:tc>
        <w:tc>
          <w:tcPr>
            <w:tcW w:w="6240" w:type="dxa"/>
            <w:vAlign w:val="center"/>
          </w:tcPr>
          <w:p w14:paraId="29A5E6B1">
            <w:pPr>
              <w:spacing w:line="360" w:lineRule="auto"/>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身份证应为正、反面</w:t>
            </w:r>
          </w:p>
        </w:tc>
      </w:tr>
      <w:tr w14:paraId="7168D4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17709B1C">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6</w:t>
            </w:r>
          </w:p>
        </w:tc>
        <w:tc>
          <w:tcPr>
            <w:tcW w:w="3011" w:type="dxa"/>
            <w:vAlign w:val="center"/>
          </w:tcPr>
          <w:p w14:paraId="55FB3146">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投标供应商法定代表人授权代表身份证原件扫描件</w:t>
            </w:r>
          </w:p>
        </w:tc>
        <w:tc>
          <w:tcPr>
            <w:tcW w:w="6240" w:type="dxa"/>
            <w:vAlign w:val="center"/>
          </w:tcPr>
          <w:p w14:paraId="209E3BCC">
            <w:pPr>
              <w:spacing w:line="360" w:lineRule="auto"/>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身份证应为正、反面，法定代表人亲自参加投标的除外</w:t>
            </w:r>
          </w:p>
        </w:tc>
      </w:tr>
      <w:tr w14:paraId="1A00AF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5D9ED9B7">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7</w:t>
            </w:r>
          </w:p>
        </w:tc>
        <w:tc>
          <w:tcPr>
            <w:tcW w:w="3011" w:type="dxa"/>
            <w:vAlign w:val="center"/>
          </w:tcPr>
          <w:p w14:paraId="321338B1">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具有良好的商业信誉和健全的财务会计制度</w:t>
            </w:r>
          </w:p>
        </w:tc>
        <w:tc>
          <w:tcPr>
            <w:tcW w:w="6240" w:type="dxa"/>
            <w:vAlign w:val="center"/>
          </w:tcPr>
          <w:p w14:paraId="2672B7C4">
            <w:pPr>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bCs/>
                <w:color w:val="auto"/>
                <w:szCs w:val="24"/>
                <w:highlight w:val="none"/>
              </w:rPr>
              <w:t>投标供应商提供近三个月中任意一个月份（</w:t>
            </w:r>
            <w:r>
              <w:rPr>
                <w:rFonts w:hint="eastAsia" w:ascii="宋体" w:hAnsi="宋体"/>
                <w:color w:val="auto"/>
                <w:sz w:val="24"/>
                <w:szCs w:val="22"/>
                <w:highlight w:val="none"/>
              </w:rPr>
              <w:t>不含开标当月）</w:t>
            </w:r>
            <w:r>
              <w:rPr>
                <w:rFonts w:hint="eastAsia" w:asciiTheme="minorEastAsia" w:hAnsiTheme="minorEastAsia" w:eastAsiaTheme="minorEastAsia"/>
                <w:bCs/>
                <w:color w:val="auto"/>
                <w:szCs w:val="24"/>
                <w:highlight w:val="none"/>
              </w:rPr>
              <w:t>的财务状况报告（资产负债表和利润表）或由会计师事务所出具的2025年度的财务审计报告原件扫描件并加盖公章或签电子公章</w:t>
            </w:r>
          </w:p>
        </w:tc>
      </w:tr>
      <w:tr w14:paraId="17438F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2755A3B0">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8</w:t>
            </w:r>
          </w:p>
        </w:tc>
        <w:tc>
          <w:tcPr>
            <w:tcW w:w="3011" w:type="dxa"/>
            <w:vAlign w:val="center"/>
          </w:tcPr>
          <w:p w14:paraId="1B75634B">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具</w:t>
            </w:r>
            <w:r>
              <w:rPr>
                <w:rFonts w:asciiTheme="minorEastAsia" w:hAnsiTheme="minorEastAsia" w:eastAsiaTheme="minorEastAsia"/>
                <w:color w:val="auto"/>
                <w:szCs w:val="24"/>
                <w:highlight w:val="none"/>
              </w:rPr>
              <w:t>有依法缴纳税收的良好记录</w:t>
            </w:r>
          </w:p>
        </w:tc>
        <w:tc>
          <w:tcPr>
            <w:tcW w:w="6240" w:type="dxa"/>
          </w:tcPr>
          <w:p w14:paraId="016EEB3F">
            <w:pPr>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bCs/>
                <w:color w:val="auto"/>
                <w:szCs w:val="24"/>
                <w:highlight w:val="none"/>
              </w:rPr>
              <w:t>投标供应商近三个月中任意一个月份（</w:t>
            </w:r>
            <w:r>
              <w:rPr>
                <w:rFonts w:hint="eastAsia" w:ascii="宋体" w:hAnsi="宋体"/>
                <w:color w:val="auto"/>
                <w:sz w:val="24"/>
                <w:szCs w:val="22"/>
                <w:highlight w:val="none"/>
              </w:rPr>
              <w:t>不含开标当月）</w:t>
            </w:r>
            <w:r>
              <w:rPr>
                <w:rFonts w:hint="eastAsia" w:asciiTheme="minorEastAsia" w:hAnsiTheme="minorEastAsia" w:eastAsiaTheme="minorEastAsia"/>
                <w:bCs/>
                <w:color w:val="auto"/>
                <w:szCs w:val="24"/>
                <w:highlight w:val="none"/>
              </w:rPr>
              <w:t>的依法缴纳税收的相关材料（提供相关主管部门证明或银行代扣证明）扫描件</w:t>
            </w:r>
            <w:r>
              <w:rPr>
                <w:rFonts w:hint="eastAsia" w:asciiTheme="minorEastAsia" w:hAnsiTheme="minorEastAsia" w:eastAsiaTheme="minorEastAsia"/>
                <w:color w:val="auto"/>
                <w:szCs w:val="24"/>
                <w:highlight w:val="none"/>
              </w:rPr>
              <w:t>，或者提供依法免税的主管部门出具的相应证明材料。</w:t>
            </w:r>
          </w:p>
        </w:tc>
      </w:tr>
      <w:tr w14:paraId="05F11E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15F082FE">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9</w:t>
            </w:r>
          </w:p>
        </w:tc>
        <w:tc>
          <w:tcPr>
            <w:tcW w:w="3011" w:type="dxa"/>
            <w:vAlign w:val="center"/>
          </w:tcPr>
          <w:p w14:paraId="46DE0F3F">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具有依法缴纳社会保障资金的良好记录</w:t>
            </w:r>
          </w:p>
        </w:tc>
        <w:tc>
          <w:tcPr>
            <w:tcW w:w="6240" w:type="dxa"/>
          </w:tcPr>
          <w:p w14:paraId="4FFBB239">
            <w:pPr>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投标供应商近三个月中任意一个月份（</w:t>
            </w:r>
            <w:r>
              <w:rPr>
                <w:rFonts w:hint="eastAsia" w:ascii="宋体" w:hAnsi="宋体"/>
                <w:color w:val="auto"/>
                <w:sz w:val="24"/>
                <w:szCs w:val="22"/>
                <w:highlight w:val="none"/>
              </w:rPr>
              <w:t>不含开标当月）</w:t>
            </w:r>
            <w:r>
              <w:rPr>
                <w:rFonts w:hint="eastAsia" w:asciiTheme="minorEastAsia" w:hAnsiTheme="minorEastAsia" w:eastAsiaTheme="minorEastAsia"/>
                <w:color w:val="auto"/>
                <w:szCs w:val="24"/>
                <w:highlight w:val="none"/>
              </w:rPr>
              <w:t>的依法缴纳社会保障资金的相关材料（提供相关主管部门证明或银行代扣证明）扫描件，或者提供依法不需要缴纳社会保障资金的主管部门出具的证明材料。</w:t>
            </w:r>
          </w:p>
        </w:tc>
      </w:tr>
      <w:tr w14:paraId="0A89A8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23" w:hRule="atLeast"/>
        </w:trPr>
        <w:tc>
          <w:tcPr>
            <w:tcW w:w="709" w:type="dxa"/>
            <w:vAlign w:val="center"/>
          </w:tcPr>
          <w:p w14:paraId="0E1AE7C4">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10</w:t>
            </w:r>
          </w:p>
        </w:tc>
        <w:tc>
          <w:tcPr>
            <w:tcW w:w="3011" w:type="dxa"/>
            <w:vAlign w:val="center"/>
          </w:tcPr>
          <w:p w14:paraId="3939F42A">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政府采购投标及履约承诺函</w:t>
            </w:r>
          </w:p>
        </w:tc>
        <w:tc>
          <w:tcPr>
            <w:tcW w:w="6240" w:type="dxa"/>
          </w:tcPr>
          <w:p w14:paraId="7F58BE4E">
            <w:pPr>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格式见附件。</w:t>
            </w:r>
          </w:p>
        </w:tc>
      </w:tr>
      <w:tr w14:paraId="4B4D7B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5E0D5665">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11</w:t>
            </w:r>
          </w:p>
        </w:tc>
        <w:tc>
          <w:tcPr>
            <w:tcW w:w="3011" w:type="dxa"/>
            <w:vAlign w:val="center"/>
          </w:tcPr>
          <w:p w14:paraId="40B853A2">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授权代理人提供由法定的社保收缴部门出具的2026年</w:t>
            </w:r>
            <w:r>
              <w:rPr>
                <w:rFonts w:hint="eastAsia" w:asciiTheme="minorEastAsia" w:hAnsiTheme="minorEastAsia" w:eastAsiaTheme="minorEastAsia"/>
                <w:color w:val="auto"/>
                <w:szCs w:val="24"/>
                <w:highlight w:val="none"/>
                <w:lang w:val="en-US" w:eastAsia="zh-CN"/>
              </w:rPr>
              <w:t>4</w:t>
            </w:r>
            <w:r>
              <w:rPr>
                <w:rFonts w:hint="eastAsia" w:asciiTheme="minorEastAsia" w:hAnsiTheme="minorEastAsia" w:eastAsiaTheme="minorEastAsia"/>
                <w:color w:val="auto"/>
                <w:szCs w:val="24"/>
                <w:highlight w:val="none"/>
              </w:rPr>
              <w:t>月—2026年</w:t>
            </w:r>
            <w:r>
              <w:rPr>
                <w:rFonts w:hint="eastAsia" w:asciiTheme="minorEastAsia" w:hAnsiTheme="minorEastAsia" w:eastAsiaTheme="minorEastAsia"/>
                <w:color w:val="auto"/>
                <w:szCs w:val="24"/>
                <w:highlight w:val="none"/>
                <w:lang w:val="en-US" w:eastAsia="zh-CN"/>
              </w:rPr>
              <w:t>6</w:t>
            </w:r>
            <w:r>
              <w:rPr>
                <w:rFonts w:hint="eastAsia" w:asciiTheme="minorEastAsia" w:hAnsiTheme="minorEastAsia" w:eastAsiaTheme="minorEastAsia"/>
                <w:color w:val="auto"/>
                <w:szCs w:val="24"/>
                <w:highlight w:val="none"/>
              </w:rPr>
              <w:t>月的投标供应商依法为其缴纳社会保险证明</w:t>
            </w:r>
          </w:p>
        </w:tc>
        <w:tc>
          <w:tcPr>
            <w:tcW w:w="6240" w:type="dxa"/>
          </w:tcPr>
          <w:p w14:paraId="7A6D39C0">
            <w:pPr>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签章或带二维码验证的扫描件。</w:t>
            </w:r>
          </w:p>
        </w:tc>
      </w:tr>
      <w:tr w14:paraId="063473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7675942E">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12</w:t>
            </w:r>
          </w:p>
        </w:tc>
        <w:tc>
          <w:tcPr>
            <w:tcW w:w="3011" w:type="dxa"/>
            <w:vAlign w:val="center"/>
          </w:tcPr>
          <w:p w14:paraId="17C2A458">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拟派项目负责人提供由法定的社保收缴部门出具的2026年</w:t>
            </w:r>
            <w:r>
              <w:rPr>
                <w:rFonts w:hint="eastAsia" w:asciiTheme="minorEastAsia" w:hAnsiTheme="minorEastAsia" w:eastAsiaTheme="minorEastAsia"/>
                <w:color w:val="auto"/>
                <w:szCs w:val="24"/>
                <w:highlight w:val="none"/>
                <w:lang w:val="en-US" w:eastAsia="zh-CN"/>
              </w:rPr>
              <w:t>4</w:t>
            </w:r>
            <w:r>
              <w:rPr>
                <w:rFonts w:hint="eastAsia" w:asciiTheme="minorEastAsia" w:hAnsiTheme="minorEastAsia" w:eastAsiaTheme="minorEastAsia"/>
                <w:color w:val="auto"/>
                <w:szCs w:val="24"/>
                <w:highlight w:val="none"/>
              </w:rPr>
              <w:t>月—2026年</w:t>
            </w:r>
            <w:r>
              <w:rPr>
                <w:rFonts w:hint="eastAsia" w:asciiTheme="minorEastAsia" w:hAnsiTheme="minorEastAsia" w:eastAsiaTheme="minorEastAsia"/>
                <w:color w:val="auto"/>
                <w:szCs w:val="24"/>
                <w:highlight w:val="none"/>
                <w:lang w:val="en-US" w:eastAsia="zh-CN"/>
              </w:rPr>
              <w:t>6</w:t>
            </w:r>
            <w:r>
              <w:rPr>
                <w:rFonts w:hint="eastAsia" w:asciiTheme="minorEastAsia" w:hAnsiTheme="minorEastAsia" w:eastAsiaTheme="minorEastAsia"/>
                <w:color w:val="auto"/>
                <w:szCs w:val="24"/>
                <w:highlight w:val="none"/>
              </w:rPr>
              <w:t>月的投标供应商依法为其缴纳社会保险证明</w:t>
            </w:r>
          </w:p>
        </w:tc>
        <w:tc>
          <w:tcPr>
            <w:tcW w:w="6240" w:type="dxa"/>
          </w:tcPr>
          <w:p w14:paraId="212792B8">
            <w:pPr>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由相关主管部门出具，如投标供应商成立时间迟于要求开始的时间，则时间要求为投标供应商成立时间至截止时间；法定代表人担任本项目的项目负责人的除外；社保缴费证明必须提交带有社保部门红章的或含有县（区）级及以上社保部门电子签章或带二维码验证的扫描件。</w:t>
            </w:r>
          </w:p>
        </w:tc>
      </w:tr>
      <w:tr w14:paraId="1D8063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252D0F96">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13</w:t>
            </w:r>
          </w:p>
        </w:tc>
        <w:tc>
          <w:tcPr>
            <w:tcW w:w="3011" w:type="dxa"/>
            <w:vAlign w:val="center"/>
          </w:tcPr>
          <w:p w14:paraId="4CBBAAA2">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落实政府采购政策的证明材料（专门面向中小企业采购）</w:t>
            </w:r>
          </w:p>
        </w:tc>
        <w:tc>
          <w:tcPr>
            <w:tcW w:w="6240" w:type="dxa"/>
          </w:tcPr>
          <w:p w14:paraId="568DEB15">
            <w:pPr>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供应商必须是中小微企业或监狱企业或残疾人福利性单位；供应商如为中小微企业的提供《中小企业声明函》原件扫描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原件扫描件</w:t>
            </w:r>
          </w:p>
        </w:tc>
      </w:tr>
      <w:tr w14:paraId="633C14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61758A99">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14</w:t>
            </w:r>
          </w:p>
        </w:tc>
        <w:tc>
          <w:tcPr>
            <w:tcW w:w="3011" w:type="dxa"/>
            <w:vAlign w:val="center"/>
          </w:tcPr>
          <w:p w14:paraId="755307C4">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参加政府采购活动前3年内在经营活动中没有重大违法记录的书面声明</w:t>
            </w:r>
          </w:p>
        </w:tc>
        <w:tc>
          <w:tcPr>
            <w:tcW w:w="6240" w:type="dxa"/>
          </w:tcPr>
          <w:p w14:paraId="0D5DD188">
            <w:pPr>
              <w:spacing w:line="360" w:lineRule="auto"/>
              <w:jc w:val="lef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参加政府采购活动前3年内在经营活动中没有重大违法记录的书面声明（格式见附件）</w:t>
            </w:r>
          </w:p>
        </w:tc>
      </w:tr>
      <w:tr w14:paraId="122469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12E9ECB4">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15</w:t>
            </w:r>
          </w:p>
        </w:tc>
        <w:tc>
          <w:tcPr>
            <w:tcW w:w="3011" w:type="dxa"/>
            <w:vAlign w:val="center"/>
          </w:tcPr>
          <w:p w14:paraId="332A7634">
            <w:pPr>
              <w:spacing w:line="360" w:lineRule="auto"/>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信用记录</w:t>
            </w:r>
          </w:p>
        </w:tc>
        <w:tc>
          <w:tcPr>
            <w:tcW w:w="6240" w:type="dxa"/>
          </w:tcPr>
          <w:p w14:paraId="7F05874C">
            <w:pPr>
              <w:spacing w:line="360" w:lineRule="auto"/>
              <w:jc w:val="lef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供应商未被列入“信用中国”网站（www.creditchina.gov.cn）“失信被执行人、重大税收违法失信主体名单、严重失信主体名单”（有上述处罚记录但处罚期已届满的，视为无记录，以代理机构评标当日查询结果为准）</w:t>
            </w:r>
          </w:p>
        </w:tc>
      </w:tr>
      <w:tr w14:paraId="23C76F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57513D2B">
            <w:pPr>
              <w:spacing w:line="360" w:lineRule="auto"/>
              <w:jc w:val="center"/>
              <w:rPr>
                <w:rFonts w:hint="eastAsia" w:asciiTheme="minorEastAsia" w:hAnsiTheme="minorEastAsia" w:eastAsiaTheme="minorEastAsia"/>
                <w:color w:val="auto"/>
                <w:szCs w:val="24"/>
                <w:highlight w:val="none"/>
                <w:lang w:eastAsia="zh-CN"/>
              </w:rPr>
            </w:pPr>
            <w:r>
              <w:rPr>
                <w:rFonts w:hint="eastAsia" w:asciiTheme="minorEastAsia" w:hAnsiTheme="minorEastAsia" w:eastAsiaTheme="minorEastAsia"/>
                <w:color w:val="auto"/>
                <w:szCs w:val="24"/>
                <w:highlight w:val="none"/>
              </w:rPr>
              <w:t>1</w:t>
            </w:r>
            <w:r>
              <w:rPr>
                <w:rFonts w:hint="eastAsia" w:asciiTheme="minorEastAsia" w:hAnsiTheme="minorEastAsia" w:eastAsiaTheme="minorEastAsia"/>
                <w:color w:val="auto"/>
                <w:szCs w:val="24"/>
                <w:highlight w:val="none"/>
                <w:lang w:val="en-US" w:eastAsia="zh-CN"/>
              </w:rPr>
              <w:t>6</w:t>
            </w:r>
          </w:p>
        </w:tc>
        <w:tc>
          <w:tcPr>
            <w:tcW w:w="3011" w:type="dxa"/>
            <w:vAlign w:val="center"/>
          </w:tcPr>
          <w:p w14:paraId="62A47CDA">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关于联合体投标</w:t>
            </w:r>
          </w:p>
        </w:tc>
        <w:tc>
          <w:tcPr>
            <w:tcW w:w="6240" w:type="dxa"/>
            <w:vAlign w:val="center"/>
          </w:tcPr>
          <w:p w14:paraId="5B56960E">
            <w:pPr>
              <w:spacing w:line="360" w:lineRule="auto"/>
              <w:jc w:val="left"/>
              <w:rPr>
                <w:rFonts w:asciiTheme="minorEastAsia" w:hAnsiTheme="minorEastAsia" w:eastAsiaTheme="minorEastAsia"/>
                <w:bCs/>
                <w:color w:val="auto"/>
                <w:szCs w:val="24"/>
                <w:highlight w:val="none"/>
              </w:rPr>
            </w:pPr>
            <w:r>
              <w:rPr>
                <w:rFonts w:hint="eastAsia" w:asciiTheme="minorEastAsia" w:hAnsiTheme="minorEastAsia" w:eastAsiaTheme="minorEastAsia"/>
                <w:color w:val="auto"/>
                <w:szCs w:val="24"/>
                <w:highlight w:val="none"/>
              </w:rPr>
              <w:t>本项目不接受联合体投标；不允许分包、转包。</w:t>
            </w:r>
          </w:p>
        </w:tc>
      </w:tr>
      <w:tr w14:paraId="4EE459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3504C89E">
            <w:pPr>
              <w:spacing w:line="360" w:lineRule="auto"/>
              <w:jc w:val="center"/>
              <w:rPr>
                <w:rFonts w:hint="eastAsia" w:asciiTheme="minorEastAsia" w:hAnsiTheme="minorEastAsia" w:eastAsiaTheme="minorEastAsia"/>
                <w:color w:val="auto"/>
                <w:szCs w:val="24"/>
                <w:highlight w:val="none"/>
                <w:lang w:eastAsia="zh-CN"/>
              </w:rPr>
            </w:pPr>
            <w:r>
              <w:rPr>
                <w:rFonts w:asciiTheme="minorEastAsia" w:hAnsiTheme="minorEastAsia" w:eastAsiaTheme="minorEastAsia"/>
                <w:color w:val="auto"/>
                <w:szCs w:val="24"/>
                <w:highlight w:val="none"/>
              </w:rPr>
              <w:t>1</w:t>
            </w:r>
            <w:r>
              <w:rPr>
                <w:rFonts w:hint="eastAsia" w:asciiTheme="minorEastAsia" w:hAnsiTheme="minorEastAsia" w:eastAsiaTheme="minorEastAsia"/>
                <w:color w:val="auto"/>
                <w:szCs w:val="24"/>
                <w:highlight w:val="none"/>
                <w:lang w:val="en-US" w:eastAsia="zh-CN"/>
              </w:rPr>
              <w:t>7</w:t>
            </w:r>
          </w:p>
        </w:tc>
        <w:tc>
          <w:tcPr>
            <w:tcW w:w="3011" w:type="dxa"/>
            <w:vAlign w:val="center"/>
          </w:tcPr>
          <w:p w14:paraId="1391165D">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投标</w:t>
            </w:r>
            <w:r>
              <w:rPr>
                <w:rFonts w:asciiTheme="minorEastAsia" w:hAnsiTheme="minorEastAsia" w:eastAsiaTheme="minorEastAsia"/>
                <w:color w:val="auto"/>
                <w:szCs w:val="24"/>
                <w:highlight w:val="none"/>
              </w:rPr>
              <w:t>供应商必须符合法律、行政法规规定的其他条件</w:t>
            </w:r>
          </w:p>
        </w:tc>
        <w:tc>
          <w:tcPr>
            <w:tcW w:w="6240" w:type="dxa"/>
          </w:tcPr>
          <w:p w14:paraId="4013B3C5">
            <w:pPr>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highlight w:val="none"/>
              </w:rPr>
              <w:t>相关承诺要求内容</w:t>
            </w:r>
          </w:p>
        </w:tc>
      </w:tr>
    </w:tbl>
    <w:p w14:paraId="2939CC7A">
      <w:pPr>
        <w:tabs>
          <w:tab w:val="left" w:pos="1365"/>
        </w:tabs>
        <w:spacing w:line="360" w:lineRule="auto"/>
        <w:ind w:firstLine="564"/>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特别提醒：资格审查不合格的投标供应商的投标文件不进入后续评审。</w:t>
      </w:r>
    </w:p>
    <w:p w14:paraId="29661BFE">
      <w:pPr>
        <w:tabs>
          <w:tab w:val="left" w:pos="480"/>
        </w:tabs>
        <w:spacing w:line="360" w:lineRule="auto"/>
        <w:jc w:val="center"/>
        <w:rPr>
          <w:rFonts w:asciiTheme="minorEastAsia" w:hAnsiTheme="minorEastAsia" w:eastAsiaTheme="minorEastAsia"/>
          <w:b/>
          <w:color w:val="auto"/>
          <w:sz w:val="24"/>
          <w:highlight w:val="none"/>
        </w:rPr>
      </w:pPr>
      <w:bookmarkStart w:id="85" w:name="_Toc116946315"/>
      <w:r>
        <w:rPr>
          <w:rFonts w:hint="eastAsia" w:asciiTheme="minorEastAsia" w:hAnsiTheme="minorEastAsia" w:eastAsiaTheme="minorEastAsia"/>
          <w:b/>
          <w:color w:val="auto"/>
          <w:sz w:val="24"/>
          <w:highlight w:val="none"/>
        </w:rPr>
        <w:t>符合</w:t>
      </w:r>
      <w:r>
        <w:rPr>
          <w:rFonts w:asciiTheme="minorEastAsia" w:hAnsiTheme="minorEastAsia" w:eastAsiaTheme="minorEastAsia"/>
          <w:b/>
          <w:color w:val="auto"/>
          <w:sz w:val="24"/>
          <w:highlight w:val="none"/>
        </w:rPr>
        <w:t>性审查表</w:t>
      </w:r>
      <w:bookmarkEnd w:id="85"/>
      <w:r>
        <w:rPr>
          <w:rFonts w:hint="eastAsia" w:asciiTheme="minorEastAsia" w:hAnsiTheme="minorEastAsia" w:eastAsiaTheme="minorEastAsia"/>
          <w:b/>
          <w:color w:val="auto"/>
          <w:sz w:val="24"/>
          <w:highlight w:val="none"/>
        </w:rPr>
        <w:t xml:space="preserve">                           </w:t>
      </w:r>
    </w:p>
    <w:tbl>
      <w:tblPr>
        <w:tblStyle w:val="67"/>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61"/>
        <w:gridCol w:w="1707"/>
        <w:gridCol w:w="7691"/>
      </w:tblGrid>
      <w:tr w14:paraId="72EFEC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26" w:hRule="atLeast"/>
        </w:trPr>
        <w:tc>
          <w:tcPr>
            <w:tcW w:w="661" w:type="dxa"/>
            <w:vAlign w:val="center"/>
          </w:tcPr>
          <w:p w14:paraId="4D4CB78A">
            <w:pPr>
              <w:spacing w:line="360" w:lineRule="auto"/>
              <w:jc w:val="center"/>
              <w:rPr>
                <w:rFonts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序号</w:t>
            </w:r>
          </w:p>
        </w:tc>
        <w:tc>
          <w:tcPr>
            <w:tcW w:w="1707" w:type="dxa"/>
            <w:vAlign w:val="center"/>
          </w:tcPr>
          <w:p w14:paraId="132A01ED">
            <w:pPr>
              <w:spacing w:line="360" w:lineRule="auto"/>
              <w:jc w:val="center"/>
              <w:rPr>
                <w:rFonts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评审点要求概况</w:t>
            </w:r>
          </w:p>
        </w:tc>
        <w:tc>
          <w:tcPr>
            <w:tcW w:w="7691" w:type="dxa"/>
            <w:vAlign w:val="center"/>
          </w:tcPr>
          <w:p w14:paraId="4D989DF0">
            <w:pPr>
              <w:spacing w:line="360" w:lineRule="auto"/>
              <w:jc w:val="center"/>
              <w:rPr>
                <w:rFonts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评审点具体描述</w:t>
            </w:r>
          </w:p>
        </w:tc>
      </w:tr>
      <w:tr w14:paraId="03A723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26" w:hRule="atLeast"/>
        </w:trPr>
        <w:tc>
          <w:tcPr>
            <w:tcW w:w="10059" w:type="dxa"/>
            <w:gridSpan w:val="3"/>
            <w:vAlign w:val="center"/>
          </w:tcPr>
          <w:p w14:paraId="79606F9F">
            <w:pPr>
              <w:spacing w:line="360" w:lineRule="auto"/>
              <w:jc w:val="center"/>
              <w:rPr>
                <w:rFonts w:asciiTheme="minorEastAsia" w:hAnsiTheme="minorEastAsia" w:eastAsiaTheme="minorEastAsia"/>
                <w:b/>
                <w:bCs/>
                <w:color w:val="auto"/>
                <w:szCs w:val="24"/>
                <w:highlight w:val="none"/>
              </w:rPr>
            </w:pPr>
            <w:r>
              <w:rPr>
                <w:rFonts w:hint="eastAsia" w:asciiTheme="minorEastAsia" w:hAnsiTheme="minorEastAsia" w:eastAsiaTheme="minorEastAsia"/>
                <w:b/>
                <w:bCs/>
                <w:color w:val="auto"/>
                <w:szCs w:val="24"/>
                <w:highlight w:val="none"/>
              </w:rPr>
              <w:t>（一）报价要求</w:t>
            </w:r>
          </w:p>
        </w:tc>
      </w:tr>
      <w:tr w14:paraId="590328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3E1BA8A7">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1</w:t>
            </w:r>
          </w:p>
        </w:tc>
        <w:tc>
          <w:tcPr>
            <w:tcW w:w="1707" w:type="dxa"/>
            <w:vAlign w:val="center"/>
          </w:tcPr>
          <w:p w14:paraId="4621D40D">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投标</w:t>
            </w:r>
            <w:r>
              <w:rPr>
                <w:rFonts w:asciiTheme="minorEastAsia" w:hAnsiTheme="minorEastAsia" w:eastAsiaTheme="minorEastAsia"/>
                <w:color w:val="auto"/>
                <w:szCs w:val="24"/>
                <w:highlight w:val="none"/>
              </w:rPr>
              <w:t>报价</w:t>
            </w:r>
          </w:p>
        </w:tc>
        <w:tc>
          <w:tcPr>
            <w:tcW w:w="7691" w:type="dxa"/>
            <w:vAlign w:val="center"/>
          </w:tcPr>
          <w:p w14:paraId="1AD0D835">
            <w:pPr>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投标</w:t>
            </w:r>
            <w:r>
              <w:rPr>
                <w:rFonts w:asciiTheme="minorEastAsia" w:hAnsiTheme="minorEastAsia" w:eastAsiaTheme="minorEastAsia"/>
                <w:color w:val="auto"/>
                <w:szCs w:val="24"/>
                <w:highlight w:val="none"/>
              </w:rPr>
              <w:t>报价是固定唯一价，且没有超</w:t>
            </w:r>
            <w:r>
              <w:rPr>
                <w:rFonts w:hint="eastAsia" w:asciiTheme="minorEastAsia" w:hAnsiTheme="minorEastAsia" w:eastAsiaTheme="minorEastAsia"/>
                <w:color w:val="auto"/>
                <w:szCs w:val="24"/>
                <w:highlight w:val="none"/>
              </w:rPr>
              <w:t>过本项目预算金额或最高限价。</w:t>
            </w:r>
          </w:p>
        </w:tc>
      </w:tr>
      <w:tr w14:paraId="347572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6940CEC8">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2</w:t>
            </w:r>
          </w:p>
        </w:tc>
        <w:tc>
          <w:tcPr>
            <w:tcW w:w="1707" w:type="dxa"/>
            <w:vAlign w:val="center"/>
          </w:tcPr>
          <w:p w14:paraId="7649C318">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报价修正</w:t>
            </w:r>
          </w:p>
        </w:tc>
        <w:tc>
          <w:tcPr>
            <w:tcW w:w="7691" w:type="dxa"/>
            <w:vAlign w:val="center"/>
          </w:tcPr>
          <w:p w14:paraId="06CE53E7">
            <w:pPr>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如出现投标报价错误的，按照处理原则修正后的报价,投标供应商须按规定进行在线确认。</w:t>
            </w:r>
          </w:p>
        </w:tc>
      </w:tr>
      <w:tr w14:paraId="044DFA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18C3D5F0">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3</w:t>
            </w:r>
          </w:p>
        </w:tc>
        <w:tc>
          <w:tcPr>
            <w:tcW w:w="1707" w:type="dxa"/>
            <w:vAlign w:val="center"/>
          </w:tcPr>
          <w:p w14:paraId="2BF30944">
            <w:pPr>
              <w:spacing w:line="360" w:lineRule="auto"/>
              <w:jc w:val="center"/>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报价合理性</w:t>
            </w:r>
          </w:p>
        </w:tc>
        <w:tc>
          <w:tcPr>
            <w:tcW w:w="7691" w:type="dxa"/>
            <w:vAlign w:val="center"/>
          </w:tcPr>
          <w:p w14:paraId="25B74E92">
            <w:pPr>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评标委员会认定投标供应商的报价明显低于其他通过符合性审查投标供应商的报价，有可能影响产品质量或者不能诚信履约的，将要求其在评标现场合理的时间内（30分钟内）提供书面说明，必要时提交相关证明材料；投标供应商不能证明其报价合理性的，评标委员会将其作为无效投标处理；投标供应商的投标总报价或者分项报价为0元的，评标委员会应当将其作为无效投标处理。</w:t>
            </w:r>
          </w:p>
        </w:tc>
      </w:tr>
      <w:tr w14:paraId="31974E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10059" w:type="dxa"/>
            <w:gridSpan w:val="3"/>
            <w:vAlign w:val="center"/>
          </w:tcPr>
          <w:p w14:paraId="3E9D3F6F">
            <w:pPr>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b/>
                <w:bCs/>
                <w:color w:val="auto"/>
                <w:szCs w:val="24"/>
                <w:highlight w:val="none"/>
              </w:rPr>
              <w:t>特别说明：以上报价符合性审查</w:t>
            </w:r>
            <w:r>
              <w:rPr>
                <w:rFonts w:hint="eastAsia"/>
                <w:b/>
                <w:bCs/>
                <w:color w:val="auto"/>
                <w:highlight w:val="none"/>
              </w:rPr>
              <w:t>无需投标供应商另外提供资料上传，</w:t>
            </w:r>
            <w:r>
              <w:rPr>
                <w:rFonts w:hint="eastAsia" w:asciiTheme="minorEastAsia" w:hAnsiTheme="minorEastAsia" w:eastAsiaTheme="minorEastAsia"/>
                <w:b/>
                <w:bCs/>
                <w:color w:val="auto"/>
                <w:szCs w:val="24"/>
                <w:highlight w:val="none"/>
              </w:rPr>
              <w:t>由评标委员会在投标报价评审阶段进行审查</w:t>
            </w:r>
            <w:r>
              <w:rPr>
                <w:rFonts w:hint="eastAsia"/>
                <w:b/>
                <w:bCs/>
                <w:color w:val="auto"/>
                <w:highlight w:val="none"/>
              </w:rPr>
              <w:t>，以确定是否满足符合性审查的要求。</w:t>
            </w:r>
          </w:p>
        </w:tc>
      </w:tr>
      <w:tr w14:paraId="14C346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1" w:hRule="atLeast"/>
        </w:trPr>
        <w:tc>
          <w:tcPr>
            <w:tcW w:w="10059" w:type="dxa"/>
            <w:gridSpan w:val="3"/>
            <w:vAlign w:val="center"/>
          </w:tcPr>
          <w:p w14:paraId="14B23C62">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b/>
                <w:bCs/>
                <w:color w:val="auto"/>
                <w:szCs w:val="24"/>
                <w:highlight w:val="none"/>
              </w:rPr>
              <w:t>（二）商务、技术要求</w:t>
            </w:r>
          </w:p>
        </w:tc>
      </w:tr>
      <w:tr w14:paraId="23EA51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07" w:hRule="atLeast"/>
        </w:trPr>
        <w:tc>
          <w:tcPr>
            <w:tcW w:w="661" w:type="dxa"/>
            <w:vAlign w:val="center"/>
          </w:tcPr>
          <w:p w14:paraId="2283FAD0">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4</w:t>
            </w:r>
          </w:p>
        </w:tc>
        <w:tc>
          <w:tcPr>
            <w:tcW w:w="1707" w:type="dxa"/>
            <w:vAlign w:val="center"/>
          </w:tcPr>
          <w:p w14:paraId="3C39D0CF">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投标</w:t>
            </w:r>
            <w:r>
              <w:rPr>
                <w:rFonts w:asciiTheme="minorEastAsia" w:hAnsiTheme="minorEastAsia" w:eastAsiaTheme="minorEastAsia"/>
                <w:color w:val="auto"/>
                <w:szCs w:val="24"/>
                <w:highlight w:val="none"/>
              </w:rPr>
              <w:t>有效期</w:t>
            </w:r>
          </w:p>
        </w:tc>
        <w:tc>
          <w:tcPr>
            <w:tcW w:w="7691" w:type="dxa"/>
            <w:vAlign w:val="center"/>
          </w:tcPr>
          <w:p w14:paraId="110C6779">
            <w:pPr>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投标</w:t>
            </w:r>
            <w:r>
              <w:rPr>
                <w:rFonts w:asciiTheme="minorEastAsia" w:hAnsiTheme="minorEastAsia" w:eastAsiaTheme="minorEastAsia"/>
                <w:color w:val="auto"/>
                <w:szCs w:val="24"/>
                <w:highlight w:val="none"/>
              </w:rPr>
              <w:t>有效期满足</w:t>
            </w:r>
            <w:r>
              <w:rPr>
                <w:rFonts w:hint="eastAsia" w:asciiTheme="minorEastAsia" w:hAnsiTheme="minorEastAsia" w:eastAsiaTheme="minorEastAsia"/>
                <w:color w:val="auto"/>
                <w:szCs w:val="24"/>
                <w:highlight w:val="none"/>
              </w:rPr>
              <w:t>招标文件</w:t>
            </w:r>
            <w:r>
              <w:rPr>
                <w:rFonts w:asciiTheme="minorEastAsia" w:hAnsiTheme="minorEastAsia" w:eastAsiaTheme="minorEastAsia"/>
                <w:color w:val="auto"/>
                <w:szCs w:val="24"/>
                <w:highlight w:val="none"/>
              </w:rPr>
              <w:t>要求（90天）</w:t>
            </w:r>
            <w:r>
              <w:rPr>
                <w:rFonts w:hint="eastAsia" w:asciiTheme="minorEastAsia" w:hAnsiTheme="minorEastAsia" w:eastAsiaTheme="minorEastAsia"/>
                <w:color w:val="auto"/>
                <w:szCs w:val="24"/>
                <w:highlight w:val="none"/>
              </w:rPr>
              <w:t>。</w:t>
            </w:r>
          </w:p>
        </w:tc>
      </w:tr>
      <w:tr w14:paraId="39E093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6F4056C4">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5</w:t>
            </w:r>
          </w:p>
        </w:tc>
        <w:tc>
          <w:tcPr>
            <w:tcW w:w="1707" w:type="dxa"/>
            <w:vAlign w:val="center"/>
          </w:tcPr>
          <w:p w14:paraId="124D9252">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投标</w:t>
            </w:r>
            <w:r>
              <w:rPr>
                <w:rFonts w:asciiTheme="minorEastAsia" w:hAnsiTheme="minorEastAsia" w:eastAsiaTheme="minorEastAsia"/>
                <w:color w:val="auto"/>
                <w:szCs w:val="24"/>
                <w:highlight w:val="none"/>
              </w:rPr>
              <w:t>文件的签署和盖章</w:t>
            </w:r>
          </w:p>
        </w:tc>
        <w:tc>
          <w:tcPr>
            <w:tcW w:w="7691" w:type="dxa"/>
            <w:vAlign w:val="center"/>
          </w:tcPr>
          <w:p w14:paraId="44F303AB">
            <w:pPr>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投标</w:t>
            </w:r>
            <w:r>
              <w:rPr>
                <w:rFonts w:asciiTheme="minorEastAsia" w:hAnsiTheme="minorEastAsia" w:eastAsiaTheme="minorEastAsia"/>
                <w:color w:val="auto"/>
                <w:szCs w:val="24"/>
                <w:highlight w:val="none"/>
              </w:rPr>
              <w:t>文件符合</w:t>
            </w:r>
            <w:r>
              <w:rPr>
                <w:rFonts w:hint="eastAsia" w:asciiTheme="minorEastAsia" w:hAnsiTheme="minorEastAsia" w:eastAsiaTheme="minorEastAsia"/>
                <w:color w:val="auto"/>
                <w:szCs w:val="24"/>
                <w:highlight w:val="none"/>
              </w:rPr>
              <w:t>招标文件</w:t>
            </w:r>
            <w:r>
              <w:rPr>
                <w:rFonts w:asciiTheme="minorEastAsia" w:hAnsiTheme="minorEastAsia" w:eastAsiaTheme="minorEastAsia"/>
                <w:color w:val="auto"/>
                <w:szCs w:val="24"/>
                <w:highlight w:val="none"/>
              </w:rPr>
              <w:t>的签署和</w:t>
            </w:r>
            <w:r>
              <w:rPr>
                <w:rFonts w:hint="eastAsia" w:asciiTheme="minorEastAsia" w:hAnsiTheme="minorEastAsia" w:eastAsiaTheme="minorEastAsia"/>
                <w:color w:val="auto"/>
                <w:szCs w:val="24"/>
                <w:highlight w:val="none"/>
              </w:rPr>
              <w:t>签章</w:t>
            </w:r>
            <w:r>
              <w:rPr>
                <w:rFonts w:asciiTheme="minorEastAsia" w:hAnsiTheme="minorEastAsia" w:eastAsiaTheme="minorEastAsia"/>
                <w:color w:val="auto"/>
                <w:szCs w:val="24"/>
                <w:highlight w:val="none"/>
              </w:rPr>
              <w:t>要求</w:t>
            </w:r>
            <w:r>
              <w:rPr>
                <w:rFonts w:hint="eastAsia" w:asciiTheme="minorEastAsia" w:hAnsiTheme="minorEastAsia" w:eastAsiaTheme="minorEastAsia"/>
                <w:color w:val="auto"/>
                <w:szCs w:val="24"/>
                <w:highlight w:val="none"/>
              </w:rPr>
              <w:t>。</w:t>
            </w:r>
          </w:p>
        </w:tc>
      </w:tr>
      <w:tr w14:paraId="4CBB13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778A9A82">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6</w:t>
            </w:r>
          </w:p>
        </w:tc>
        <w:tc>
          <w:tcPr>
            <w:tcW w:w="1707" w:type="dxa"/>
            <w:vAlign w:val="center"/>
          </w:tcPr>
          <w:p w14:paraId="1B567633">
            <w:pPr>
              <w:spacing w:line="360" w:lineRule="auto"/>
              <w:jc w:val="center"/>
              <w:rPr>
                <w:rFonts w:asciiTheme="minorEastAsia" w:hAnsiTheme="minorEastAsia" w:eastAsiaTheme="minorEastAsia"/>
                <w:color w:val="auto"/>
                <w:szCs w:val="24"/>
                <w:highlight w:val="none"/>
              </w:rPr>
            </w:pPr>
            <w:r>
              <w:rPr>
                <w:rFonts w:hint="eastAsia"/>
                <w:color w:val="auto"/>
                <w:highlight w:val="none"/>
              </w:rPr>
              <w:t>投标文件内容</w:t>
            </w:r>
          </w:p>
        </w:tc>
        <w:tc>
          <w:tcPr>
            <w:tcW w:w="7691" w:type="dxa"/>
            <w:vAlign w:val="center"/>
          </w:tcPr>
          <w:p w14:paraId="5F013780">
            <w:pPr>
              <w:spacing w:line="360" w:lineRule="auto"/>
              <w:rPr>
                <w:rFonts w:asciiTheme="minorEastAsia" w:hAnsiTheme="minorEastAsia" w:eastAsiaTheme="minorEastAsia"/>
                <w:color w:val="auto"/>
                <w:szCs w:val="24"/>
                <w:highlight w:val="none"/>
              </w:rPr>
            </w:pPr>
            <w:r>
              <w:rPr>
                <w:rFonts w:hint="eastAsia"/>
                <w:color w:val="auto"/>
                <w:highlight w:val="none"/>
              </w:rPr>
              <w:t>投标文件内容完整，无重大错漏，并已按招标文件要求签字、签章。</w:t>
            </w:r>
          </w:p>
        </w:tc>
      </w:tr>
      <w:tr w14:paraId="52CEEA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3" w:hRule="atLeast"/>
        </w:trPr>
        <w:tc>
          <w:tcPr>
            <w:tcW w:w="661" w:type="dxa"/>
            <w:vAlign w:val="center"/>
          </w:tcPr>
          <w:p w14:paraId="3FE5F679">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7</w:t>
            </w:r>
          </w:p>
        </w:tc>
        <w:tc>
          <w:tcPr>
            <w:tcW w:w="1707" w:type="dxa"/>
            <w:vAlign w:val="center"/>
          </w:tcPr>
          <w:p w14:paraId="742D55AC">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“★”号条款</w:t>
            </w:r>
          </w:p>
        </w:tc>
        <w:tc>
          <w:tcPr>
            <w:tcW w:w="7691" w:type="dxa"/>
            <w:vAlign w:val="center"/>
          </w:tcPr>
          <w:p w14:paraId="0A3C9FE6">
            <w:pPr>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“★”号条款满足招标文件要求。</w:t>
            </w:r>
          </w:p>
        </w:tc>
      </w:tr>
      <w:tr w14:paraId="295E1C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66F9014D">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8</w:t>
            </w:r>
          </w:p>
        </w:tc>
        <w:tc>
          <w:tcPr>
            <w:tcW w:w="1707" w:type="dxa"/>
            <w:vAlign w:val="center"/>
          </w:tcPr>
          <w:p w14:paraId="79B3D6D6">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附加条件</w:t>
            </w:r>
          </w:p>
        </w:tc>
        <w:tc>
          <w:tcPr>
            <w:tcW w:w="7691" w:type="dxa"/>
            <w:vAlign w:val="center"/>
          </w:tcPr>
          <w:p w14:paraId="0345D737">
            <w:pPr>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投标文件未含有采购人不能接受的附加条件。</w:t>
            </w:r>
          </w:p>
        </w:tc>
      </w:tr>
      <w:tr w14:paraId="1F5F86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661" w:type="dxa"/>
            <w:vAlign w:val="center"/>
          </w:tcPr>
          <w:p w14:paraId="1A669B48">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9</w:t>
            </w:r>
          </w:p>
        </w:tc>
        <w:tc>
          <w:tcPr>
            <w:tcW w:w="1707" w:type="dxa"/>
            <w:vAlign w:val="center"/>
          </w:tcPr>
          <w:p w14:paraId="6D5FD5FF">
            <w:pPr>
              <w:spacing w:line="360" w:lineRule="auto"/>
              <w:jc w:val="center"/>
              <w:rPr>
                <w:rFonts w:asciiTheme="minorEastAsia" w:hAnsiTheme="minorEastAsia" w:eastAsiaTheme="minorEastAsia"/>
                <w:color w:val="auto"/>
                <w:szCs w:val="24"/>
                <w:highlight w:val="none"/>
              </w:rPr>
            </w:pPr>
            <w:r>
              <w:rPr>
                <w:color w:val="auto"/>
                <w:highlight w:val="none"/>
              </w:rPr>
              <w:t>无效情形</w:t>
            </w:r>
          </w:p>
        </w:tc>
        <w:tc>
          <w:tcPr>
            <w:tcW w:w="7691" w:type="dxa"/>
            <w:vAlign w:val="center"/>
          </w:tcPr>
          <w:p w14:paraId="10A1845C">
            <w:pPr>
              <w:spacing w:line="360" w:lineRule="auto"/>
              <w:rPr>
                <w:rFonts w:asciiTheme="minorEastAsia" w:hAnsiTheme="minorEastAsia" w:eastAsiaTheme="minorEastAsia"/>
                <w:color w:val="auto"/>
                <w:szCs w:val="24"/>
                <w:highlight w:val="none"/>
              </w:rPr>
            </w:pPr>
            <w:r>
              <w:rPr>
                <w:color w:val="auto"/>
                <w:highlight w:val="none"/>
              </w:rPr>
              <w:t>投标文件中未有</w:t>
            </w:r>
            <w:r>
              <w:rPr>
                <w:rFonts w:hint="eastAsia"/>
                <w:color w:val="auto"/>
                <w:highlight w:val="none"/>
              </w:rPr>
              <w:t>法律法规</w:t>
            </w:r>
            <w:r>
              <w:rPr>
                <w:color w:val="auto"/>
                <w:highlight w:val="none"/>
              </w:rPr>
              <w:t>和</w:t>
            </w:r>
            <w:r>
              <w:rPr>
                <w:rFonts w:hint="eastAsia"/>
                <w:color w:val="auto"/>
                <w:highlight w:val="none"/>
              </w:rPr>
              <w:t>招标文件</w:t>
            </w:r>
            <w:r>
              <w:rPr>
                <w:color w:val="auto"/>
                <w:highlight w:val="none"/>
              </w:rPr>
              <w:t>规定的其他无效情形</w:t>
            </w:r>
            <w:r>
              <w:rPr>
                <w:rFonts w:hint="eastAsia"/>
                <w:color w:val="auto"/>
                <w:highlight w:val="none"/>
              </w:rPr>
              <w:t>。</w:t>
            </w:r>
          </w:p>
        </w:tc>
      </w:tr>
      <w:tr w14:paraId="385E4E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trPr>
        <w:tc>
          <w:tcPr>
            <w:tcW w:w="661" w:type="dxa"/>
            <w:vAlign w:val="center"/>
          </w:tcPr>
          <w:p w14:paraId="2EB6D3FB">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10</w:t>
            </w:r>
          </w:p>
        </w:tc>
        <w:tc>
          <w:tcPr>
            <w:tcW w:w="1707" w:type="dxa"/>
            <w:vAlign w:val="center"/>
          </w:tcPr>
          <w:p w14:paraId="36EF1FF9">
            <w:pPr>
              <w:spacing w:line="360" w:lineRule="auto"/>
              <w:jc w:val="center"/>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投标方案</w:t>
            </w:r>
          </w:p>
        </w:tc>
        <w:tc>
          <w:tcPr>
            <w:tcW w:w="7691" w:type="dxa"/>
            <w:vAlign w:val="center"/>
          </w:tcPr>
          <w:p w14:paraId="0EAA5A7E">
            <w:pPr>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投标供应商提供的投标方案及报价方案固定。</w:t>
            </w:r>
          </w:p>
        </w:tc>
      </w:tr>
      <w:tr w14:paraId="2EB61B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trPr>
        <w:tc>
          <w:tcPr>
            <w:tcW w:w="10059" w:type="dxa"/>
            <w:gridSpan w:val="3"/>
            <w:vAlign w:val="center"/>
          </w:tcPr>
          <w:p w14:paraId="14FFA6FE">
            <w:pPr>
              <w:spacing w:line="360" w:lineRule="auto"/>
              <w:rPr>
                <w:b/>
                <w:bCs/>
                <w:color w:val="auto"/>
                <w:highlight w:val="none"/>
              </w:rPr>
            </w:pPr>
            <w:r>
              <w:rPr>
                <w:rFonts w:hint="eastAsia"/>
                <w:b/>
                <w:bCs/>
                <w:color w:val="auto"/>
                <w:highlight w:val="none"/>
              </w:rPr>
              <w:t>特别说明：以上符合性审查无需投标供应商另外提供资料上传，由评标委员会依据上述符合性审查的相应要求，对投标文件的有效性、完整性和具体响应情况进行整体性审查，以确定是否满足符合性审查的要求。</w:t>
            </w:r>
          </w:p>
        </w:tc>
      </w:tr>
    </w:tbl>
    <w:p w14:paraId="1B3DF421">
      <w:pPr>
        <w:tabs>
          <w:tab w:val="left" w:pos="1365"/>
        </w:tabs>
        <w:spacing w:line="360" w:lineRule="auto"/>
        <w:ind w:firstLine="566"/>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特别提醒：符合性审查不合格的投标供应商的投标文件不进入后续评审。</w:t>
      </w:r>
    </w:p>
    <w:p w14:paraId="32CB5AD9">
      <w:pPr>
        <w:tabs>
          <w:tab w:val="left" w:pos="1365"/>
        </w:tabs>
        <w:spacing w:line="360" w:lineRule="auto"/>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w:t>
      </w:r>
      <w:r>
        <w:rPr>
          <w:rFonts w:hint="eastAsia" w:asciiTheme="minorEastAsia" w:hAnsiTheme="minorEastAsia" w:eastAsiaTheme="minorEastAsia"/>
          <w:bCs/>
          <w:color w:val="auto"/>
          <w:sz w:val="24"/>
          <w:highlight w:val="none"/>
        </w:rPr>
        <w:t>.</w:t>
      </w:r>
      <w:r>
        <w:rPr>
          <w:rFonts w:asciiTheme="minorEastAsia" w:hAnsiTheme="minorEastAsia" w:eastAsiaTheme="minorEastAsia"/>
          <w:bCs/>
          <w:color w:val="auto"/>
          <w:sz w:val="24"/>
          <w:highlight w:val="none"/>
        </w:rPr>
        <w:t>2</w:t>
      </w:r>
      <w:r>
        <w:rPr>
          <w:rFonts w:hint="eastAsia" w:asciiTheme="minorEastAsia" w:hAnsiTheme="minorEastAsia" w:eastAsiaTheme="minorEastAsia"/>
          <w:bCs/>
          <w:color w:val="auto"/>
          <w:sz w:val="24"/>
          <w:highlight w:val="none"/>
        </w:rPr>
        <w:t>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p>
    <w:p w14:paraId="3E690DE6">
      <w:pPr>
        <w:tabs>
          <w:tab w:val="left" w:pos="1365"/>
        </w:tabs>
        <w:spacing w:line="360" w:lineRule="auto"/>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w:t>
      </w:r>
      <w:r>
        <w:rPr>
          <w:rFonts w:hint="eastAsia" w:asciiTheme="minorEastAsia" w:hAnsiTheme="minorEastAsia" w:eastAsiaTheme="minorEastAsia"/>
          <w:bCs/>
          <w:color w:val="auto"/>
          <w:sz w:val="24"/>
          <w:highlight w:val="none"/>
        </w:rPr>
        <w:t>.4招标文件提供的工艺、材料、设备、参考的商标或样本目录号码等仅作为说明并没有限制性，投标供应商在投标中可以选用替代标准，但这些替代标准要优于或相当于技术规格中要求的标准，以满足采购人的需要。</w:t>
      </w:r>
    </w:p>
    <w:p w14:paraId="5F470CF1">
      <w:pPr>
        <w:tabs>
          <w:tab w:val="left" w:pos="1365"/>
        </w:tabs>
        <w:spacing w:line="360" w:lineRule="auto"/>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w:t>
      </w:r>
      <w:r>
        <w:rPr>
          <w:rFonts w:hint="eastAsia" w:asciiTheme="minorEastAsia" w:hAnsiTheme="minorEastAsia" w:eastAsiaTheme="minorEastAsia"/>
          <w:bCs/>
          <w:color w:val="auto"/>
          <w:sz w:val="24"/>
          <w:highlight w:val="none"/>
        </w:rPr>
        <w:t>.5对于投标文件中含义不明确、同类问题表述不一致或者有明显文字和计算错误的内容，评标委员会应当以书面形式要求投标供应商做出必要的澄清、说明或者补正。</w:t>
      </w:r>
    </w:p>
    <w:p w14:paraId="43C851F7">
      <w:pPr>
        <w:tabs>
          <w:tab w:val="left" w:pos="1365"/>
        </w:tabs>
        <w:spacing w:line="360" w:lineRule="auto"/>
        <w:ind w:firstLine="564"/>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投标供应商的澄清、说明或者补正应当采用书面形式，并加盖公章，或者由法定代表人或其授权的代表签字。投标供应商的澄清、说明或者补正不得超出投标文件的范围或者改变投标文件的实质性内容。</w:t>
      </w:r>
    </w:p>
    <w:p w14:paraId="76FD5774">
      <w:pPr>
        <w:tabs>
          <w:tab w:val="left" w:pos="1365"/>
        </w:tabs>
        <w:spacing w:line="360" w:lineRule="auto"/>
        <w:ind w:firstLine="564"/>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3</w:t>
      </w:r>
      <w:r>
        <w:rPr>
          <w:rFonts w:asciiTheme="minorEastAsia" w:hAnsiTheme="minorEastAsia" w:eastAsiaTheme="minorEastAsia"/>
          <w:bCs/>
          <w:color w:val="auto"/>
          <w:sz w:val="24"/>
          <w:highlight w:val="none"/>
        </w:rPr>
        <w:t>.2.6</w:t>
      </w:r>
      <w:r>
        <w:rPr>
          <w:rFonts w:hint="eastAsia" w:asciiTheme="minorEastAsia" w:hAnsiTheme="minorEastAsia" w:eastAsiaTheme="minorEastAsia"/>
          <w:bCs/>
          <w:color w:val="auto"/>
          <w:sz w:val="24"/>
          <w:highlight w:val="none"/>
        </w:rPr>
        <w:t>评标委员会认定投标供应商的投标报价明显低于其他通过符合性审查投标供应商的报价，有可能影响产品质量或者不能诚信履约，投标供应商必须在30分钟内提供书面说明，必要时提交相关证明材料以证明其报价合理性。投标供应商不能证明其报价合理性的，评标委员会应当将其作为无效投标处理。</w:t>
      </w:r>
    </w:p>
    <w:p w14:paraId="7010FE77">
      <w:pPr>
        <w:tabs>
          <w:tab w:val="left" w:pos="1365"/>
        </w:tabs>
        <w:spacing w:line="360" w:lineRule="auto"/>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w:t>
      </w:r>
      <w:r>
        <w:rPr>
          <w:rFonts w:hint="eastAsia" w:asciiTheme="minorEastAsia" w:hAnsiTheme="minorEastAsia" w:eastAsiaTheme="minorEastAsia"/>
          <w:bCs/>
          <w:color w:val="auto"/>
          <w:sz w:val="24"/>
          <w:highlight w:val="none"/>
        </w:rPr>
        <w:t>.</w:t>
      </w:r>
      <w:r>
        <w:rPr>
          <w:rFonts w:asciiTheme="minorEastAsia" w:hAnsiTheme="minorEastAsia" w:eastAsiaTheme="minorEastAsia"/>
          <w:bCs/>
          <w:color w:val="auto"/>
          <w:sz w:val="24"/>
          <w:highlight w:val="none"/>
        </w:rPr>
        <w:t>7</w:t>
      </w:r>
      <w:r>
        <w:rPr>
          <w:rFonts w:hint="eastAsia" w:asciiTheme="minorEastAsia" w:hAnsiTheme="minorEastAsia" w:eastAsiaTheme="minorEastAsia"/>
          <w:bCs/>
          <w:color w:val="auto"/>
          <w:sz w:val="24"/>
          <w:highlight w:val="none"/>
        </w:rPr>
        <w:t>除上述情形外，对投标文件的判定，只依据投标文件本身，不依靠开标后的任何外来证明。</w:t>
      </w:r>
    </w:p>
    <w:p w14:paraId="56FF08D9">
      <w:pPr>
        <w:tabs>
          <w:tab w:val="left" w:pos="1365"/>
        </w:tabs>
        <w:spacing w:line="360" w:lineRule="auto"/>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3.2.8</w:t>
      </w:r>
      <w:r>
        <w:rPr>
          <w:rFonts w:hint="eastAsia" w:asciiTheme="minorEastAsia" w:hAnsiTheme="minorEastAsia" w:eastAsiaTheme="minorEastAsia"/>
          <w:bCs/>
          <w:color w:val="auto"/>
          <w:sz w:val="24"/>
          <w:highlight w:val="none"/>
        </w:rPr>
        <w:t>采购人及采购代理机构将拒绝被确定为非实质性响应的投标，投标供应商不能通过修正或撤销不符之处而使其投标成为实质性响应的投标。</w:t>
      </w:r>
    </w:p>
    <w:p w14:paraId="11036326">
      <w:pPr>
        <w:tabs>
          <w:tab w:val="left" w:pos="1365"/>
        </w:tabs>
        <w:spacing w:line="360" w:lineRule="auto"/>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3.2.9</w:t>
      </w:r>
      <w:r>
        <w:rPr>
          <w:rFonts w:hint="eastAsia" w:asciiTheme="minorEastAsia" w:hAnsiTheme="minorEastAsia" w:eastAsiaTheme="minorEastAsia"/>
          <w:bCs/>
          <w:color w:val="auto"/>
          <w:sz w:val="24"/>
          <w:highlight w:val="none"/>
        </w:rPr>
        <w:t>对不同文字文本投标文件的解释发生异议的，以中文文本为准；</w:t>
      </w:r>
    </w:p>
    <w:p w14:paraId="49FF5503">
      <w:pPr>
        <w:tabs>
          <w:tab w:val="left" w:pos="1288"/>
          <w:tab w:val="left" w:pos="1365"/>
        </w:tabs>
        <w:spacing w:line="360" w:lineRule="auto"/>
        <w:ind w:firstLine="566"/>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3.3</w:t>
      </w:r>
      <w:r>
        <w:rPr>
          <w:rFonts w:hint="eastAsia" w:asciiTheme="minorEastAsia" w:hAnsiTheme="minorEastAsia" w:eastAsiaTheme="minorEastAsia"/>
          <w:b/>
          <w:color w:val="auto"/>
          <w:sz w:val="24"/>
          <w:highlight w:val="none"/>
        </w:rPr>
        <w:t>评委会组织负责具体的评标事务，并独立履行以下职责：</w:t>
      </w:r>
    </w:p>
    <w:p w14:paraId="636D345F">
      <w:pPr>
        <w:tabs>
          <w:tab w:val="left" w:pos="1288"/>
          <w:tab w:val="left" w:pos="1365"/>
        </w:tabs>
        <w:spacing w:line="360" w:lineRule="auto"/>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3.3.1</w:t>
      </w:r>
      <w:r>
        <w:rPr>
          <w:rFonts w:hint="eastAsia" w:asciiTheme="minorEastAsia" w:hAnsiTheme="minorEastAsia" w:eastAsiaTheme="minorEastAsia"/>
          <w:bCs/>
          <w:color w:val="auto"/>
          <w:sz w:val="24"/>
          <w:highlight w:val="none"/>
        </w:rPr>
        <w:t>审查、评价投标文件是否符合招标文件的商务、技术等实质性要求；</w:t>
      </w:r>
    </w:p>
    <w:p w14:paraId="6F7F0A02">
      <w:pPr>
        <w:tabs>
          <w:tab w:val="left" w:pos="1288"/>
          <w:tab w:val="left" w:pos="1365"/>
        </w:tabs>
        <w:spacing w:line="360" w:lineRule="auto"/>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3.3.</w:t>
      </w:r>
      <w:r>
        <w:rPr>
          <w:rFonts w:hint="eastAsia" w:asciiTheme="minorEastAsia" w:hAnsiTheme="minorEastAsia" w:eastAsiaTheme="minorEastAsia"/>
          <w:bCs/>
          <w:color w:val="auto"/>
          <w:sz w:val="24"/>
          <w:highlight w:val="none"/>
        </w:rPr>
        <w:t>2要求投标供应商对投标文件有关事项作出澄清或者说明；</w:t>
      </w:r>
    </w:p>
    <w:p w14:paraId="77AFE556">
      <w:pPr>
        <w:tabs>
          <w:tab w:val="left" w:pos="1288"/>
          <w:tab w:val="left" w:pos="1365"/>
        </w:tabs>
        <w:spacing w:line="360" w:lineRule="auto"/>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3.3</w:t>
      </w:r>
      <w:r>
        <w:rPr>
          <w:rFonts w:hint="eastAsia" w:asciiTheme="minorEastAsia" w:hAnsiTheme="minorEastAsia" w:eastAsiaTheme="minorEastAsia"/>
          <w:bCs/>
          <w:color w:val="auto"/>
          <w:sz w:val="24"/>
          <w:highlight w:val="none"/>
        </w:rPr>
        <w:t>.3对投标文件进行比较和评价；</w:t>
      </w:r>
    </w:p>
    <w:p w14:paraId="31FE02C3">
      <w:pPr>
        <w:tabs>
          <w:tab w:val="left" w:pos="1288"/>
          <w:tab w:val="left" w:pos="1365"/>
        </w:tabs>
        <w:spacing w:line="360" w:lineRule="auto"/>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3.3</w:t>
      </w:r>
      <w:r>
        <w:rPr>
          <w:rFonts w:hint="eastAsia" w:asciiTheme="minorEastAsia" w:hAnsiTheme="minorEastAsia" w:eastAsiaTheme="minorEastAsia"/>
          <w:bCs/>
          <w:color w:val="auto"/>
          <w:sz w:val="24"/>
          <w:highlight w:val="none"/>
        </w:rPr>
        <w:t>.4根据招标文件评分办法，向采购人推荐</w:t>
      </w:r>
      <w:r>
        <w:rPr>
          <w:rFonts w:asciiTheme="minorEastAsia" w:hAnsiTheme="minorEastAsia" w:eastAsiaTheme="minorEastAsia"/>
          <w:bCs/>
          <w:color w:val="auto"/>
          <w:sz w:val="24"/>
          <w:highlight w:val="none"/>
        </w:rPr>
        <w:t>3</w:t>
      </w:r>
      <w:r>
        <w:rPr>
          <w:rFonts w:hint="eastAsia" w:asciiTheme="minorEastAsia" w:hAnsiTheme="minorEastAsia" w:eastAsiaTheme="minorEastAsia"/>
          <w:bCs/>
          <w:color w:val="auto"/>
          <w:sz w:val="24"/>
          <w:highlight w:val="none"/>
        </w:rPr>
        <w:t>名中标候选供应商；</w:t>
      </w:r>
    </w:p>
    <w:p w14:paraId="78BCC9AE">
      <w:pPr>
        <w:tabs>
          <w:tab w:val="left" w:pos="1288"/>
          <w:tab w:val="left" w:pos="1365"/>
        </w:tabs>
        <w:spacing w:line="360" w:lineRule="auto"/>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3.3</w:t>
      </w:r>
      <w:r>
        <w:rPr>
          <w:rFonts w:hint="eastAsia" w:asciiTheme="minorEastAsia" w:hAnsiTheme="minorEastAsia" w:eastAsiaTheme="minorEastAsia"/>
          <w:bCs/>
          <w:color w:val="auto"/>
          <w:sz w:val="24"/>
          <w:highlight w:val="none"/>
        </w:rPr>
        <w:t>.5向采购人、采购代理机构或者有关部门报告评标中发现的违法行为；</w:t>
      </w:r>
    </w:p>
    <w:p w14:paraId="7D92060D">
      <w:pPr>
        <w:tabs>
          <w:tab w:val="left" w:pos="1288"/>
          <w:tab w:val="left" w:pos="1365"/>
        </w:tabs>
        <w:spacing w:line="360" w:lineRule="auto"/>
        <w:ind w:firstLine="566"/>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3.4</w:t>
      </w:r>
      <w:r>
        <w:rPr>
          <w:rFonts w:hint="eastAsia" w:asciiTheme="minorEastAsia" w:hAnsiTheme="minorEastAsia" w:eastAsiaTheme="minorEastAsia"/>
          <w:b/>
          <w:color w:val="auto"/>
          <w:sz w:val="24"/>
          <w:highlight w:val="none"/>
        </w:rPr>
        <w:t>评委会成员应当履行下列义务：</w:t>
      </w:r>
    </w:p>
    <w:p w14:paraId="65FF2C03">
      <w:pPr>
        <w:tabs>
          <w:tab w:val="left" w:pos="1288"/>
          <w:tab w:val="left" w:pos="1365"/>
        </w:tabs>
        <w:spacing w:line="360" w:lineRule="auto"/>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.1遵纪守法，客观、公正、廉洁地履行职责；</w:t>
      </w:r>
    </w:p>
    <w:p w14:paraId="094862B5">
      <w:pPr>
        <w:tabs>
          <w:tab w:val="left" w:pos="1288"/>
          <w:tab w:val="left" w:pos="1365"/>
        </w:tabs>
        <w:spacing w:line="360" w:lineRule="auto"/>
        <w:ind w:right="-368"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.2按照招标文件规定的评标办法和评标标准进行评标，对评审意见承担个人责任；</w:t>
      </w:r>
    </w:p>
    <w:p w14:paraId="38FF77A5">
      <w:pPr>
        <w:tabs>
          <w:tab w:val="left" w:pos="1288"/>
          <w:tab w:val="left" w:pos="1365"/>
        </w:tabs>
        <w:spacing w:line="360" w:lineRule="auto"/>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.3对评标过程和结果，以及投标供应商的商业秘密保密；</w:t>
      </w:r>
    </w:p>
    <w:p w14:paraId="3B9DD021">
      <w:pPr>
        <w:tabs>
          <w:tab w:val="left" w:pos="1288"/>
          <w:tab w:val="left" w:pos="1365"/>
        </w:tabs>
        <w:spacing w:line="360" w:lineRule="auto"/>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.4参与评标报告的起草；</w:t>
      </w:r>
    </w:p>
    <w:p w14:paraId="30465E00">
      <w:pPr>
        <w:tabs>
          <w:tab w:val="left" w:pos="1288"/>
          <w:tab w:val="left" w:pos="1365"/>
        </w:tabs>
        <w:spacing w:line="360" w:lineRule="auto"/>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.5配合采购人及采购代理机构答复投标供应商提出的质疑；</w:t>
      </w:r>
    </w:p>
    <w:p w14:paraId="169101F1">
      <w:pPr>
        <w:tabs>
          <w:tab w:val="left" w:pos="1288"/>
          <w:tab w:val="left" w:pos="1365"/>
        </w:tabs>
        <w:spacing w:line="360" w:lineRule="auto"/>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.6配合有关部门的投诉处理工作。</w:t>
      </w:r>
    </w:p>
    <w:p w14:paraId="54042928">
      <w:pPr>
        <w:tabs>
          <w:tab w:val="left" w:pos="1288"/>
          <w:tab w:val="left" w:pos="1365"/>
        </w:tabs>
        <w:spacing w:line="360" w:lineRule="auto"/>
        <w:ind w:firstLine="566"/>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3.5</w:t>
      </w:r>
      <w:r>
        <w:rPr>
          <w:rFonts w:hint="eastAsia" w:asciiTheme="minorEastAsia" w:hAnsiTheme="minorEastAsia" w:eastAsiaTheme="minorEastAsia"/>
          <w:b/>
          <w:color w:val="auto"/>
          <w:sz w:val="24"/>
          <w:highlight w:val="none"/>
        </w:rPr>
        <w:t>评标内容的保密</w:t>
      </w:r>
    </w:p>
    <w:p w14:paraId="3EABBC9F">
      <w:pPr>
        <w:tabs>
          <w:tab w:val="left" w:pos="1288"/>
          <w:tab w:val="left" w:pos="1365"/>
        </w:tabs>
        <w:spacing w:line="360" w:lineRule="auto"/>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3.5</w:t>
      </w:r>
      <w:r>
        <w:rPr>
          <w:rFonts w:hint="eastAsia" w:asciiTheme="minorEastAsia" w:hAnsiTheme="minorEastAsia" w:eastAsiaTheme="minorEastAsia"/>
          <w:bCs/>
          <w:color w:val="auto"/>
          <w:sz w:val="24"/>
          <w:highlight w:val="none"/>
        </w:rPr>
        <w:t>.1公开开标后，直到宣布授予中标供应商合同为止，凡属于审查、澄清、评价和比较投标的所有资料，有关授予合同的信息都不应向投标供应商或与评标无关的其他人泄露。</w:t>
      </w:r>
    </w:p>
    <w:p w14:paraId="5D6FF87A">
      <w:pPr>
        <w:tabs>
          <w:tab w:val="left" w:pos="1288"/>
          <w:tab w:val="left" w:pos="1365"/>
        </w:tabs>
        <w:spacing w:line="360" w:lineRule="auto"/>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3.5</w:t>
      </w:r>
      <w:r>
        <w:rPr>
          <w:rFonts w:hint="eastAsia" w:asciiTheme="minorEastAsia" w:hAnsiTheme="minorEastAsia" w:eastAsiaTheme="minorEastAsia"/>
          <w:bCs/>
          <w:color w:val="auto"/>
          <w:sz w:val="24"/>
          <w:highlight w:val="none"/>
        </w:rPr>
        <w:t>.2在投标文件的审查、澄清、评价和比较以及授予合同的过程中，投标供应商对采购代理机构和评标委员会成员施加影响的任何行为，都将取消其中标资格。</w:t>
      </w:r>
    </w:p>
    <w:p w14:paraId="2B9C3C8F">
      <w:pPr>
        <w:tabs>
          <w:tab w:val="left" w:pos="1288"/>
          <w:tab w:val="left" w:pos="1365"/>
        </w:tabs>
        <w:spacing w:line="360" w:lineRule="auto"/>
        <w:ind w:firstLine="566"/>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3.6比较与评价</w:t>
      </w:r>
    </w:p>
    <w:p w14:paraId="23CC046E">
      <w:pPr>
        <w:tabs>
          <w:tab w:val="left" w:pos="1288"/>
          <w:tab w:val="left" w:pos="1365"/>
        </w:tabs>
        <w:spacing w:line="360" w:lineRule="auto"/>
        <w:ind w:firstLine="564"/>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3</w:t>
      </w:r>
      <w:r>
        <w:rPr>
          <w:rFonts w:asciiTheme="minorEastAsia" w:hAnsiTheme="minorEastAsia" w:eastAsiaTheme="minorEastAsia"/>
          <w:bCs/>
          <w:color w:val="auto"/>
          <w:sz w:val="24"/>
          <w:highlight w:val="none"/>
        </w:rPr>
        <w:t>.6.1</w:t>
      </w:r>
      <w:bookmarkStart w:id="86" w:name="_Hlk71664018"/>
      <w:r>
        <w:rPr>
          <w:rFonts w:hint="eastAsia" w:asciiTheme="minorEastAsia" w:hAnsiTheme="minorEastAsia" w:eastAsiaTheme="minorEastAsia"/>
          <w:bCs/>
          <w:color w:val="auto"/>
          <w:sz w:val="24"/>
          <w:highlight w:val="none"/>
        </w:rPr>
        <w:t>投标文件资格性检查和符合性检查结束后</w:t>
      </w:r>
      <w:bookmarkEnd w:id="86"/>
      <w:r>
        <w:rPr>
          <w:rFonts w:hint="eastAsia" w:asciiTheme="minorEastAsia" w:hAnsiTheme="minorEastAsia" w:eastAsiaTheme="minorEastAsia"/>
          <w:bCs/>
          <w:color w:val="auto"/>
          <w:sz w:val="24"/>
          <w:highlight w:val="none"/>
        </w:rPr>
        <w:t>，凡属于“</w:t>
      </w:r>
      <w:r>
        <w:rPr>
          <w:rFonts w:hint="eastAsia" w:asciiTheme="minorEastAsia" w:hAnsiTheme="minorEastAsia" w:eastAsiaTheme="minorEastAsia"/>
          <w:b/>
          <w:color w:val="auto"/>
          <w:sz w:val="24"/>
          <w:highlight w:val="none"/>
        </w:rPr>
        <w:t>（九）无效投标文件的确认</w:t>
      </w:r>
      <w:r>
        <w:rPr>
          <w:rFonts w:hint="eastAsia" w:asciiTheme="minorEastAsia" w:hAnsiTheme="minorEastAsia" w:eastAsiaTheme="minorEastAsia"/>
          <w:bCs/>
          <w:color w:val="auto"/>
          <w:sz w:val="24"/>
          <w:highlight w:val="none"/>
        </w:rPr>
        <w:t>”的投标文件不进入比较与评价程序。</w:t>
      </w:r>
    </w:p>
    <w:p w14:paraId="64D2B891">
      <w:pPr>
        <w:tabs>
          <w:tab w:val="left" w:pos="1288"/>
          <w:tab w:val="left" w:pos="1365"/>
        </w:tabs>
        <w:spacing w:line="360" w:lineRule="auto"/>
        <w:ind w:firstLine="564"/>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3</w:t>
      </w:r>
      <w:r>
        <w:rPr>
          <w:rFonts w:asciiTheme="minorEastAsia" w:hAnsiTheme="minorEastAsia" w:eastAsiaTheme="minorEastAsia"/>
          <w:bCs/>
          <w:color w:val="auto"/>
          <w:sz w:val="24"/>
          <w:highlight w:val="none"/>
        </w:rPr>
        <w:t>.6.2</w:t>
      </w:r>
      <w:r>
        <w:rPr>
          <w:rFonts w:hint="eastAsia" w:asciiTheme="minorEastAsia" w:hAnsiTheme="minorEastAsia" w:eastAsiaTheme="minorEastAsia"/>
          <w:bCs/>
          <w:color w:val="auto"/>
          <w:sz w:val="24"/>
          <w:highlight w:val="none"/>
        </w:rPr>
        <w:t>经评审有效的投标文件按招标文件中规定的评标方法和标准，由评标委员会进行比较与评价。</w:t>
      </w:r>
    </w:p>
    <w:p w14:paraId="02FF6CE5">
      <w:pPr>
        <w:tabs>
          <w:tab w:val="left" w:pos="1288"/>
          <w:tab w:val="left" w:pos="1365"/>
        </w:tabs>
        <w:spacing w:line="360" w:lineRule="auto"/>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3.6</w:t>
      </w:r>
      <w:r>
        <w:rPr>
          <w:rFonts w:hint="eastAsia" w:asciiTheme="minorEastAsia" w:hAnsiTheme="minorEastAsia" w:eastAsiaTheme="minorEastAsia"/>
          <w:bCs/>
          <w:color w:val="auto"/>
          <w:sz w:val="24"/>
          <w:highlight w:val="none"/>
        </w:rPr>
        <w:t>.3评审全部结束后，由工作人员在公证或监督下（如有），汇总各投标供应商商务标和技术标得分，确定各投标供应商总分和最终排序。</w:t>
      </w:r>
    </w:p>
    <w:p w14:paraId="1C0134FB">
      <w:pPr>
        <w:tabs>
          <w:tab w:val="left" w:pos="1288"/>
          <w:tab w:val="left" w:pos="1365"/>
        </w:tabs>
        <w:spacing w:line="360" w:lineRule="auto"/>
        <w:ind w:firstLine="602"/>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4</w:t>
      </w:r>
      <w:r>
        <w:rPr>
          <w:rFonts w:hint="eastAsia" w:asciiTheme="minorEastAsia" w:hAnsiTheme="minorEastAsia" w:eastAsiaTheme="minorEastAsia"/>
          <w:b/>
          <w:color w:val="auto"/>
          <w:sz w:val="24"/>
          <w:highlight w:val="none"/>
        </w:rPr>
        <w:t>.评标方法</w:t>
      </w:r>
    </w:p>
    <w:p w14:paraId="755A45F8">
      <w:pPr>
        <w:tabs>
          <w:tab w:val="left" w:pos="1288"/>
          <w:tab w:val="left" w:pos="1365"/>
        </w:tabs>
        <w:spacing w:line="360" w:lineRule="auto"/>
        <w:ind w:firstLine="6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4</w:t>
      </w:r>
      <w:r>
        <w:rPr>
          <w:rFonts w:asciiTheme="minorEastAsia" w:hAnsiTheme="minorEastAsia" w:eastAsiaTheme="minorEastAsia"/>
          <w:bCs/>
          <w:color w:val="auto"/>
          <w:sz w:val="24"/>
          <w:highlight w:val="none"/>
        </w:rPr>
        <w:t>.1</w:t>
      </w:r>
      <w:r>
        <w:rPr>
          <w:rFonts w:hint="eastAsia" w:asciiTheme="minorEastAsia" w:hAnsiTheme="minorEastAsia" w:eastAsiaTheme="minorEastAsia"/>
          <w:bCs/>
          <w:color w:val="auto"/>
          <w:sz w:val="24"/>
          <w:highlight w:val="none"/>
        </w:rPr>
        <w:t>投标供应商通过资格性检查和符合性检查的，方可进入比较与评价程序。</w:t>
      </w:r>
    </w:p>
    <w:p w14:paraId="233B2232">
      <w:pPr>
        <w:tabs>
          <w:tab w:val="left" w:pos="1288"/>
          <w:tab w:val="left" w:pos="1365"/>
        </w:tabs>
        <w:spacing w:line="360" w:lineRule="auto"/>
        <w:ind w:firstLine="6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4</w:t>
      </w:r>
      <w:r>
        <w:rPr>
          <w:rFonts w:asciiTheme="minorEastAsia" w:hAnsiTheme="minorEastAsia" w:eastAsiaTheme="minorEastAsia"/>
          <w:bCs/>
          <w:color w:val="auto"/>
          <w:sz w:val="24"/>
          <w:highlight w:val="none"/>
        </w:rPr>
        <w:t>.2</w:t>
      </w:r>
      <w:r>
        <w:rPr>
          <w:rFonts w:hint="eastAsia" w:asciiTheme="minorEastAsia" w:hAnsiTheme="minorEastAsia" w:eastAsiaTheme="minorEastAsia"/>
          <w:bCs/>
          <w:color w:val="auto"/>
          <w:sz w:val="24"/>
          <w:highlight w:val="none"/>
        </w:rPr>
        <w:t>比较与评价采用综合评分法（计分均保留2位小数）。</w:t>
      </w:r>
    </w:p>
    <w:p w14:paraId="2E9BAF9B">
      <w:pPr>
        <w:tabs>
          <w:tab w:val="left" w:pos="1288"/>
          <w:tab w:val="left" w:pos="1365"/>
        </w:tabs>
        <w:spacing w:line="360" w:lineRule="auto"/>
        <w:ind w:firstLine="6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p>
    <w:p w14:paraId="25ACA62D">
      <w:pPr>
        <w:tabs>
          <w:tab w:val="left" w:pos="1288"/>
          <w:tab w:val="left" w:pos="1365"/>
        </w:tabs>
        <w:spacing w:line="360" w:lineRule="auto"/>
        <w:ind w:firstLine="6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在最大限度满足招标文件实质性要求的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p>
    <w:p w14:paraId="6B6FD028">
      <w:pPr>
        <w:tabs>
          <w:tab w:val="left" w:pos="1288"/>
          <w:tab w:val="left" w:pos="1365"/>
        </w:tabs>
        <w:spacing w:line="360" w:lineRule="auto"/>
        <w:ind w:firstLine="6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如投标供应商提供虚假材料，将按“《中华人民共和国政府采购法》”等相关规定处理并由政府监管部门给予严肃处理。</w:t>
      </w:r>
    </w:p>
    <w:bookmarkEnd w:id="10"/>
    <w:bookmarkEnd w:id="11"/>
    <w:p w14:paraId="3B917722">
      <w:pPr>
        <w:tabs>
          <w:tab w:val="left" w:pos="945"/>
        </w:tabs>
        <w:spacing w:line="360" w:lineRule="auto"/>
        <w:ind w:firstLine="482"/>
        <w:outlineLvl w:val="1"/>
        <w:rPr>
          <w:rFonts w:ascii="宋体" w:hAnsi="宋体"/>
          <w:b/>
          <w:color w:val="auto"/>
          <w:sz w:val="24"/>
          <w:szCs w:val="24"/>
          <w:highlight w:val="none"/>
        </w:rPr>
      </w:pPr>
      <w:bookmarkStart w:id="87" w:name="_Toc116946316"/>
      <w:bookmarkStart w:id="88" w:name="_Toc98277359"/>
      <w:r>
        <w:rPr>
          <w:rFonts w:ascii="宋体" w:hAnsi="宋体"/>
          <w:b/>
          <w:color w:val="auto"/>
          <w:sz w:val="24"/>
          <w:szCs w:val="24"/>
          <w:highlight w:val="none"/>
        </w:rPr>
        <w:t>5</w:t>
      </w:r>
      <w:r>
        <w:rPr>
          <w:rFonts w:hint="eastAsia" w:ascii="宋体" w:hAnsi="宋体"/>
          <w:b/>
          <w:color w:val="auto"/>
          <w:sz w:val="24"/>
          <w:szCs w:val="24"/>
          <w:highlight w:val="none"/>
        </w:rPr>
        <w:t>.评分标准</w:t>
      </w:r>
      <w:bookmarkEnd w:id="87"/>
      <w:bookmarkEnd w:id="88"/>
    </w:p>
    <w:p w14:paraId="56941CB5">
      <w:pPr>
        <w:spacing w:line="360" w:lineRule="auto"/>
        <w:ind w:firstLine="480"/>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5</w:t>
      </w:r>
      <w:r>
        <w:rPr>
          <w:rFonts w:hint="eastAsia" w:asciiTheme="minorEastAsia" w:hAnsiTheme="minorEastAsia" w:eastAsiaTheme="minorEastAsia"/>
          <w:color w:val="auto"/>
          <w:sz w:val="24"/>
          <w:szCs w:val="24"/>
          <w:highlight w:val="none"/>
        </w:rPr>
        <w:t>.1综合评分法满分为100分，计分均保留2位小数。</w:t>
      </w:r>
    </w:p>
    <w:p w14:paraId="0B1E1EEE">
      <w:pPr>
        <w:spacing w:line="360" w:lineRule="auto"/>
        <w:ind w:firstLine="482"/>
        <w:rPr>
          <w:rFonts w:asciiTheme="minorEastAsia" w:hAnsiTheme="minorEastAsia" w:eastAsiaTheme="minorEastAsia"/>
          <w:b/>
          <w:bCs/>
          <w:color w:val="auto"/>
          <w:sz w:val="24"/>
          <w:szCs w:val="24"/>
          <w:highlight w:val="none"/>
        </w:rPr>
      </w:pPr>
      <w:bookmarkStart w:id="89" w:name="_Hlk47984059"/>
      <w:r>
        <w:rPr>
          <w:rFonts w:asciiTheme="minorEastAsia" w:hAnsiTheme="minorEastAsia" w:eastAsiaTheme="minorEastAsia"/>
          <w:b/>
          <w:bCs/>
          <w:color w:val="auto"/>
          <w:sz w:val="24"/>
          <w:szCs w:val="24"/>
          <w:highlight w:val="none"/>
        </w:rPr>
        <w:t>5</w:t>
      </w:r>
      <w:r>
        <w:rPr>
          <w:rFonts w:hint="eastAsia" w:asciiTheme="minorEastAsia" w:hAnsiTheme="minorEastAsia" w:eastAsiaTheme="minorEastAsia"/>
          <w:b/>
          <w:bCs/>
          <w:color w:val="auto"/>
          <w:sz w:val="24"/>
          <w:szCs w:val="24"/>
          <w:highlight w:val="none"/>
        </w:rPr>
        <w:t>.2评分项目及分值</w:t>
      </w:r>
      <w:bookmarkEnd w:id="89"/>
    </w:p>
    <w:p w14:paraId="1D953567">
      <w:pPr>
        <w:spacing w:line="360" w:lineRule="auto"/>
        <w:ind w:firstLine="482"/>
        <w:rPr>
          <w:rFonts w:ascii="宋体" w:hAnsi="宋体" w:cs="宋体"/>
          <w:b/>
          <w:bCs/>
          <w:color w:val="auto"/>
          <w:sz w:val="24"/>
          <w:szCs w:val="22"/>
          <w:highlight w:val="none"/>
        </w:rPr>
      </w:pPr>
      <w:r>
        <w:rPr>
          <w:rFonts w:hint="eastAsia" w:ascii="宋体" w:hAnsi="宋体" w:cs="宋体"/>
          <w:b/>
          <w:bCs/>
          <w:color w:val="auto"/>
          <w:sz w:val="24"/>
          <w:szCs w:val="22"/>
          <w:highlight w:val="none"/>
        </w:rPr>
        <w:t>（一）价格分           20分</w:t>
      </w:r>
    </w:p>
    <w:p w14:paraId="002E78F4">
      <w:pPr>
        <w:spacing w:line="360" w:lineRule="auto"/>
        <w:ind w:firstLine="482"/>
        <w:rPr>
          <w:rFonts w:ascii="宋体" w:hAnsi="宋体" w:cs="宋体"/>
          <w:b/>
          <w:bCs/>
          <w:color w:val="auto"/>
          <w:sz w:val="24"/>
          <w:szCs w:val="22"/>
          <w:highlight w:val="none"/>
        </w:rPr>
      </w:pPr>
      <w:r>
        <w:rPr>
          <w:rFonts w:hint="eastAsia" w:ascii="宋体" w:hAnsi="宋体" w:cs="宋体"/>
          <w:b/>
          <w:bCs/>
          <w:color w:val="auto"/>
          <w:sz w:val="24"/>
          <w:szCs w:val="22"/>
          <w:highlight w:val="none"/>
        </w:rPr>
        <w:t>（二）商务资信分       20分</w:t>
      </w:r>
    </w:p>
    <w:p w14:paraId="11E2D587">
      <w:pPr>
        <w:spacing w:line="360" w:lineRule="auto"/>
        <w:ind w:firstLine="482"/>
        <w:rPr>
          <w:rFonts w:ascii="宋体" w:hAnsi="宋体" w:cs="宋体"/>
          <w:b/>
          <w:bCs/>
          <w:color w:val="auto"/>
          <w:sz w:val="24"/>
          <w:szCs w:val="22"/>
          <w:highlight w:val="none"/>
        </w:rPr>
      </w:pPr>
      <w:r>
        <w:rPr>
          <w:rFonts w:hint="eastAsia" w:ascii="宋体" w:hAnsi="宋体" w:cs="宋体"/>
          <w:b/>
          <w:bCs/>
          <w:color w:val="auto"/>
          <w:sz w:val="24"/>
          <w:szCs w:val="22"/>
          <w:highlight w:val="none"/>
        </w:rPr>
        <w:t>（三）技术方案（暗标） 60分</w:t>
      </w:r>
    </w:p>
    <w:tbl>
      <w:tblPr>
        <w:tblStyle w:val="67"/>
        <w:tblpPr w:leftFromText="180" w:rightFromText="180" w:vertAnchor="text" w:horzAnchor="page" w:tblpX="1067" w:tblpY="396"/>
        <w:tblOverlap w:val="never"/>
        <w:tblW w:w="99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3"/>
        <w:gridCol w:w="1677"/>
        <w:gridCol w:w="736"/>
        <w:gridCol w:w="7070"/>
      </w:tblGrid>
      <w:tr w14:paraId="513F7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trPr>
        <w:tc>
          <w:tcPr>
            <w:tcW w:w="463" w:type="dxa"/>
            <w:vAlign w:val="center"/>
          </w:tcPr>
          <w:p w14:paraId="462647F4">
            <w:pPr>
              <w:spacing w:line="360" w:lineRule="auto"/>
              <w:jc w:val="center"/>
              <w:rPr>
                <w:rFonts w:ascii="宋体" w:hAnsi="宋体" w:cs="宋体"/>
                <w:b/>
                <w:bCs/>
                <w:color w:val="auto"/>
                <w:sz w:val="22"/>
                <w:szCs w:val="22"/>
                <w:highlight w:val="none"/>
                <w:lang w:eastAsia="en-US"/>
              </w:rPr>
            </w:pPr>
            <w:r>
              <w:rPr>
                <w:rFonts w:hint="eastAsia" w:ascii="宋体" w:hAnsi="宋体" w:cs="宋体"/>
                <w:b/>
                <w:bCs/>
                <w:color w:val="auto"/>
                <w:sz w:val="22"/>
                <w:szCs w:val="22"/>
                <w:highlight w:val="none"/>
                <w:lang w:eastAsia="en-US"/>
              </w:rPr>
              <w:t>序号</w:t>
            </w:r>
          </w:p>
        </w:tc>
        <w:tc>
          <w:tcPr>
            <w:tcW w:w="1677" w:type="dxa"/>
            <w:vAlign w:val="center"/>
          </w:tcPr>
          <w:p w14:paraId="45A32E6B">
            <w:pPr>
              <w:spacing w:line="360" w:lineRule="auto"/>
              <w:jc w:val="center"/>
              <w:rPr>
                <w:rFonts w:ascii="宋体" w:hAnsi="宋体" w:cs="宋体"/>
                <w:b/>
                <w:bCs/>
                <w:color w:val="auto"/>
                <w:sz w:val="22"/>
                <w:szCs w:val="22"/>
                <w:highlight w:val="none"/>
                <w:lang w:eastAsia="en-US"/>
              </w:rPr>
            </w:pPr>
            <w:r>
              <w:rPr>
                <w:rFonts w:hint="eastAsia" w:ascii="宋体" w:hAnsi="宋体" w:cs="宋体"/>
                <w:b/>
                <w:bCs/>
                <w:color w:val="auto"/>
                <w:sz w:val="22"/>
                <w:szCs w:val="22"/>
                <w:highlight w:val="none"/>
                <w:lang w:eastAsia="en-US"/>
              </w:rPr>
              <w:t>评审项目</w:t>
            </w:r>
          </w:p>
        </w:tc>
        <w:tc>
          <w:tcPr>
            <w:tcW w:w="736" w:type="dxa"/>
            <w:vAlign w:val="center"/>
          </w:tcPr>
          <w:p w14:paraId="20389591">
            <w:pPr>
              <w:spacing w:line="360" w:lineRule="auto"/>
              <w:jc w:val="center"/>
              <w:rPr>
                <w:rFonts w:ascii="宋体" w:hAnsi="宋体" w:cs="宋体"/>
                <w:b/>
                <w:bCs/>
                <w:color w:val="auto"/>
                <w:sz w:val="22"/>
                <w:szCs w:val="22"/>
                <w:highlight w:val="none"/>
                <w:lang w:eastAsia="en-US"/>
              </w:rPr>
            </w:pPr>
            <w:r>
              <w:rPr>
                <w:rFonts w:hint="eastAsia" w:ascii="宋体" w:hAnsi="宋体" w:cs="宋体"/>
                <w:b/>
                <w:bCs/>
                <w:color w:val="auto"/>
                <w:sz w:val="22"/>
                <w:szCs w:val="22"/>
                <w:highlight w:val="none"/>
                <w:lang w:eastAsia="en-US"/>
              </w:rPr>
              <w:t>分值</w:t>
            </w:r>
          </w:p>
        </w:tc>
        <w:tc>
          <w:tcPr>
            <w:tcW w:w="7070" w:type="dxa"/>
            <w:vAlign w:val="center"/>
          </w:tcPr>
          <w:p w14:paraId="35CE9539">
            <w:pPr>
              <w:spacing w:line="360" w:lineRule="auto"/>
              <w:jc w:val="center"/>
              <w:rPr>
                <w:rFonts w:ascii="宋体" w:hAnsi="宋体" w:cs="宋体"/>
                <w:b/>
                <w:bCs/>
                <w:color w:val="auto"/>
                <w:sz w:val="22"/>
                <w:szCs w:val="22"/>
                <w:highlight w:val="none"/>
                <w:lang w:eastAsia="en-US"/>
              </w:rPr>
            </w:pPr>
            <w:r>
              <w:rPr>
                <w:rFonts w:hint="eastAsia" w:ascii="宋体" w:hAnsi="宋体" w:cs="宋体"/>
                <w:b/>
                <w:bCs/>
                <w:color w:val="auto"/>
                <w:sz w:val="22"/>
                <w:szCs w:val="22"/>
                <w:highlight w:val="none"/>
                <w:lang w:eastAsia="en-US"/>
              </w:rPr>
              <w:t>评审细则</w:t>
            </w:r>
          </w:p>
        </w:tc>
      </w:tr>
      <w:tr w14:paraId="1F56DF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9946" w:type="dxa"/>
            <w:gridSpan w:val="4"/>
            <w:vAlign w:val="center"/>
          </w:tcPr>
          <w:p w14:paraId="0A133EA4">
            <w:pPr>
              <w:spacing w:line="360" w:lineRule="auto"/>
              <w:ind w:right="129"/>
              <w:jc w:val="left"/>
              <w:rPr>
                <w:rFonts w:ascii="宋体" w:hAnsi="宋体" w:cs="宋体"/>
                <w:color w:val="auto"/>
                <w:sz w:val="22"/>
                <w:szCs w:val="22"/>
                <w:highlight w:val="none"/>
              </w:rPr>
            </w:pPr>
            <w:r>
              <w:rPr>
                <w:rFonts w:hint="eastAsia" w:ascii="宋体" w:hAnsi="宋体" w:cs="宋体"/>
                <w:b/>
                <w:bCs/>
                <w:color w:val="auto"/>
                <w:sz w:val="24"/>
                <w:szCs w:val="22"/>
                <w:highlight w:val="none"/>
              </w:rPr>
              <w:t>（一）价格分（20分）</w:t>
            </w:r>
          </w:p>
        </w:tc>
      </w:tr>
      <w:tr w14:paraId="6781B2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463" w:type="dxa"/>
            <w:vAlign w:val="center"/>
          </w:tcPr>
          <w:p w14:paraId="62D4036D">
            <w:pPr>
              <w:spacing w:line="360" w:lineRule="auto"/>
              <w:jc w:val="center"/>
              <w:rPr>
                <w:rFonts w:ascii="宋体" w:hAnsi="宋体" w:cs="宋体"/>
                <w:color w:val="auto"/>
                <w:sz w:val="22"/>
                <w:szCs w:val="22"/>
                <w:highlight w:val="none"/>
              </w:rPr>
            </w:pPr>
            <w:r>
              <w:rPr>
                <w:rFonts w:hint="eastAsia" w:ascii="宋体" w:hAnsi="宋体" w:cs="宋体"/>
                <w:color w:val="auto"/>
                <w:sz w:val="22"/>
                <w:szCs w:val="22"/>
                <w:highlight w:val="none"/>
              </w:rPr>
              <w:t>1</w:t>
            </w:r>
          </w:p>
        </w:tc>
        <w:tc>
          <w:tcPr>
            <w:tcW w:w="1677" w:type="dxa"/>
            <w:vAlign w:val="center"/>
          </w:tcPr>
          <w:p w14:paraId="7A944B87">
            <w:pPr>
              <w:spacing w:line="360" w:lineRule="auto"/>
              <w:jc w:val="center"/>
              <w:rPr>
                <w:rFonts w:ascii="宋体" w:hAnsi="宋体" w:cs="宋体"/>
                <w:color w:val="auto"/>
                <w:sz w:val="22"/>
                <w:szCs w:val="22"/>
                <w:highlight w:val="none"/>
              </w:rPr>
            </w:pPr>
            <w:r>
              <w:rPr>
                <w:rFonts w:hint="eastAsia" w:ascii="宋体" w:hAnsi="宋体" w:cs="宋体"/>
                <w:color w:val="auto"/>
                <w:sz w:val="22"/>
                <w:szCs w:val="22"/>
                <w:highlight w:val="none"/>
              </w:rPr>
              <w:t>价格分</w:t>
            </w:r>
          </w:p>
        </w:tc>
        <w:tc>
          <w:tcPr>
            <w:tcW w:w="736" w:type="dxa"/>
            <w:vAlign w:val="center"/>
          </w:tcPr>
          <w:p w14:paraId="26227F91">
            <w:pPr>
              <w:spacing w:line="360" w:lineRule="auto"/>
              <w:jc w:val="center"/>
              <w:rPr>
                <w:rFonts w:ascii="宋体" w:hAnsi="宋体" w:cs="宋体"/>
                <w:b/>
                <w:bCs/>
                <w:color w:val="auto"/>
                <w:sz w:val="22"/>
                <w:szCs w:val="22"/>
                <w:highlight w:val="none"/>
              </w:rPr>
            </w:pPr>
            <w:r>
              <w:rPr>
                <w:rFonts w:hint="eastAsia" w:ascii="宋体" w:hAnsi="宋体" w:cs="宋体"/>
                <w:color w:val="auto"/>
                <w:sz w:val="22"/>
                <w:szCs w:val="22"/>
                <w:highlight w:val="none"/>
              </w:rPr>
              <w:t>20分</w:t>
            </w:r>
          </w:p>
        </w:tc>
        <w:tc>
          <w:tcPr>
            <w:tcW w:w="7070" w:type="dxa"/>
            <w:vAlign w:val="center"/>
          </w:tcPr>
          <w:p w14:paraId="1484AB87">
            <w:pPr>
              <w:spacing w:line="360" w:lineRule="auto"/>
              <w:ind w:right="129"/>
              <w:jc w:val="left"/>
              <w:rPr>
                <w:rFonts w:ascii="宋体" w:hAnsi="宋体" w:cs="宋体"/>
                <w:color w:val="auto"/>
                <w:sz w:val="22"/>
                <w:szCs w:val="22"/>
                <w:highlight w:val="none"/>
              </w:rPr>
            </w:pPr>
            <w:r>
              <w:rPr>
                <w:rFonts w:hint="eastAsia" w:ascii="宋体" w:hAnsi="宋体" w:cs="宋体"/>
                <w:color w:val="auto"/>
                <w:sz w:val="22"/>
                <w:szCs w:val="22"/>
                <w:highlight w:val="none"/>
              </w:rPr>
              <w:t>1.投标总报价低于或等于采购最高限价的，为有效投标报价。超过采购最高限价的投标报价为无效投标报价。无效投标报价的投标文件不进行评审，也不得中标。</w:t>
            </w:r>
          </w:p>
          <w:p w14:paraId="40B52951">
            <w:pPr>
              <w:spacing w:line="360" w:lineRule="auto"/>
              <w:ind w:right="129"/>
              <w:jc w:val="left"/>
              <w:rPr>
                <w:rFonts w:ascii="宋体" w:hAnsi="宋体" w:cs="宋体"/>
                <w:color w:val="auto"/>
                <w:sz w:val="22"/>
                <w:szCs w:val="22"/>
                <w:highlight w:val="none"/>
              </w:rPr>
            </w:pPr>
            <w:r>
              <w:rPr>
                <w:rFonts w:hint="eastAsia" w:ascii="宋体" w:hAnsi="宋体" w:cs="宋体"/>
                <w:color w:val="auto"/>
                <w:sz w:val="22"/>
                <w:szCs w:val="22"/>
                <w:highlight w:val="none"/>
              </w:rPr>
              <w:t>2.价格得分计算方法：采用低价优先法计算，即满足招标文件要求且投标价格最低的投标报价为评标基准价，其价格分为满分。其他投标供应商的价格分统一按照下列公式计算：</w:t>
            </w:r>
          </w:p>
          <w:p w14:paraId="00FEE903">
            <w:pPr>
              <w:spacing w:line="360" w:lineRule="auto"/>
              <w:ind w:right="129"/>
              <w:jc w:val="left"/>
              <w:rPr>
                <w:rFonts w:ascii="宋体" w:hAnsi="宋体" w:cs="宋体"/>
                <w:color w:val="auto"/>
                <w:sz w:val="22"/>
                <w:szCs w:val="22"/>
                <w:highlight w:val="none"/>
              </w:rPr>
            </w:pPr>
            <w:r>
              <w:rPr>
                <w:rFonts w:hint="eastAsia" w:ascii="宋体" w:hAnsi="宋体" w:cs="宋体"/>
                <w:color w:val="auto"/>
                <w:sz w:val="22"/>
                <w:szCs w:val="22"/>
                <w:highlight w:val="none"/>
              </w:rPr>
              <w:t>投标报价得分=（评标基准价／投标报价）×价格权值×100。</w:t>
            </w:r>
          </w:p>
          <w:p w14:paraId="4E3DD0BC">
            <w:pPr>
              <w:pStyle w:val="79"/>
              <w:spacing w:line="360" w:lineRule="auto"/>
              <w:ind w:left="0"/>
              <w:rPr>
                <w:color w:val="auto"/>
                <w:highlight w:val="none"/>
              </w:rPr>
            </w:pPr>
            <w:r>
              <w:rPr>
                <w:rFonts w:hint="eastAsia"/>
                <w:color w:val="auto"/>
                <w:highlight w:val="none"/>
              </w:rPr>
              <w:t>价格扣除：本项目专门面向中小/小微企业，不再进行价格扣除。</w:t>
            </w:r>
          </w:p>
          <w:p w14:paraId="347DA26D">
            <w:pPr>
              <w:tabs>
                <w:tab w:val="left" w:pos="0"/>
              </w:tabs>
              <w:spacing w:line="360" w:lineRule="auto"/>
              <w:ind w:firstLine="442" w:firstLineChars="200"/>
              <w:rPr>
                <w:rFonts w:ascii="宋体" w:hAnsi="宋体"/>
                <w:b/>
                <w:bCs/>
                <w:color w:val="auto"/>
                <w:sz w:val="22"/>
                <w:szCs w:val="22"/>
                <w:highlight w:val="none"/>
              </w:rPr>
            </w:pPr>
            <w:r>
              <w:rPr>
                <w:rFonts w:hint="eastAsia" w:ascii="宋体" w:hAnsi="宋体"/>
                <w:b/>
                <w:bCs/>
                <w:color w:val="auto"/>
                <w:sz w:val="22"/>
                <w:szCs w:val="22"/>
                <w:highlight w:val="none"/>
              </w:rPr>
              <w:t>注：</w:t>
            </w:r>
          </w:p>
          <w:p w14:paraId="52CD04A4">
            <w:pPr>
              <w:tabs>
                <w:tab w:val="left" w:pos="0"/>
              </w:tabs>
              <w:spacing w:line="360" w:lineRule="auto"/>
              <w:ind w:firstLine="442" w:firstLineChars="200"/>
              <w:rPr>
                <w:rFonts w:ascii="宋体" w:hAnsi="宋体"/>
                <w:b/>
                <w:bCs/>
                <w:color w:val="auto"/>
                <w:sz w:val="22"/>
                <w:szCs w:val="22"/>
                <w:highlight w:val="none"/>
              </w:rPr>
            </w:pPr>
            <w:r>
              <w:rPr>
                <w:rFonts w:hint="eastAsia" w:ascii="宋体" w:hAnsi="宋体"/>
                <w:b/>
                <w:bCs/>
                <w:color w:val="auto"/>
                <w:sz w:val="22"/>
                <w:szCs w:val="22"/>
                <w:highlight w:val="none"/>
              </w:rPr>
              <w:t>1、评标委员会认定投标供应商的报价明显低于其他通过符合性审查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1E37E7A3">
            <w:pPr>
              <w:tabs>
                <w:tab w:val="left" w:pos="0"/>
              </w:tabs>
              <w:spacing w:line="360" w:lineRule="auto"/>
              <w:ind w:firstLine="442" w:firstLineChars="200"/>
              <w:rPr>
                <w:rFonts w:ascii="宋体" w:hAnsi="宋体"/>
                <w:b/>
                <w:bCs/>
                <w:color w:val="auto"/>
                <w:sz w:val="22"/>
                <w:szCs w:val="22"/>
                <w:highlight w:val="none"/>
              </w:rPr>
            </w:pPr>
            <w:r>
              <w:rPr>
                <w:rFonts w:hint="eastAsia" w:ascii="宋体" w:hAnsi="宋体"/>
                <w:b/>
                <w:bCs/>
                <w:color w:val="auto"/>
                <w:sz w:val="22"/>
                <w:szCs w:val="22"/>
                <w:highlight w:val="none"/>
              </w:rPr>
              <w:t>评标委员会启动异常低价投标（响应）审查的情形和具体要求，包括：</w:t>
            </w:r>
          </w:p>
          <w:p w14:paraId="61BE2CCF">
            <w:pPr>
              <w:tabs>
                <w:tab w:val="left" w:pos="0"/>
              </w:tabs>
              <w:spacing w:line="360" w:lineRule="auto"/>
              <w:ind w:firstLine="442" w:firstLineChars="200"/>
              <w:rPr>
                <w:rFonts w:ascii="宋体" w:hAnsi="宋体"/>
                <w:b/>
                <w:bCs/>
                <w:color w:val="auto"/>
                <w:sz w:val="22"/>
                <w:szCs w:val="22"/>
                <w:highlight w:val="none"/>
              </w:rPr>
            </w:pPr>
            <w:r>
              <w:rPr>
                <w:rFonts w:hint="eastAsia" w:ascii="宋体" w:hAnsi="宋体"/>
                <w:b/>
                <w:bCs/>
                <w:color w:val="auto"/>
                <w:sz w:val="22"/>
                <w:szCs w:val="22"/>
                <w:highlight w:val="none"/>
              </w:rPr>
              <w:t>（1）评审过程中出现下列情形之一的，评标委员会应当启动异常低价投标（响应）审查程序：</w:t>
            </w:r>
          </w:p>
          <w:p w14:paraId="57C9DDCF">
            <w:pPr>
              <w:tabs>
                <w:tab w:val="left" w:pos="0"/>
              </w:tabs>
              <w:spacing w:line="360" w:lineRule="auto"/>
              <w:ind w:firstLine="442" w:firstLineChars="200"/>
              <w:rPr>
                <w:rFonts w:ascii="宋体" w:hAnsi="宋体"/>
                <w:b/>
                <w:bCs/>
                <w:color w:val="auto"/>
                <w:sz w:val="22"/>
                <w:szCs w:val="22"/>
                <w:highlight w:val="none"/>
              </w:rPr>
            </w:pPr>
            <w:r>
              <w:rPr>
                <w:rFonts w:hint="eastAsia" w:ascii="宋体" w:hAnsi="宋体"/>
                <w:b/>
                <w:bCs/>
                <w:color w:val="auto"/>
                <w:sz w:val="22"/>
                <w:szCs w:val="22"/>
                <w:highlight w:val="none"/>
              </w:rPr>
              <w:t>①投标(响应)报价低于全部通过符合性审查供应商投标(响应)报价平均值50%的，即投标(响应)报价&lt;全部通过符合性审查供应商投标(响应)报价平均值×50%；</w:t>
            </w:r>
          </w:p>
          <w:p w14:paraId="764F3B84">
            <w:pPr>
              <w:tabs>
                <w:tab w:val="left" w:pos="0"/>
              </w:tabs>
              <w:spacing w:line="360" w:lineRule="auto"/>
              <w:ind w:firstLine="442" w:firstLineChars="200"/>
              <w:rPr>
                <w:rFonts w:ascii="宋体" w:hAnsi="宋体"/>
                <w:b/>
                <w:bCs/>
                <w:color w:val="auto"/>
                <w:sz w:val="22"/>
                <w:szCs w:val="22"/>
                <w:highlight w:val="none"/>
              </w:rPr>
            </w:pPr>
            <w:r>
              <w:rPr>
                <w:rFonts w:hint="eastAsia" w:ascii="宋体" w:hAnsi="宋体"/>
                <w:b/>
                <w:bCs/>
                <w:color w:val="auto"/>
                <w:sz w:val="22"/>
                <w:szCs w:val="22"/>
                <w:highlight w:val="none"/>
              </w:rPr>
              <w:t>②投标(响应)报价低于通过符合性审查的次低报价供应商投标(响应)报价50%的，即投标(响应)报价&lt;通过符合性审查的次低报价供应商投标(响应)报价×50%；</w:t>
            </w:r>
          </w:p>
          <w:p w14:paraId="58AB37AE">
            <w:pPr>
              <w:tabs>
                <w:tab w:val="left" w:pos="0"/>
              </w:tabs>
              <w:spacing w:line="360" w:lineRule="auto"/>
              <w:ind w:firstLine="442" w:firstLineChars="200"/>
              <w:rPr>
                <w:rFonts w:ascii="宋体" w:hAnsi="宋体"/>
                <w:b/>
                <w:bCs/>
                <w:color w:val="auto"/>
                <w:sz w:val="22"/>
                <w:szCs w:val="22"/>
                <w:highlight w:val="none"/>
              </w:rPr>
            </w:pPr>
            <w:r>
              <w:rPr>
                <w:rFonts w:hint="eastAsia" w:ascii="宋体" w:hAnsi="宋体"/>
                <w:b/>
                <w:bCs/>
                <w:color w:val="auto"/>
                <w:sz w:val="22"/>
                <w:szCs w:val="22"/>
                <w:highlight w:val="none"/>
              </w:rPr>
              <w:t>③投标(响应)报价低于采购项目最高限价45%的，即投标(响应)报价&lt;采购项目最高限价×45%；</w:t>
            </w:r>
          </w:p>
          <w:p w14:paraId="3B83EA73">
            <w:pPr>
              <w:tabs>
                <w:tab w:val="left" w:pos="0"/>
              </w:tabs>
              <w:spacing w:line="360" w:lineRule="auto"/>
              <w:ind w:firstLine="442" w:firstLineChars="200"/>
              <w:rPr>
                <w:rFonts w:ascii="宋体" w:hAnsi="宋体"/>
                <w:b/>
                <w:bCs/>
                <w:color w:val="auto"/>
                <w:sz w:val="22"/>
                <w:szCs w:val="22"/>
                <w:highlight w:val="none"/>
              </w:rPr>
            </w:pPr>
            <w:r>
              <w:rPr>
                <w:rFonts w:hint="eastAsia" w:ascii="宋体" w:hAnsi="宋体"/>
                <w:b/>
                <w:bCs/>
                <w:color w:val="auto"/>
                <w:sz w:val="22"/>
                <w:szCs w:val="22"/>
                <w:highlight w:val="none"/>
              </w:rPr>
              <w:t>④评审委员会基于专业判断，认为供应商报价过低，有可能影响产品质量或者不能诚信履约的其他情形。</w:t>
            </w:r>
          </w:p>
          <w:p w14:paraId="4EC60841">
            <w:pPr>
              <w:tabs>
                <w:tab w:val="left" w:pos="0"/>
              </w:tabs>
              <w:spacing w:line="360" w:lineRule="auto"/>
              <w:ind w:firstLine="442" w:firstLineChars="200"/>
              <w:rPr>
                <w:rFonts w:ascii="宋体" w:hAnsi="宋体"/>
                <w:b/>
                <w:bCs/>
                <w:color w:val="auto"/>
                <w:sz w:val="22"/>
                <w:szCs w:val="22"/>
                <w:highlight w:val="none"/>
              </w:rPr>
            </w:pPr>
            <w:r>
              <w:rPr>
                <w:rFonts w:hint="eastAsia" w:ascii="宋体" w:hAnsi="宋体"/>
                <w:b/>
                <w:bCs/>
                <w:color w:val="auto"/>
                <w:sz w:val="22"/>
                <w:szCs w:val="22"/>
                <w:highlight w:val="none"/>
              </w:rPr>
              <w:t>采购人可以结合具体项目实际情况，提高上述第1项至第3项中启动异常低价投标(响应)审查的数值标准，但是最高不得超过65%。</w:t>
            </w:r>
          </w:p>
          <w:p w14:paraId="1E379496">
            <w:pPr>
              <w:spacing w:line="360" w:lineRule="auto"/>
              <w:rPr>
                <w:rFonts w:ascii="宋体" w:hAnsi="宋体" w:cs="宋体"/>
                <w:b/>
                <w:bCs/>
                <w:color w:val="auto"/>
                <w:sz w:val="22"/>
                <w:szCs w:val="22"/>
                <w:highlight w:val="none"/>
              </w:rPr>
            </w:pPr>
            <w:r>
              <w:rPr>
                <w:rFonts w:hint="eastAsia" w:ascii="宋体" w:hAnsi="宋体"/>
                <w:b/>
                <w:bCs/>
                <w:color w:val="auto"/>
                <w:sz w:val="22"/>
                <w:szCs w:val="22"/>
                <w:highlight w:val="none"/>
              </w:rPr>
              <w:t>相关法律法规对供应商报价有规定的，从其规定。</w:t>
            </w:r>
          </w:p>
          <w:p w14:paraId="554BF257">
            <w:pPr>
              <w:tabs>
                <w:tab w:val="left" w:pos="0"/>
              </w:tabs>
              <w:spacing w:line="360" w:lineRule="auto"/>
              <w:ind w:firstLine="442" w:firstLineChars="200"/>
              <w:rPr>
                <w:color w:val="auto"/>
                <w:highlight w:val="none"/>
              </w:rPr>
            </w:pPr>
            <w:r>
              <w:rPr>
                <w:rFonts w:hint="eastAsia" w:ascii="宋体" w:hAnsi="宋体"/>
                <w:b/>
                <w:bCs/>
                <w:color w:val="auto"/>
                <w:sz w:val="22"/>
                <w:szCs w:val="22"/>
                <w:highlight w:val="none"/>
              </w:rPr>
              <w:t>（2）启动异常低价投标（响应）审查后，评标委员会应当要求相关供应商通过“苏采云”系统在30分钟内，提供项目具体成本测算等与报价合理性相关的书面说明及相关证明材料，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标委员会应当将其作为无效投标（响应）处理。审查相关情况应当在评标报告中进行记录。</w:t>
            </w:r>
          </w:p>
          <w:p w14:paraId="456F1C0F">
            <w:pPr>
              <w:spacing w:line="360" w:lineRule="auto"/>
              <w:ind w:firstLine="441"/>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2、本项目为食堂外包服务，投标文件模版中关于符合本国产品标准的声明函不做要求，可不用填写具体内容，直接签章上传。 </w:t>
            </w:r>
          </w:p>
          <w:p w14:paraId="5D9CE81E">
            <w:pPr>
              <w:spacing w:line="360" w:lineRule="auto"/>
              <w:ind w:firstLine="441"/>
              <w:rPr>
                <w:color w:val="auto"/>
                <w:highlight w:val="none"/>
              </w:rPr>
            </w:pPr>
            <w:r>
              <w:rPr>
                <w:rFonts w:hint="eastAsia" w:ascii="宋体" w:hAnsi="宋体" w:cs="宋体"/>
                <w:b/>
                <w:bCs/>
                <w:color w:val="auto"/>
                <w:sz w:val="22"/>
                <w:szCs w:val="22"/>
                <w:highlight w:val="none"/>
                <w:lang w:val="en-US" w:eastAsia="zh-CN"/>
              </w:rPr>
              <w:t>3、</w:t>
            </w:r>
            <w:r>
              <w:rPr>
                <w:rFonts w:hint="eastAsia"/>
                <w:b/>
                <w:bCs/>
                <w:color w:val="auto"/>
                <w:highlight w:val="none"/>
              </w:rPr>
              <w:t>食材采购及配送报价以采购预算金额（5076960.00元/两年）</w:t>
            </w:r>
            <w:r>
              <w:rPr>
                <w:rFonts w:hint="eastAsia"/>
                <w:b/>
                <w:bCs/>
                <w:color w:val="auto"/>
                <w:highlight w:val="none"/>
                <w:lang w:val="en-US" w:eastAsia="zh-CN"/>
              </w:rPr>
              <w:t>计入总价，</w:t>
            </w:r>
            <w:r>
              <w:rPr>
                <w:rFonts w:hint="eastAsia"/>
                <w:b/>
                <w:bCs/>
                <w:color w:val="auto"/>
                <w:highlight w:val="none"/>
              </w:rPr>
              <w:t>投标供应商不得调整</w:t>
            </w:r>
            <w:r>
              <w:rPr>
                <w:rFonts w:hint="eastAsia"/>
                <w:b/>
                <w:bCs/>
                <w:color w:val="auto"/>
                <w:highlight w:val="none"/>
                <w:lang w:eastAsia="zh-CN"/>
              </w:rPr>
              <w:t>。</w:t>
            </w:r>
            <w:r>
              <w:rPr>
                <w:rFonts w:hint="eastAsia" w:ascii="宋体" w:hAnsi="宋体" w:cs="宋体"/>
                <w:b/>
                <w:bCs/>
                <w:color w:val="auto"/>
                <w:sz w:val="22"/>
                <w:szCs w:val="22"/>
                <w:highlight w:val="none"/>
              </w:rPr>
              <w:t xml:space="preserve">                                               </w:t>
            </w:r>
          </w:p>
        </w:tc>
      </w:tr>
      <w:tr w14:paraId="6DD3D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9946" w:type="dxa"/>
            <w:gridSpan w:val="4"/>
            <w:vAlign w:val="center"/>
          </w:tcPr>
          <w:p w14:paraId="75984674">
            <w:pPr>
              <w:spacing w:line="360" w:lineRule="auto"/>
              <w:ind w:right="129"/>
              <w:jc w:val="left"/>
              <w:rPr>
                <w:rFonts w:ascii="宋体" w:hAnsi="宋体" w:cs="宋体"/>
                <w:color w:val="auto"/>
                <w:sz w:val="22"/>
                <w:szCs w:val="22"/>
                <w:highlight w:val="none"/>
              </w:rPr>
            </w:pPr>
            <w:r>
              <w:rPr>
                <w:rFonts w:hint="eastAsia" w:ascii="宋体" w:hAnsi="宋体" w:cs="宋体"/>
                <w:b/>
                <w:bCs/>
                <w:color w:val="auto"/>
                <w:sz w:val="24"/>
                <w:szCs w:val="22"/>
                <w:highlight w:val="none"/>
              </w:rPr>
              <w:t>（二）商务资信分（20分）</w:t>
            </w:r>
          </w:p>
        </w:tc>
      </w:tr>
      <w:tr w14:paraId="1EEF1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trPr>
        <w:tc>
          <w:tcPr>
            <w:tcW w:w="463" w:type="dxa"/>
            <w:vAlign w:val="center"/>
          </w:tcPr>
          <w:p w14:paraId="72EC6621">
            <w:pPr>
              <w:spacing w:line="360" w:lineRule="auto"/>
              <w:jc w:val="center"/>
              <w:rPr>
                <w:rFonts w:ascii="宋体" w:hAnsi="宋体" w:cs="宋体"/>
                <w:color w:val="auto"/>
                <w:sz w:val="22"/>
                <w:szCs w:val="22"/>
                <w:highlight w:val="none"/>
              </w:rPr>
            </w:pPr>
            <w:r>
              <w:rPr>
                <w:rFonts w:hint="eastAsia" w:ascii="宋体" w:hAnsi="宋体" w:cs="宋体"/>
                <w:color w:val="auto"/>
                <w:sz w:val="22"/>
                <w:szCs w:val="22"/>
                <w:highlight w:val="none"/>
              </w:rPr>
              <w:t>1</w:t>
            </w:r>
          </w:p>
        </w:tc>
        <w:tc>
          <w:tcPr>
            <w:tcW w:w="1677" w:type="dxa"/>
            <w:vAlign w:val="center"/>
          </w:tcPr>
          <w:p w14:paraId="7216EA4F">
            <w:pPr>
              <w:spacing w:line="360" w:lineRule="auto"/>
              <w:jc w:val="center"/>
              <w:rPr>
                <w:rFonts w:ascii="宋体" w:hAnsi="宋体" w:cs="宋体"/>
                <w:color w:val="auto"/>
                <w:sz w:val="22"/>
                <w:szCs w:val="22"/>
                <w:highlight w:val="none"/>
              </w:rPr>
            </w:pPr>
            <w:r>
              <w:rPr>
                <w:rFonts w:hint="eastAsia" w:ascii="宋体" w:hAnsi="宋体" w:cs="宋体"/>
                <w:color w:val="auto"/>
                <w:sz w:val="22"/>
                <w:szCs w:val="22"/>
                <w:highlight w:val="none"/>
              </w:rPr>
              <w:t>企业业绩</w:t>
            </w:r>
          </w:p>
        </w:tc>
        <w:tc>
          <w:tcPr>
            <w:tcW w:w="736" w:type="dxa"/>
            <w:vAlign w:val="center"/>
          </w:tcPr>
          <w:p w14:paraId="7427CF4F">
            <w:pPr>
              <w:pStyle w:val="954"/>
              <w:spacing w:line="360" w:lineRule="auto"/>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4分</w:t>
            </w:r>
          </w:p>
        </w:tc>
        <w:tc>
          <w:tcPr>
            <w:tcW w:w="7070" w:type="dxa"/>
            <w:vAlign w:val="center"/>
          </w:tcPr>
          <w:p w14:paraId="3648F838">
            <w:pPr>
              <w:spacing w:line="360" w:lineRule="auto"/>
              <w:ind w:right="129"/>
              <w:rPr>
                <w:rFonts w:ascii="宋体" w:hAnsi="宋体" w:cs="宋体"/>
                <w:color w:val="auto"/>
                <w:sz w:val="22"/>
                <w:szCs w:val="22"/>
                <w:highlight w:val="none"/>
              </w:rPr>
            </w:pPr>
            <w:r>
              <w:rPr>
                <w:rFonts w:hint="eastAsia" w:ascii="宋体" w:hAnsi="宋体" w:cs="宋体"/>
                <w:color w:val="auto"/>
                <w:sz w:val="22"/>
                <w:szCs w:val="22"/>
                <w:highlight w:val="none"/>
              </w:rPr>
              <w:t>投标供应商自2023年1月1日以来</w:t>
            </w:r>
            <w:r>
              <w:rPr>
                <w:rFonts w:hint="eastAsia" w:ascii="宋体" w:hAnsi="宋体" w:cs="宋体"/>
                <w:color w:val="auto"/>
                <w:sz w:val="22"/>
                <w:szCs w:val="22"/>
                <w:highlight w:val="none"/>
                <w:lang w:val="en-US" w:eastAsia="zh-CN"/>
              </w:rPr>
              <w:t>具有</w:t>
            </w:r>
            <w:r>
              <w:rPr>
                <w:rFonts w:hint="eastAsia" w:ascii="宋体" w:hAnsi="宋体" w:cs="宋体"/>
                <w:color w:val="auto"/>
                <w:sz w:val="22"/>
                <w:szCs w:val="22"/>
                <w:highlight w:val="none"/>
              </w:rPr>
              <w:t>类似餐饮服务项目（</w:t>
            </w:r>
            <w:r>
              <w:rPr>
                <w:rFonts w:hint="eastAsia" w:ascii="宋体" w:hAnsi="宋体" w:cs="宋体"/>
                <w:color w:val="auto"/>
                <w:sz w:val="22"/>
                <w:szCs w:val="22"/>
                <w:highlight w:val="none"/>
                <w:lang w:val="en-US" w:eastAsia="zh-CN"/>
              </w:rPr>
              <w:t>企业</w:t>
            </w:r>
            <w:r>
              <w:rPr>
                <w:rFonts w:hint="eastAsia" w:ascii="宋体" w:hAnsi="宋体" w:cs="宋体"/>
                <w:color w:val="auto"/>
                <w:sz w:val="22"/>
                <w:szCs w:val="22"/>
                <w:highlight w:val="none"/>
              </w:rPr>
              <w:t>业绩有效时间以合同签订时间为准），有一个得2分，本项最高得4分。</w:t>
            </w:r>
          </w:p>
          <w:p w14:paraId="28675330">
            <w:pPr>
              <w:spacing w:line="360" w:lineRule="auto"/>
              <w:ind w:right="129"/>
              <w:rPr>
                <w:rFonts w:ascii="宋体" w:hAnsi="宋体" w:cs="宋体"/>
                <w:color w:val="auto"/>
                <w:sz w:val="22"/>
                <w:szCs w:val="22"/>
                <w:highlight w:val="none"/>
              </w:rPr>
            </w:pPr>
            <w:r>
              <w:rPr>
                <w:rFonts w:hint="eastAsia" w:ascii="宋体" w:hAnsi="宋体" w:cs="宋体"/>
                <w:b/>
                <w:bCs/>
                <w:color w:val="auto"/>
                <w:sz w:val="22"/>
                <w:szCs w:val="22"/>
                <w:highlight w:val="none"/>
              </w:rPr>
              <w:t>注：投标文件中提供业绩相关合同原件扫描件并加盖投标供应商公章，不提供或提供不全不得分。</w:t>
            </w:r>
          </w:p>
        </w:tc>
      </w:tr>
      <w:tr w14:paraId="72157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97" w:hRule="atLeast"/>
        </w:trPr>
        <w:tc>
          <w:tcPr>
            <w:tcW w:w="463" w:type="dxa"/>
            <w:vAlign w:val="center"/>
          </w:tcPr>
          <w:p w14:paraId="56A85F26">
            <w:pPr>
              <w:spacing w:line="360" w:lineRule="auto"/>
              <w:jc w:val="center"/>
              <w:rPr>
                <w:rFonts w:ascii="宋体" w:hAnsi="宋体" w:cs="宋体"/>
                <w:color w:val="auto"/>
                <w:sz w:val="22"/>
                <w:szCs w:val="22"/>
                <w:highlight w:val="none"/>
              </w:rPr>
            </w:pPr>
            <w:r>
              <w:rPr>
                <w:rFonts w:hint="eastAsia" w:ascii="宋体" w:hAnsi="宋体" w:cs="宋体"/>
                <w:color w:val="auto"/>
                <w:sz w:val="22"/>
                <w:szCs w:val="22"/>
                <w:highlight w:val="none"/>
              </w:rPr>
              <w:t>2</w:t>
            </w:r>
          </w:p>
        </w:tc>
        <w:tc>
          <w:tcPr>
            <w:tcW w:w="1677" w:type="dxa"/>
            <w:vAlign w:val="center"/>
          </w:tcPr>
          <w:p w14:paraId="14571A69">
            <w:pPr>
              <w:spacing w:line="360" w:lineRule="auto"/>
              <w:jc w:val="center"/>
              <w:rPr>
                <w:rFonts w:ascii="宋体" w:hAnsi="宋体" w:cs="宋体"/>
                <w:color w:val="auto"/>
                <w:sz w:val="22"/>
                <w:szCs w:val="22"/>
                <w:highlight w:val="none"/>
              </w:rPr>
            </w:pPr>
            <w:r>
              <w:rPr>
                <w:rFonts w:hint="eastAsia" w:ascii="宋体" w:hAnsi="宋体" w:cs="宋体"/>
                <w:color w:val="auto"/>
                <w:sz w:val="22"/>
                <w:szCs w:val="22"/>
                <w:highlight w:val="none"/>
              </w:rPr>
              <w:t>体系认证证书</w:t>
            </w:r>
          </w:p>
        </w:tc>
        <w:tc>
          <w:tcPr>
            <w:tcW w:w="736" w:type="dxa"/>
            <w:vAlign w:val="center"/>
          </w:tcPr>
          <w:p w14:paraId="6C9CED4F">
            <w:pPr>
              <w:pStyle w:val="954"/>
              <w:spacing w:line="360" w:lineRule="auto"/>
              <w:jc w:val="center"/>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4分</w:t>
            </w:r>
          </w:p>
        </w:tc>
        <w:tc>
          <w:tcPr>
            <w:tcW w:w="7070" w:type="dxa"/>
            <w:vAlign w:val="center"/>
          </w:tcPr>
          <w:p w14:paraId="5B48CE42">
            <w:pPr>
              <w:spacing w:line="360" w:lineRule="auto"/>
              <w:ind w:right="129"/>
              <w:rPr>
                <w:rFonts w:ascii="宋体" w:hAnsi="宋体" w:cs="宋体"/>
                <w:color w:val="auto"/>
                <w:sz w:val="22"/>
                <w:szCs w:val="22"/>
                <w:highlight w:val="none"/>
              </w:rPr>
            </w:pPr>
            <w:r>
              <w:rPr>
                <w:rFonts w:hint="eastAsia" w:ascii="宋体" w:hAnsi="宋体" w:cs="宋体"/>
                <w:color w:val="auto"/>
                <w:sz w:val="22"/>
                <w:szCs w:val="22"/>
                <w:highlight w:val="none"/>
              </w:rPr>
              <w:t>投标供应商具备有效期内的质量管理体系认证证书、食品安全管理体系认证证书、环境管理体系认证证书、职业健康安全管理体系认证证书的，有一个得1分，本项最高得4分。</w:t>
            </w:r>
          </w:p>
          <w:p w14:paraId="131D9CCF">
            <w:pPr>
              <w:spacing w:line="360" w:lineRule="auto"/>
              <w:ind w:right="129"/>
              <w:rPr>
                <w:rFonts w:ascii="宋体" w:hAnsi="宋体" w:cs="宋体"/>
                <w:color w:val="auto"/>
                <w:sz w:val="22"/>
                <w:szCs w:val="22"/>
                <w:highlight w:val="none"/>
              </w:rPr>
            </w:pPr>
            <w:r>
              <w:rPr>
                <w:rFonts w:hint="eastAsia" w:ascii="宋体" w:hAnsi="宋体" w:cs="宋体"/>
                <w:b/>
                <w:bCs/>
                <w:color w:val="auto"/>
                <w:sz w:val="22"/>
                <w:szCs w:val="22"/>
                <w:highlight w:val="none"/>
              </w:rPr>
              <w:t>注：投标文件中提供有效期内的证书原件扫描件，同时还须提供该证书在“国家市场监督管理总局－全国认证认可信息公共服务平台”网站查询到的有效认证截图并加盖投标供应商公章，不提供或提供不全不得分。</w:t>
            </w:r>
          </w:p>
        </w:tc>
      </w:tr>
      <w:tr w14:paraId="2374B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trPr>
        <w:tc>
          <w:tcPr>
            <w:tcW w:w="463" w:type="dxa"/>
            <w:vAlign w:val="center"/>
          </w:tcPr>
          <w:p w14:paraId="3D1F8BDA">
            <w:pPr>
              <w:spacing w:line="360" w:lineRule="auto"/>
              <w:jc w:val="center"/>
              <w:rPr>
                <w:rFonts w:ascii="宋体" w:hAnsi="宋体" w:cs="宋体"/>
                <w:color w:val="auto"/>
                <w:sz w:val="22"/>
                <w:szCs w:val="22"/>
                <w:highlight w:val="none"/>
              </w:rPr>
            </w:pPr>
            <w:r>
              <w:rPr>
                <w:rFonts w:hint="eastAsia" w:ascii="宋体" w:hAnsi="宋体" w:cs="宋体"/>
                <w:color w:val="auto"/>
                <w:sz w:val="22"/>
                <w:szCs w:val="22"/>
                <w:highlight w:val="none"/>
              </w:rPr>
              <w:t>3</w:t>
            </w:r>
          </w:p>
        </w:tc>
        <w:tc>
          <w:tcPr>
            <w:tcW w:w="1677" w:type="dxa"/>
            <w:vAlign w:val="center"/>
          </w:tcPr>
          <w:p w14:paraId="7E44FF16">
            <w:pPr>
              <w:spacing w:line="360" w:lineRule="auto"/>
              <w:jc w:val="center"/>
              <w:rPr>
                <w:rFonts w:ascii="宋体" w:hAnsi="宋体" w:cs="宋体"/>
                <w:color w:val="auto"/>
                <w:sz w:val="22"/>
                <w:szCs w:val="22"/>
                <w:highlight w:val="none"/>
              </w:rPr>
            </w:pPr>
            <w:r>
              <w:rPr>
                <w:rFonts w:hint="eastAsia" w:ascii="宋体" w:hAnsi="宋体" w:cs="宋体"/>
                <w:color w:val="auto"/>
                <w:sz w:val="22"/>
                <w:szCs w:val="22"/>
                <w:highlight w:val="none"/>
              </w:rPr>
              <w:t>企业荣誉</w:t>
            </w:r>
          </w:p>
        </w:tc>
        <w:tc>
          <w:tcPr>
            <w:tcW w:w="736" w:type="dxa"/>
            <w:vAlign w:val="center"/>
          </w:tcPr>
          <w:p w14:paraId="37FAE77A">
            <w:pPr>
              <w:spacing w:line="360" w:lineRule="auto"/>
              <w:jc w:val="center"/>
              <w:rPr>
                <w:rFonts w:ascii="宋体" w:hAnsi="宋体" w:cs="宋体"/>
                <w:color w:val="auto"/>
                <w:sz w:val="22"/>
                <w:szCs w:val="22"/>
                <w:highlight w:val="none"/>
              </w:rPr>
            </w:pPr>
            <w:r>
              <w:rPr>
                <w:rFonts w:hint="eastAsia" w:ascii="宋体" w:hAnsi="宋体" w:cs="宋体"/>
                <w:color w:val="auto"/>
                <w:sz w:val="22"/>
                <w:szCs w:val="22"/>
                <w:highlight w:val="none"/>
              </w:rPr>
              <w:t>2分</w:t>
            </w:r>
          </w:p>
        </w:tc>
        <w:tc>
          <w:tcPr>
            <w:tcW w:w="7070" w:type="dxa"/>
            <w:vAlign w:val="center"/>
          </w:tcPr>
          <w:p w14:paraId="2F8F1028">
            <w:pPr>
              <w:spacing w:line="360" w:lineRule="auto"/>
              <w:jc w:val="left"/>
              <w:rPr>
                <w:rFonts w:ascii="宋体" w:hAnsi="宋体" w:cs="宋体"/>
                <w:color w:val="auto"/>
                <w:sz w:val="22"/>
                <w:szCs w:val="22"/>
                <w:highlight w:val="none"/>
              </w:rPr>
            </w:pPr>
            <w:r>
              <w:rPr>
                <w:rFonts w:hint="eastAsia" w:ascii="宋体" w:hAnsi="宋体" w:cs="宋体"/>
                <w:color w:val="auto"/>
                <w:sz w:val="22"/>
                <w:szCs w:val="22"/>
                <w:highlight w:val="none"/>
              </w:rPr>
              <w:t>投标供应商自2023年1月1日以来获得过省级及以上行政主管部门颁发的与餐饮相关的荣誉的，有一个得2分，获得过市级行政主管部门颁发的餐饮相关的荣誉的，有一个得1分；获得过</w:t>
            </w:r>
            <w:r>
              <w:rPr>
                <w:rFonts w:hint="eastAsia" w:ascii="宋体" w:hAnsi="宋体" w:cs="宋体"/>
                <w:color w:val="auto"/>
                <w:sz w:val="22"/>
                <w:szCs w:val="22"/>
                <w:highlight w:val="none"/>
                <w:lang w:eastAsia="zh-CN"/>
              </w:rPr>
              <w:t>区</w:t>
            </w:r>
            <w:r>
              <w:rPr>
                <w:rFonts w:hint="eastAsia" w:ascii="宋体" w:hAnsi="宋体" w:cs="宋体"/>
                <w:color w:val="auto"/>
                <w:sz w:val="22"/>
                <w:szCs w:val="22"/>
                <w:highlight w:val="none"/>
              </w:rPr>
              <w:t>级行政主管部门颁发的餐饮相关的荣誉的</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有一个得0.5分，</w:t>
            </w:r>
            <w:r>
              <w:rPr>
                <w:rFonts w:hint="eastAsia" w:ascii="宋体" w:hAnsi="宋体" w:cs="宋体"/>
                <w:color w:val="auto"/>
                <w:sz w:val="22"/>
                <w:szCs w:val="22"/>
                <w:highlight w:val="none"/>
              </w:rPr>
              <w:t>本项最高得2分。</w:t>
            </w:r>
          </w:p>
          <w:p w14:paraId="1E6BAA65">
            <w:pPr>
              <w:spacing w:line="360" w:lineRule="auto"/>
              <w:jc w:val="left"/>
              <w:rPr>
                <w:rFonts w:ascii="宋体" w:hAnsi="宋体" w:cs="宋体"/>
                <w:color w:val="auto"/>
                <w:sz w:val="22"/>
                <w:szCs w:val="22"/>
                <w:highlight w:val="none"/>
              </w:rPr>
            </w:pPr>
            <w:r>
              <w:rPr>
                <w:rFonts w:hint="eastAsia" w:ascii="宋体" w:hAnsi="宋体" w:cs="宋体"/>
                <w:b/>
                <w:bCs/>
                <w:color w:val="auto"/>
                <w:sz w:val="22"/>
                <w:szCs w:val="22"/>
                <w:highlight w:val="none"/>
              </w:rPr>
              <w:t>注：投标文件中</w:t>
            </w:r>
            <w:r>
              <w:rPr>
                <w:rFonts w:hint="eastAsia" w:ascii="宋体" w:hAnsi="宋体" w:cs="宋体"/>
                <w:b/>
                <w:bCs/>
                <w:color w:val="auto"/>
                <w:sz w:val="22"/>
                <w:szCs w:val="22"/>
                <w:highlight w:val="none"/>
                <w:lang w:val="zh-CN"/>
              </w:rPr>
              <w:t>提供</w:t>
            </w:r>
            <w:r>
              <w:rPr>
                <w:rFonts w:hint="eastAsia" w:ascii="宋体" w:hAnsi="宋体" w:cs="宋体"/>
                <w:b/>
                <w:bCs/>
                <w:color w:val="auto"/>
                <w:sz w:val="22"/>
                <w:szCs w:val="22"/>
                <w:highlight w:val="none"/>
              </w:rPr>
              <w:t>相关盖章证</w:t>
            </w:r>
            <w:bookmarkStart w:id="971" w:name="_GoBack"/>
            <w:bookmarkEnd w:id="971"/>
            <w:r>
              <w:rPr>
                <w:rFonts w:hint="eastAsia" w:ascii="宋体" w:hAnsi="宋体" w:cs="宋体"/>
                <w:b/>
                <w:bCs/>
                <w:color w:val="auto"/>
                <w:sz w:val="22"/>
                <w:szCs w:val="22"/>
                <w:highlight w:val="none"/>
              </w:rPr>
              <w:t>明材料原件扫描件</w:t>
            </w:r>
            <w:r>
              <w:rPr>
                <w:rFonts w:hint="eastAsia" w:ascii="宋体" w:hAnsi="宋体" w:cs="宋体"/>
                <w:b/>
                <w:bCs/>
                <w:color w:val="auto"/>
                <w:sz w:val="22"/>
                <w:szCs w:val="22"/>
                <w:highlight w:val="none"/>
                <w:lang w:val="zh-CN"/>
              </w:rPr>
              <w:t>并加盖</w:t>
            </w:r>
            <w:r>
              <w:rPr>
                <w:rFonts w:hint="eastAsia" w:ascii="宋体" w:hAnsi="宋体" w:cs="宋体"/>
                <w:b/>
                <w:bCs/>
                <w:color w:val="auto"/>
                <w:sz w:val="22"/>
                <w:szCs w:val="22"/>
                <w:highlight w:val="none"/>
              </w:rPr>
              <w:t>投标供应商</w:t>
            </w:r>
            <w:r>
              <w:rPr>
                <w:rFonts w:hint="eastAsia" w:ascii="宋体" w:hAnsi="宋体" w:cs="宋体"/>
                <w:b/>
                <w:bCs/>
                <w:color w:val="auto"/>
                <w:sz w:val="22"/>
                <w:szCs w:val="22"/>
                <w:highlight w:val="none"/>
                <w:lang w:val="zh-CN"/>
              </w:rPr>
              <w:t>公章</w:t>
            </w:r>
            <w:r>
              <w:rPr>
                <w:rFonts w:hint="eastAsia" w:ascii="宋体" w:hAnsi="宋体" w:cs="宋体"/>
                <w:b/>
                <w:bCs/>
                <w:color w:val="auto"/>
                <w:sz w:val="22"/>
                <w:szCs w:val="22"/>
                <w:highlight w:val="none"/>
              </w:rPr>
              <w:t>，不提供或提供不全不得分</w:t>
            </w:r>
            <w:r>
              <w:rPr>
                <w:rFonts w:hint="eastAsia" w:ascii="宋体" w:hAnsi="宋体" w:cs="宋体"/>
                <w:b/>
                <w:bCs/>
                <w:color w:val="auto"/>
                <w:sz w:val="22"/>
                <w:szCs w:val="22"/>
                <w:highlight w:val="none"/>
                <w:lang w:val="zh-CN"/>
              </w:rPr>
              <w:t>。</w:t>
            </w:r>
          </w:p>
        </w:tc>
      </w:tr>
      <w:tr w14:paraId="672B8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trPr>
        <w:tc>
          <w:tcPr>
            <w:tcW w:w="463" w:type="dxa"/>
            <w:vAlign w:val="center"/>
          </w:tcPr>
          <w:p w14:paraId="4EF80D83">
            <w:pPr>
              <w:spacing w:line="360" w:lineRule="auto"/>
              <w:jc w:val="center"/>
              <w:rPr>
                <w:rFonts w:ascii="宋体" w:hAnsi="宋体" w:cs="宋体"/>
                <w:color w:val="auto"/>
                <w:sz w:val="22"/>
                <w:szCs w:val="22"/>
                <w:highlight w:val="none"/>
              </w:rPr>
            </w:pPr>
            <w:r>
              <w:rPr>
                <w:rFonts w:hint="eastAsia" w:ascii="宋体" w:hAnsi="宋体" w:cs="宋体"/>
                <w:color w:val="auto"/>
                <w:sz w:val="22"/>
                <w:szCs w:val="22"/>
                <w:highlight w:val="none"/>
              </w:rPr>
              <w:t>4</w:t>
            </w:r>
          </w:p>
        </w:tc>
        <w:tc>
          <w:tcPr>
            <w:tcW w:w="1677" w:type="dxa"/>
            <w:vAlign w:val="center"/>
          </w:tcPr>
          <w:p w14:paraId="1D2B32EF">
            <w:pPr>
              <w:spacing w:line="360" w:lineRule="auto"/>
              <w:jc w:val="center"/>
              <w:rPr>
                <w:rFonts w:ascii="宋体" w:hAnsi="宋体" w:cs="宋体"/>
                <w:color w:val="auto"/>
                <w:sz w:val="22"/>
                <w:szCs w:val="22"/>
                <w:highlight w:val="none"/>
              </w:rPr>
            </w:pPr>
            <w:r>
              <w:rPr>
                <w:rFonts w:hint="eastAsia" w:ascii="宋体" w:hAnsi="宋体" w:cs="宋体"/>
                <w:color w:val="auto"/>
                <w:sz w:val="22"/>
                <w:szCs w:val="22"/>
                <w:highlight w:val="none"/>
              </w:rPr>
              <w:t>拟投入本项目的人员配备</w:t>
            </w:r>
          </w:p>
        </w:tc>
        <w:tc>
          <w:tcPr>
            <w:tcW w:w="736" w:type="dxa"/>
            <w:vAlign w:val="center"/>
          </w:tcPr>
          <w:p w14:paraId="1D4DB439">
            <w:pPr>
              <w:spacing w:line="360" w:lineRule="auto"/>
              <w:jc w:val="center"/>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8</w:t>
            </w:r>
            <w:r>
              <w:rPr>
                <w:rFonts w:hint="eastAsia" w:ascii="宋体" w:hAnsi="宋体" w:cs="宋体"/>
                <w:color w:val="auto"/>
                <w:sz w:val="22"/>
                <w:szCs w:val="22"/>
                <w:highlight w:val="none"/>
              </w:rPr>
              <w:t>分</w:t>
            </w:r>
          </w:p>
        </w:tc>
        <w:tc>
          <w:tcPr>
            <w:tcW w:w="7070" w:type="dxa"/>
            <w:vAlign w:val="center"/>
          </w:tcPr>
          <w:p w14:paraId="4907A76D">
            <w:pPr>
              <w:numPr>
                <w:ilvl w:val="0"/>
                <w:numId w:val="12"/>
              </w:numPr>
              <w:spacing w:line="360" w:lineRule="auto"/>
              <w:jc w:val="left"/>
              <w:rPr>
                <w:rFonts w:ascii="宋体" w:hAnsi="宋体" w:cs="宋体"/>
                <w:color w:val="auto"/>
                <w:sz w:val="22"/>
                <w:szCs w:val="22"/>
                <w:highlight w:val="none"/>
              </w:rPr>
            </w:pPr>
            <w:r>
              <w:rPr>
                <w:rFonts w:hint="eastAsia" w:ascii="宋体" w:hAnsi="宋体" w:cs="宋体"/>
                <w:color w:val="auto"/>
                <w:sz w:val="22"/>
                <w:szCs w:val="22"/>
                <w:highlight w:val="none"/>
              </w:rPr>
              <w:t>项目负责人（现场总负责人）要求（</w:t>
            </w:r>
            <w:r>
              <w:rPr>
                <w:rFonts w:hint="eastAsia" w:ascii="宋体" w:hAnsi="宋体" w:cs="宋体"/>
                <w:color w:val="auto"/>
                <w:sz w:val="22"/>
                <w:szCs w:val="22"/>
                <w:highlight w:val="none"/>
                <w:lang w:val="en-US" w:eastAsia="zh-CN"/>
              </w:rPr>
              <w:t>3</w:t>
            </w:r>
            <w:r>
              <w:rPr>
                <w:rFonts w:hint="eastAsia" w:ascii="宋体" w:hAnsi="宋体" w:cs="宋体"/>
                <w:color w:val="auto"/>
                <w:sz w:val="22"/>
                <w:szCs w:val="22"/>
                <w:highlight w:val="none"/>
              </w:rPr>
              <w:t>分）：拟配备的项目负责人（现场总负责人）持有高级营养师证书的得</w:t>
            </w:r>
            <w:r>
              <w:rPr>
                <w:rFonts w:hint="eastAsia" w:ascii="宋体" w:hAnsi="宋体" w:cs="宋体"/>
                <w:color w:val="auto"/>
                <w:sz w:val="22"/>
                <w:szCs w:val="22"/>
                <w:highlight w:val="none"/>
                <w:lang w:val="en-US" w:eastAsia="zh-CN"/>
              </w:rPr>
              <w:t>2</w:t>
            </w:r>
            <w:r>
              <w:rPr>
                <w:rFonts w:hint="eastAsia" w:ascii="宋体" w:hAnsi="宋体" w:cs="宋体"/>
                <w:color w:val="auto"/>
                <w:sz w:val="22"/>
                <w:szCs w:val="22"/>
                <w:highlight w:val="none"/>
              </w:rPr>
              <w:t>分；持有食品安全管理员证书的得1分；本项最高得</w:t>
            </w:r>
            <w:r>
              <w:rPr>
                <w:rFonts w:hint="eastAsia" w:ascii="宋体" w:hAnsi="宋体" w:cs="宋体"/>
                <w:color w:val="auto"/>
                <w:sz w:val="22"/>
                <w:szCs w:val="22"/>
                <w:highlight w:val="none"/>
                <w:lang w:val="en-US" w:eastAsia="zh-CN"/>
              </w:rPr>
              <w:t>3</w:t>
            </w:r>
            <w:r>
              <w:rPr>
                <w:rFonts w:hint="eastAsia" w:ascii="宋体" w:hAnsi="宋体" w:cs="宋体"/>
                <w:color w:val="auto"/>
                <w:sz w:val="22"/>
                <w:szCs w:val="22"/>
                <w:highlight w:val="none"/>
              </w:rPr>
              <w:t>分。</w:t>
            </w:r>
          </w:p>
          <w:p w14:paraId="45AEEDB1">
            <w:pPr>
              <w:spacing w:line="360" w:lineRule="auto"/>
              <w:jc w:val="left"/>
              <w:rPr>
                <w:rFonts w:ascii="宋体" w:hAnsi="宋体" w:cs="宋体"/>
                <w:color w:val="auto"/>
                <w:sz w:val="22"/>
                <w:szCs w:val="22"/>
                <w:highlight w:val="none"/>
              </w:rPr>
            </w:pPr>
            <w:r>
              <w:rPr>
                <w:rFonts w:hint="eastAsia" w:ascii="宋体" w:hAnsi="宋体" w:cs="宋体"/>
                <w:color w:val="auto"/>
                <w:sz w:val="22"/>
                <w:szCs w:val="22"/>
                <w:highlight w:val="none"/>
              </w:rPr>
              <w:t>（2）厨师长要求（</w:t>
            </w:r>
            <w:r>
              <w:rPr>
                <w:rFonts w:hint="eastAsia" w:ascii="宋体" w:hAnsi="宋体" w:cs="宋体"/>
                <w:color w:val="auto"/>
                <w:sz w:val="22"/>
                <w:szCs w:val="22"/>
                <w:highlight w:val="none"/>
                <w:lang w:val="en-US" w:eastAsia="zh-CN"/>
              </w:rPr>
              <w:t>2</w:t>
            </w:r>
            <w:r>
              <w:rPr>
                <w:rFonts w:hint="eastAsia" w:ascii="宋体" w:hAnsi="宋体" w:cs="宋体"/>
                <w:color w:val="auto"/>
                <w:sz w:val="22"/>
                <w:szCs w:val="22"/>
                <w:highlight w:val="none"/>
              </w:rPr>
              <w:t>分）：拟配备的厨师长持有人社部门颁发的一级（或高级技师）厨师资格证书</w:t>
            </w:r>
            <w:r>
              <w:rPr>
                <w:rFonts w:ascii="宋体" w:hAnsi="宋体" w:cs="宋体"/>
                <w:color w:val="auto"/>
                <w:sz w:val="22"/>
                <w:szCs w:val="22"/>
                <w:highlight w:val="none"/>
              </w:rPr>
              <w:t>的</w:t>
            </w:r>
            <w:r>
              <w:rPr>
                <w:rFonts w:hint="eastAsia" w:ascii="宋体" w:hAnsi="宋体" w:cs="宋体"/>
                <w:color w:val="auto"/>
                <w:sz w:val="22"/>
                <w:szCs w:val="22"/>
                <w:highlight w:val="none"/>
              </w:rPr>
              <w:t>得</w:t>
            </w:r>
            <w:r>
              <w:rPr>
                <w:rFonts w:hint="eastAsia" w:ascii="宋体" w:hAnsi="宋体" w:cs="宋体"/>
                <w:color w:val="auto"/>
                <w:sz w:val="22"/>
                <w:szCs w:val="22"/>
                <w:highlight w:val="none"/>
                <w:lang w:val="en-US" w:eastAsia="zh-CN"/>
              </w:rPr>
              <w:t>2</w:t>
            </w:r>
            <w:r>
              <w:rPr>
                <w:rFonts w:hint="eastAsia" w:ascii="宋体" w:hAnsi="宋体" w:cs="宋体"/>
                <w:color w:val="auto"/>
                <w:sz w:val="22"/>
                <w:szCs w:val="22"/>
                <w:highlight w:val="none"/>
              </w:rPr>
              <w:t>分，本项最高得</w:t>
            </w:r>
            <w:r>
              <w:rPr>
                <w:rFonts w:hint="eastAsia" w:ascii="宋体" w:hAnsi="宋体" w:cs="宋体"/>
                <w:color w:val="auto"/>
                <w:sz w:val="22"/>
                <w:szCs w:val="22"/>
                <w:highlight w:val="none"/>
                <w:lang w:val="en-US" w:eastAsia="zh-CN"/>
              </w:rPr>
              <w:t>2</w:t>
            </w:r>
            <w:r>
              <w:rPr>
                <w:rFonts w:hint="eastAsia" w:ascii="宋体" w:hAnsi="宋体" w:cs="宋体"/>
                <w:color w:val="auto"/>
                <w:sz w:val="22"/>
                <w:szCs w:val="22"/>
                <w:highlight w:val="none"/>
              </w:rPr>
              <w:t>分。</w:t>
            </w:r>
          </w:p>
          <w:p w14:paraId="62E18B1F">
            <w:pPr>
              <w:spacing w:line="360" w:lineRule="auto"/>
              <w:jc w:val="left"/>
              <w:rPr>
                <w:rFonts w:ascii="宋体" w:hAnsi="宋体" w:cs="宋体"/>
                <w:color w:val="auto"/>
                <w:sz w:val="22"/>
                <w:szCs w:val="22"/>
                <w:highlight w:val="none"/>
              </w:rPr>
            </w:pPr>
            <w:r>
              <w:rPr>
                <w:rFonts w:hint="eastAsia" w:ascii="宋体" w:hAnsi="宋体" w:cs="宋体"/>
                <w:color w:val="auto"/>
                <w:sz w:val="22"/>
                <w:szCs w:val="22"/>
                <w:highlight w:val="none"/>
              </w:rPr>
              <w:t>（3）厨师要求（3分）：拟配备的厨师持有人社部门颁发的三级（或高级）及以上厨师资格证书的</w:t>
            </w:r>
            <w:r>
              <w:rPr>
                <w:rFonts w:hint="eastAsia" w:ascii="宋体" w:hAnsi="宋体" w:cs="宋体"/>
                <w:color w:val="auto"/>
                <w:sz w:val="22"/>
                <w:szCs w:val="22"/>
                <w:highlight w:val="none"/>
                <w:lang w:val="en-US" w:eastAsia="zh-CN"/>
              </w:rPr>
              <w:t>有一个</w:t>
            </w:r>
            <w:r>
              <w:rPr>
                <w:rFonts w:hint="eastAsia" w:ascii="宋体" w:hAnsi="宋体" w:cs="宋体"/>
                <w:color w:val="auto"/>
                <w:sz w:val="22"/>
                <w:szCs w:val="22"/>
                <w:highlight w:val="none"/>
              </w:rPr>
              <w:t>得1分，本项最高得3分。</w:t>
            </w:r>
          </w:p>
          <w:p w14:paraId="01A30CB7">
            <w:pPr>
              <w:spacing w:line="360" w:lineRule="auto"/>
              <w:jc w:val="left"/>
              <w:rPr>
                <w:rFonts w:ascii="宋体" w:hAnsi="宋体" w:cs="宋体"/>
                <w:color w:val="auto"/>
                <w:sz w:val="22"/>
                <w:szCs w:val="22"/>
                <w:highlight w:val="none"/>
              </w:rPr>
            </w:pPr>
            <w:r>
              <w:rPr>
                <w:rFonts w:hint="eastAsia" w:ascii="宋体" w:hAnsi="宋体" w:cs="宋体"/>
                <w:b/>
                <w:bCs/>
                <w:color w:val="auto"/>
                <w:sz w:val="22"/>
                <w:szCs w:val="22"/>
                <w:highlight w:val="none"/>
              </w:rPr>
              <w:t>注：投标文件中</w:t>
            </w:r>
            <w:r>
              <w:rPr>
                <w:rFonts w:hint="eastAsia" w:ascii="宋体" w:hAnsi="宋体" w:cs="宋体"/>
                <w:b/>
                <w:bCs/>
                <w:color w:val="auto"/>
                <w:sz w:val="22"/>
                <w:szCs w:val="22"/>
                <w:highlight w:val="none"/>
                <w:lang w:val="zh-CN"/>
              </w:rPr>
              <w:t>提供</w:t>
            </w:r>
            <w:r>
              <w:rPr>
                <w:rFonts w:hint="eastAsia" w:ascii="宋体" w:hAnsi="宋体" w:cs="宋体"/>
                <w:b/>
                <w:bCs/>
                <w:color w:val="auto"/>
                <w:sz w:val="22"/>
                <w:szCs w:val="22"/>
                <w:highlight w:val="none"/>
              </w:rPr>
              <w:t>上述</w:t>
            </w:r>
            <w:r>
              <w:rPr>
                <w:rFonts w:hint="eastAsia" w:ascii="宋体" w:hAnsi="宋体" w:cs="宋体"/>
                <w:b/>
                <w:bCs/>
                <w:color w:val="auto"/>
                <w:sz w:val="22"/>
                <w:szCs w:val="22"/>
                <w:highlight w:val="none"/>
                <w:lang w:val="zh-CN"/>
              </w:rPr>
              <w:t>相关</w:t>
            </w:r>
            <w:r>
              <w:rPr>
                <w:rFonts w:hint="eastAsia" w:ascii="宋体" w:hAnsi="宋体" w:cs="宋体"/>
                <w:b/>
                <w:bCs/>
                <w:color w:val="auto"/>
                <w:sz w:val="22"/>
                <w:szCs w:val="22"/>
                <w:highlight w:val="none"/>
              </w:rPr>
              <w:t>证书原件扫描件并须提供由社保机构出具的供应商为其缴纳的近三个月中任意一个月份(不含开标当月)社保证明或相关证明材料的原件扫描件</w:t>
            </w:r>
            <w:r>
              <w:rPr>
                <w:rFonts w:hint="eastAsia" w:ascii="宋体" w:hAnsi="宋体" w:cs="宋体"/>
                <w:b/>
                <w:bCs/>
                <w:color w:val="auto"/>
                <w:sz w:val="22"/>
                <w:szCs w:val="22"/>
                <w:highlight w:val="none"/>
                <w:lang w:val="zh-CN"/>
              </w:rPr>
              <w:t>并加盖</w:t>
            </w:r>
            <w:r>
              <w:rPr>
                <w:rFonts w:hint="eastAsia" w:ascii="宋体" w:hAnsi="宋体" w:cs="宋体"/>
                <w:b/>
                <w:bCs/>
                <w:color w:val="auto"/>
                <w:sz w:val="22"/>
                <w:szCs w:val="22"/>
                <w:highlight w:val="none"/>
              </w:rPr>
              <w:t>投标供应商</w:t>
            </w:r>
            <w:r>
              <w:rPr>
                <w:rFonts w:hint="eastAsia" w:ascii="宋体" w:hAnsi="宋体" w:cs="宋体"/>
                <w:b/>
                <w:bCs/>
                <w:color w:val="auto"/>
                <w:sz w:val="22"/>
                <w:szCs w:val="22"/>
                <w:highlight w:val="none"/>
                <w:lang w:val="zh-CN"/>
              </w:rPr>
              <w:t>公章</w:t>
            </w:r>
            <w:r>
              <w:rPr>
                <w:rFonts w:hint="eastAsia" w:ascii="宋体" w:hAnsi="宋体" w:cs="宋体"/>
                <w:b/>
                <w:bCs/>
                <w:color w:val="auto"/>
                <w:sz w:val="22"/>
                <w:szCs w:val="22"/>
                <w:highlight w:val="none"/>
              </w:rPr>
              <w:t>（如投标供应商成立时间迟于要求开始的时间，则时间要求为投标供应商成立时间至截止时间），不提供或提供不全不得分。</w:t>
            </w:r>
          </w:p>
        </w:tc>
      </w:tr>
      <w:tr w14:paraId="22CA7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7" w:hRule="atLeast"/>
        </w:trPr>
        <w:tc>
          <w:tcPr>
            <w:tcW w:w="463" w:type="dxa"/>
            <w:vAlign w:val="center"/>
          </w:tcPr>
          <w:p w14:paraId="0B6FE9F9">
            <w:pPr>
              <w:spacing w:line="360" w:lineRule="auto"/>
              <w:jc w:val="center"/>
              <w:rPr>
                <w:rFonts w:ascii="宋体" w:hAnsi="宋体" w:cs="宋体"/>
                <w:color w:val="auto"/>
                <w:sz w:val="22"/>
                <w:szCs w:val="22"/>
                <w:highlight w:val="none"/>
              </w:rPr>
            </w:pPr>
            <w:r>
              <w:rPr>
                <w:rFonts w:hint="eastAsia" w:ascii="宋体" w:hAnsi="宋体" w:cs="宋体"/>
                <w:color w:val="auto"/>
                <w:sz w:val="22"/>
                <w:szCs w:val="22"/>
                <w:highlight w:val="none"/>
              </w:rPr>
              <w:t>5</w:t>
            </w:r>
          </w:p>
        </w:tc>
        <w:tc>
          <w:tcPr>
            <w:tcW w:w="1677" w:type="dxa"/>
            <w:vAlign w:val="center"/>
          </w:tcPr>
          <w:p w14:paraId="5F6FA51C">
            <w:pPr>
              <w:spacing w:line="360" w:lineRule="auto"/>
              <w:jc w:val="center"/>
              <w:rPr>
                <w:rFonts w:ascii="宋体" w:hAnsi="宋体" w:cs="宋体"/>
                <w:color w:val="auto"/>
                <w:sz w:val="22"/>
                <w:szCs w:val="22"/>
                <w:highlight w:val="none"/>
              </w:rPr>
            </w:pPr>
            <w:r>
              <w:rPr>
                <w:rFonts w:hint="eastAsia" w:ascii="宋体" w:hAnsi="宋体" w:cs="宋体"/>
                <w:color w:val="auto"/>
                <w:sz w:val="22"/>
                <w:szCs w:val="22"/>
                <w:highlight w:val="none"/>
              </w:rPr>
              <w:t>冷藏及冷冻条件</w:t>
            </w:r>
          </w:p>
        </w:tc>
        <w:tc>
          <w:tcPr>
            <w:tcW w:w="736" w:type="dxa"/>
            <w:vAlign w:val="center"/>
          </w:tcPr>
          <w:p w14:paraId="591E1117">
            <w:pPr>
              <w:spacing w:line="360" w:lineRule="auto"/>
              <w:jc w:val="center"/>
              <w:rPr>
                <w:rFonts w:ascii="宋体" w:hAnsi="宋体" w:cs="宋体"/>
                <w:color w:val="auto"/>
                <w:sz w:val="22"/>
                <w:szCs w:val="22"/>
                <w:highlight w:val="none"/>
              </w:rPr>
            </w:pPr>
            <w:r>
              <w:rPr>
                <w:rFonts w:hint="eastAsia" w:ascii="宋体" w:hAnsi="宋体" w:cs="宋体"/>
                <w:color w:val="auto"/>
                <w:sz w:val="22"/>
                <w:szCs w:val="22"/>
                <w:highlight w:val="none"/>
              </w:rPr>
              <w:t>2分</w:t>
            </w:r>
          </w:p>
        </w:tc>
        <w:tc>
          <w:tcPr>
            <w:tcW w:w="7070" w:type="dxa"/>
            <w:vAlign w:val="center"/>
          </w:tcPr>
          <w:p w14:paraId="71828B1A">
            <w:pPr>
              <w:spacing w:line="360" w:lineRule="auto"/>
              <w:jc w:val="left"/>
              <w:rPr>
                <w:rFonts w:ascii="宋体" w:hAnsi="宋体" w:cs="宋体"/>
                <w:color w:val="auto"/>
                <w:sz w:val="22"/>
                <w:szCs w:val="22"/>
                <w:highlight w:val="none"/>
              </w:rPr>
            </w:pPr>
            <w:r>
              <w:rPr>
                <w:rFonts w:hint="eastAsia" w:ascii="宋体" w:hAnsi="宋体"/>
                <w:color w:val="auto"/>
                <w:kern w:val="2"/>
                <w:sz w:val="22"/>
                <w:highlight w:val="none"/>
              </w:rPr>
              <w:t>投标供应商具备保证食材新鲜存货的冷藏库及冷冻库的得2分，</w:t>
            </w:r>
            <w:r>
              <w:rPr>
                <w:rFonts w:hint="eastAsia" w:ascii="宋体" w:hAnsi="宋体" w:cs="宋体"/>
                <w:color w:val="auto"/>
                <w:sz w:val="22"/>
                <w:szCs w:val="22"/>
                <w:highlight w:val="none"/>
              </w:rPr>
              <w:t>本项最高得2分。</w:t>
            </w:r>
          </w:p>
          <w:p w14:paraId="381F45EE">
            <w:pPr>
              <w:spacing w:line="360" w:lineRule="auto"/>
              <w:jc w:val="left"/>
              <w:rPr>
                <w:rFonts w:ascii="宋体" w:hAnsi="宋体" w:cs="宋体"/>
                <w:b/>
                <w:bCs/>
                <w:color w:val="auto"/>
                <w:sz w:val="22"/>
                <w:szCs w:val="22"/>
                <w:highlight w:val="none"/>
              </w:rPr>
            </w:pPr>
            <w:r>
              <w:rPr>
                <w:rFonts w:hint="eastAsia" w:ascii="宋体" w:hAnsi="宋体" w:cs="宋体"/>
                <w:b/>
                <w:bCs/>
                <w:color w:val="auto"/>
                <w:sz w:val="22"/>
                <w:szCs w:val="22"/>
                <w:highlight w:val="none"/>
              </w:rPr>
              <w:t>注：投标文件中</w:t>
            </w:r>
            <w:r>
              <w:rPr>
                <w:rFonts w:hint="eastAsia" w:ascii="宋体" w:hAnsi="宋体" w:cs="宋体"/>
                <w:b/>
                <w:bCs/>
                <w:color w:val="auto"/>
                <w:sz w:val="22"/>
                <w:szCs w:val="22"/>
                <w:highlight w:val="none"/>
                <w:lang w:val="zh-CN"/>
              </w:rPr>
              <w:t>提供</w:t>
            </w:r>
            <w:r>
              <w:rPr>
                <w:rFonts w:hint="eastAsia" w:ascii="宋体" w:hAnsi="宋体"/>
                <w:b/>
                <w:bCs/>
                <w:color w:val="auto"/>
                <w:kern w:val="2"/>
                <w:sz w:val="22"/>
                <w:highlight w:val="none"/>
              </w:rPr>
              <w:t>自有的产权证明材料或采购合同、现场照片原件扫描件</w:t>
            </w:r>
            <w:r>
              <w:rPr>
                <w:rFonts w:hint="eastAsia" w:ascii="宋体" w:hAnsi="宋体" w:cs="宋体"/>
                <w:b/>
                <w:bCs/>
                <w:color w:val="auto"/>
                <w:sz w:val="22"/>
                <w:szCs w:val="22"/>
                <w:highlight w:val="none"/>
                <w:lang w:val="zh-CN"/>
              </w:rPr>
              <w:t>并加盖</w:t>
            </w:r>
            <w:r>
              <w:rPr>
                <w:rFonts w:hint="eastAsia" w:ascii="宋体" w:hAnsi="宋体" w:cs="宋体"/>
                <w:b/>
                <w:bCs/>
                <w:color w:val="auto"/>
                <w:sz w:val="22"/>
                <w:szCs w:val="22"/>
                <w:highlight w:val="none"/>
              </w:rPr>
              <w:t>投标供应商</w:t>
            </w:r>
            <w:r>
              <w:rPr>
                <w:rFonts w:hint="eastAsia" w:ascii="宋体" w:hAnsi="宋体" w:cs="宋体"/>
                <w:b/>
                <w:bCs/>
                <w:color w:val="auto"/>
                <w:sz w:val="22"/>
                <w:szCs w:val="22"/>
                <w:highlight w:val="none"/>
                <w:lang w:val="zh-CN"/>
              </w:rPr>
              <w:t>公章</w:t>
            </w:r>
            <w:r>
              <w:rPr>
                <w:rFonts w:hint="eastAsia" w:ascii="宋体" w:hAnsi="宋体"/>
                <w:color w:val="auto"/>
                <w:kern w:val="2"/>
                <w:sz w:val="22"/>
                <w:highlight w:val="none"/>
              </w:rPr>
              <w:t>；</w:t>
            </w:r>
            <w:r>
              <w:rPr>
                <w:rFonts w:hint="eastAsia" w:ascii="宋体" w:hAnsi="宋体"/>
                <w:b/>
                <w:bCs/>
                <w:color w:val="auto"/>
                <w:kern w:val="2"/>
                <w:sz w:val="22"/>
                <w:highlight w:val="none"/>
              </w:rPr>
              <w:t>租赁的提供租赁合同（须在有效租赁期内）、现场照片原件扫描件</w:t>
            </w:r>
            <w:r>
              <w:rPr>
                <w:rFonts w:hint="eastAsia" w:ascii="宋体" w:hAnsi="宋体"/>
                <w:b/>
                <w:bCs/>
                <w:color w:val="auto"/>
                <w:kern w:val="2"/>
                <w:sz w:val="22"/>
                <w:highlight w:val="none"/>
                <w:lang w:val="zh-CN"/>
              </w:rPr>
              <w:t>并加盖</w:t>
            </w:r>
            <w:r>
              <w:rPr>
                <w:rFonts w:hint="eastAsia" w:ascii="宋体" w:hAnsi="宋体"/>
                <w:b/>
                <w:bCs/>
                <w:color w:val="auto"/>
                <w:kern w:val="2"/>
                <w:sz w:val="22"/>
                <w:highlight w:val="none"/>
              </w:rPr>
              <w:t>投标供应商</w:t>
            </w:r>
            <w:r>
              <w:rPr>
                <w:rFonts w:hint="eastAsia" w:ascii="宋体" w:hAnsi="宋体" w:cs="宋体"/>
                <w:b/>
                <w:bCs/>
                <w:color w:val="auto"/>
                <w:sz w:val="22"/>
                <w:szCs w:val="22"/>
                <w:highlight w:val="none"/>
                <w:lang w:val="zh-CN"/>
              </w:rPr>
              <w:t>公章</w:t>
            </w:r>
            <w:r>
              <w:rPr>
                <w:rFonts w:hint="eastAsia" w:ascii="宋体" w:hAnsi="宋体"/>
                <w:b/>
                <w:bCs/>
                <w:color w:val="auto"/>
                <w:kern w:val="2"/>
                <w:sz w:val="22"/>
                <w:highlight w:val="none"/>
              </w:rPr>
              <w:t>，</w:t>
            </w:r>
            <w:r>
              <w:rPr>
                <w:rFonts w:hint="eastAsia" w:ascii="宋体" w:hAnsi="宋体" w:cs="宋体"/>
                <w:b/>
                <w:bCs/>
                <w:color w:val="auto"/>
                <w:sz w:val="22"/>
                <w:szCs w:val="22"/>
                <w:highlight w:val="none"/>
              </w:rPr>
              <w:t>不提供或提供不全不得分。</w:t>
            </w:r>
          </w:p>
        </w:tc>
      </w:tr>
      <w:tr w14:paraId="2FED3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9946" w:type="dxa"/>
            <w:gridSpan w:val="4"/>
            <w:vAlign w:val="center"/>
          </w:tcPr>
          <w:p w14:paraId="02F94589">
            <w:pPr>
              <w:spacing w:line="360" w:lineRule="auto"/>
              <w:ind w:right="129"/>
              <w:jc w:val="left"/>
              <w:rPr>
                <w:rFonts w:ascii="宋体" w:hAnsi="宋体" w:cs="宋体"/>
                <w:color w:val="auto"/>
                <w:szCs w:val="21"/>
                <w:highlight w:val="none"/>
                <w:lang w:val="zh-TW"/>
              </w:rPr>
            </w:pPr>
            <w:r>
              <w:rPr>
                <w:rFonts w:hint="eastAsia" w:ascii="宋体" w:hAnsi="宋体" w:cs="宋体"/>
                <w:b/>
                <w:bCs/>
                <w:color w:val="auto"/>
                <w:sz w:val="24"/>
                <w:szCs w:val="22"/>
                <w:highlight w:val="none"/>
              </w:rPr>
              <w:t>（三）技术方案（暗标）（60分）</w:t>
            </w:r>
          </w:p>
        </w:tc>
      </w:tr>
      <w:tr w14:paraId="51B2A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2" w:hRule="exact"/>
        </w:trPr>
        <w:tc>
          <w:tcPr>
            <w:tcW w:w="463" w:type="dxa"/>
            <w:vAlign w:val="center"/>
          </w:tcPr>
          <w:p w14:paraId="3B4E38AF">
            <w:pPr>
              <w:spacing w:line="360" w:lineRule="auto"/>
              <w:jc w:val="center"/>
              <w:rPr>
                <w:rFonts w:ascii="宋体" w:hAnsi="宋体" w:cs="宋体"/>
                <w:color w:val="auto"/>
                <w:sz w:val="22"/>
                <w:szCs w:val="22"/>
                <w:highlight w:val="none"/>
              </w:rPr>
            </w:pPr>
            <w:r>
              <w:rPr>
                <w:rFonts w:hint="eastAsia" w:ascii="宋体" w:hAnsi="宋体" w:cs="宋体"/>
                <w:bCs/>
                <w:color w:val="auto"/>
                <w:sz w:val="22"/>
                <w:szCs w:val="22"/>
                <w:highlight w:val="none"/>
              </w:rPr>
              <w:t>1</w:t>
            </w:r>
          </w:p>
        </w:tc>
        <w:tc>
          <w:tcPr>
            <w:tcW w:w="1677" w:type="dxa"/>
            <w:vAlign w:val="center"/>
          </w:tcPr>
          <w:p w14:paraId="42E1766E">
            <w:pPr>
              <w:spacing w:line="360" w:lineRule="auto"/>
              <w:jc w:val="center"/>
              <w:rPr>
                <w:rFonts w:ascii="宋体" w:hAnsi="宋体" w:cs="宋体"/>
                <w:bCs/>
                <w:color w:val="auto"/>
                <w:sz w:val="22"/>
                <w:szCs w:val="22"/>
                <w:highlight w:val="none"/>
              </w:rPr>
            </w:pPr>
            <w:r>
              <w:rPr>
                <w:rFonts w:hint="eastAsia" w:ascii="宋体" w:hAnsi="宋体" w:cs="宋体"/>
                <w:bCs/>
                <w:color w:val="auto"/>
                <w:sz w:val="22"/>
                <w:szCs w:val="22"/>
                <w:highlight w:val="none"/>
              </w:rPr>
              <w:t>餐饮服务管理工作实施方案</w:t>
            </w:r>
          </w:p>
        </w:tc>
        <w:tc>
          <w:tcPr>
            <w:tcW w:w="736" w:type="dxa"/>
            <w:vAlign w:val="center"/>
          </w:tcPr>
          <w:p w14:paraId="5E89202B">
            <w:pPr>
              <w:spacing w:line="360" w:lineRule="auto"/>
              <w:jc w:val="center"/>
              <w:rPr>
                <w:rFonts w:ascii="宋体" w:hAnsi="宋体" w:cs="宋体"/>
                <w:b/>
                <w:bCs/>
                <w:color w:val="auto"/>
                <w:sz w:val="22"/>
                <w:szCs w:val="22"/>
                <w:highlight w:val="none"/>
              </w:rPr>
            </w:pPr>
            <w:r>
              <w:rPr>
                <w:rFonts w:hint="eastAsia" w:ascii="宋体" w:hAnsi="宋体" w:cs="宋体"/>
                <w:color w:val="auto"/>
                <w:sz w:val="22"/>
                <w:szCs w:val="22"/>
                <w:highlight w:val="none"/>
              </w:rPr>
              <w:t>8分</w:t>
            </w:r>
          </w:p>
        </w:tc>
        <w:tc>
          <w:tcPr>
            <w:tcW w:w="7070" w:type="dxa"/>
            <w:vAlign w:val="center"/>
          </w:tcPr>
          <w:p w14:paraId="4DA3F307">
            <w:pPr>
              <w:spacing w:line="360" w:lineRule="auto"/>
              <w:rPr>
                <w:rFonts w:ascii="宋体" w:hAnsi="宋体" w:cs="宋体"/>
                <w:bCs/>
                <w:color w:val="auto"/>
                <w:sz w:val="22"/>
                <w:szCs w:val="22"/>
                <w:highlight w:val="none"/>
              </w:rPr>
            </w:pPr>
            <w:r>
              <w:rPr>
                <w:rFonts w:hint="eastAsia" w:ascii="宋体" w:hAnsi="宋体" w:cs="宋体"/>
                <w:bCs/>
                <w:color w:val="auto"/>
                <w:sz w:val="22"/>
                <w:szCs w:val="22"/>
                <w:highlight w:val="none"/>
              </w:rPr>
              <w:t>内容包括：①管理目标及整体设想；②管理服务体系；③日常服务标准及措施；④监督检查考核机制。</w:t>
            </w:r>
          </w:p>
          <w:p w14:paraId="25AF327B">
            <w:pPr>
              <w:spacing w:line="360" w:lineRule="auto"/>
              <w:rPr>
                <w:rFonts w:ascii="宋体" w:hAnsi="宋体" w:cs="宋体"/>
                <w:bCs/>
                <w:color w:val="auto"/>
                <w:sz w:val="22"/>
                <w:szCs w:val="22"/>
                <w:highlight w:val="none"/>
              </w:rPr>
            </w:pPr>
            <w:r>
              <w:rPr>
                <w:rFonts w:hint="eastAsia" w:ascii="宋体" w:hAnsi="宋体" w:cs="宋体"/>
                <w:bCs/>
                <w:color w:val="auto"/>
                <w:sz w:val="22"/>
                <w:szCs w:val="22"/>
                <w:highlight w:val="none"/>
              </w:rPr>
              <w:t>投标供应商须针对每条内容进行阐述，要求阐述内容详实、满足采购需求、切实可行有效。以上每条内容不存在瑕疵的得2分，存在1处瑕疵的得1分，存在2处瑕疵的、有基本的解释说明的得0.5分，未进行阐述或不满足采购需求或内容存在2处以上瑕疵的得0分；本项共计4点内容，本项最高得8分。</w:t>
            </w:r>
          </w:p>
          <w:p w14:paraId="4D30517B">
            <w:pPr>
              <w:spacing w:line="360" w:lineRule="auto"/>
              <w:rPr>
                <w:rFonts w:ascii="宋体" w:hAnsi="宋体" w:cs="宋体"/>
                <w:bCs/>
                <w:color w:val="auto"/>
                <w:sz w:val="22"/>
                <w:szCs w:val="22"/>
                <w:highlight w:val="none"/>
              </w:rPr>
            </w:pPr>
            <w:r>
              <w:rPr>
                <w:rFonts w:hint="eastAsia" w:ascii="宋体" w:hAnsi="宋体" w:cs="宋体"/>
                <w:bCs/>
                <w:color w:val="auto"/>
                <w:sz w:val="22"/>
                <w:szCs w:val="22"/>
                <w:highlight w:val="none"/>
              </w:rPr>
              <w:t>注:以上所称“瑕疵”是指:①内容缺项、不完整或缺少关键点；②非专门针对本项目或不适用本项目特性、套用其他项目内容；③对同一问题前后表述矛盾；④存在逻辑漏洞或常识错误；⑤不利于本项目目标的实现、现有项目背景条件下不可能出现的情形等任意一种情形。</w:t>
            </w:r>
          </w:p>
        </w:tc>
      </w:tr>
      <w:tr w14:paraId="6CB1F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463" w:type="dxa"/>
            <w:vAlign w:val="center"/>
          </w:tcPr>
          <w:p w14:paraId="4E18FC4D">
            <w:pPr>
              <w:spacing w:line="360" w:lineRule="auto"/>
              <w:jc w:val="center"/>
              <w:rPr>
                <w:rFonts w:ascii="宋体" w:hAnsi="宋体" w:cs="宋体"/>
                <w:color w:val="auto"/>
                <w:sz w:val="22"/>
                <w:szCs w:val="22"/>
                <w:highlight w:val="none"/>
              </w:rPr>
            </w:pPr>
            <w:r>
              <w:rPr>
                <w:rFonts w:hint="eastAsia" w:ascii="宋体" w:hAnsi="宋体" w:cs="宋体"/>
                <w:bCs/>
                <w:color w:val="auto"/>
                <w:sz w:val="22"/>
                <w:szCs w:val="22"/>
                <w:highlight w:val="none"/>
              </w:rPr>
              <w:t>2</w:t>
            </w:r>
          </w:p>
        </w:tc>
        <w:tc>
          <w:tcPr>
            <w:tcW w:w="1677" w:type="dxa"/>
            <w:vAlign w:val="center"/>
          </w:tcPr>
          <w:p w14:paraId="2F93FECC">
            <w:pPr>
              <w:spacing w:line="360" w:lineRule="auto"/>
              <w:rPr>
                <w:rFonts w:ascii="宋体" w:hAnsi="宋体" w:cs="宋体"/>
                <w:bCs/>
                <w:color w:val="auto"/>
                <w:sz w:val="22"/>
                <w:szCs w:val="22"/>
                <w:highlight w:val="none"/>
              </w:rPr>
            </w:pPr>
            <w:r>
              <w:rPr>
                <w:rFonts w:hint="eastAsia" w:ascii="宋体" w:hAnsi="宋体" w:cs="宋体"/>
                <w:bCs/>
                <w:color w:val="auto"/>
                <w:sz w:val="22"/>
                <w:szCs w:val="22"/>
                <w:highlight w:val="none"/>
              </w:rPr>
              <w:t>日常管理流程图</w:t>
            </w:r>
          </w:p>
        </w:tc>
        <w:tc>
          <w:tcPr>
            <w:tcW w:w="736" w:type="dxa"/>
            <w:vAlign w:val="center"/>
          </w:tcPr>
          <w:p w14:paraId="5BA2B65E">
            <w:pPr>
              <w:spacing w:line="360" w:lineRule="auto"/>
              <w:rPr>
                <w:rFonts w:ascii="宋体" w:hAnsi="宋体" w:cs="宋体"/>
                <w:bCs/>
                <w:color w:val="auto"/>
                <w:sz w:val="22"/>
                <w:szCs w:val="22"/>
                <w:highlight w:val="none"/>
              </w:rPr>
            </w:pPr>
            <w:r>
              <w:rPr>
                <w:rFonts w:hint="eastAsia" w:ascii="宋体" w:hAnsi="宋体" w:cs="宋体"/>
                <w:bCs/>
                <w:color w:val="auto"/>
                <w:sz w:val="22"/>
                <w:szCs w:val="22"/>
                <w:highlight w:val="none"/>
              </w:rPr>
              <w:t>4分</w:t>
            </w:r>
          </w:p>
        </w:tc>
        <w:tc>
          <w:tcPr>
            <w:tcW w:w="7070" w:type="dxa"/>
            <w:vAlign w:val="center"/>
          </w:tcPr>
          <w:p w14:paraId="0C3B2153">
            <w:pPr>
              <w:spacing w:line="360" w:lineRule="auto"/>
              <w:rPr>
                <w:rFonts w:ascii="宋体" w:hAnsi="宋体" w:cs="宋体"/>
                <w:bCs/>
                <w:color w:val="auto"/>
                <w:sz w:val="22"/>
                <w:szCs w:val="22"/>
                <w:highlight w:val="none"/>
              </w:rPr>
            </w:pPr>
            <w:r>
              <w:rPr>
                <w:rFonts w:hint="eastAsia" w:ascii="宋体" w:hAnsi="宋体" w:cs="宋体"/>
                <w:bCs/>
                <w:color w:val="auto"/>
                <w:sz w:val="22"/>
                <w:szCs w:val="22"/>
                <w:highlight w:val="none"/>
              </w:rPr>
              <w:t>内容包括：①各服务流程节点图；②各服务人员配置及分布图。</w:t>
            </w:r>
          </w:p>
          <w:p w14:paraId="537A1337">
            <w:pPr>
              <w:spacing w:line="360" w:lineRule="auto"/>
              <w:rPr>
                <w:rFonts w:ascii="宋体" w:hAnsi="宋体" w:cs="宋体"/>
                <w:bCs/>
                <w:color w:val="auto"/>
                <w:sz w:val="22"/>
                <w:szCs w:val="22"/>
                <w:highlight w:val="none"/>
              </w:rPr>
            </w:pPr>
            <w:r>
              <w:rPr>
                <w:rFonts w:hint="eastAsia" w:ascii="宋体" w:hAnsi="宋体" w:cs="宋体"/>
                <w:bCs/>
                <w:color w:val="auto"/>
                <w:sz w:val="22"/>
                <w:szCs w:val="22"/>
                <w:highlight w:val="none"/>
              </w:rPr>
              <w:t>投标供应商须针对每条内容进行阐述，要求阐述内容详实、满足采购需求、切实可行有效。以上每条内容不存在瑕疵的得2分，存在1处瑕疵的得1分，存在2处瑕疵的、有基本的解释说明的得0.5分，未进行阐述或不满足采购需求或内容存在2处以上瑕疵的得0分；本项共计2点内容，本项最高得4分。</w:t>
            </w:r>
          </w:p>
          <w:p w14:paraId="0D400950">
            <w:pPr>
              <w:spacing w:line="360" w:lineRule="auto"/>
              <w:rPr>
                <w:rFonts w:ascii="宋体" w:hAnsi="宋体" w:cs="宋体"/>
                <w:bCs/>
                <w:color w:val="auto"/>
                <w:sz w:val="22"/>
                <w:szCs w:val="22"/>
                <w:highlight w:val="none"/>
              </w:rPr>
            </w:pPr>
            <w:r>
              <w:rPr>
                <w:rFonts w:hint="eastAsia" w:ascii="宋体" w:hAnsi="宋体" w:cs="宋体"/>
                <w:bCs/>
                <w:color w:val="auto"/>
                <w:sz w:val="22"/>
                <w:szCs w:val="22"/>
                <w:highlight w:val="none"/>
              </w:rPr>
              <w:t>注:以上所称“瑕疵”是指:①内容缺项、不完整或缺少关键点；②非专门针对本项目或不适用本项目特性、套用其他项目内容；③对同一问题前后表述矛盾；④存在逻辑漏洞或常识错误；⑤不利于本项目目标的实现、现有项目背景条件下不可能出现的情形等任意一种情形。</w:t>
            </w:r>
          </w:p>
        </w:tc>
      </w:tr>
      <w:tr w14:paraId="62812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463" w:type="dxa"/>
            <w:vAlign w:val="center"/>
          </w:tcPr>
          <w:p w14:paraId="03649274">
            <w:pPr>
              <w:spacing w:line="360" w:lineRule="auto"/>
              <w:jc w:val="center"/>
              <w:rPr>
                <w:rFonts w:ascii="宋体" w:hAnsi="宋体" w:cs="宋体"/>
                <w:color w:val="auto"/>
                <w:sz w:val="22"/>
                <w:szCs w:val="22"/>
                <w:highlight w:val="none"/>
              </w:rPr>
            </w:pPr>
            <w:r>
              <w:rPr>
                <w:rFonts w:hint="eastAsia" w:ascii="宋体" w:hAnsi="宋体" w:cs="宋体"/>
                <w:bCs/>
                <w:color w:val="auto"/>
                <w:sz w:val="22"/>
                <w:szCs w:val="22"/>
                <w:highlight w:val="none"/>
              </w:rPr>
              <w:t>3</w:t>
            </w:r>
          </w:p>
        </w:tc>
        <w:tc>
          <w:tcPr>
            <w:tcW w:w="1677" w:type="dxa"/>
            <w:vAlign w:val="center"/>
          </w:tcPr>
          <w:p w14:paraId="4453222A">
            <w:pPr>
              <w:spacing w:line="360" w:lineRule="auto"/>
              <w:jc w:val="center"/>
              <w:rPr>
                <w:rFonts w:ascii="宋体" w:hAnsi="宋体" w:cs="宋体"/>
                <w:color w:val="auto"/>
                <w:sz w:val="22"/>
                <w:szCs w:val="22"/>
                <w:highlight w:val="none"/>
              </w:rPr>
            </w:pPr>
            <w:r>
              <w:rPr>
                <w:rFonts w:hint="eastAsia" w:ascii="宋体" w:hAnsi="宋体" w:cs="宋体"/>
                <w:color w:val="auto"/>
                <w:sz w:val="22"/>
                <w:szCs w:val="22"/>
                <w:highlight w:val="none"/>
              </w:rPr>
              <w:t>日常管理制度和工作标准</w:t>
            </w:r>
          </w:p>
        </w:tc>
        <w:tc>
          <w:tcPr>
            <w:tcW w:w="736" w:type="dxa"/>
            <w:vAlign w:val="center"/>
          </w:tcPr>
          <w:p w14:paraId="44527DAC">
            <w:pPr>
              <w:spacing w:line="360" w:lineRule="auto"/>
              <w:jc w:val="center"/>
              <w:rPr>
                <w:rFonts w:ascii="宋体" w:hAnsi="宋体" w:cs="宋体"/>
                <w:b/>
                <w:bCs/>
                <w:color w:val="auto"/>
                <w:sz w:val="22"/>
                <w:szCs w:val="22"/>
                <w:highlight w:val="none"/>
              </w:rPr>
            </w:pPr>
            <w:r>
              <w:rPr>
                <w:rFonts w:hint="eastAsia" w:ascii="宋体" w:hAnsi="宋体" w:cs="宋体"/>
                <w:bCs/>
                <w:color w:val="auto"/>
                <w:sz w:val="22"/>
                <w:szCs w:val="22"/>
                <w:highlight w:val="none"/>
              </w:rPr>
              <w:t>12分</w:t>
            </w:r>
          </w:p>
        </w:tc>
        <w:tc>
          <w:tcPr>
            <w:tcW w:w="7070" w:type="dxa"/>
            <w:vAlign w:val="center"/>
          </w:tcPr>
          <w:p w14:paraId="2BAC1636">
            <w:pPr>
              <w:spacing w:line="360" w:lineRule="auto"/>
              <w:rPr>
                <w:rFonts w:ascii="宋体" w:hAnsi="宋体" w:cs="宋体"/>
                <w:bCs/>
                <w:color w:val="auto"/>
                <w:sz w:val="22"/>
                <w:szCs w:val="22"/>
                <w:highlight w:val="none"/>
              </w:rPr>
            </w:pPr>
            <w:r>
              <w:rPr>
                <w:rFonts w:hint="eastAsia" w:ascii="宋体" w:hAnsi="宋体" w:cs="宋体"/>
                <w:bCs/>
                <w:color w:val="auto"/>
                <w:sz w:val="22"/>
                <w:szCs w:val="22"/>
                <w:highlight w:val="none"/>
              </w:rPr>
              <w:t>内容包括：①质量管理制度；②卫生管理制度；③食品索证登记制度；④食品逐日消耗登记制度；⑤员工奖惩制度；⑥操作工艺流程及食品留样制度。</w:t>
            </w:r>
          </w:p>
          <w:p w14:paraId="03DCF096">
            <w:pPr>
              <w:spacing w:line="360" w:lineRule="auto"/>
              <w:rPr>
                <w:rFonts w:ascii="宋体" w:hAnsi="宋体" w:cs="宋体"/>
                <w:bCs/>
                <w:color w:val="auto"/>
                <w:sz w:val="22"/>
                <w:szCs w:val="22"/>
                <w:highlight w:val="none"/>
              </w:rPr>
            </w:pPr>
            <w:r>
              <w:rPr>
                <w:rFonts w:hint="eastAsia" w:ascii="宋体" w:hAnsi="宋体" w:cs="宋体"/>
                <w:bCs/>
                <w:color w:val="auto"/>
                <w:sz w:val="22"/>
                <w:szCs w:val="22"/>
                <w:highlight w:val="none"/>
              </w:rPr>
              <w:t>投标供应商须针对每条内容进行阐述，要求阐述内容详实、满足采购需求、切实可行有效。以上每条内容不存在瑕疵的得2分，存在1处瑕疵的得1分，存在2处瑕疵的、有基本的解释说明的得0.5分，未进行阐述或不满足采购需求或内容存在2处以上瑕疵的得0分；本项共计6点内容，本项最高得12分。</w:t>
            </w:r>
          </w:p>
          <w:p w14:paraId="4E064B3C">
            <w:pPr>
              <w:spacing w:line="360" w:lineRule="auto"/>
              <w:rPr>
                <w:rFonts w:ascii="宋体" w:hAnsi="宋体" w:cs="宋体"/>
                <w:bCs/>
                <w:color w:val="auto"/>
                <w:sz w:val="22"/>
                <w:szCs w:val="22"/>
                <w:highlight w:val="none"/>
              </w:rPr>
            </w:pPr>
            <w:r>
              <w:rPr>
                <w:rFonts w:hint="eastAsia" w:ascii="宋体" w:hAnsi="宋体" w:cs="宋体"/>
                <w:bCs/>
                <w:color w:val="auto"/>
                <w:sz w:val="22"/>
                <w:szCs w:val="22"/>
                <w:highlight w:val="none"/>
              </w:rPr>
              <w:t>注:以上所称“瑕疵”是指:①内容缺项、不完整或缺少关键点；②非专门针对本项目或不适用本项目特性、套用其他项目内容；③对同一问题前后表述矛盾；④存在逻辑漏洞或常识错误；⑤不利于本项目目标的实现、现有项目背景条件下不可能出现的情形等任意一种情形。</w:t>
            </w:r>
          </w:p>
        </w:tc>
      </w:tr>
      <w:tr w14:paraId="47D4B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463" w:type="dxa"/>
            <w:vAlign w:val="center"/>
          </w:tcPr>
          <w:p w14:paraId="0F7903EE">
            <w:pPr>
              <w:spacing w:line="360" w:lineRule="auto"/>
              <w:jc w:val="center"/>
              <w:rPr>
                <w:rFonts w:ascii="宋体" w:hAnsi="宋体" w:cs="宋体"/>
                <w:bCs/>
                <w:color w:val="auto"/>
                <w:sz w:val="22"/>
                <w:szCs w:val="22"/>
                <w:highlight w:val="none"/>
              </w:rPr>
            </w:pPr>
            <w:r>
              <w:rPr>
                <w:rFonts w:hint="eastAsia" w:ascii="宋体" w:hAnsi="宋体" w:cs="宋体"/>
                <w:bCs/>
                <w:color w:val="auto"/>
                <w:sz w:val="22"/>
                <w:szCs w:val="22"/>
                <w:highlight w:val="none"/>
              </w:rPr>
              <w:t>4</w:t>
            </w:r>
          </w:p>
        </w:tc>
        <w:tc>
          <w:tcPr>
            <w:tcW w:w="1677" w:type="dxa"/>
            <w:vAlign w:val="center"/>
          </w:tcPr>
          <w:p w14:paraId="30987EC1">
            <w:pPr>
              <w:spacing w:line="360" w:lineRule="auto"/>
              <w:jc w:val="center"/>
              <w:rPr>
                <w:rFonts w:ascii="宋体" w:hAnsi="宋体" w:cs="宋体"/>
                <w:color w:val="auto"/>
                <w:sz w:val="22"/>
                <w:szCs w:val="22"/>
                <w:highlight w:val="none"/>
              </w:rPr>
            </w:pPr>
            <w:r>
              <w:rPr>
                <w:rFonts w:hint="eastAsia" w:ascii="宋体" w:hAnsi="宋体" w:cs="宋体"/>
                <w:color w:val="auto"/>
                <w:sz w:val="22"/>
                <w:szCs w:val="22"/>
                <w:highlight w:val="none"/>
              </w:rPr>
              <w:t>防火、防食物中毒等突发事件的应急预案</w:t>
            </w:r>
          </w:p>
        </w:tc>
        <w:tc>
          <w:tcPr>
            <w:tcW w:w="736" w:type="dxa"/>
            <w:vAlign w:val="center"/>
          </w:tcPr>
          <w:p w14:paraId="65437BEA">
            <w:pPr>
              <w:spacing w:line="360" w:lineRule="auto"/>
              <w:jc w:val="center"/>
              <w:rPr>
                <w:rFonts w:ascii="宋体" w:hAnsi="宋体" w:cs="宋体"/>
                <w:b/>
                <w:bCs/>
                <w:color w:val="auto"/>
                <w:sz w:val="22"/>
                <w:szCs w:val="22"/>
                <w:highlight w:val="none"/>
              </w:rPr>
            </w:pPr>
            <w:r>
              <w:rPr>
                <w:rFonts w:hint="eastAsia" w:ascii="宋体" w:hAnsi="宋体" w:cs="宋体"/>
                <w:color w:val="auto"/>
                <w:sz w:val="22"/>
                <w:szCs w:val="22"/>
                <w:highlight w:val="none"/>
              </w:rPr>
              <w:t>4分</w:t>
            </w:r>
          </w:p>
        </w:tc>
        <w:tc>
          <w:tcPr>
            <w:tcW w:w="7070" w:type="dxa"/>
            <w:vAlign w:val="center"/>
          </w:tcPr>
          <w:p w14:paraId="68F5BCFC">
            <w:pPr>
              <w:spacing w:line="360" w:lineRule="auto"/>
              <w:rPr>
                <w:rFonts w:ascii="宋体" w:hAnsi="宋体" w:cs="宋体"/>
                <w:bCs/>
                <w:color w:val="auto"/>
                <w:sz w:val="22"/>
                <w:szCs w:val="22"/>
                <w:highlight w:val="none"/>
              </w:rPr>
            </w:pPr>
            <w:r>
              <w:rPr>
                <w:rFonts w:hint="eastAsia" w:ascii="宋体" w:hAnsi="宋体" w:cs="宋体"/>
                <w:bCs/>
                <w:color w:val="auto"/>
                <w:sz w:val="22"/>
                <w:szCs w:val="22"/>
                <w:highlight w:val="none"/>
              </w:rPr>
              <w:t>内容包括：①防火预案；②防食品中毒预案。</w:t>
            </w:r>
          </w:p>
          <w:p w14:paraId="36600EDA">
            <w:pPr>
              <w:spacing w:line="360" w:lineRule="auto"/>
              <w:rPr>
                <w:rFonts w:ascii="宋体" w:hAnsi="宋体" w:cs="宋体"/>
                <w:bCs/>
                <w:color w:val="auto"/>
                <w:sz w:val="22"/>
                <w:szCs w:val="22"/>
                <w:highlight w:val="none"/>
              </w:rPr>
            </w:pPr>
            <w:r>
              <w:rPr>
                <w:rFonts w:hint="eastAsia" w:ascii="宋体" w:hAnsi="宋体" w:cs="宋体"/>
                <w:bCs/>
                <w:color w:val="auto"/>
                <w:sz w:val="22"/>
                <w:szCs w:val="22"/>
                <w:highlight w:val="none"/>
              </w:rPr>
              <w:t>投标供应商须针对每条内容进行阐述，要求阐述内容详实、满足采购需求、切实可行有效。以上每条内容不存在瑕疵的得2分，存在1处瑕疵的得1分，存在2处瑕疵的、有基本的解释说明的得0.5分，未进行阐述或不满足采购需求或内容存在2处以上瑕疵的得0分；本项共计2点内容，本项最高得4分。</w:t>
            </w:r>
          </w:p>
          <w:p w14:paraId="1E268BFA">
            <w:pPr>
              <w:spacing w:line="360" w:lineRule="auto"/>
              <w:rPr>
                <w:color w:val="auto"/>
                <w:highlight w:val="none"/>
              </w:rPr>
            </w:pPr>
            <w:r>
              <w:rPr>
                <w:rFonts w:hint="eastAsia" w:ascii="宋体" w:hAnsi="宋体" w:cs="宋体"/>
                <w:bCs/>
                <w:color w:val="auto"/>
                <w:sz w:val="22"/>
                <w:szCs w:val="22"/>
                <w:highlight w:val="none"/>
              </w:rPr>
              <w:t>注:以上所称“瑕疵”是指:①内容缺项、不完整或缺少关键点；②非专门针对本项目或不适用本项目特性、套用其他项目内容；③对同一问题前后表述矛盾；④存在逻辑漏洞或常识错误；⑤不利于本项目目标的实现、现有项目背景条件下不可能出现的情形等任意一种情形。</w:t>
            </w:r>
          </w:p>
        </w:tc>
      </w:tr>
      <w:tr w14:paraId="53526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4" w:hRule="atLeast"/>
        </w:trPr>
        <w:tc>
          <w:tcPr>
            <w:tcW w:w="463" w:type="dxa"/>
            <w:vAlign w:val="center"/>
          </w:tcPr>
          <w:p w14:paraId="4607C7EB">
            <w:pPr>
              <w:spacing w:line="360" w:lineRule="auto"/>
              <w:jc w:val="center"/>
              <w:rPr>
                <w:rFonts w:ascii="宋体" w:hAnsi="宋体" w:cs="宋体"/>
                <w:color w:val="auto"/>
                <w:sz w:val="22"/>
                <w:szCs w:val="22"/>
                <w:highlight w:val="none"/>
              </w:rPr>
            </w:pPr>
            <w:r>
              <w:rPr>
                <w:rFonts w:hint="eastAsia" w:ascii="宋体" w:hAnsi="宋体" w:cs="宋体"/>
                <w:bCs/>
                <w:color w:val="auto"/>
                <w:sz w:val="22"/>
                <w:szCs w:val="22"/>
                <w:highlight w:val="none"/>
              </w:rPr>
              <w:t>5</w:t>
            </w:r>
          </w:p>
        </w:tc>
        <w:tc>
          <w:tcPr>
            <w:tcW w:w="1677" w:type="dxa"/>
            <w:vAlign w:val="center"/>
          </w:tcPr>
          <w:p w14:paraId="338D5205">
            <w:pPr>
              <w:spacing w:line="360" w:lineRule="auto"/>
              <w:jc w:val="center"/>
              <w:rPr>
                <w:rFonts w:ascii="宋体" w:hAnsi="宋体" w:cs="宋体"/>
                <w:bCs/>
                <w:color w:val="auto"/>
                <w:sz w:val="22"/>
                <w:szCs w:val="22"/>
                <w:highlight w:val="none"/>
              </w:rPr>
            </w:pPr>
            <w:r>
              <w:rPr>
                <w:rFonts w:hint="eastAsia" w:ascii="宋体" w:hAnsi="宋体" w:cs="宋体"/>
                <w:bCs/>
                <w:color w:val="auto"/>
                <w:sz w:val="22"/>
                <w:szCs w:val="22"/>
                <w:highlight w:val="none"/>
              </w:rPr>
              <w:t>保障应急任务后备人员充足的承诺</w:t>
            </w:r>
          </w:p>
        </w:tc>
        <w:tc>
          <w:tcPr>
            <w:tcW w:w="736" w:type="dxa"/>
            <w:vAlign w:val="center"/>
          </w:tcPr>
          <w:p w14:paraId="4F9066E0">
            <w:pPr>
              <w:spacing w:line="360" w:lineRule="auto"/>
              <w:jc w:val="center"/>
              <w:rPr>
                <w:rFonts w:ascii="宋体" w:hAnsi="宋体" w:cs="宋体"/>
                <w:b/>
                <w:bCs/>
                <w:color w:val="auto"/>
                <w:sz w:val="22"/>
                <w:szCs w:val="22"/>
                <w:highlight w:val="none"/>
              </w:rPr>
            </w:pPr>
            <w:r>
              <w:rPr>
                <w:rFonts w:hint="eastAsia" w:ascii="宋体" w:hAnsi="宋体" w:cs="宋体"/>
                <w:color w:val="auto"/>
                <w:sz w:val="22"/>
                <w:szCs w:val="22"/>
                <w:highlight w:val="none"/>
              </w:rPr>
              <w:t>4分</w:t>
            </w:r>
          </w:p>
        </w:tc>
        <w:tc>
          <w:tcPr>
            <w:tcW w:w="7070" w:type="dxa"/>
            <w:vAlign w:val="center"/>
          </w:tcPr>
          <w:p w14:paraId="71C79024">
            <w:pPr>
              <w:spacing w:line="360" w:lineRule="auto"/>
              <w:rPr>
                <w:rFonts w:ascii="宋体" w:hAnsi="宋体" w:cs="宋体"/>
                <w:bCs/>
                <w:color w:val="auto"/>
                <w:sz w:val="22"/>
                <w:szCs w:val="22"/>
                <w:highlight w:val="none"/>
              </w:rPr>
            </w:pPr>
            <w:r>
              <w:rPr>
                <w:rFonts w:hint="eastAsia" w:ascii="宋体" w:hAnsi="宋体" w:cs="宋体"/>
                <w:bCs/>
                <w:color w:val="auto"/>
                <w:sz w:val="22"/>
                <w:szCs w:val="22"/>
                <w:highlight w:val="none"/>
              </w:rPr>
              <w:t>内容包括：①保障应急任务后备人员配置承诺；②保障应急任务人员管理</w:t>
            </w:r>
            <w:r>
              <w:rPr>
                <w:rFonts w:ascii="宋体" w:hAnsi="宋体" w:cs="宋体"/>
                <w:bCs/>
                <w:color w:val="auto"/>
                <w:sz w:val="22"/>
                <w:szCs w:val="22"/>
                <w:highlight w:val="none"/>
              </w:rPr>
              <w:t>承诺</w:t>
            </w:r>
            <w:r>
              <w:rPr>
                <w:rFonts w:hint="eastAsia" w:ascii="宋体" w:hAnsi="宋体" w:cs="宋体"/>
                <w:bCs/>
                <w:color w:val="auto"/>
                <w:sz w:val="22"/>
                <w:szCs w:val="22"/>
                <w:highlight w:val="none"/>
              </w:rPr>
              <w:t>。</w:t>
            </w:r>
          </w:p>
          <w:p w14:paraId="0FF19D15">
            <w:pPr>
              <w:spacing w:line="360" w:lineRule="auto"/>
              <w:rPr>
                <w:rFonts w:ascii="宋体" w:hAnsi="宋体" w:cs="宋体"/>
                <w:bCs/>
                <w:color w:val="auto"/>
                <w:sz w:val="22"/>
                <w:szCs w:val="22"/>
                <w:highlight w:val="none"/>
              </w:rPr>
            </w:pPr>
            <w:r>
              <w:rPr>
                <w:rFonts w:hint="eastAsia" w:ascii="宋体" w:hAnsi="宋体" w:cs="宋体"/>
                <w:bCs/>
                <w:color w:val="auto"/>
                <w:sz w:val="22"/>
                <w:szCs w:val="22"/>
                <w:highlight w:val="none"/>
              </w:rPr>
              <w:t>投标供应商须针对每条内容进行阐述，要求阐述内容详实、满足采购需求、切实可行有效。以上每条内容不存在瑕疵的得2分，存在1处瑕疵的得1分，存在2处瑕疵的、有基本的解释说明的得0.5分，未进行阐述或不满足采购需求或内容存在2处以上瑕疵的得0分；本项共计2点内容，本项最高得4分。</w:t>
            </w:r>
          </w:p>
          <w:p w14:paraId="4323E69A">
            <w:pPr>
              <w:spacing w:line="360" w:lineRule="auto"/>
              <w:rPr>
                <w:color w:val="auto"/>
                <w:highlight w:val="none"/>
              </w:rPr>
            </w:pPr>
            <w:r>
              <w:rPr>
                <w:rFonts w:hint="eastAsia" w:ascii="宋体" w:hAnsi="宋体" w:cs="宋体"/>
                <w:bCs/>
                <w:color w:val="auto"/>
                <w:sz w:val="22"/>
                <w:szCs w:val="22"/>
                <w:highlight w:val="none"/>
              </w:rPr>
              <w:t>注:以上所称“瑕疵”是指:①内容缺项、不完整或缺少关键点；②非专门针对本项目或不适用本项目特性、套用其他项目内容；③对同一问题前后表述矛盾；④存在逻辑漏洞或常识错误；⑤不利于本项目目标的实现、现有项目背景条件下不可能出现的情形等任意一种情形。</w:t>
            </w:r>
          </w:p>
        </w:tc>
      </w:tr>
      <w:tr w14:paraId="048B9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463" w:type="dxa"/>
            <w:vAlign w:val="center"/>
          </w:tcPr>
          <w:p w14:paraId="1C94D484">
            <w:pPr>
              <w:spacing w:line="360" w:lineRule="auto"/>
              <w:jc w:val="center"/>
              <w:rPr>
                <w:rFonts w:ascii="宋体" w:hAnsi="宋体" w:cs="宋体"/>
                <w:color w:val="auto"/>
                <w:sz w:val="22"/>
                <w:szCs w:val="22"/>
                <w:highlight w:val="none"/>
              </w:rPr>
            </w:pPr>
            <w:r>
              <w:rPr>
                <w:rFonts w:hint="eastAsia" w:ascii="宋体" w:hAnsi="宋体" w:cs="宋体"/>
                <w:bCs/>
                <w:color w:val="auto"/>
                <w:sz w:val="22"/>
                <w:szCs w:val="22"/>
                <w:highlight w:val="none"/>
              </w:rPr>
              <w:t>6</w:t>
            </w:r>
          </w:p>
        </w:tc>
        <w:tc>
          <w:tcPr>
            <w:tcW w:w="1677" w:type="dxa"/>
            <w:vAlign w:val="center"/>
          </w:tcPr>
          <w:p w14:paraId="14A98A4C">
            <w:pPr>
              <w:spacing w:line="360" w:lineRule="auto"/>
              <w:jc w:val="center"/>
              <w:rPr>
                <w:rFonts w:ascii="宋体" w:hAnsi="宋体" w:cs="宋体"/>
                <w:bCs/>
                <w:color w:val="auto"/>
                <w:sz w:val="22"/>
                <w:szCs w:val="22"/>
                <w:highlight w:val="none"/>
              </w:rPr>
            </w:pPr>
            <w:r>
              <w:rPr>
                <w:rFonts w:hint="eastAsia" w:ascii="宋体" w:hAnsi="宋体" w:cs="宋体"/>
                <w:bCs/>
                <w:color w:val="auto"/>
                <w:sz w:val="22"/>
                <w:szCs w:val="22"/>
                <w:highlight w:val="none"/>
              </w:rPr>
              <w:t>供餐模式及品种方案</w:t>
            </w:r>
          </w:p>
        </w:tc>
        <w:tc>
          <w:tcPr>
            <w:tcW w:w="736" w:type="dxa"/>
            <w:vAlign w:val="center"/>
          </w:tcPr>
          <w:p w14:paraId="472B3DE1">
            <w:pPr>
              <w:spacing w:line="360" w:lineRule="auto"/>
              <w:jc w:val="center"/>
              <w:rPr>
                <w:rFonts w:ascii="宋体" w:hAnsi="宋体" w:cs="宋体"/>
                <w:b/>
                <w:bCs/>
                <w:color w:val="auto"/>
                <w:sz w:val="22"/>
                <w:szCs w:val="22"/>
                <w:highlight w:val="none"/>
              </w:rPr>
            </w:pPr>
            <w:r>
              <w:rPr>
                <w:rFonts w:hint="eastAsia" w:ascii="宋体" w:hAnsi="宋体" w:cs="宋体"/>
                <w:color w:val="auto"/>
                <w:sz w:val="22"/>
                <w:szCs w:val="22"/>
                <w:highlight w:val="none"/>
              </w:rPr>
              <w:t>4分</w:t>
            </w:r>
          </w:p>
        </w:tc>
        <w:tc>
          <w:tcPr>
            <w:tcW w:w="7070" w:type="dxa"/>
            <w:vAlign w:val="center"/>
          </w:tcPr>
          <w:p w14:paraId="60F1CA63">
            <w:pPr>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内容包括：①食材的采购、配送及食品加工方案；②供餐模式及针对本项目的菜品、菜谱设计方案及展示。</w:t>
            </w:r>
          </w:p>
          <w:p w14:paraId="36EE1627">
            <w:pPr>
              <w:spacing w:line="360" w:lineRule="auto"/>
              <w:rPr>
                <w:rFonts w:ascii="宋体" w:hAnsi="宋体" w:cs="宋体"/>
                <w:bCs/>
                <w:color w:val="auto"/>
                <w:sz w:val="22"/>
                <w:szCs w:val="22"/>
                <w:highlight w:val="none"/>
              </w:rPr>
            </w:pPr>
            <w:r>
              <w:rPr>
                <w:rFonts w:hint="eastAsia" w:ascii="宋体" w:hAnsi="宋体" w:cs="宋体"/>
                <w:bCs/>
                <w:color w:val="auto"/>
                <w:sz w:val="22"/>
                <w:szCs w:val="22"/>
                <w:highlight w:val="none"/>
              </w:rPr>
              <w:t>投标供应商须针对每条内容进行阐述，要求阐述内容详实、满足采购需求、切实可行有效。以上每条内容不存在瑕疵的得2分，存在1处瑕疵的得1分，存在2处瑕疵的、有基本的解释说明的得0.5分，未进行阐述或不满足采购需求或内容存在2处以上瑕疵的得0分；本项共计2点内容，本项最高得4分。</w:t>
            </w:r>
          </w:p>
          <w:p w14:paraId="66D49601">
            <w:pPr>
              <w:spacing w:line="360" w:lineRule="auto"/>
              <w:rPr>
                <w:color w:val="auto"/>
                <w:highlight w:val="none"/>
              </w:rPr>
            </w:pPr>
            <w:r>
              <w:rPr>
                <w:rFonts w:hint="eastAsia" w:ascii="宋体" w:hAnsi="宋体" w:cs="宋体"/>
                <w:bCs/>
                <w:color w:val="auto"/>
                <w:sz w:val="22"/>
                <w:szCs w:val="22"/>
                <w:highlight w:val="none"/>
              </w:rPr>
              <w:t>注:以上所称“瑕疵”是指:①内容缺项、不完整或缺少关键点；②非专门针对本项目或不适用本项目特性、套用其他项目内容；③对同一问题前后表述矛盾；④存在逻辑漏洞或常识错误；⑤不利于本项目目标的实现、现有项目背景条件下不可能出现的情形等任意一种情形。</w:t>
            </w:r>
          </w:p>
        </w:tc>
      </w:tr>
      <w:tr w14:paraId="7DB68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463" w:type="dxa"/>
            <w:vAlign w:val="center"/>
          </w:tcPr>
          <w:p w14:paraId="7AD0B061">
            <w:pPr>
              <w:spacing w:line="360" w:lineRule="auto"/>
              <w:jc w:val="center"/>
              <w:rPr>
                <w:rFonts w:ascii="宋体" w:hAnsi="宋体" w:cs="宋体"/>
                <w:color w:val="auto"/>
                <w:sz w:val="22"/>
                <w:szCs w:val="22"/>
                <w:highlight w:val="none"/>
              </w:rPr>
            </w:pPr>
            <w:r>
              <w:rPr>
                <w:rFonts w:hint="eastAsia" w:ascii="宋体" w:hAnsi="宋体" w:cs="宋体"/>
                <w:bCs/>
                <w:color w:val="auto"/>
                <w:sz w:val="22"/>
                <w:szCs w:val="22"/>
                <w:highlight w:val="none"/>
              </w:rPr>
              <w:t>7</w:t>
            </w:r>
          </w:p>
        </w:tc>
        <w:tc>
          <w:tcPr>
            <w:tcW w:w="1677" w:type="dxa"/>
            <w:vAlign w:val="center"/>
          </w:tcPr>
          <w:p w14:paraId="330B8548">
            <w:pPr>
              <w:spacing w:line="360" w:lineRule="auto"/>
              <w:jc w:val="center"/>
              <w:rPr>
                <w:rFonts w:ascii="宋体" w:hAnsi="宋体" w:cs="宋体"/>
                <w:bCs/>
                <w:color w:val="auto"/>
                <w:sz w:val="22"/>
                <w:szCs w:val="22"/>
                <w:highlight w:val="none"/>
              </w:rPr>
            </w:pPr>
            <w:r>
              <w:rPr>
                <w:rFonts w:hint="eastAsia" w:ascii="宋体" w:hAnsi="宋体" w:cs="宋体"/>
                <w:bCs/>
                <w:color w:val="auto"/>
                <w:sz w:val="22"/>
                <w:szCs w:val="22"/>
                <w:highlight w:val="none"/>
              </w:rPr>
              <w:t>协调及投诉处理方案</w:t>
            </w:r>
          </w:p>
        </w:tc>
        <w:tc>
          <w:tcPr>
            <w:tcW w:w="736" w:type="dxa"/>
            <w:vAlign w:val="center"/>
          </w:tcPr>
          <w:p w14:paraId="5C04E15D">
            <w:pPr>
              <w:spacing w:line="360" w:lineRule="auto"/>
              <w:jc w:val="center"/>
              <w:rPr>
                <w:rFonts w:ascii="宋体" w:hAnsi="宋体" w:cs="宋体"/>
                <w:b/>
                <w:bCs/>
                <w:color w:val="auto"/>
                <w:sz w:val="22"/>
                <w:szCs w:val="22"/>
                <w:highlight w:val="none"/>
              </w:rPr>
            </w:pPr>
            <w:r>
              <w:rPr>
                <w:rFonts w:hint="eastAsia" w:ascii="宋体" w:hAnsi="宋体" w:cs="宋体"/>
                <w:color w:val="auto"/>
                <w:sz w:val="22"/>
                <w:szCs w:val="22"/>
                <w:highlight w:val="none"/>
              </w:rPr>
              <w:t>4分</w:t>
            </w:r>
          </w:p>
        </w:tc>
        <w:tc>
          <w:tcPr>
            <w:tcW w:w="7070" w:type="dxa"/>
            <w:vAlign w:val="center"/>
          </w:tcPr>
          <w:p w14:paraId="42468E31">
            <w:pPr>
              <w:spacing w:line="360" w:lineRule="auto"/>
              <w:rPr>
                <w:rFonts w:ascii="宋体" w:hAnsi="宋体" w:cs="宋体"/>
                <w:bCs/>
                <w:color w:val="auto"/>
                <w:sz w:val="22"/>
                <w:szCs w:val="22"/>
                <w:highlight w:val="none"/>
              </w:rPr>
            </w:pPr>
            <w:r>
              <w:rPr>
                <w:rFonts w:hint="eastAsia" w:ascii="宋体" w:hAnsi="宋体" w:cs="宋体"/>
                <w:bCs/>
                <w:color w:val="auto"/>
                <w:sz w:val="22"/>
                <w:szCs w:val="22"/>
                <w:highlight w:val="none"/>
              </w:rPr>
              <w:t>内容包括：①与采购人以及其他单位、部门的综合协调方案；②针对各类投诉的处理方案及惩罚措施。</w:t>
            </w:r>
          </w:p>
          <w:p w14:paraId="27C9CCBD">
            <w:pPr>
              <w:spacing w:line="360" w:lineRule="auto"/>
              <w:rPr>
                <w:rFonts w:ascii="宋体" w:hAnsi="宋体" w:cs="宋体"/>
                <w:bCs/>
                <w:color w:val="auto"/>
                <w:sz w:val="22"/>
                <w:szCs w:val="22"/>
                <w:highlight w:val="none"/>
              </w:rPr>
            </w:pPr>
            <w:r>
              <w:rPr>
                <w:rFonts w:hint="eastAsia" w:ascii="宋体" w:hAnsi="宋体" w:cs="宋体"/>
                <w:bCs/>
                <w:color w:val="auto"/>
                <w:sz w:val="22"/>
                <w:szCs w:val="22"/>
                <w:highlight w:val="none"/>
              </w:rPr>
              <w:t>投标供应商须针对每条内容进行阐述，要求阐述内容详实、满足采购需求、切实可行有效。以上每条内容不存在瑕疵的得2分，存在1处瑕疵的得1分，存在2处瑕疵的、有基本的解释说明的得0.5分，未进行阐述或不满足采购需求或内容存在2处以上瑕疵的得0分；本项共计2点内容，本项最高得4分。</w:t>
            </w:r>
          </w:p>
          <w:p w14:paraId="03C02776">
            <w:pPr>
              <w:spacing w:line="360" w:lineRule="auto"/>
              <w:rPr>
                <w:color w:val="auto"/>
                <w:highlight w:val="none"/>
              </w:rPr>
            </w:pPr>
            <w:r>
              <w:rPr>
                <w:rFonts w:hint="eastAsia" w:ascii="宋体" w:hAnsi="宋体" w:cs="宋体"/>
                <w:bCs/>
                <w:color w:val="auto"/>
                <w:sz w:val="22"/>
                <w:szCs w:val="22"/>
                <w:highlight w:val="none"/>
              </w:rPr>
              <w:t>注:以上所称“瑕疵”是指:①内容缺项、不完整或缺少关键点；②非专门针对本项目或不适用本项目特性、套用其他项目内容；③对同一问题前后表述矛盾；④存在逻辑漏洞或常识错误；⑤不利于本项目目标的实现、现有项目背景条件下不可能出现的情形等任意一种情形。</w:t>
            </w:r>
          </w:p>
        </w:tc>
      </w:tr>
      <w:tr w14:paraId="31E2E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463" w:type="dxa"/>
            <w:vAlign w:val="center"/>
          </w:tcPr>
          <w:p w14:paraId="5D878F97">
            <w:pPr>
              <w:spacing w:line="360" w:lineRule="auto"/>
              <w:jc w:val="center"/>
              <w:rPr>
                <w:rFonts w:ascii="宋体" w:hAnsi="宋体" w:cs="宋体"/>
                <w:bCs/>
                <w:color w:val="auto"/>
                <w:sz w:val="22"/>
                <w:szCs w:val="22"/>
                <w:highlight w:val="none"/>
              </w:rPr>
            </w:pPr>
            <w:r>
              <w:rPr>
                <w:rFonts w:hint="eastAsia" w:ascii="宋体" w:hAnsi="宋体" w:cs="宋体"/>
                <w:bCs/>
                <w:color w:val="auto"/>
                <w:sz w:val="22"/>
                <w:szCs w:val="22"/>
                <w:highlight w:val="none"/>
              </w:rPr>
              <w:t>8</w:t>
            </w:r>
          </w:p>
        </w:tc>
        <w:tc>
          <w:tcPr>
            <w:tcW w:w="1677" w:type="dxa"/>
            <w:vAlign w:val="center"/>
          </w:tcPr>
          <w:p w14:paraId="349C7CAE">
            <w:pPr>
              <w:spacing w:line="360" w:lineRule="auto"/>
              <w:jc w:val="center"/>
              <w:rPr>
                <w:rFonts w:ascii="宋体" w:hAnsi="宋体" w:cs="宋体"/>
                <w:bCs/>
                <w:color w:val="auto"/>
                <w:sz w:val="22"/>
                <w:szCs w:val="22"/>
                <w:highlight w:val="none"/>
              </w:rPr>
            </w:pPr>
            <w:r>
              <w:rPr>
                <w:rFonts w:hint="eastAsia" w:ascii="宋体" w:hAnsi="宋体" w:cs="宋体"/>
                <w:bCs/>
                <w:color w:val="auto"/>
                <w:sz w:val="22"/>
                <w:szCs w:val="22"/>
                <w:highlight w:val="none"/>
              </w:rPr>
              <w:t>正式接管前具体措施</w:t>
            </w:r>
          </w:p>
        </w:tc>
        <w:tc>
          <w:tcPr>
            <w:tcW w:w="736" w:type="dxa"/>
            <w:vAlign w:val="center"/>
          </w:tcPr>
          <w:p w14:paraId="7267FD78">
            <w:pPr>
              <w:spacing w:line="360" w:lineRule="auto"/>
              <w:jc w:val="center"/>
              <w:rPr>
                <w:rFonts w:ascii="宋体" w:hAnsi="宋体" w:cs="宋体"/>
                <w:b/>
                <w:bCs/>
                <w:color w:val="auto"/>
                <w:sz w:val="22"/>
                <w:szCs w:val="22"/>
                <w:highlight w:val="none"/>
              </w:rPr>
            </w:pPr>
            <w:r>
              <w:rPr>
                <w:rFonts w:hint="eastAsia" w:ascii="宋体" w:hAnsi="宋体" w:cs="宋体"/>
                <w:color w:val="auto"/>
                <w:sz w:val="22"/>
                <w:szCs w:val="22"/>
                <w:highlight w:val="none"/>
              </w:rPr>
              <w:t>8分</w:t>
            </w:r>
          </w:p>
        </w:tc>
        <w:tc>
          <w:tcPr>
            <w:tcW w:w="7070" w:type="dxa"/>
            <w:vAlign w:val="center"/>
          </w:tcPr>
          <w:p w14:paraId="1A73D1C4">
            <w:pPr>
              <w:spacing w:line="360" w:lineRule="auto"/>
              <w:rPr>
                <w:rFonts w:ascii="宋体" w:hAnsi="宋体" w:cs="宋体"/>
                <w:bCs/>
                <w:color w:val="auto"/>
                <w:sz w:val="22"/>
                <w:szCs w:val="22"/>
                <w:highlight w:val="none"/>
              </w:rPr>
            </w:pPr>
            <w:r>
              <w:rPr>
                <w:rFonts w:hint="eastAsia" w:ascii="宋体" w:hAnsi="宋体" w:cs="宋体"/>
                <w:bCs/>
                <w:color w:val="auto"/>
                <w:sz w:val="22"/>
                <w:szCs w:val="22"/>
                <w:highlight w:val="none"/>
              </w:rPr>
              <w:t>内容包括：①前期介入工作及相关物资的筹备；②正式接管前的各项准备工作；③交接方案（包括接管小组的成立）；④特殊情况下的交接应对措施。</w:t>
            </w:r>
          </w:p>
          <w:p w14:paraId="684318B4">
            <w:pPr>
              <w:spacing w:line="360" w:lineRule="auto"/>
              <w:rPr>
                <w:rFonts w:ascii="宋体" w:hAnsi="宋体" w:cs="宋体"/>
                <w:bCs/>
                <w:color w:val="auto"/>
                <w:sz w:val="22"/>
                <w:szCs w:val="22"/>
                <w:highlight w:val="none"/>
              </w:rPr>
            </w:pPr>
            <w:r>
              <w:rPr>
                <w:rFonts w:hint="eastAsia" w:ascii="宋体" w:hAnsi="宋体" w:cs="宋体"/>
                <w:bCs/>
                <w:color w:val="auto"/>
                <w:sz w:val="22"/>
                <w:szCs w:val="22"/>
                <w:highlight w:val="none"/>
              </w:rPr>
              <w:t>投标供应商须针对每条内容进行阐述，要求阐述内容详实、满足采购需求、切实可行有效。以上每条内容不存在瑕疵的得2分，存在1处瑕疵的得1分，存在2处瑕疵的、有基本的解释说明的得0.5分，未进行阐述或不满足采购需求或内容存在2处以上瑕疵的得0分；本项共计4点内容，本项最高得8分。</w:t>
            </w:r>
          </w:p>
          <w:p w14:paraId="71179CAF">
            <w:pPr>
              <w:spacing w:line="360" w:lineRule="auto"/>
              <w:rPr>
                <w:color w:val="auto"/>
                <w:highlight w:val="none"/>
              </w:rPr>
            </w:pPr>
            <w:r>
              <w:rPr>
                <w:rFonts w:hint="eastAsia" w:ascii="宋体" w:hAnsi="宋体" w:cs="宋体"/>
                <w:bCs/>
                <w:color w:val="auto"/>
                <w:sz w:val="22"/>
                <w:szCs w:val="22"/>
                <w:highlight w:val="none"/>
              </w:rPr>
              <w:t>注:以上所称“瑕疵”是指:①内容缺项、不完整或缺少关键点；②非专门针对本项目或不适用本项目特性、套用其他项目内容；③对同一问题前后表述矛盾；④存在逻辑漏洞或常识错误；⑤不利于本项目目标的实现、现有项目背景条件下不可能出现的情形等任意一种情形。</w:t>
            </w:r>
          </w:p>
        </w:tc>
      </w:tr>
      <w:tr w14:paraId="110ABD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463" w:type="dxa"/>
            <w:vAlign w:val="center"/>
          </w:tcPr>
          <w:p w14:paraId="6936CDCC">
            <w:pPr>
              <w:spacing w:line="360" w:lineRule="auto"/>
              <w:jc w:val="center"/>
              <w:rPr>
                <w:rFonts w:ascii="宋体" w:hAnsi="宋体" w:cs="宋体"/>
                <w:bCs/>
                <w:color w:val="auto"/>
                <w:sz w:val="22"/>
                <w:szCs w:val="22"/>
                <w:highlight w:val="none"/>
              </w:rPr>
            </w:pPr>
            <w:r>
              <w:rPr>
                <w:rFonts w:hint="eastAsia" w:ascii="宋体" w:hAnsi="宋体" w:cs="宋体"/>
                <w:bCs/>
                <w:color w:val="auto"/>
                <w:sz w:val="22"/>
                <w:szCs w:val="22"/>
                <w:highlight w:val="none"/>
              </w:rPr>
              <w:t>9</w:t>
            </w:r>
          </w:p>
        </w:tc>
        <w:tc>
          <w:tcPr>
            <w:tcW w:w="1677" w:type="dxa"/>
            <w:vAlign w:val="center"/>
          </w:tcPr>
          <w:p w14:paraId="7681EADD">
            <w:pPr>
              <w:spacing w:line="360" w:lineRule="auto"/>
              <w:jc w:val="center"/>
              <w:rPr>
                <w:rFonts w:ascii="宋体" w:hAnsi="宋体" w:cs="宋体"/>
                <w:bCs/>
                <w:color w:val="auto"/>
                <w:sz w:val="22"/>
                <w:szCs w:val="22"/>
                <w:highlight w:val="none"/>
              </w:rPr>
            </w:pPr>
            <w:r>
              <w:rPr>
                <w:rFonts w:hint="eastAsia" w:ascii="宋体" w:hAnsi="宋体" w:cs="宋体"/>
                <w:bCs/>
                <w:color w:val="auto"/>
                <w:sz w:val="22"/>
                <w:szCs w:val="22"/>
                <w:highlight w:val="none"/>
              </w:rPr>
              <w:t>针对食品安全和消防安全的培训方案及实施细则</w:t>
            </w:r>
          </w:p>
        </w:tc>
        <w:tc>
          <w:tcPr>
            <w:tcW w:w="736" w:type="dxa"/>
            <w:vAlign w:val="center"/>
          </w:tcPr>
          <w:p w14:paraId="711C25BB">
            <w:pPr>
              <w:spacing w:line="360" w:lineRule="auto"/>
              <w:jc w:val="center"/>
              <w:rPr>
                <w:rFonts w:ascii="宋体" w:hAnsi="宋体" w:cs="宋体"/>
                <w:b/>
                <w:bCs/>
                <w:color w:val="auto"/>
                <w:sz w:val="22"/>
                <w:szCs w:val="22"/>
                <w:highlight w:val="none"/>
              </w:rPr>
            </w:pPr>
            <w:r>
              <w:rPr>
                <w:rFonts w:hint="eastAsia" w:ascii="宋体" w:hAnsi="宋体" w:cs="宋体"/>
                <w:color w:val="auto"/>
                <w:sz w:val="22"/>
                <w:szCs w:val="22"/>
                <w:highlight w:val="none"/>
              </w:rPr>
              <w:t>4分</w:t>
            </w:r>
          </w:p>
        </w:tc>
        <w:tc>
          <w:tcPr>
            <w:tcW w:w="7070" w:type="dxa"/>
            <w:vAlign w:val="center"/>
          </w:tcPr>
          <w:p w14:paraId="5FE0641A">
            <w:pPr>
              <w:spacing w:line="360" w:lineRule="auto"/>
              <w:rPr>
                <w:rFonts w:ascii="宋体" w:hAnsi="宋体" w:cs="宋体"/>
                <w:bCs/>
                <w:color w:val="auto"/>
                <w:sz w:val="22"/>
                <w:szCs w:val="22"/>
                <w:highlight w:val="none"/>
              </w:rPr>
            </w:pPr>
            <w:r>
              <w:rPr>
                <w:rFonts w:hint="eastAsia" w:ascii="宋体" w:hAnsi="宋体" w:cs="宋体"/>
                <w:bCs/>
                <w:color w:val="auto"/>
                <w:sz w:val="22"/>
                <w:szCs w:val="22"/>
                <w:highlight w:val="none"/>
              </w:rPr>
              <w:t>内容包括：①针对食品安全的培训方案及实施细则；②针对消防安全的培训方案及实施细则。</w:t>
            </w:r>
          </w:p>
          <w:p w14:paraId="3E6D2C50">
            <w:pPr>
              <w:spacing w:line="360" w:lineRule="auto"/>
              <w:rPr>
                <w:rFonts w:ascii="宋体" w:hAnsi="宋体" w:cs="宋体"/>
                <w:bCs/>
                <w:color w:val="auto"/>
                <w:sz w:val="22"/>
                <w:szCs w:val="22"/>
                <w:highlight w:val="none"/>
              </w:rPr>
            </w:pPr>
            <w:r>
              <w:rPr>
                <w:rFonts w:hint="eastAsia" w:ascii="宋体" w:hAnsi="宋体" w:cs="宋体"/>
                <w:bCs/>
                <w:color w:val="auto"/>
                <w:sz w:val="22"/>
                <w:szCs w:val="22"/>
                <w:highlight w:val="none"/>
              </w:rPr>
              <w:t>投标供应商须针对每条内容进行阐述，要求阐述内容详实、满足采购需求、切实可行有效。以上每条内容不存在瑕疵的得2分，存在1处瑕疵的得1分，存在2处瑕疵的、有基本的解释说明的得0.5分，未进行阐述或不满足采购需求或内容存在2处以上瑕疵的得0分；本项共计2点内容，本项最高得4分。</w:t>
            </w:r>
          </w:p>
          <w:p w14:paraId="7D49BDFE">
            <w:pPr>
              <w:spacing w:line="360" w:lineRule="auto"/>
              <w:rPr>
                <w:color w:val="auto"/>
                <w:highlight w:val="none"/>
              </w:rPr>
            </w:pPr>
            <w:r>
              <w:rPr>
                <w:rFonts w:hint="eastAsia" w:ascii="宋体" w:hAnsi="宋体" w:cs="宋体"/>
                <w:bCs/>
                <w:color w:val="auto"/>
                <w:sz w:val="22"/>
                <w:szCs w:val="22"/>
                <w:highlight w:val="none"/>
              </w:rPr>
              <w:t>注:以上所称“瑕疵”是指:①内容缺项、不完整或缺少关键点；②非专门针对本项目或不适用本项目特性、套用其他项目内容；③对同一问题前后表述矛盾；④存在逻辑漏洞或常识错误；⑤不利于本项目目标的实现、现有项目背景条件下不可能出现的情形等任意一种情形。</w:t>
            </w:r>
          </w:p>
        </w:tc>
      </w:tr>
      <w:tr w14:paraId="3C909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463" w:type="dxa"/>
            <w:vAlign w:val="center"/>
          </w:tcPr>
          <w:p w14:paraId="641B47D3">
            <w:pPr>
              <w:spacing w:line="360" w:lineRule="auto"/>
              <w:jc w:val="center"/>
              <w:rPr>
                <w:rFonts w:ascii="宋体" w:hAnsi="宋体" w:cs="宋体"/>
                <w:bCs/>
                <w:color w:val="auto"/>
                <w:sz w:val="22"/>
                <w:szCs w:val="22"/>
                <w:highlight w:val="none"/>
              </w:rPr>
            </w:pPr>
            <w:r>
              <w:rPr>
                <w:rFonts w:hint="eastAsia" w:ascii="宋体" w:hAnsi="宋体" w:cs="宋体"/>
                <w:bCs/>
                <w:color w:val="auto"/>
                <w:sz w:val="22"/>
                <w:szCs w:val="22"/>
                <w:highlight w:val="none"/>
              </w:rPr>
              <w:t>10</w:t>
            </w:r>
          </w:p>
        </w:tc>
        <w:tc>
          <w:tcPr>
            <w:tcW w:w="1677" w:type="dxa"/>
            <w:vAlign w:val="center"/>
          </w:tcPr>
          <w:p w14:paraId="059F496A">
            <w:pPr>
              <w:spacing w:line="360" w:lineRule="auto"/>
              <w:jc w:val="center"/>
              <w:rPr>
                <w:rFonts w:ascii="宋体" w:hAnsi="宋体" w:cs="宋体"/>
                <w:bCs/>
                <w:color w:val="auto"/>
                <w:sz w:val="22"/>
                <w:szCs w:val="22"/>
                <w:highlight w:val="none"/>
              </w:rPr>
            </w:pPr>
            <w:r>
              <w:rPr>
                <w:rFonts w:hint="eastAsia" w:ascii="宋体" w:hAnsi="宋体" w:cs="宋体"/>
                <w:bCs/>
                <w:color w:val="auto"/>
                <w:sz w:val="22"/>
                <w:szCs w:val="22"/>
                <w:highlight w:val="none"/>
              </w:rPr>
              <w:t>特色服务和创新服务方案</w:t>
            </w:r>
          </w:p>
        </w:tc>
        <w:tc>
          <w:tcPr>
            <w:tcW w:w="736" w:type="dxa"/>
            <w:vAlign w:val="center"/>
          </w:tcPr>
          <w:p w14:paraId="4AD0203A">
            <w:pPr>
              <w:spacing w:line="360" w:lineRule="auto"/>
              <w:jc w:val="center"/>
              <w:rPr>
                <w:rFonts w:ascii="宋体" w:hAnsi="宋体" w:cs="宋体"/>
                <w:color w:val="auto"/>
                <w:sz w:val="22"/>
                <w:szCs w:val="22"/>
                <w:highlight w:val="none"/>
              </w:rPr>
            </w:pPr>
            <w:r>
              <w:rPr>
                <w:rFonts w:hint="eastAsia" w:ascii="宋体" w:hAnsi="宋体" w:cs="宋体"/>
                <w:color w:val="auto"/>
                <w:sz w:val="22"/>
                <w:szCs w:val="22"/>
                <w:highlight w:val="none"/>
              </w:rPr>
              <w:t>4分</w:t>
            </w:r>
          </w:p>
        </w:tc>
        <w:tc>
          <w:tcPr>
            <w:tcW w:w="7070" w:type="dxa"/>
            <w:vAlign w:val="center"/>
          </w:tcPr>
          <w:p w14:paraId="2D713E2B">
            <w:pPr>
              <w:spacing w:line="360" w:lineRule="auto"/>
              <w:rPr>
                <w:rFonts w:ascii="宋体" w:hAnsi="宋体" w:cs="宋体"/>
                <w:bCs/>
                <w:color w:val="auto"/>
                <w:sz w:val="22"/>
                <w:szCs w:val="22"/>
                <w:highlight w:val="none"/>
              </w:rPr>
            </w:pPr>
            <w:r>
              <w:rPr>
                <w:rFonts w:hint="eastAsia" w:ascii="宋体" w:hAnsi="宋体" w:cs="宋体"/>
                <w:bCs/>
                <w:color w:val="auto"/>
                <w:sz w:val="22"/>
                <w:szCs w:val="22"/>
                <w:highlight w:val="none"/>
              </w:rPr>
              <w:t>内容包括：①特色服务方案；②创新服务方案。</w:t>
            </w:r>
          </w:p>
          <w:p w14:paraId="6C6ABD14">
            <w:pPr>
              <w:spacing w:line="360" w:lineRule="auto"/>
              <w:rPr>
                <w:rFonts w:ascii="宋体" w:hAnsi="宋体" w:cs="宋体"/>
                <w:bCs/>
                <w:color w:val="auto"/>
                <w:sz w:val="22"/>
                <w:szCs w:val="22"/>
                <w:highlight w:val="none"/>
              </w:rPr>
            </w:pPr>
            <w:r>
              <w:rPr>
                <w:rFonts w:hint="eastAsia" w:ascii="宋体" w:hAnsi="宋体" w:cs="宋体"/>
                <w:bCs/>
                <w:color w:val="auto"/>
                <w:sz w:val="22"/>
                <w:szCs w:val="22"/>
                <w:highlight w:val="none"/>
              </w:rPr>
              <w:t>投标供应商须针对每条内容进行阐述，要求阐述内容详实、满足采购需求、切实可行有效。以上每条内容不存在瑕疵的得2分，存在1处瑕疵的得1分，存在2处瑕疵的、有基本的解释说明的得0.5分，未进行阐述或不满足采购需求或内容存在2处以上瑕疵的得0分；本项共计2点内容，本项最高得4分。</w:t>
            </w:r>
          </w:p>
          <w:p w14:paraId="55E490B7">
            <w:pPr>
              <w:spacing w:line="360" w:lineRule="auto"/>
              <w:rPr>
                <w:color w:val="auto"/>
                <w:highlight w:val="none"/>
              </w:rPr>
            </w:pPr>
            <w:r>
              <w:rPr>
                <w:rFonts w:hint="eastAsia" w:ascii="宋体" w:hAnsi="宋体" w:cs="宋体"/>
                <w:bCs/>
                <w:color w:val="auto"/>
                <w:sz w:val="22"/>
                <w:szCs w:val="22"/>
                <w:highlight w:val="none"/>
              </w:rPr>
              <w:t>注:以上所称“瑕疵”是指:①内容缺项、不完整或缺少关键点；②非专门针对本项目或不适用本项目特性、套用其他项目内容；③对同一问题前后表述矛盾；④存在逻辑漏洞或常识错误；⑤不利于本项目目标的实现、现有项目背景条件下不可能出现的情形等任意一种情形。</w:t>
            </w:r>
          </w:p>
        </w:tc>
      </w:tr>
      <w:tr w14:paraId="65CCC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463" w:type="dxa"/>
            <w:vAlign w:val="center"/>
          </w:tcPr>
          <w:p w14:paraId="131A0B7F">
            <w:pPr>
              <w:spacing w:line="360" w:lineRule="auto"/>
              <w:jc w:val="center"/>
              <w:rPr>
                <w:rFonts w:ascii="宋体" w:hAnsi="宋体" w:cs="宋体"/>
                <w:bCs/>
                <w:color w:val="auto"/>
                <w:sz w:val="22"/>
                <w:szCs w:val="22"/>
                <w:highlight w:val="none"/>
              </w:rPr>
            </w:pPr>
            <w:r>
              <w:rPr>
                <w:rFonts w:hint="eastAsia" w:ascii="宋体" w:hAnsi="宋体" w:cs="宋体"/>
                <w:bCs/>
                <w:color w:val="auto"/>
                <w:sz w:val="22"/>
                <w:szCs w:val="22"/>
                <w:highlight w:val="none"/>
              </w:rPr>
              <w:t>11</w:t>
            </w:r>
          </w:p>
        </w:tc>
        <w:tc>
          <w:tcPr>
            <w:tcW w:w="1677" w:type="dxa"/>
            <w:vAlign w:val="center"/>
          </w:tcPr>
          <w:p w14:paraId="6937C972">
            <w:pPr>
              <w:spacing w:line="360" w:lineRule="auto"/>
              <w:jc w:val="center"/>
              <w:rPr>
                <w:rFonts w:ascii="宋体" w:hAnsi="宋体" w:cs="宋体"/>
                <w:bCs/>
                <w:color w:val="auto"/>
                <w:sz w:val="22"/>
                <w:szCs w:val="22"/>
                <w:highlight w:val="none"/>
              </w:rPr>
            </w:pPr>
            <w:r>
              <w:rPr>
                <w:rFonts w:hint="eastAsia" w:ascii="宋体" w:hAnsi="宋体" w:cs="宋体"/>
                <w:bCs/>
                <w:color w:val="auto"/>
                <w:sz w:val="22"/>
                <w:szCs w:val="22"/>
                <w:highlight w:val="none"/>
              </w:rPr>
              <w:t>食品质量及食品安全控制方案</w:t>
            </w:r>
          </w:p>
        </w:tc>
        <w:tc>
          <w:tcPr>
            <w:tcW w:w="736" w:type="dxa"/>
            <w:vAlign w:val="center"/>
          </w:tcPr>
          <w:p w14:paraId="1C38111A">
            <w:pPr>
              <w:spacing w:line="360" w:lineRule="auto"/>
              <w:jc w:val="center"/>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4</w:t>
            </w:r>
            <w:r>
              <w:rPr>
                <w:rFonts w:hint="eastAsia" w:ascii="宋体" w:hAnsi="宋体" w:cs="宋体"/>
                <w:color w:val="auto"/>
                <w:sz w:val="22"/>
                <w:szCs w:val="22"/>
                <w:highlight w:val="none"/>
              </w:rPr>
              <w:t>分</w:t>
            </w:r>
          </w:p>
        </w:tc>
        <w:tc>
          <w:tcPr>
            <w:tcW w:w="7070" w:type="dxa"/>
            <w:vAlign w:val="center"/>
          </w:tcPr>
          <w:p w14:paraId="2DF4E17F">
            <w:pPr>
              <w:spacing w:line="360" w:lineRule="auto"/>
              <w:rPr>
                <w:rFonts w:ascii="宋体" w:hAnsi="宋体" w:cs="宋体"/>
                <w:bCs/>
                <w:color w:val="auto"/>
                <w:sz w:val="22"/>
                <w:szCs w:val="22"/>
                <w:highlight w:val="none"/>
              </w:rPr>
            </w:pPr>
            <w:r>
              <w:rPr>
                <w:rFonts w:hint="eastAsia" w:ascii="宋体" w:hAnsi="宋体" w:cs="宋体"/>
                <w:bCs/>
                <w:color w:val="auto"/>
                <w:sz w:val="22"/>
                <w:szCs w:val="22"/>
                <w:highlight w:val="none"/>
              </w:rPr>
              <w:t>内容包括：①食品质量控制方案；②食品安全控制方案。</w:t>
            </w:r>
          </w:p>
          <w:p w14:paraId="267B90D1">
            <w:pPr>
              <w:spacing w:line="360" w:lineRule="auto"/>
              <w:rPr>
                <w:rFonts w:ascii="宋体" w:hAnsi="宋体" w:cs="宋体"/>
                <w:bCs/>
                <w:color w:val="auto"/>
                <w:sz w:val="22"/>
                <w:szCs w:val="22"/>
                <w:highlight w:val="none"/>
              </w:rPr>
            </w:pPr>
            <w:r>
              <w:rPr>
                <w:rFonts w:hint="eastAsia" w:ascii="宋体" w:hAnsi="宋体" w:cs="宋体"/>
                <w:bCs/>
                <w:color w:val="auto"/>
                <w:sz w:val="22"/>
                <w:szCs w:val="22"/>
                <w:highlight w:val="none"/>
              </w:rPr>
              <w:t>投标供应商须针对每条内容进行阐述，要求阐述内容详实、满足采购需求、切实可行有效。以上每条内容不存在瑕疵的得</w:t>
            </w:r>
            <w:r>
              <w:rPr>
                <w:rFonts w:hint="eastAsia" w:ascii="宋体" w:hAnsi="宋体" w:cs="宋体"/>
                <w:bCs/>
                <w:color w:val="auto"/>
                <w:sz w:val="22"/>
                <w:szCs w:val="22"/>
                <w:highlight w:val="none"/>
                <w:lang w:val="en-US" w:eastAsia="zh-CN"/>
              </w:rPr>
              <w:t>2</w:t>
            </w:r>
            <w:r>
              <w:rPr>
                <w:rFonts w:hint="eastAsia" w:ascii="宋体" w:hAnsi="宋体" w:cs="宋体"/>
                <w:bCs/>
                <w:color w:val="auto"/>
                <w:sz w:val="22"/>
                <w:szCs w:val="22"/>
                <w:highlight w:val="none"/>
              </w:rPr>
              <w:t>分，存在1处瑕疵的得</w:t>
            </w:r>
            <w:r>
              <w:rPr>
                <w:rFonts w:hint="eastAsia" w:ascii="宋体" w:hAnsi="宋体" w:cs="宋体"/>
                <w:bCs/>
                <w:color w:val="auto"/>
                <w:sz w:val="22"/>
                <w:szCs w:val="22"/>
                <w:highlight w:val="none"/>
                <w:lang w:val="en-US" w:eastAsia="zh-CN"/>
              </w:rPr>
              <w:t>1</w:t>
            </w:r>
            <w:r>
              <w:rPr>
                <w:rFonts w:hint="eastAsia" w:ascii="宋体" w:hAnsi="宋体" w:cs="宋体"/>
                <w:bCs/>
                <w:color w:val="auto"/>
                <w:sz w:val="22"/>
                <w:szCs w:val="22"/>
                <w:highlight w:val="none"/>
              </w:rPr>
              <w:t>分，存在2处瑕疵的、有基本的解释说明的得</w:t>
            </w:r>
            <w:r>
              <w:rPr>
                <w:rFonts w:hint="eastAsia" w:ascii="宋体" w:hAnsi="宋体" w:cs="宋体"/>
                <w:bCs/>
                <w:color w:val="auto"/>
                <w:sz w:val="22"/>
                <w:szCs w:val="22"/>
                <w:highlight w:val="none"/>
                <w:lang w:val="en-US" w:eastAsia="zh-CN"/>
              </w:rPr>
              <w:t>0.5</w:t>
            </w:r>
            <w:r>
              <w:rPr>
                <w:rFonts w:hint="eastAsia" w:ascii="宋体" w:hAnsi="宋体" w:cs="宋体"/>
                <w:bCs/>
                <w:color w:val="auto"/>
                <w:sz w:val="22"/>
                <w:szCs w:val="22"/>
                <w:highlight w:val="none"/>
              </w:rPr>
              <w:t>分，未进行阐述或不满足采购需求或内容存在2处以上瑕疵的得0分；本项共计2点内容，本项最高得</w:t>
            </w:r>
            <w:r>
              <w:rPr>
                <w:rFonts w:hint="eastAsia" w:ascii="宋体" w:hAnsi="宋体" w:cs="宋体"/>
                <w:bCs/>
                <w:color w:val="auto"/>
                <w:sz w:val="22"/>
                <w:szCs w:val="22"/>
                <w:highlight w:val="none"/>
                <w:lang w:val="en-US" w:eastAsia="zh-CN"/>
              </w:rPr>
              <w:t>4</w:t>
            </w:r>
            <w:r>
              <w:rPr>
                <w:rFonts w:hint="eastAsia" w:ascii="宋体" w:hAnsi="宋体" w:cs="宋体"/>
                <w:bCs/>
                <w:color w:val="auto"/>
                <w:sz w:val="22"/>
                <w:szCs w:val="22"/>
                <w:highlight w:val="none"/>
              </w:rPr>
              <w:t>分。</w:t>
            </w:r>
          </w:p>
          <w:p w14:paraId="6D6F66EF">
            <w:pPr>
              <w:spacing w:line="360" w:lineRule="auto"/>
              <w:rPr>
                <w:color w:val="auto"/>
                <w:highlight w:val="none"/>
              </w:rPr>
            </w:pPr>
            <w:r>
              <w:rPr>
                <w:rFonts w:hint="eastAsia" w:ascii="宋体" w:hAnsi="宋体" w:cs="宋体"/>
                <w:bCs/>
                <w:color w:val="auto"/>
                <w:sz w:val="22"/>
                <w:szCs w:val="22"/>
                <w:highlight w:val="none"/>
              </w:rPr>
              <w:t>注:以上所称“瑕疵”是指:①内容缺项、不完整或缺少关键点；②非专门针对本项目或不适用本项目特性、套用其他项目内容；③对同一问题前后表述矛盾；④存在逻辑漏洞或常识错误；⑤不利于本项目目标的实现、现有项目背景条件下不可能出现的情形等任意一种情形。</w:t>
            </w:r>
          </w:p>
        </w:tc>
      </w:tr>
    </w:tbl>
    <w:p w14:paraId="7B817028">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注：投标供应商须针对本项目的实际情况，结合自身条件，编制相应的“技术部分”。取所有评委打分的平均值。</w:t>
      </w:r>
    </w:p>
    <w:p w14:paraId="2FB8AE0F">
      <w:pPr>
        <w:spacing w:line="360" w:lineRule="auto"/>
        <w:ind w:firstLine="566"/>
        <w:rPr>
          <w:rFonts w:ascii="宋体" w:hAnsi="宋体"/>
          <w:bCs/>
          <w:color w:val="auto"/>
          <w:sz w:val="24"/>
          <w:szCs w:val="24"/>
          <w:highlight w:val="none"/>
        </w:rPr>
      </w:pPr>
      <w:r>
        <w:rPr>
          <w:rFonts w:hint="eastAsia" w:ascii="宋体" w:hAnsi="宋体"/>
          <w:color w:val="auto"/>
          <w:sz w:val="24"/>
          <w:szCs w:val="24"/>
          <w:highlight w:val="none"/>
        </w:rPr>
        <w:t>评分办法及评分细则的解释权属于采购人，未列入本评分细则的其他条件不作为评分内容。</w:t>
      </w:r>
      <w:bookmarkEnd w:id="12"/>
      <w:bookmarkEnd w:id="13"/>
    </w:p>
    <w:p w14:paraId="5AFA5548">
      <w:pPr>
        <w:tabs>
          <w:tab w:val="left" w:pos="945"/>
        </w:tabs>
        <w:spacing w:line="360" w:lineRule="auto"/>
        <w:ind w:firstLine="482"/>
        <w:outlineLvl w:val="0"/>
        <w:rPr>
          <w:rFonts w:ascii="宋体" w:hAnsi="宋体"/>
          <w:b/>
          <w:color w:val="auto"/>
          <w:sz w:val="24"/>
          <w:szCs w:val="24"/>
          <w:highlight w:val="none"/>
        </w:rPr>
      </w:pPr>
      <w:bookmarkStart w:id="90" w:name="_Toc116946317"/>
      <w:bookmarkStart w:id="91" w:name="_Toc98277360"/>
      <w:bookmarkStart w:id="92" w:name="_Toc39873213"/>
      <w:r>
        <w:rPr>
          <w:rFonts w:hint="eastAsia" w:ascii="宋体" w:hAnsi="宋体"/>
          <w:b/>
          <w:color w:val="auto"/>
          <w:sz w:val="24"/>
          <w:szCs w:val="24"/>
          <w:highlight w:val="none"/>
        </w:rPr>
        <w:t>（十一） 定标：</w:t>
      </w:r>
      <w:bookmarkEnd w:id="90"/>
      <w:bookmarkEnd w:id="91"/>
      <w:bookmarkEnd w:id="92"/>
    </w:p>
    <w:p w14:paraId="50A69135">
      <w:pPr>
        <w:numPr>
          <w:ilvl w:val="0"/>
          <w:numId w:val="13"/>
        </w:numPr>
        <w:tabs>
          <w:tab w:val="left" w:pos="525"/>
          <w:tab w:val="left" w:pos="945"/>
          <w:tab w:val="left" w:pos="115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采购人在收到评标报告5个工作日内按评标报告推荐的中标候选供应商顺序，依法确定中标供应商。采购人将在财政部门指定的政府采购信息发布媒体江苏政府采购网发布公告中标、成交结果公告。采购人对未中标原因不</w:t>
      </w:r>
      <w:r>
        <w:rPr>
          <w:rFonts w:ascii="宋体" w:hAnsi="宋体"/>
          <w:bCs/>
          <w:color w:val="auto"/>
          <w:sz w:val="24"/>
          <w:szCs w:val="24"/>
          <w:highlight w:val="none"/>
        </w:rPr>
        <w:t>作解释</w:t>
      </w:r>
      <w:r>
        <w:rPr>
          <w:rFonts w:hint="eastAsia" w:ascii="宋体" w:hAnsi="宋体"/>
          <w:bCs/>
          <w:color w:val="auto"/>
          <w:sz w:val="24"/>
          <w:szCs w:val="24"/>
          <w:highlight w:val="none"/>
        </w:rPr>
        <w:t>。如有质疑，应在</w:t>
      </w:r>
      <w:r>
        <w:rPr>
          <w:rFonts w:ascii="宋体" w:hAnsi="宋体"/>
          <w:bCs/>
          <w:color w:val="auto"/>
          <w:sz w:val="24"/>
          <w:szCs w:val="24"/>
          <w:highlight w:val="none"/>
        </w:rPr>
        <w:t>法定质疑期限</w:t>
      </w:r>
      <w:r>
        <w:rPr>
          <w:rFonts w:hint="eastAsia" w:ascii="宋体" w:hAnsi="宋体"/>
          <w:bCs/>
          <w:color w:val="auto"/>
          <w:sz w:val="24"/>
          <w:szCs w:val="24"/>
          <w:highlight w:val="none"/>
        </w:rPr>
        <w:t>内，即中标公告期限届满之日起</w:t>
      </w:r>
      <w:r>
        <w:rPr>
          <w:rFonts w:ascii="宋体" w:hAnsi="宋体"/>
          <w:bCs/>
          <w:color w:val="auto"/>
          <w:sz w:val="24"/>
          <w:szCs w:val="24"/>
          <w:highlight w:val="none"/>
        </w:rPr>
        <w:t>7</w:t>
      </w:r>
      <w:r>
        <w:rPr>
          <w:rFonts w:hint="eastAsia" w:ascii="宋体" w:hAnsi="宋体"/>
          <w:bCs/>
          <w:color w:val="auto"/>
          <w:sz w:val="24"/>
          <w:szCs w:val="24"/>
          <w:highlight w:val="none"/>
        </w:rPr>
        <w:t>个工作日内，以书面形式送达采购人。质疑函应当列明具体的</w:t>
      </w:r>
      <w:r>
        <w:rPr>
          <w:rFonts w:ascii="宋体" w:hAnsi="宋体"/>
          <w:bCs/>
          <w:color w:val="auto"/>
          <w:sz w:val="24"/>
          <w:szCs w:val="24"/>
          <w:highlight w:val="none"/>
        </w:rPr>
        <w:t>质疑事项及事实根据</w:t>
      </w:r>
      <w:r>
        <w:rPr>
          <w:rFonts w:hint="eastAsia" w:ascii="宋体" w:hAnsi="宋体"/>
          <w:bCs/>
          <w:color w:val="auto"/>
          <w:sz w:val="24"/>
          <w:szCs w:val="24"/>
          <w:highlight w:val="none"/>
        </w:rPr>
        <w:t>，</w:t>
      </w:r>
      <w:r>
        <w:rPr>
          <w:rFonts w:ascii="宋体" w:hAnsi="宋体"/>
          <w:bCs/>
          <w:color w:val="auto"/>
          <w:sz w:val="24"/>
          <w:szCs w:val="24"/>
          <w:highlight w:val="none"/>
        </w:rPr>
        <w:t>认为自己合法权益受到损害的相关证据材料</w:t>
      </w:r>
      <w:r>
        <w:rPr>
          <w:rFonts w:hint="eastAsia" w:ascii="宋体" w:hAnsi="宋体"/>
          <w:bCs/>
          <w:color w:val="auto"/>
          <w:sz w:val="24"/>
          <w:szCs w:val="24"/>
          <w:highlight w:val="none"/>
        </w:rPr>
        <w:t>以及</w:t>
      </w:r>
      <w:r>
        <w:rPr>
          <w:rFonts w:ascii="宋体" w:hAnsi="宋体"/>
          <w:bCs/>
          <w:color w:val="auto"/>
          <w:sz w:val="24"/>
          <w:szCs w:val="24"/>
          <w:highlight w:val="none"/>
        </w:rPr>
        <w:t>质疑供应商的名称、地址、邮编、联系人、联系电话</w:t>
      </w:r>
      <w:r>
        <w:rPr>
          <w:rFonts w:hint="eastAsia" w:ascii="宋体" w:hAnsi="宋体"/>
          <w:bCs/>
          <w:color w:val="auto"/>
          <w:sz w:val="24"/>
          <w:szCs w:val="24"/>
          <w:highlight w:val="none"/>
        </w:rPr>
        <w:t>、日期，同时该质疑函应由投标供应商法定代表人签字并加盖单位公章（原件）。采购人将在收到符合上述要求的书面质疑后七个工作日内，对质疑内容作出答复。投标供应商在</w:t>
      </w:r>
      <w:r>
        <w:rPr>
          <w:rFonts w:ascii="宋体" w:hAnsi="宋体"/>
          <w:bCs/>
          <w:color w:val="auto"/>
          <w:sz w:val="24"/>
          <w:szCs w:val="24"/>
          <w:highlight w:val="none"/>
        </w:rPr>
        <w:t>法定质疑期限</w:t>
      </w:r>
      <w:r>
        <w:rPr>
          <w:rFonts w:hint="eastAsia" w:ascii="宋体" w:hAnsi="宋体"/>
          <w:bCs/>
          <w:color w:val="auto"/>
          <w:sz w:val="24"/>
          <w:szCs w:val="24"/>
          <w:highlight w:val="none"/>
        </w:rPr>
        <w:t>外送达的质疑函或</w:t>
      </w:r>
      <w:r>
        <w:rPr>
          <w:rFonts w:ascii="宋体" w:hAnsi="宋体"/>
          <w:bCs/>
          <w:color w:val="auto"/>
          <w:sz w:val="24"/>
          <w:szCs w:val="24"/>
          <w:highlight w:val="none"/>
        </w:rPr>
        <w:t>法定质疑期限</w:t>
      </w:r>
      <w:r>
        <w:rPr>
          <w:rFonts w:hint="eastAsia" w:ascii="宋体" w:hAnsi="宋体"/>
          <w:bCs/>
          <w:color w:val="auto"/>
          <w:sz w:val="24"/>
          <w:szCs w:val="24"/>
          <w:highlight w:val="none"/>
        </w:rPr>
        <w:t>内送达的</w:t>
      </w:r>
      <w:r>
        <w:rPr>
          <w:rFonts w:ascii="宋体" w:hAnsi="宋体"/>
          <w:bCs/>
          <w:color w:val="auto"/>
          <w:sz w:val="24"/>
          <w:szCs w:val="24"/>
          <w:highlight w:val="none"/>
        </w:rPr>
        <w:t>质疑函</w:t>
      </w:r>
      <w:r>
        <w:rPr>
          <w:rFonts w:hint="eastAsia" w:ascii="宋体" w:hAnsi="宋体"/>
          <w:bCs/>
          <w:color w:val="auto"/>
          <w:sz w:val="24"/>
          <w:szCs w:val="24"/>
          <w:highlight w:val="none"/>
        </w:rPr>
        <w:t>不符合上述要求</w:t>
      </w:r>
      <w:r>
        <w:rPr>
          <w:rFonts w:ascii="宋体" w:hAnsi="宋体"/>
          <w:bCs/>
          <w:color w:val="auto"/>
          <w:sz w:val="24"/>
          <w:szCs w:val="24"/>
          <w:highlight w:val="none"/>
        </w:rPr>
        <w:t>的</w:t>
      </w:r>
      <w:r>
        <w:rPr>
          <w:rFonts w:hint="eastAsia" w:ascii="宋体" w:hAnsi="宋体"/>
          <w:bCs/>
          <w:color w:val="auto"/>
          <w:sz w:val="24"/>
          <w:szCs w:val="24"/>
          <w:highlight w:val="none"/>
        </w:rPr>
        <w:t>均</w:t>
      </w:r>
      <w:r>
        <w:rPr>
          <w:rFonts w:ascii="宋体" w:hAnsi="宋体"/>
          <w:bCs/>
          <w:color w:val="auto"/>
          <w:sz w:val="24"/>
          <w:szCs w:val="24"/>
          <w:highlight w:val="none"/>
        </w:rPr>
        <w:t>为无效质疑</w:t>
      </w:r>
      <w:r>
        <w:rPr>
          <w:rFonts w:hint="eastAsia" w:ascii="宋体" w:hAnsi="宋体"/>
          <w:bCs/>
          <w:color w:val="auto"/>
          <w:sz w:val="24"/>
          <w:szCs w:val="24"/>
          <w:highlight w:val="none"/>
        </w:rPr>
        <w:t>，采购人对无效质疑不予受理。如质疑</w:t>
      </w:r>
      <w:r>
        <w:rPr>
          <w:rFonts w:ascii="宋体" w:hAnsi="宋体"/>
          <w:bCs/>
          <w:color w:val="auto"/>
          <w:sz w:val="24"/>
          <w:szCs w:val="24"/>
          <w:highlight w:val="none"/>
        </w:rPr>
        <w:t>查无实据</w:t>
      </w:r>
      <w:r>
        <w:rPr>
          <w:rFonts w:hint="eastAsia" w:ascii="宋体" w:hAnsi="宋体"/>
          <w:bCs/>
          <w:color w:val="auto"/>
          <w:sz w:val="24"/>
          <w:szCs w:val="24"/>
          <w:highlight w:val="none"/>
        </w:rPr>
        <w:t>或投标供应商</w:t>
      </w:r>
      <w:r>
        <w:rPr>
          <w:rFonts w:ascii="宋体" w:hAnsi="宋体"/>
          <w:bCs/>
          <w:color w:val="auto"/>
          <w:sz w:val="24"/>
          <w:szCs w:val="24"/>
          <w:highlight w:val="none"/>
        </w:rPr>
        <w:t>捏造事实</w:t>
      </w:r>
      <w:r>
        <w:rPr>
          <w:rFonts w:hint="eastAsia" w:ascii="宋体" w:hAnsi="宋体"/>
          <w:bCs/>
          <w:color w:val="auto"/>
          <w:sz w:val="24"/>
          <w:szCs w:val="24"/>
          <w:highlight w:val="none"/>
        </w:rPr>
        <w:t>，</w:t>
      </w:r>
      <w:r>
        <w:rPr>
          <w:rFonts w:ascii="宋体" w:hAnsi="宋体"/>
          <w:bCs/>
          <w:color w:val="auto"/>
          <w:sz w:val="24"/>
          <w:szCs w:val="24"/>
          <w:highlight w:val="none"/>
        </w:rPr>
        <w:t>提供虚假材料进行恶意举报</w:t>
      </w:r>
      <w:r>
        <w:rPr>
          <w:rFonts w:hint="eastAsia" w:ascii="宋体" w:hAnsi="宋体"/>
          <w:bCs/>
          <w:color w:val="auto"/>
          <w:sz w:val="24"/>
          <w:szCs w:val="24"/>
          <w:highlight w:val="none"/>
        </w:rPr>
        <w:t>，</w:t>
      </w:r>
      <w:r>
        <w:rPr>
          <w:rFonts w:ascii="宋体" w:hAnsi="宋体"/>
          <w:bCs/>
          <w:color w:val="auto"/>
          <w:sz w:val="24"/>
          <w:szCs w:val="24"/>
          <w:highlight w:val="none"/>
        </w:rPr>
        <w:t>不配合或采用不正当手段干扰政府采购质疑的</w:t>
      </w:r>
      <w:r>
        <w:rPr>
          <w:rFonts w:hint="eastAsia" w:ascii="宋体" w:hAnsi="宋体"/>
          <w:bCs/>
          <w:color w:val="auto"/>
          <w:sz w:val="24"/>
          <w:szCs w:val="24"/>
          <w:highlight w:val="none"/>
        </w:rPr>
        <w:t>，将记入投标供应商在江苏省和无锡市的政府采购“供应商</w:t>
      </w:r>
      <w:r>
        <w:rPr>
          <w:rFonts w:ascii="宋体" w:hAnsi="宋体"/>
          <w:bCs/>
          <w:color w:val="auto"/>
          <w:sz w:val="24"/>
          <w:szCs w:val="24"/>
          <w:highlight w:val="none"/>
        </w:rPr>
        <w:t>诚信</w:t>
      </w:r>
      <w:r>
        <w:rPr>
          <w:rFonts w:hint="eastAsia" w:ascii="宋体" w:hAnsi="宋体"/>
          <w:bCs/>
          <w:color w:val="auto"/>
          <w:sz w:val="24"/>
          <w:szCs w:val="24"/>
          <w:highlight w:val="none"/>
        </w:rPr>
        <w:t>记录”，并按相关规定处理。</w:t>
      </w:r>
    </w:p>
    <w:p w14:paraId="211D873B">
      <w:pPr>
        <w:numPr>
          <w:ilvl w:val="0"/>
          <w:numId w:val="13"/>
        </w:numPr>
        <w:tabs>
          <w:tab w:val="left" w:pos="525"/>
          <w:tab w:val="left" w:pos="945"/>
          <w:tab w:val="left" w:pos="988"/>
          <w:tab w:val="left" w:pos="115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采购人向中标供应商发出中标通知书。</w:t>
      </w:r>
    </w:p>
    <w:p w14:paraId="04D9A845">
      <w:pPr>
        <w:tabs>
          <w:tab w:val="left" w:pos="945"/>
        </w:tabs>
        <w:spacing w:line="360" w:lineRule="auto"/>
        <w:ind w:firstLine="482"/>
        <w:outlineLvl w:val="0"/>
        <w:rPr>
          <w:rFonts w:ascii="宋体" w:hAnsi="宋体"/>
          <w:b/>
          <w:color w:val="auto"/>
          <w:sz w:val="24"/>
          <w:szCs w:val="24"/>
          <w:highlight w:val="none"/>
        </w:rPr>
      </w:pPr>
      <w:bookmarkStart w:id="93" w:name="_Toc35780506"/>
      <w:bookmarkStart w:id="94" w:name="_Toc116946318"/>
      <w:bookmarkStart w:id="95" w:name="_Toc39873214"/>
      <w:bookmarkStart w:id="96" w:name="_Toc98277361"/>
      <w:r>
        <w:rPr>
          <w:rFonts w:hint="eastAsia" w:ascii="宋体" w:hAnsi="宋体"/>
          <w:b/>
          <w:color w:val="auto"/>
          <w:sz w:val="24"/>
          <w:szCs w:val="24"/>
          <w:highlight w:val="none"/>
        </w:rPr>
        <w:t>（十二） 废标的确认：</w:t>
      </w:r>
      <w:bookmarkEnd w:id="93"/>
      <w:bookmarkEnd w:id="94"/>
      <w:bookmarkEnd w:id="95"/>
      <w:bookmarkEnd w:id="96"/>
    </w:p>
    <w:p w14:paraId="2D191DA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在招标采购中，出现下列情况之一的，应予废标：</w:t>
      </w:r>
    </w:p>
    <w:p w14:paraId="37929D07">
      <w:pPr>
        <w:numPr>
          <w:ilvl w:val="0"/>
          <w:numId w:val="14"/>
        </w:numPr>
        <w:tabs>
          <w:tab w:val="left" w:pos="525"/>
          <w:tab w:val="left" w:pos="945"/>
          <w:tab w:val="left" w:pos="1260"/>
        </w:tabs>
        <w:spacing w:line="360" w:lineRule="auto"/>
        <w:ind w:left="0" w:right="-281" w:firstLine="525"/>
        <w:rPr>
          <w:rFonts w:ascii="宋体" w:hAnsi="宋体"/>
          <w:bCs/>
          <w:color w:val="auto"/>
          <w:sz w:val="24"/>
          <w:szCs w:val="24"/>
          <w:highlight w:val="none"/>
        </w:rPr>
      </w:pPr>
      <w:r>
        <w:rPr>
          <w:rFonts w:hint="eastAsia" w:ascii="宋体" w:hAnsi="宋体"/>
          <w:bCs/>
          <w:color w:val="auto"/>
          <w:sz w:val="24"/>
          <w:szCs w:val="24"/>
          <w:highlight w:val="none"/>
        </w:rPr>
        <w:t>符合专业条件的投标供应商或者对招标文件作出实质性响应的投标供应商不足三家；</w:t>
      </w:r>
    </w:p>
    <w:p w14:paraId="0E9EF2D5">
      <w:pPr>
        <w:numPr>
          <w:ilvl w:val="0"/>
          <w:numId w:val="14"/>
        </w:numPr>
        <w:tabs>
          <w:tab w:val="left" w:pos="525"/>
          <w:tab w:val="left" w:pos="945"/>
          <w:tab w:val="left" w:pos="1260"/>
        </w:tabs>
        <w:spacing w:line="360" w:lineRule="auto"/>
        <w:ind w:left="0" w:firstLine="525"/>
        <w:rPr>
          <w:rFonts w:ascii="宋体" w:hAnsi="宋体"/>
          <w:bCs/>
          <w:color w:val="auto"/>
          <w:sz w:val="24"/>
          <w:szCs w:val="24"/>
          <w:highlight w:val="none"/>
        </w:rPr>
      </w:pPr>
      <w:r>
        <w:rPr>
          <w:rFonts w:hint="eastAsia" w:ascii="宋体" w:hAnsi="宋体"/>
          <w:bCs/>
          <w:color w:val="auto"/>
          <w:sz w:val="24"/>
          <w:szCs w:val="24"/>
          <w:highlight w:val="none"/>
        </w:rPr>
        <w:t>出现影响采购公正的违法、违规行为；</w:t>
      </w:r>
    </w:p>
    <w:p w14:paraId="02D68E54">
      <w:pPr>
        <w:numPr>
          <w:ilvl w:val="0"/>
          <w:numId w:val="14"/>
        </w:numPr>
        <w:tabs>
          <w:tab w:val="left" w:pos="525"/>
          <w:tab w:val="left" w:pos="945"/>
          <w:tab w:val="left" w:pos="1260"/>
        </w:tabs>
        <w:spacing w:line="360" w:lineRule="auto"/>
        <w:ind w:left="0" w:firstLine="525"/>
        <w:rPr>
          <w:rFonts w:ascii="宋体" w:hAnsi="宋体"/>
          <w:bCs/>
          <w:color w:val="auto"/>
          <w:sz w:val="24"/>
          <w:szCs w:val="24"/>
          <w:highlight w:val="none"/>
        </w:rPr>
      </w:pPr>
      <w:r>
        <w:rPr>
          <w:rFonts w:hint="eastAsia" w:ascii="宋体" w:hAnsi="宋体"/>
          <w:bCs/>
          <w:color w:val="auto"/>
          <w:sz w:val="24"/>
          <w:szCs w:val="24"/>
          <w:highlight w:val="none"/>
        </w:rPr>
        <w:t>投标供应商的报价均超过采购预算，采购人不能支付的；</w:t>
      </w:r>
    </w:p>
    <w:p w14:paraId="7C1EE1C9">
      <w:pPr>
        <w:numPr>
          <w:ilvl w:val="0"/>
          <w:numId w:val="14"/>
        </w:numPr>
        <w:tabs>
          <w:tab w:val="right" w:pos="180"/>
          <w:tab w:val="left" w:pos="525"/>
          <w:tab w:val="left" w:pos="945"/>
          <w:tab w:val="left" w:pos="1260"/>
        </w:tabs>
        <w:spacing w:line="360" w:lineRule="auto"/>
        <w:ind w:left="0" w:firstLine="525"/>
        <w:rPr>
          <w:rFonts w:ascii="宋体" w:hAnsi="宋体"/>
          <w:bCs/>
          <w:color w:val="auto"/>
          <w:sz w:val="24"/>
          <w:szCs w:val="24"/>
          <w:highlight w:val="none"/>
        </w:rPr>
      </w:pPr>
      <w:r>
        <w:rPr>
          <w:rFonts w:hint="eastAsia" w:ascii="宋体" w:hAnsi="宋体"/>
          <w:bCs/>
          <w:color w:val="auto"/>
          <w:sz w:val="24"/>
          <w:szCs w:val="24"/>
          <w:highlight w:val="none"/>
        </w:rPr>
        <w:t>因重大变故，采购任务取消。</w:t>
      </w:r>
    </w:p>
    <w:p w14:paraId="47C8E1D8">
      <w:pPr>
        <w:tabs>
          <w:tab w:val="left" w:pos="945"/>
        </w:tabs>
        <w:spacing w:line="360" w:lineRule="auto"/>
        <w:ind w:firstLine="482"/>
        <w:outlineLvl w:val="0"/>
        <w:rPr>
          <w:rFonts w:ascii="宋体" w:hAnsi="宋体"/>
          <w:b/>
          <w:color w:val="auto"/>
          <w:sz w:val="24"/>
          <w:szCs w:val="24"/>
          <w:highlight w:val="none"/>
        </w:rPr>
      </w:pPr>
      <w:bookmarkStart w:id="97" w:name="_Toc98277362"/>
      <w:bookmarkStart w:id="98" w:name="_Toc116946319"/>
      <w:bookmarkStart w:id="99" w:name="_Toc35780508"/>
      <w:bookmarkStart w:id="100" w:name="_Toc39873216"/>
      <w:r>
        <w:rPr>
          <w:rFonts w:hint="eastAsia" w:ascii="宋体" w:hAnsi="宋体"/>
          <w:b/>
          <w:color w:val="auto"/>
          <w:sz w:val="24"/>
          <w:szCs w:val="24"/>
          <w:highlight w:val="none"/>
        </w:rPr>
        <w:t>（十三）中标无效的确认：</w:t>
      </w:r>
      <w:bookmarkEnd w:id="97"/>
      <w:bookmarkEnd w:id="98"/>
      <w:bookmarkEnd w:id="99"/>
      <w:bookmarkEnd w:id="100"/>
    </w:p>
    <w:p w14:paraId="008CF5C3">
      <w:pPr>
        <w:numPr>
          <w:ilvl w:val="0"/>
          <w:numId w:val="15"/>
        </w:numPr>
        <w:tabs>
          <w:tab w:val="left" w:pos="420"/>
          <w:tab w:val="left" w:pos="945"/>
          <w:tab w:val="left" w:pos="1155"/>
          <w:tab w:val="clear" w:pos="1710"/>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提供虚假材料谋取中标的；</w:t>
      </w:r>
    </w:p>
    <w:p w14:paraId="3ABCE899">
      <w:pPr>
        <w:numPr>
          <w:ilvl w:val="0"/>
          <w:numId w:val="15"/>
        </w:numPr>
        <w:tabs>
          <w:tab w:val="left" w:pos="420"/>
          <w:tab w:val="left" w:pos="945"/>
          <w:tab w:val="left" w:pos="1155"/>
          <w:tab w:val="clear" w:pos="1710"/>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采取不正当手段诋毁、排挤其他投标供应商的；</w:t>
      </w:r>
    </w:p>
    <w:p w14:paraId="7C33F63E">
      <w:pPr>
        <w:numPr>
          <w:ilvl w:val="0"/>
          <w:numId w:val="15"/>
        </w:numPr>
        <w:tabs>
          <w:tab w:val="left" w:pos="420"/>
          <w:tab w:val="left" w:pos="945"/>
          <w:tab w:val="left" w:pos="1155"/>
          <w:tab w:val="clear" w:pos="1710"/>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与采购单位、其他投标供应商恶意串通的；</w:t>
      </w:r>
    </w:p>
    <w:p w14:paraId="707AAAD2">
      <w:pPr>
        <w:numPr>
          <w:ilvl w:val="0"/>
          <w:numId w:val="15"/>
        </w:numPr>
        <w:tabs>
          <w:tab w:val="left" w:pos="420"/>
          <w:tab w:val="left" w:pos="945"/>
          <w:tab w:val="left" w:pos="1155"/>
          <w:tab w:val="clear" w:pos="1710"/>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向采购单位行贿或者提供其他不正当利益的；</w:t>
      </w:r>
    </w:p>
    <w:p w14:paraId="2CF835B3">
      <w:pPr>
        <w:numPr>
          <w:ilvl w:val="0"/>
          <w:numId w:val="15"/>
        </w:numPr>
        <w:tabs>
          <w:tab w:val="left" w:pos="420"/>
          <w:tab w:val="left" w:pos="945"/>
          <w:tab w:val="left" w:pos="1155"/>
          <w:tab w:val="clear" w:pos="1710"/>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在招标过程中与采购单位进行协商谈判、不按照招标文件和中标供应商的投标文件订立合同或者与采购人另行订立背离合同实质性内容的协议的；</w:t>
      </w:r>
    </w:p>
    <w:p w14:paraId="4930CDCC">
      <w:pPr>
        <w:numPr>
          <w:ilvl w:val="0"/>
          <w:numId w:val="15"/>
        </w:numPr>
        <w:tabs>
          <w:tab w:val="left" w:pos="420"/>
          <w:tab w:val="left" w:pos="945"/>
          <w:tab w:val="left" w:pos="1155"/>
          <w:tab w:val="clear" w:pos="1710"/>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拒绝有关部门监督检查或者提供虚假情况的。</w:t>
      </w:r>
    </w:p>
    <w:p w14:paraId="7053E6AB">
      <w:pPr>
        <w:tabs>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DC52CF9">
      <w:pPr>
        <w:tabs>
          <w:tab w:val="left" w:pos="945"/>
        </w:tabs>
        <w:spacing w:line="360" w:lineRule="auto"/>
        <w:ind w:firstLine="482"/>
        <w:outlineLvl w:val="0"/>
        <w:rPr>
          <w:rFonts w:ascii="宋体" w:hAnsi="宋体"/>
          <w:b/>
          <w:color w:val="auto"/>
          <w:sz w:val="24"/>
          <w:szCs w:val="24"/>
          <w:highlight w:val="none"/>
        </w:rPr>
      </w:pPr>
      <w:bookmarkStart w:id="101" w:name="_Toc116946320"/>
      <w:bookmarkStart w:id="102" w:name="_Toc35780509"/>
      <w:bookmarkStart w:id="103" w:name="_Toc39873217"/>
      <w:bookmarkStart w:id="104" w:name="_Toc98277363"/>
      <w:r>
        <w:rPr>
          <w:rFonts w:hint="eastAsia" w:ascii="宋体" w:hAnsi="宋体"/>
          <w:b/>
          <w:color w:val="auto"/>
          <w:sz w:val="24"/>
          <w:szCs w:val="24"/>
          <w:highlight w:val="none"/>
        </w:rPr>
        <w:t>（十四）签订、履行合同</w:t>
      </w:r>
      <w:bookmarkEnd w:id="101"/>
      <w:bookmarkEnd w:id="102"/>
      <w:bookmarkEnd w:id="103"/>
      <w:bookmarkEnd w:id="104"/>
    </w:p>
    <w:p w14:paraId="705B3A39">
      <w:pPr>
        <w:numPr>
          <w:ilvl w:val="0"/>
          <w:numId w:val="16"/>
        </w:numPr>
        <w:tabs>
          <w:tab w:val="left" w:pos="525"/>
          <w:tab w:val="left" w:pos="945"/>
          <w:tab w:val="left" w:pos="1050"/>
        </w:tabs>
        <w:spacing w:line="360" w:lineRule="auto"/>
        <w:ind w:left="0" w:firstLine="525"/>
        <w:rPr>
          <w:rFonts w:ascii="宋体" w:hAnsi="宋体"/>
          <w:bCs/>
          <w:color w:val="auto"/>
          <w:sz w:val="24"/>
          <w:szCs w:val="24"/>
          <w:highlight w:val="none"/>
        </w:rPr>
      </w:pPr>
      <w:r>
        <w:rPr>
          <w:rFonts w:ascii="宋体" w:hAnsi="宋体"/>
          <w:bCs/>
          <w:color w:val="auto"/>
          <w:sz w:val="24"/>
          <w:szCs w:val="24"/>
          <w:highlight w:val="none"/>
        </w:rPr>
        <w:t>采购人</w:t>
      </w:r>
      <w:r>
        <w:rPr>
          <w:rFonts w:hint="eastAsia" w:ascii="宋体" w:hAnsi="宋体"/>
          <w:bCs/>
          <w:color w:val="auto"/>
          <w:sz w:val="24"/>
          <w:szCs w:val="24"/>
          <w:highlight w:val="none"/>
        </w:rPr>
        <w:t>代表</w:t>
      </w:r>
      <w:r>
        <w:rPr>
          <w:rFonts w:ascii="宋体" w:hAnsi="宋体"/>
          <w:bCs/>
          <w:color w:val="auto"/>
          <w:sz w:val="24"/>
          <w:szCs w:val="24"/>
          <w:highlight w:val="none"/>
        </w:rPr>
        <w:t>应当自中标通知书发出之日起</w:t>
      </w:r>
      <w:r>
        <w:rPr>
          <w:rFonts w:hint="eastAsia" w:ascii="宋体" w:hAnsi="宋体"/>
          <w:bCs/>
          <w:color w:val="auto"/>
          <w:sz w:val="24"/>
          <w:szCs w:val="24"/>
          <w:highlight w:val="none"/>
        </w:rPr>
        <w:t>三十</w:t>
      </w:r>
      <w:r>
        <w:rPr>
          <w:rFonts w:ascii="宋体" w:hAnsi="宋体"/>
          <w:bCs/>
          <w:color w:val="auto"/>
          <w:sz w:val="24"/>
          <w:szCs w:val="24"/>
          <w:highlight w:val="none"/>
        </w:rPr>
        <w:t>日内，按照招标文件和中标供应商投标文件的约定，与中标供应商签订书面合同</w:t>
      </w:r>
      <w:r>
        <w:rPr>
          <w:rFonts w:hint="eastAsia" w:ascii="宋体" w:hAnsi="宋体"/>
          <w:bCs/>
          <w:color w:val="auto"/>
          <w:sz w:val="24"/>
          <w:szCs w:val="24"/>
          <w:highlight w:val="none"/>
        </w:rPr>
        <w:t>。</w:t>
      </w:r>
      <w:r>
        <w:rPr>
          <w:rFonts w:ascii="宋体" w:hAnsi="宋体"/>
          <w:bCs/>
          <w:color w:val="auto"/>
          <w:sz w:val="24"/>
          <w:szCs w:val="24"/>
          <w:highlight w:val="none"/>
        </w:rPr>
        <w:t>所签订的合同不得对招标文件</w:t>
      </w:r>
      <w:r>
        <w:rPr>
          <w:rFonts w:hint="eastAsia" w:ascii="宋体" w:hAnsi="宋体"/>
          <w:bCs/>
          <w:color w:val="auto"/>
          <w:sz w:val="24"/>
          <w:szCs w:val="24"/>
          <w:highlight w:val="none"/>
        </w:rPr>
        <w:t>确定的事项</w:t>
      </w:r>
      <w:r>
        <w:rPr>
          <w:rFonts w:ascii="宋体" w:hAnsi="宋体"/>
          <w:bCs/>
          <w:color w:val="auto"/>
          <w:sz w:val="24"/>
          <w:szCs w:val="24"/>
          <w:highlight w:val="none"/>
        </w:rPr>
        <w:t>和中标供应商投标文件作实质性修改。</w:t>
      </w:r>
      <w:r>
        <w:rPr>
          <w:rFonts w:hint="eastAsia" w:ascii="宋体" w:hAnsi="宋体"/>
          <w:bCs/>
          <w:color w:val="auto"/>
          <w:sz w:val="24"/>
          <w:szCs w:val="24"/>
          <w:highlight w:val="none"/>
        </w:rPr>
        <w:t>采购人</w:t>
      </w:r>
      <w:r>
        <w:rPr>
          <w:rFonts w:ascii="宋体" w:hAnsi="宋体"/>
          <w:bCs/>
          <w:color w:val="auto"/>
          <w:sz w:val="24"/>
          <w:szCs w:val="24"/>
          <w:highlight w:val="none"/>
        </w:rPr>
        <w:t>不得向中标供应商提出任何不合理的要求，作为签订合同的条件，不得与中标供应商私下订立背离合同实质性内容的协议。</w:t>
      </w:r>
      <w:r>
        <w:rPr>
          <w:rFonts w:hint="eastAsia" w:ascii="宋体" w:hAnsi="宋体"/>
          <w:bCs/>
          <w:color w:val="auto"/>
          <w:sz w:val="24"/>
          <w:szCs w:val="24"/>
          <w:highlight w:val="none"/>
        </w:rPr>
        <w:t>合同经见证后生效。</w:t>
      </w:r>
    </w:p>
    <w:p w14:paraId="76D5A0E1">
      <w:pPr>
        <w:numPr>
          <w:ilvl w:val="0"/>
          <w:numId w:val="16"/>
        </w:numPr>
        <w:tabs>
          <w:tab w:val="left" w:pos="525"/>
          <w:tab w:val="left" w:pos="945"/>
          <w:tab w:val="left" w:pos="1050"/>
        </w:tabs>
        <w:spacing w:line="360" w:lineRule="auto"/>
        <w:ind w:left="0" w:firstLine="525"/>
        <w:rPr>
          <w:rFonts w:ascii="宋体" w:hAnsi="宋体"/>
          <w:bCs/>
          <w:color w:val="auto"/>
          <w:sz w:val="24"/>
          <w:szCs w:val="24"/>
          <w:highlight w:val="none"/>
        </w:rPr>
      </w:pPr>
      <w:r>
        <w:rPr>
          <w:rFonts w:hint="eastAsia" w:ascii="宋体" w:hAnsi="宋体"/>
          <w:bCs/>
          <w:color w:val="auto"/>
          <w:sz w:val="24"/>
          <w:szCs w:val="24"/>
          <w:highlight w:val="none"/>
        </w:rPr>
        <w:t>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p>
    <w:p w14:paraId="7C89C175">
      <w:pPr>
        <w:numPr>
          <w:ilvl w:val="0"/>
          <w:numId w:val="16"/>
        </w:numPr>
        <w:tabs>
          <w:tab w:val="left" w:pos="510"/>
          <w:tab w:val="left" w:pos="945"/>
          <w:tab w:val="left" w:pos="1050"/>
        </w:tabs>
        <w:spacing w:line="360" w:lineRule="auto"/>
        <w:ind w:left="0" w:firstLine="525"/>
        <w:rPr>
          <w:rFonts w:ascii="宋体" w:hAnsi="宋体"/>
          <w:bCs/>
          <w:color w:val="auto"/>
          <w:sz w:val="24"/>
          <w:szCs w:val="24"/>
          <w:highlight w:val="none"/>
        </w:rPr>
      </w:pPr>
      <w:r>
        <w:rPr>
          <w:rFonts w:hint="eastAsia" w:ascii="宋体" w:hAnsi="宋体"/>
          <w:bCs/>
          <w:color w:val="auto"/>
          <w:sz w:val="24"/>
          <w:szCs w:val="24"/>
          <w:highlight w:val="none"/>
        </w:rPr>
        <w:t>中标供应商非因不可抗力未履行招标文件、投标文件和合同规定的义务，一经查实，江苏长卓项目管理咨询有限公司将根据具体情况提请政府采购管理部门做出相应处理。</w:t>
      </w:r>
    </w:p>
    <w:p w14:paraId="4BCFB118">
      <w:pPr>
        <w:tabs>
          <w:tab w:val="left" w:pos="945"/>
        </w:tabs>
        <w:spacing w:line="360" w:lineRule="auto"/>
        <w:ind w:firstLine="482"/>
        <w:outlineLvl w:val="0"/>
        <w:rPr>
          <w:rFonts w:ascii="宋体" w:hAnsi="宋体"/>
          <w:bCs/>
          <w:color w:val="auto"/>
          <w:sz w:val="24"/>
          <w:szCs w:val="24"/>
          <w:highlight w:val="none"/>
        </w:rPr>
      </w:pPr>
      <w:bookmarkStart w:id="105" w:name="_Toc116946321"/>
      <w:bookmarkStart w:id="106" w:name="_Toc39873218"/>
      <w:bookmarkStart w:id="107" w:name="_Toc35780510"/>
      <w:bookmarkStart w:id="108" w:name="_Toc98277364"/>
      <w:r>
        <w:rPr>
          <w:rFonts w:hint="eastAsia" w:ascii="宋体" w:hAnsi="宋体"/>
          <w:b/>
          <w:color w:val="auto"/>
          <w:sz w:val="24"/>
          <w:szCs w:val="24"/>
          <w:highlight w:val="none"/>
        </w:rPr>
        <w:t>（十五）招标代理费</w:t>
      </w:r>
      <w:bookmarkEnd w:id="105"/>
      <w:bookmarkEnd w:id="106"/>
      <w:bookmarkEnd w:id="107"/>
      <w:bookmarkEnd w:id="108"/>
      <w:bookmarkStart w:id="109" w:name="_Toc35780511"/>
    </w:p>
    <w:p w14:paraId="79C9CED7">
      <w:pPr>
        <w:tabs>
          <w:tab w:val="left" w:pos="945"/>
        </w:tabs>
        <w:spacing w:line="360" w:lineRule="auto"/>
        <w:ind w:firstLine="480"/>
        <w:rPr>
          <w:rFonts w:ascii="宋体" w:hAnsi="宋体"/>
          <w:bCs/>
          <w:color w:val="auto"/>
          <w:sz w:val="24"/>
          <w:szCs w:val="24"/>
          <w:highlight w:val="none"/>
        </w:rPr>
      </w:pPr>
      <w:bookmarkStart w:id="110" w:name="_Toc116946324"/>
      <w:bookmarkStart w:id="111" w:name="_Toc98277365"/>
      <w:bookmarkStart w:id="112" w:name="_Toc39873219"/>
      <w:r>
        <w:rPr>
          <w:rFonts w:hint="eastAsia" w:ascii="宋体" w:hAnsi="宋体"/>
          <w:bCs/>
          <w:color w:val="auto"/>
          <w:sz w:val="24"/>
          <w:szCs w:val="24"/>
          <w:highlight w:val="none"/>
        </w:rPr>
        <w:t>1.本项目代理服务费由</w:t>
      </w:r>
      <w:r>
        <w:rPr>
          <w:rFonts w:hint="eastAsia" w:ascii="宋体" w:hAnsi="宋体"/>
          <w:bCs/>
          <w:color w:val="auto"/>
          <w:sz w:val="24"/>
          <w:szCs w:val="24"/>
          <w:highlight w:val="none"/>
          <w:lang w:val="en-US" w:eastAsia="zh-CN"/>
        </w:rPr>
        <w:t>采购人</w:t>
      </w:r>
      <w:r>
        <w:rPr>
          <w:rFonts w:hint="eastAsia" w:ascii="宋体" w:hAnsi="宋体"/>
          <w:bCs/>
          <w:color w:val="auto"/>
          <w:sz w:val="24"/>
          <w:szCs w:val="24"/>
          <w:highlight w:val="none"/>
        </w:rPr>
        <w:t>支付。</w:t>
      </w:r>
    </w:p>
    <w:p w14:paraId="4E11083D">
      <w:pPr>
        <w:tabs>
          <w:tab w:val="left" w:pos="945"/>
        </w:tabs>
        <w:spacing w:line="360" w:lineRule="auto"/>
        <w:ind w:firstLine="480"/>
        <w:rPr>
          <w:rFonts w:ascii="宋体" w:hAnsi="宋体"/>
          <w:bCs/>
          <w:color w:val="auto"/>
          <w:sz w:val="24"/>
          <w:szCs w:val="24"/>
          <w:highlight w:val="none"/>
        </w:rPr>
      </w:pPr>
      <w:bookmarkStart w:id="113" w:name="_Toc116946323"/>
      <w:r>
        <w:rPr>
          <w:rFonts w:hint="eastAsia" w:ascii="宋体" w:hAnsi="宋体"/>
          <w:bCs/>
          <w:color w:val="auto"/>
          <w:sz w:val="24"/>
          <w:szCs w:val="24"/>
          <w:highlight w:val="none"/>
        </w:rPr>
        <w:t>2.招标代理服务费以中标金额为基数依据，按以下规定的标准和差额定率累进法进行计算收取：100万元以下为1.5%；100万元～500万</w:t>
      </w:r>
      <w:r>
        <w:rPr>
          <w:rFonts w:hint="eastAsia" w:ascii="宋体" w:hAnsi="宋体"/>
          <w:bCs/>
          <w:color w:val="auto"/>
          <w:sz w:val="24"/>
          <w:szCs w:val="32"/>
          <w:highlight w:val="none"/>
        </w:rPr>
        <w:t>元</w:t>
      </w:r>
      <w:r>
        <w:rPr>
          <w:rFonts w:hint="eastAsia" w:ascii="宋体" w:hAnsi="宋体"/>
          <w:bCs/>
          <w:color w:val="auto"/>
          <w:sz w:val="24"/>
          <w:szCs w:val="24"/>
          <w:highlight w:val="none"/>
        </w:rPr>
        <w:t>为</w:t>
      </w:r>
      <w:r>
        <w:rPr>
          <w:rFonts w:hint="eastAsia" w:ascii="宋体" w:hAnsi="宋体"/>
          <w:bCs/>
          <w:color w:val="auto"/>
          <w:sz w:val="24"/>
          <w:szCs w:val="32"/>
          <w:highlight w:val="none"/>
        </w:rPr>
        <w:t>0.8%；</w:t>
      </w:r>
      <w:r>
        <w:rPr>
          <w:rFonts w:hint="eastAsia" w:ascii="宋体" w:hAnsi="宋体"/>
          <w:bCs/>
          <w:color w:val="auto"/>
          <w:sz w:val="24"/>
          <w:szCs w:val="24"/>
          <w:highlight w:val="none"/>
        </w:rPr>
        <w:t>500万元～1000万</w:t>
      </w:r>
      <w:r>
        <w:rPr>
          <w:rFonts w:hint="eastAsia" w:ascii="宋体" w:hAnsi="宋体"/>
          <w:bCs/>
          <w:color w:val="auto"/>
          <w:sz w:val="24"/>
          <w:szCs w:val="32"/>
          <w:highlight w:val="none"/>
        </w:rPr>
        <w:t>元</w:t>
      </w:r>
      <w:r>
        <w:rPr>
          <w:rFonts w:hint="eastAsia" w:ascii="宋体" w:hAnsi="宋体"/>
          <w:bCs/>
          <w:color w:val="auto"/>
          <w:sz w:val="24"/>
          <w:szCs w:val="24"/>
          <w:highlight w:val="none"/>
        </w:rPr>
        <w:t>为</w:t>
      </w:r>
      <w:r>
        <w:rPr>
          <w:rFonts w:hint="eastAsia" w:ascii="宋体" w:hAnsi="宋体"/>
          <w:bCs/>
          <w:color w:val="auto"/>
          <w:sz w:val="24"/>
          <w:szCs w:val="32"/>
          <w:highlight w:val="none"/>
        </w:rPr>
        <w:t>0.45%，</w:t>
      </w:r>
      <w:r>
        <w:rPr>
          <w:rFonts w:hint="eastAsia" w:ascii="宋体" w:hAnsi="宋体"/>
          <w:bCs/>
          <w:color w:val="auto"/>
          <w:sz w:val="24"/>
          <w:szCs w:val="24"/>
          <w:highlight w:val="none"/>
        </w:rPr>
        <w:t>并按此基础的</w:t>
      </w: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0%计取。</w:t>
      </w:r>
      <w:bookmarkEnd w:id="113"/>
    </w:p>
    <w:p w14:paraId="7E75E8FE">
      <w:pPr>
        <w:tabs>
          <w:tab w:val="left" w:pos="945"/>
        </w:tabs>
        <w:spacing w:line="360" w:lineRule="auto"/>
        <w:ind w:firstLine="482"/>
        <w:outlineLvl w:val="0"/>
        <w:rPr>
          <w:rFonts w:ascii="宋体" w:hAnsi="宋体"/>
          <w:b/>
          <w:color w:val="auto"/>
          <w:sz w:val="24"/>
          <w:szCs w:val="24"/>
          <w:highlight w:val="none"/>
        </w:rPr>
      </w:pPr>
      <w:r>
        <w:rPr>
          <w:rFonts w:hint="eastAsia" w:ascii="宋体" w:hAnsi="宋体"/>
          <w:b/>
          <w:color w:val="auto"/>
          <w:sz w:val="24"/>
          <w:szCs w:val="24"/>
          <w:highlight w:val="none"/>
        </w:rPr>
        <w:t>（十六）未尽事宜</w:t>
      </w:r>
      <w:bookmarkEnd w:id="109"/>
      <w:bookmarkEnd w:id="110"/>
      <w:bookmarkEnd w:id="111"/>
      <w:bookmarkEnd w:id="112"/>
    </w:p>
    <w:p w14:paraId="0C785A81">
      <w:pPr>
        <w:tabs>
          <w:tab w:val="left" w:pos="525"/>
          <w:tab w:val="left" w:pos="945"/>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按照《中华人民共和国政府采购法》及其他有关政府采购的法律法规的规定执行。</w:t>
      </w:r>
    </w:p>
    <w:p w14:paraId="0034AEA8">
      <w:pPr>
        <w:tabs>
          <w:tab w:val="left" w:pos="945"/>
        </w:tabs>
        <w:spacing w:line="360" w:lineRule="auto"/>
        <w:ind w:firstLine="482"/>
        <w:outlineLvl w:val="0"/>
        <w:rPr>
          <w:rFonts w:ascii="宋体" w:hAnsi="宋体"/>
          <w:b/>
          <w:color w:val="auto"/>
          <w:sz w:val="24"/>
          <w:szCs w:val="24"/>
          <w:highlight w:val="none"/>
        </w:rPr>
      </w:pPr>
      <w:bookmarkStart w:id="114" w:name="_Toc98277366"/>
      <w:bookmarkStart w:id="115" w:name="_Toc116946325"/>
      <w:bookmarkStart w:id="116" w:name="_Toc116946326"/>
      <w:bookmarkStart w:id="117" w:name="_Toc98277367"/>
      <w:bookmarkStart w:id="118" w:name="_Toc36414912"/>
      <w:bookmarkStart w:id="119" w:name="_Toc36850796"/>
      <w:r>
        <w:rPr>
          <w:rFonts w:hint="eastAsia" w:ascii="宋体" w:hAnsi="宋体"/>
          <w:b/>
          <w:color w:val="auto"/>
          <w:sz w:val="24"/>
          <w:szCs w:val="24"/>
          <w:highlight w:val="none"/>
        </w:rPr>
        <w:t>（十七）政府采购信用担保</w:t>
      </w:r>
      <w:bookmarkEnd w:id="114"/>
      <w:bookmarkEnd w:id="115"/>
    </w:p>
    <w:p w14:paraId="001D0175">
      <w:pPr>
        <w:tabs>
          <w:tab w:val="left" w:pos="525"/>
          <w:tab w:val="left" w:pos="945"/>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政府采购信用担保，是由专业担保机构为供应商向采购人、代理机构、金融机构提供的保证，主要包括履约担保、融资担保两种形式。供应商可以根据自身情况，自行决定是否选择采用该两种信用担保形式。</w:t>
      </w:r>
    </w:p>
    <w:p w14:paraId="73CD8F3D">
      <w:pPr>
        <w:tabs>
          <w:tab w:val="left" w:pos="525"/>
          <w:tab w:val="left" w:pos="945"/>
          <w:tab w:val="left" w:pos="1050"/>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rPr>
        <w:t>.履约担保。</w:t>
      </w:r>
    </w:p>
    <w:p w14:paraId="2FFD060B">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履约担保，是指由专业担保机构为中标供应商支付履约保证金的义务向采购人提供的保函担保。专业担保机构根据中标供应商的中标通知书为凭据，进行资信审查后出具保函</w:t>
      </w:r>
      <w:r>
        <w:rPr>
          <w:rFonts w:ascii="宋体" w:hAnsi="宋体" w:cs="宋体"/>
          <w:color w:val="auto"/>
          <w:sz w:val="24"/>
          <w:szCs w:val="24"/>
          <w:highlight w:val="none"/>
        </w:rPr>
        <w:t>，</w:t>
      </w:r>
      <w:r>
        <w:rPr>
          <w:rFonts w:hint="eastAsia" w:ascii="宋体" w:hAnsi="宋体" w:cs="宋体"/>
          <w:color w:val="auto"/>
          <w:sz w:val="24"/>
          <w:szCs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缴纳履约保证金。</w:t>
      </w:r>
    </w:p>
    <w:p w14:paraId="18DDA1B3">
      <w:pPr>
        <w:tabs>
          <w:tab w:val="left" w:pos="525"/>
          <w:tab w:val="left" w:pos="945"/>
          <w:tab w:val="left" w:pos="1050"/>
        </w:tabs>
        <w:spacing w:line="360" w:lineRule="auto"/>
        <w:ind w:firstLine="480"/>
        <w:rPr>
          <w:rFonts w:ascii="宋体" w:hAnsi="宋体"/>
          <w:bCs/>
          <w:color w:val="auto"/>
          <w:sz w:val="24"/>
          <w:szCs w:val="24"/>
          <w:highlight w:val="none"/>
        </w:rPr>
      </w:pPr>
      <w:r>
        <w:rPr>
          <w:rFonts w:hint="eastAsia" w:ascii="宋体" w:hAnsi="宋体" w:cs="宋体"/>
          <w:color w:val="auto"/>
          <w:sz w:val="24"/>
          <w:szCs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auto"/>
          <w:sz w:val="24"/>
          <w:highlight w:val="none"/>
        </w:rPr>
        <w:t>政府采购履约担保函（详见附件）</w:t>
      </w:r>
      <w:r>
        <w:rPr>
          <w:rFonts w:hint="eastAsia" w:ascii="宋体" w:hAnsi="宋体" w:cs="宋体"/>
          <w:bCs/>
          <w:color w:val="auto"/>
          <w:sz w:val="24"/>
          <w:highlight w:val="none"/>
        </w:rPr>
        <w:t>。</w:t>
      </w:r>
    </w:p>
    <w:p w14:paraId="0991115E">
      <w:pPr>
        <w:tabs>
          <w:tab w:val="left" w:pos="525"/>
          <w:tab w:val="left" w:pos="945"/>
          <w:tab w:val="left" w:pos="1050"/>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2</w:t>
      </w:r>
      <w:r>
        <w:rPr>
          <w:rFonts w:hint="eastAsia" w:ascii="宋体" w:hAnsi="宋体"/>
          <w:bCs/>
          <w:color w:val="auto"/>
          <w:sz w:val="24"/>
          <w:szCs w:val="24"/>
          <w:highlight w:val="none"/>
        </w:rPr>
        <w:t>.融资担保。</w:t>
      </w:r>
    </w:p>
    <w:p w14:paraId="1D54059D">
      <w:pPr>
        <w:tabs>
          <w:tab w:val="left" w:pos="525"/>
          <w:tab w:val="left" w:pos="945"/>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14:paraId="3B680FEF">
      <w:pPr>
        <w:spacing w:line="360" w:lineRule="auto"/>
        <w:ind w:firstLine="480"/>
        <w:rPr>
          <w:rFonts w:ascii="宋体" w:hAnsi="宋体" w:cs="宋体"/>
          <w:b/>
          <w:color w:val="auto"/>
          <w:sz w:val="24"/>
          <w:szCs w:val="24"/>
          <w:highlight w:val="none"/>
        </w:rPr>
      </w:pPr>
      <w:r>
        <w:rPr>
          <w:rFonts w:hint="eastAsia" w:ascii="宋体" w:hAnsi="宋体"/>
          <w:bCs/>
          <w:color w:val="auto"/>
          <w:sz w:val="24"/>
          <w:szCs w:val="24"/>
          <w:highlight w:val="none"/>
        </w:rPr>
        <w:t>成交、中标供应商可根据自身情况，自行决定是否选择采用合同融资形式，在无锡政府采购网——政采贷专栏提供的银行名录内自主选择合作银行。</w:t>
      </w:r>
      <w:r>
        <w:rPr>
          <w:rFonts w:hint="eastAsia" w:ascii="宋体" w:hAnsi="宋体" w:cs="宋体"/>
          <w:b/>
          <w:color w:val="auto"/>
          <w:sz w:val="24"/>
          <w:szCs w:val="24"/>
          <w:highlight w:val="none"/>
        </w:rPr>
        <w:t>无锡市政府采购合同融资政策告知函（详见附件）。</w:t>
      </w:r>
    </w:p>
    <w:p w14:paraId="22380AA2">
      <w:pPr>
        <w:tabs>
          <w:tab w:val="left" w:pos="525"/>
          <w:tab w:val="left" w:pos="945"/>
          <w:tab w:val="left" w:pos="1050"/>
        </w:tabs>
        <w:spacing w:line="360" w:lineRule="auto"/>
        <w:ind w:firstLine="482"/>
        <w:rPr>
          <w:rFonts w:ascii="宋体" w:hAnsi="宋体"/>
          <w:b/>
          <w:color w:val="auto"/>
          <w:sz w:val="24"/>
          <w:szCs w:val="24"/>
          <w:highlight w:val="none"/>
        </w:rPr>
      </w:pPr>
      <w:r>
        <w:rPr>
          <w:rFonts w:hint="eastAsia" w:ascii="宋体" w:hAnsi="宋体" w:cs="宋体"/>
          <w:b/>
          <w:color w:val="auto"/>
          <w:sz w:val="24"/>
          <w:szCs w:val="24"/>
          <w:highlight w:val="none"/>
        </w:rPr>
        <w:t>采购代理机构应在“中标通知书”中增加“政采贷”合同融资政策宣传条款，并将《无锡市政府采购合同融资政策告知函》作为“中标（成交）通知书”附件一同发给中标供应商。</w:t>
      </w:r>
    </w:p>
    <w:p w14:paraId="5AFCB547">
      <w:pPr>
        <w:tabs>
          <w:tab w:val="left" w:pos="525"/>
          <w:tab w:val="left" w:pos="945"/>
          <w:tab w:val="left" w:pos="1050"/>
        </w:tabs>
        <w:spacing w:line="360" w:lineRule="auto"/>
        <w:ind w:firstLine="480"/>
        <w:rPr>
          <w:rFonts w:ascii="宋体" w:hAnsi="宋体"/>
          <w:bCs/>
          <w:color w:val="auto"/>
          <w:sz w:val="24"/>
          <w:szCs w:val="24"/>
          <w:highlight w:val="none"/>
        </w:rPr>
      </w:pPr>
      <w:bookmarkStart w:id="120" w:name="_Hlk62744624"/>
      <w:r>
        <w:rPr>
          <w:rFonts w:ascii="宋体" w:hAnsi="宋体"/>
          <w:bCs/>
          <w:color w:val="auto"/>
          <w:sz w:val="24"/>
          <w:szCs w:val="24"/>
          <w:highlight w:val="none"/>
        </w:rPr>
        <w:t>3</w:t>
      </w:r>
      <w:r>
        <w:rPr>
          <w:rFonts w:hint="eastAsia" w:ascii="宋体" w:hAnsi="宋体"/>
          <w:bCs/>
          <w:color w:val="auto"/>
          <w:sz w:val="24"/>
          <w:szCs w:val="24"/>
          <w:highlight w:val="none"/>
        </w:rPr>
        <w:t>.政府采购信用担保合作担保机构和信用融资合作银行</w:t>
      </w:r>
    </w:p>
    <w:p w14:paraId="2BC34920">
      <w:pPr>
        <w:tabs>
          <w:tab w:val="left" w:pos="525"/>
          <w:tab w:val="left" w:pos="945"/>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7DD90C6A">
      <w:pPr>
        <w:tabs>
          <w:tab w:val="left" w:pos="525"/>
          <w:tab w:val="left" w:pos="945"/>
          <w:tab w:val="left" w:pos="1050"/>
        </w:tabs>
        <w:spacing w:line="360" w:lineRule="auto"/>
        <w:ind w:firstLine="525"/>
        <w:rPr>
          <w:rFonts w:ascii="宋体" w:hAnsi="宋体"/>
          <w:bCs/>
          <w:color w:val="auto"/>
          <w:sz w:val="24"/>
          <w:szCs w:val="24"/>
          <w:highlight w:val="none"/>
        </w:rPr>
      </w:pPr>
      <w:r>
        <w:rPr>
          <w:rFonts w:hint="eastAsia" w:ascii="宋体" w:hAnsi="宋体"/>
          <w:bCs/>
          <w:color w:val="auto"/>
          <w:sz w:val="24"/>
          <w:szCs w:val="24"/>
          <w:highlight w:val="none"/>
        </w:rPr>
        <w:t>4.合作担保机构及银行出具的投标担保函、履约担保函及银行保函等，均具有《财政部关于开展政府采购信用担保试点工作的通知》中列明的担保效力。</w:t>
      </w:r>
      <w:r>
        <w:rPr>
          <w:rFonts w:ascii="宋体" w:hAnsi="宋体"/>
          <w:bCs/>
          <w:color w:val="auto"/>
          <w:sz w:val="24"/>
          <w:szCs w:val="24"/>
          <w:highlight w:val="none"/>
        </w:rPr>
        <w:t>除不可抗力外，无论基于何种原因，供应商一旦出现违约情形，承担保证责任的专业担保机构应当先行按照政府采购担保函及时进行偿付，偿付完成后，再按与供应商签订的协议约定内容进行追偿</w:t>
      </w:r>
      <w:bookmarkEnd w:id="120"/>
      <w:r>
        <w:rPr>
          <w:rFonts w:ascii="宋体" w:hAnsi="宋体"/>
          <w:bCs/>
          <w:color w:val="auto"/>
          <w:sz w:val="24"/>
          <w:szCs w:val="24"/>
          <w:highlight w:val="none"/>
        </w:rPr>
        <w:t>。</w:t>
      </w:r>
    </w:p>
    <w:p w14:paraId="0ABE3CC4">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br w:type="page"/>
      </w:r>
    </w:p>
    <w:p w14:paraId="3F2DE13A">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附件：</w:t>
      </w:r>
    </w:p>
    <w:p w14:paraId="5E26467C">
      <w:pPr>
        <w:pStyle w:val="952"/>
        <w:spacing w:line="360" w:lineRule="auto"/>
        <w:ind w:firstLine="0"/>
        <w:jc w:val="left"/>
        <w:rPr>
          <w:rFonts w:ascii="宋体" w:hAnsi="宋体"/>
          <w:bCs/>
          <w:color w:val="auto"/>
          <w:sz w:val="24"/>
          <w:szCs w:val="24"/>
          <w:highlight w:val="none"/>
        </w:rPr>
      </w:pPr>
      <w:r>
        <w:rPr>
          <w:rFonts w:hint="eastAsia" w:ascii="宋体" w:hAnsi="宋体"/>
          <w:bCs/>
          <w:color w:val="auto"/>
          <w:sz w:val="24"/>
          <w:szCs w:val="24"/>
          <w:highlight w:val="none"/>
        </w:rPr>
        <w:t xml:space="preserve">（一）政府采购履约担保函（格式）                                                            </w:t>
      </w:r>
    </w:p>
    <w:p w14:paraId="7D6AE9C5">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编号：</w:t>
      </w:r>
    </w:p>
    <w:p w14:paraId="09972BE5">
      <w:pPr>
        <w:spacing w:line="360" w:lineRule="auto"/>
        <w:jc w:val="center"/>
        <w:rPr>
          <w:rFonts w:ascii="宋体" w:hAnsi="宋体" w:cs="宋体"/>
          <w:b/>
          <w:color w:val="auto"/>
          <w:sz w:val="28"/>
          <w:szCs w:val="21"/>
          <w:highlight w:val="none"/>
        </w:rPr>
      </w:pPr>
      <w:r>
        <w:rPr>
          <w:rFonts w:hint="eastAsia" w:ascii="宋体" w:hAnsi="宋体" w:cs="宋体"/>
          <w:b/>
          <w:color w:val="auto"/>
          <w:sz w:val="28"/>
          <w:szCs w:val="21"/>
          <w:highlight w:val="none"/>
        </w:rPr>
        <w:t>政府采购履约担保函</w:t>
      </w:r>
    </w:p>
    <w:p w14:paraId="077BB774">
      <w:pP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（采购人）：</w:t>
      </w:r>
    </w:p>
    <w:p w14:paraId="303986A7">
      <w:pPr>
        <w:spacing w:line="360" w:lineRule="auto"/>
        <w:rPr>
          <w:rFonts w:ascii="宋体" w:hAnsi="宋体" w:cs="宋体"/>
          <w:color w:val="auto"/>
          <w:sz w:val="24"/>
          <w:highlight w:val="none"/>
        </w:rPr>
      </w:pPr>
    </w:p>
    <w:p w14:paraId="29EF804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鉴于你方与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（以下简称供应商）于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r>
        <w:rPr>
          <w:rFonts w:ascii="宋体" w:hAnsi="宋体" w:cs="宋体"/>
          <w:color w:val="auto"/>
          <w:sz w:val="24"/>
          <w:highlight w:val="none"/>
        </w:rPr>
        <w:t>签订</w:t>
      </w:r>
      <w:r>
        <w:rPr>
          <w:rFonts w:hint="eastAsia" w:ascii="宋体" w:hAnsi="宋体" w:cs="宋体"/>
          <w:color w:val="auto"/>
          <w:sz w:val="24"/>
          <w:highlight w:val="none"/>
        </w:rPr>
        <w:t>编号为   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政府采购合同》（以下简称主合同），且依据该合同的约定，供应商应在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p>
    <w:p w14:paraId="6418BB78">
      <w:pP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日前向你方交纳履约保证金，且可以履约担保函的形式交纳履约保证金。应供应商的申请，我方以保证的方式向你方提供如下履约保证金担保：</w:t>
      </w:r>
    </w:p>
    <w:p w14:paraId="23DCD3B8">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一、保证责任的情形及保证金额</w:t>
      </w:r>
    </w:p>
    <w:p w14:paraId="69B30D9D">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（一）在供应商出现下列情形之一时，我方承担保证责任：</w:t>
      </w:r>
    </w:p>
    <w:p w14:paraId="151E1CB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1.将中标项目转让给他人或者在投标文件中未说明，且未经采购招标机构同意，将中标项目分包给他人的；</w:t>
      </w:r>
    </w:p>
    <w:p w14:paraId="3F40B322">
      <w:pPr>
        <w:spacing w:line="360" w:lineRule="auto"/>
        <w:rPr>
          <w:rFonts w:ascii="宋体" w:hAnsi="宋体" w:cs="宋体"/>
          <w:color w:val="auto"/>
          <w:sz w:val="24"/>
          <w:highlight w:val="none"/>
        </w:rPr>
      </w:pPr>
      <w:r>
        <w:rPr>
          <w:rFonts w:hint="eastAsia" w:ascii="宋体" w:hAnsi="宋体" w:cs="宋体"/>
          <w:color w:val="auto"/>
          <w:sz w:val="24"/>
          <w:highlight w:val="none"/>
        </w:rPr>
        <w:t>　　2.主合同约定的应当缴纳履约保证金的情形</w:t>
      </w:r>
      <w:r>
        <w:rPr>
          <w:rFonts w:ascii="宋体" w:hAnsi="宋体" w:cs="宋体"/>
          <w:color w:val="auto"/>
          <w:sz w:val="24"/>
          <w:highlight w:val="none"/>
        </w:rPr>
        <w:t>：</w:t>
      </w:r>
      <w:r>
        <w:rPr>
          <w:rFonts w:hint="eastAsia" w:ascii="宋体" w:hAnsi="宋体" w:cs="宋体"/>
          <w:color w:val="auto"/>
          <w:sz w:val="24"/>
          <w:highlight w:val="none"/>
        </w:rPr>
        <w:t xml:space="preserve"> </w:t>
      </w:r>
    </w:p>
    <w:p w14:paraId="3024F598">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（1）未按主合同约定的质量、数量和期限供应货物/提供服务/完成工程的；</w:t>
      </w:r>
    </w:p>
    <w:p w14:paraId="14EEA4AF">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2230869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），币种为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。（即主合同履约保证金金额）</w:t>
      </w:r>
    </w:p>
    <w:p w14:paraId="3AA857D3">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二、保证的方式及保证期间</w:t>
      </w:r>
    </w:p>
    <w:p w14:paraId="673E14FD">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我方保证的方式为：连带责任保证。</w:t>
      </w:r>
    </w:p>
    <w:p w14:paraId="53B817D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日内。</w:t>
      </w:r>
    </w:p>
    <w:p w14:paraId="5878269E">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如果供应商未按主合同约定向贵方供应货物/提供服务/完成工程的，由我方在保证金额内向你方支付上述款项。</w:t>
      </w:r>
    </w:p>
    <w:p w14:paraId="146E511F">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三、承担保证责任的程序</w:t>
      </w:r>
    </w:p>
    <w:p w14:paraId="672ABDF1">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1.你方要求我方承担保证责任的，应在本保函保证期间内向我方发出书面索赔通知。索赔通知应写明要求索赔的金额，支付款项应到达的账号。并附有证明供应商违约事实的证明材料。</w:t>
      </w:r>
    </w:p>
    <w:p w14:paraId="6DC5C2C8">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如果你方与供应商因货物质量问题产生争议，你方还需同时提供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部门出具的质量检测报告或经诉讼（仲裁）程序裁决后的裁决书、调解书，本保证人即按照检测结果或裁决书、调解书决定是否承担保证责任。</w:t>
      </w:r>
    </w:p>
    <w:p w14:paraId="56CE52A3">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 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工作日内进行核定后按照本保函的承诺承担保证责任。</w:t>
      </w:r>
    </w:p>
    <w:p w14:paraId="44452B4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四、保证责任的终止</w:t>
      </w:r>
    </w:p>
    <w:p w14:paraId="2C9A2A7F">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保证期间届满你方未向我方书面主张保证责任的，自保证期间届满次日起，我方保证责任自动终止。保证期间届满前，主合同约定的货物\工程\服务全部验收合格的，自验收合格之日起，我方保证责任自动终止。</w:t>
      </w:r>
    </w:p>
    <w:p w14:paraId="315D0C9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2.我方按照本保函向你方履行了保证责任后，自我方向你方支付款项（支付款项从我方账户划出）之日起，保证责任即终止。</w:t>
      </w:r>
    </w:p>
    <w:p w14:paraId="59B927D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3.按照法律法规的规定或出现应终止我方保证责任</w:t>
      </w:r>
      <w:r>
        <w:rPr>
          <w:rFonts w:ascii="宋体" w:hAnsi="宋体" w:cs="宋体"/>
          <w:color w:val="auto"/>
          <w:sz w:val="24"/>
          <w:highlight w:val="none"/>
        </w:rPr>
        <w:t>的其他情形</w:t>
      </w:r>
      <w:r>
        <w:rPr>
          <w:rFonts w:hint="eastAsia" w:ascii="宋体" w:hAnsi="宋体" w:cs="宋体"/>
          <w:color w:val="auto"/>
          <w:sz w:val="24"/>
          <w:highlight w:val="none"/>
        </w:rPr>
        <w:t>的，我方在本保函项下的保证责任亦终止。</w:t>
      </w:r>
    </w:p>
    <w:p w14:paraId="2F3A504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6B268038">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五、免责条款</w:t>
      </w:r>
    </w:p>
    <w:p w14:paraId="3F11C8A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1.因你方违反主合同约定致使供应商不能履行义务的，我方不承担保证责任。</w:t>
      </w:r>
    </w:p>
    <w:p w14:paraId="284C50B8">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2.依照法律法规的规定或你方与供应商的另行约定，全部或者部分免除供应商应缴纳的保证金义务的，我方亦免除相应的保证责任。</w:t>
      </w:r>
    </w:p>
    <w:p w14:paraId="12C15B58">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3.因不可抗力造成供应商不能履行供货义务的，我方不承担保证责任。</w:t>
      </w:r>
    </w:p>
    <w:p w14:paraId="1ED9F0C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六、争议的解决</w:t>
      </w:r>
    </w:p>
    <w:p w14:paraId="29F793EF">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法院。</w:t>
      </w:r>
    </w:p>
    <w:p w14:paraId="19F2F8CA">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七、保函的生效</w:t>
      </w:r>
    </w:p>
    <w:p w14:paraId="193F235E">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 xml:space="preserve">本保函自我方加盖公章之日起生效。                                 </w:t>
      </w:r>
    </w:p>
    <w:p w14:paraId="263C99A7">
      <w:pPr>
        <w:spacing w:line="360" w:lineRule="auto"/>
        <w:ind w:firstLine="6960"/>
        <w:rPr>
          <w:rFonts w:ascii="宋体" w:hAnsi="宋体" w:cs="宋体"/>
          <w:color w:val="auto"/>
          <w:sz w:val="24"/>
          <w:highlight w:val="none"/>
        </w:rPr>
      </w:pPr>
      <w:r>
        <w:rPr>
          <w:rFonts w:hint="eastAsia" w:ascii="宋体" w:hAnsi="宋体" w:cs="宋体"/>
          <w:color w:val="auto"/>
          <w:sz w:val="24"/>
          <w:highlight w:val="none"/>
        </w:rPr>
        <w:t>保证人：（公章）</w:t>
      </w:r>
    </w:p>
    <w:p w14:paraId="7DDF6099">
      <w:pPr>
        <w:spacing w:line="360" w:lineRule="auto"/>
        <w:jc w:val="center"/>
        <w:rPr>
          <w:rFonts w:ascii="宋体" w:hAnsi="宋体" w:cs="宋体"/>
          <w:color w:val="auto"/>
          <w:sz w:val="24"/>
          <w:highlight w:val="none"/>
        </w:rPr>
      </w:pPr>
      <w:r>
        <w:rPr>
          <w:rFonts w:hint="eastAsia" w:ascii="宋体" w:hAnsi="宋体" w:cs="宋体"/>
          <w:color w:val="auto"/>
          <w:sz w:val="24"/>
          <w:highlight w:val="none"/>
        </w:rPr>
        <w:t xml:space="preserve">                                                          年     月      日</w:t>
      </w:r>
    </w:p>
    <w:p w14:paraId="7D89D1FA">
      <w:pPr>
        <w:spacing w:line="360" w:lineRule="auto"/>
        <w:jc w:val="center"/>
        <w:rPr>
          <w:rFonts w:ascii="宋体" w:hAnsi="宋体" w:cs="宋体"/>
          <w:color w:val="auto"/>
          <w:sz w:val="24"/>
          <w:highlight w:val="none"/>
        </w:rPr>
      </w:pPr>
    </w:p>
    <w:p w14:paraId="2B496287">
      <w:pPr>
        <w:widowControl/>
        <w:spacing w:line="360" w:lineRule="auto"/>
        <w:jc w:val="left"/>
        <w:rPr>
          <w:rFonts w:ascii="宋体" w:hAnsi="宋体"/>
          <w:bCs/>
          <w:color w:val="auto"/>
          <w:sz w:val="24"/>
          <w:szCs w:val="24"/>
          <w:highlight w:val="none"/>
        </w:rPr>
      </w:pPr>
      <w:r>
        <w:rPr>
          <w:rFonts w:ascii="宋体" w:hAnsi="宋体"/>
          <w:bCs/>
          <w:color w:val="auto"/>
          <w:sz w:val="24"/>
          <w:szCs w:val="24"/>
          <w:highlight w:val="none"/>
        </w:rPr>
        <w:br w:type="page" w:clear="all"/>
      </w:r>
    </w:p>
    <w:p w14:paraId="39558E84">
      <w:pPr>
        <w:spacing w:line="360" w:lineRule="auto"/>
        <w:jc w:val="left"/>
        <w:rPr>
          <w:rFonts w:ascii="宋体" w:hAnsi="宋体"/>
          <w:bCs/>
          <w:color w:val="auto"/>
          <w:sz w:val="24"/>
          <w:szCs w:val="24"/>
          <w:highlight w:val="none"/>
        </w:rPr>
      </w:pPr>
      <w:r>
        <w:rPr>
          <w:rFonts w:hint="eastAsia" w:ascii="宋体" w:hAnsi="宋体"/>
          <w:bCs/>
          <w:color w:val="auto"/>
          <w:sz w:val="24"/>
          <w:szCs w:val="24"/>
          <w:highlight w:val="none"/>
        </w:rPr>
        <w:t>无锡市政府采购合同融资政策告知函（格式）</w:t>
      </w:r>
    </w:p>
    <w:p w14:paraId="22491DA5">
      <w:pPr>
        <w:spacing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无锡市政府采购合同融资政策告知函</w:t>
      </w:r>
    </w:p>
    <w:p w14:paraId="6A03058D">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各供应商：</w:t>
      </w:r>
    </w:p>
    <w:p w14:paraId="10F8DE6C">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欢迎贵公司参与无锡市政府采购活动！</w:t>
      </w:r>
    </w:p>
    <w:p w14:paraId="367993CD">
      <w:pPr>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p>
    <w:p w14:paraId="7127ECA5">
      <w:pPr>
        <w:spacing w:after="60" w:line="360" w:lineRule="auto"/>
        <w:jc w:val="center"/>
        <w:rPr>
          <w:rFonts w:ascii="Cambria" w:hAnsi="Cambria"/>
          <w:b/>
          <w:bCs/>
          <w:color w:val="auto"/>
          <w:sz w:val="32"/>
          <w:szCs w:val="32"/>
          <w:highlight w:val="none"/>
        </w:rPr>
      </w:pPr>
    </w:p>
    <w:p w14:paraId="23AE7998">
      <w:pPr>
        <w:spacing w:after="60" w:line="360" w:lineRule="auto"/>
        <w:jc w:val="center"/>
        <w:rPr>
          <w:rFonts w:ascii="Cambria" w:hAnsi="Cambria"/>
          <w:b/>
          <w:bCs/>
          <w:color w:val="auto"/>
          <w:sz w:val="32"/>
          <w:szCs w:val="32"/>
          <w:highlight w:val="none"/>
        </w:rPr>
      </w:pPr>
    </w:p>
    <w:p w14:paraId="777B753C">
      <w:pPr>
        <w:spacing w:after="60" w:line="360" w:lineRule="auto"/>
        <w:jc w:val="center"/>
        <w:rPr>
          <w:rFonts w:ascii="Cambria" w:hAnsi="Cambria"/>
          <w:b/>
          <w:bCs/>
          <w:color w:val="auto"/>
          <w:sz w:val="32"/>
          <w:szCs w:val="32"/>
          <w:highlight w:val="none"/>
        </w:rPr>
      </w:pPr>
    </w:p>
    <w:p w14:paraId="564D87C4">
      <w:pPr>
        <w:spacing w:after="60" w:line="360" w:lineRule="auto"/>
        <w:jc w:val="center"/>
        <w:rPr>
          <w:rFonts w:ascii="Cambria" w:hAnsi="Cambria"/>
          <w:b/>
          <w:bCs/>
          <w:color w:val="auto"/>
          <w:sz w:val="32"/>
          <w:szCs w:val="32"/>
          <w:highlight w:val="none"/>
        </w:rPr>
      </w:pPr>
    </w:p>
    <w:p w14:paraId="775E458A">
      <w:pPr>
        <w:spacing w:after="60" w:line="360" w:lineRule="auto"/>
        <w:jc w:val="center"/>
        <w:rPr>
          <w:rFonts w:ascii="Cambria" w:hAnsi="Cambria"/>
          <w:b/>
          <w:bCs/>
          <w:color w:val="auto"/>
          <w:sz w:val="32"/>
          <w:szCs w:val="32"/>
          <w:highlight w:val="none"/>
        </w:rPr>
      </w:pPr>
    </w:p>
    <w:p w14:paraId="769EA914">
      <w:pPr>
        <w:spacing w:after="60" w:line="360" w:lineRule="auto"/>
        <w:jc w:val="center"/>
        <w:rPr>
          <w:rFonts w:ascii="Cambria" w:hAnsi="Cambria"/>
          <w:b/>
          <w:bCs/>
          <w:color w:val="auto"/>
          <w:sz w:val="32"/>
          <w:szCs w:val="32"/>
          <w:highlight w:val="none"/>
        </w:rPr>
      </w:pPr>
    </w:p>
    <w:p w14:paraId="3FC95E79">
      <w:pPr>
        <w:spacing w:after="60" w:line="360" w:lineRule="auto"/>
        <w:jc w:val="center"/>
        <w:rPr>
          <w:rFonts w:ascii="Cambria" w:hAnsi="Cambria"/>
          <w:b/>
          <w:bCs/>
          <w:color w:val="auto"/>
          <w:sz w:val="32"/>
          <w:szCs w:val="32"/>
          <w:highlight w:val="none"/>
        </w:rPr>
      </w:pPr>
    </w:p>
    <w:p w14:paraId="2B3A2BB0">
      <w:pPr>
        <w:spacing w:after="60" w:line="360" w:lineRule="auto"/>
        <w:jc w:val="center"/>
        <w:rPr>
          <w:rFonts w:ascii="Cambria" w:hAnsi="Cambria"/>
          <w:b/>
          <w:bCs/>
          <w:color w:val="auto"/>
          <w:sz w:val="32"/>
          <w:szCs w:val="32"/>
          <w:highlight w:val="none"/>
        </w:rPr>
      </w:pPr>
    </w:p>
    <w:p w14:paraId="71AACFB5">
      <w:pPr>
        <w:spacing w:after="60" w:line="360" w:lineRule="auto"/>
        <w:jc w:val="center"/>
        <w:rPr>
          <w:rFonts w:ascii="Cambria" w:hAnsi="Cambria"/>
          <w:b/>
          <w:bCs/>
          <w:color w:val="auto"/>
          <w:sz w:val="32"/>
          <w:szCs w:val="32"/>
          <w:highlight w:val="none"/>
        </w:rPr>
      </w:pPr>
    </w:p>
    <w:p w14:paraId="40EF4B9D">
      <w:pPr>
        <w:spacing w:after="60" w:line="360" w:lineRule="auto"/>
        <w:jc w:val="center"/>
        <w:rPr>
          <w:rFonts w:ascii="Cambria" w:hAnsi="Cambria"/>
          <w:b/>
          <w:bCs/>
          <w:color w:val="auto"/>
          <w:sz w:val="32"/>
          <w:szCs w:val="32"/>
          <w:highlight w:val="none"/>
        </w:rPr>
      </w:pPr>
    </w:p>
    <w:p w14:paraId="37349F6D">
      <w:pPr>
        <w:spacing w:after="60" w:line="360" w:lineRule="auto"/>
        <w:jc w:val="center"/>
        <w:rPr>
          <w:rFonts w:ascii="Cambria" w:hAnsi="Cambria"/>
          <w:b/>
          <w:bCs/>
          <w:color w:val="auto"/>
          <w:sz w:val="32"/>
          <w:szCs w:val="32"/>
          <w:highlight w:val="none"/>
        </w:rPr>
      </w:pPr>
    </w:p>
    <w:p w14:paraId="78D4E6D2">
      <w:pPr>
        <w:spacing w:after="60" w:line="360" w:lineRule="auto"/>
        <w:jc w:val="center"/>
        <w:rPr>
          <w:rFonts w:ascii="Cambria" w:hAnsi="Cambria"/>
          <w:b/>
          <w:bCs/>
          <w:color w:val="auto"/>
          <w:sz w:val="32"/>
          <w:szCs w:val="32"/>
          <w:highlight w:val="none"/>
        </w:rPr>
      </w:pPr>
    </w:p>
    <w:p w14:paraId="1AA7F868">
      <w:pPr>
        <w:spacing w:after="60" w:line="360" w:lineRule="auto"/>
        <w:jc w:val="center"/>
        <w:rPr>
          <w:rFonts w:ascii="Cambria" w:hAnsi="Cambria"/>
          <w:b/>
          <w:bCs/>
          <w:color w:val="auto"/>
          <w:sz w:val="32"/>
          <w:szCs w:val="32"/>
          <w:highlight w:val="none"/>
        </w:rPr>
      </w:pPr>
    </w:p>
    <w:p w14:paraId="38F179D6">
      <w:pPr>
        <w:spacing w:after="60" w:line="360" w:lineRule="auto"/>
        <w:jc w:val="center"/>
        <w:rPr>
          <w:rFonts w:ascii="Cambria" w:hAnsi="Cambria"/>
          <w:b/>
          <w:bCs/>
          <w:color w:val="auto"/>
          <w:sz w:val="32"/>
          <w:szCs w:val="32"/>
          <w:highlight w:val="none"/>
        </w:rPr>
      </w:pPr>
    </w:p>
    <w:p w14:paraId="22DBC83B">
      <w:pPr>
        <w:spacing w:after="60" w:line="360" w:lineRule="auto"/>
        <w:jc w:val="center"/>
        <w:rPr>
          <w:rFonts w:ascii="Cambria" w:hAnsi="Cambria"/>
          <w:b/>
          <w:bCs/>
          <w:color w:val="auto"/>
          <w:sz w:val="32"/>
          <w:szCs w:val="32"/>
          <w:highlight w:val="none"/>
        </w:rPr>
      </w:pPr>
    </w:p>
    <w:p w14:paraId="649D4FD4">
      <w:pPr>
        <w:spacing w:after="60" w:line="360" w:lineRule="auto"/>
        <w:jc w:val="center"/>
        <w:outlineLvl w:val="0"/>
        <w:rPr>
          <w:color w:val="auto"/>
          <w:highlight w:val="none"/>
        </w:rPr>
      </w:pPr>
      <w:r>
        <w:rPr>
          <w:rFonts w:hint="eastAsia" w:ascii="Cambria" w:hAnsi="Cambria"/>
          <w:b/>
          <w:bCs/>
          <w:color w:val="auto"/>
          <w:sz w:val="32"/>
          <w:szCs w:val="32"/>
          <w:highlight w:val="none"/>
        </w:rPr>
        <w:t>三、</w:t>
      </w:r>
      <w:bookmarkEnd w:id="116"/>
      <w:bookmarkEnd w:id="117"/>
      <w:bookmarkEnd w:id="118"/>
      <w:bookmarkStart w:id="121" w:name="_Toc116946342"/>
      <w:r>
        <w:rPr>
          <w:rFonts w:hint="eastAsia" w:ascii="Cambria" w:hAnsi="Cambria"/>
          <w:b/>
          <w:bCs/>
          <w:color w:val="auto"/>
          <w:sz w:val="32"/>
          <w:szCs w:val="32"/>
          <w:highlight w:val="none"/>
        </w:rPr>
        <w:t>采购需求</w:t>
      </w:r>
      <w:bookmarkEnd w:id="121"/>
      <w:bookmarkStart w:id="122" w:name="_Toc381963375"/>
      <w:bookmarkEnd w:id="122"/>
      <w:bookmarkStart w:id="123" w:name="_Toc471745359"/>
      <w:bookmarkEnd w:id="123"/>
      <w:bookmarkStart w:id="124" w:name="_Toc452556704"/>
      <w:bookmarkEnd w:id="124"/>
      <w:bookmarkStart w:id="125" w:name="_Toc452556721"/>
      <w:bookmarkEnd w:id="125"/>
      <w:bookmarkStart w:id="126" w:name="_Toc443332018"/>
      <w:bookmarkEnd w:id="126"/>
      <w:bookmarkStart w:id="127" w:name="_Toc452502417"/>
      <w:bookmarkEnd w:id="127"/>
      <w:bookmarkStart w:id="128" w:name="_Toc452502548"/>
      <w:bookmarkEnd w:id="128"/>
      <w:bookmarkStart w:id="129" w:name="_Toc381964101"/>
      <w:bookmarkEnd w:id="129"/>
      <w:bookmarkStart w:id="130" w:name="_Toc452502443"/>
      <w:bookmarkEnd w:id="130"/>
      <w:bookmarkStart w:id="131" w:name="_Toc452502505"/>
      <w:bookmarkEnd w:id="131"/>
      <w:bookmarkStart w:id="132" w:name="_Toc402880626"/>
      <w:bookmarkEnd w:id="132"/>
      <w:bookmarkStart w:id="133" w:name="_Toc452502431"/>
      <w:bookmarkEnd w:id="133"/>
      <w:bookmarkStart w:id="134" w:name="_Toc402880620"/>
      <w:bookmarkEnd w:id="134"/>
      <w:bookmarkStart w:id="135" w:name="_Toc452502545"/>
      <w:bookmarkEnd w:id="135"/>
      <w:bookmarkStart w:id="136" w:name="_Toc452502376"/>
      <w:bookmarkEnd w:id="136"/>
      <w:bookmarkStart w:id="137" w:name="_Toc452502567"/>
      <w:bookmarkEnd w:id="137"/>
      <w:bookmarkStart w:id="138" w:name="_Toc452556611"/>
      <w:bookmarkEnd w:id="138"/>
      <w:bookmarkStart w:id="139" w:name="_Toc452556734"/>
      <w:bookmarkEnd w:id="139"/>
      <w:bookmarkStart w:id="140" w:name="_Toc471745357"/>
      <w:bookmarkEnd w:id="140"/>
      <w:bookmarkStart w:id="141" w:name="_Toc452502500"/>
      <w:bookmarkEnd w:id="141"/>
      <w:bookmarkStart w:id="142" w:name="_Toc452502315"/>
      <w:bookmarkEnd w:id="142"/>
      <w:bookmarkStart w:id="143" w:name="_Toc400913979"/>
      <w:bookmarkEnd w:id="143"/>
      <w:bookmarkStart w:id="144" w:name="_Toc381964099"/>
      <w:bookmarkEnd w:id="144"/>
      <w:bookmarkStart w:id="145" w:name="_Toc452502560"/>
      <w:bookmarkEnd w:id="145"/>
      <w:bookmarkStart w:id="146" w:name="_Toc452556806"/>
      <w:bookmarkEnd w:id="146"/>
      <w:bookmarkStart w:id="147" w:name="_Toc452556688"/>
      <w:bookmarkEnd w:id="147"/>
      <w:bookmarkStart w:id="148" w:name="_Toc452502492"/>
      <w:bookmarkEnd w:id="148"/>
      <w:bookmarkStart w:id="149" w:name="_Toc452556749"/>
      <w:bookmarkEnd w:id="149"/>
      <w:bookmarkStart w:id="150" w:name="_Toc452556760"/>
      <w:bookmarkEnd w:id="150"/>
      <w:bookmarkStart w:id="151" w:name="_Toc452556742"/>
      <w:bookmarkEnd w:id="151"/>
      <w:bookmarkStart w:id="152" w:name="_Toc452502467"/>
      <w:bookmarkEnd w:id="152"/>
      <w:bookmarkStart w:id="153" w:name="_Toc452556588"/>
      <w:bookmarkEnd w:id="153"/>
      <w:bookmarkStart w:id="154" w:name="_Toc452556559"/>
      <w:bookmarkEnd w:id="154"/>
      <w:bookmarkStart w:id="155" w:name="_Toc452502387"/>
      <w:bookmarkEnd w:id="155"/>
      <w:bookmarkStart w:id="156" w:name="_Toc452556632"/>
      <w:bookmarkEnd w:id="156"/>
      <w:bookmarkStart w:id="157" w:name="_Toc452556613"/>
      <w:bookmarkEnd w:id="157"/>
      <w:bookmarkStart w:id="158" w:name="_Toc452556768"/>
      <w:bookmarkEnd w:id="158"/>
      <w:bookmarkStart w:id="159" w:name="_Toc452502563"/>
      <w:bookmarkEnd w:id="159"/>
      <w:bookmarkStart w:id="160" w:name="_Toc402880650"/>
      <w:bookmarkEnd w:id="160"/>
      <w:bookmarkStart w:id="161" w:name="_Toc452502428"/>
      <w:bookmarkEnd w:id="161"/>
      <w:bookmarkStart w:id="162" w:name="_Toc452502334"/>
      <w:bookmarkEnd w:id="162"/>
      <w:bookmarkStart w:id="163" w:name="_Toc452556547"/>
      <w:bookmarkEnd w:id="163"/>
      <w:bookmarkStart w:id="164" w:name="_Toc452556610"/>
      <w:bookmarkEnd w:id="164"/>
      <w:bookmarkStart w:id="165" w:name="_Toc452502380"/>
      <w:bookmarkEnd w:id="165"/>
      <w:bookmarkStart w:id="166" w:name="_Toc402880700"/>
      <w:bookmarkEnd w:id="166"/>
      <w:bookmarkStart w:id="167" w:name="_Toc471745363"/>
      <w:bookmarkEnd w:id="167"/>
      <w:bookmarkStart w:id="168" w:name="_Toc452556507"/>
      <w:bookmarkEnd w:id="168"/>
      <w:bookmarkStart w:id="169" w:name="_Toc443332011"/>
      <w:bookmarkEnd w:id="169"/>
      <w:bookmarkStart w:id="170" w:name="_Toc402880608"/>
      <w:bookmarkEnd w:id="170"/>
      <w:bookmarkStart w:id="171" w:name="_Toc452556774"/>
      <w:bookmarkEnd w:id="171"/>
      <w:bookmarkStart w:id="172" w:name="_Toc452556585"/>
      <w:bookmarkEnd w:id="172"/>
      <w:bookmarkStart w:id="173" w:name="_Toc452556739"/>
      <w:bookmarkEnd w:id="173"/>
      <w:bookmarkStart w:id="174" w:name="_Toc452502346"/>
      <w:bookmarkEnd w:id="174"/>
      <w:bookmarkStart w:id="175" w:name="_Toc452502370"/>
      <w:bookmarkEnd w:id="175"/>
      <w:bookmarkStart w:id="176" w:name="_Toc452556737"/>
      <w:bookmarkEnd w:id="176"/>
      <w:bookmarkStart w:id="177" w:name="_Toc452502543"/>
      <w:bookmarkEnd w:id="177"/>
      <w:bookmarkStart w:id="178" w:name="_Toc402880605"/>
      <w:bookmarkEnd w:id="178"/>
      <w:bookmarkStart w:id="179" w:name="_Toc452502495"/>
      <w:bookmarkEnd w:id="179"/>
      <w:bookmarkStart w:id="180" w:name="_Toc452556625"/>
      <w:bookmarkEnd w:id="180"/>
      <w:bookmarkStart w:id="181" w:name="_Toc452556708"/>
      <w:bookmarkEnd w:id="181"/>
      <w:bookmarkStart w:id="182" w:name="_Toc452556805"/>
      <w:bookmarkEnd w:id="182"/>
      <w:bookmarkStart w:id="183" w:name="_Toc452556701"/>
      <w:bookmarkEnd w:id="183"/>
      <w:bookmarkStart w:id="184" w:name="_Toc452556703"/>
      <w:bookmarkEnd w:id="184"/>
      <w:bookmarkStart w:id="185" w:name="_Toc471745367"/>
      <w:bookmarkEnd w:id="185"/>
      <w:bookmarkStart w:id="186" w:name="_Toc452556728"/>
      <w:bookmarkEnd w:id="186"/>
      <w:bookmarkStart w:id="187" w:name="_Toc452502511"/>
      <w:bookmarkEnd w:id="187"/>
      <w:bookmarkStart w:id="188" w:name="_Toc452502318"/>
      <w:bookmarkEnd w:id="188"/>
      <w:bookmarkStart w:id="189" w:name="_Toc452556638"/>
      <w:bookmarkEnd w:id="189"/>
      <w:bookmarkStart w:id="190" w:name="_Toc402880654"/>
      <w:bookmarkEnd w:id="190"/>
      <w:bookmarkStart w:id="191" w:name="_Toc402880610"/>
      <w:bookmarkEnd w:id="191"/>
      <w:bookmarkStart w:id="192" w:name="_Toc452556568"/>
      <w:bookmarkEnd w:id="192"/>
      <w:bookmarkStart w:id="193" w:name="_Toc388279021"/>
      <w:bookmarkEnd w:id="193"/>
      <w:bookmarkStart w:id="194" w:name="_Toc452502416"/>
      <w:bookmarkEnd w:id="194"/>
      <w:bookmarkStart w:id="195" w:name="_Toc452556790"/>
      <w:bookmarkEnd w:id="195"/>
      <w:bookmarkStart w:id="196" w:name="_Toc452502340"/>
      <w:bookmarkEnd w:id="196"/>
      <w:bookmarkStart w:id="197" w:name="_Toc452556732"/>
      <w:bookmarkEnd w:id="197"/>
      <w:bookmarkStart w:id="198" w:name="_Toc452556738"/>
      <w:bookmarkEnd w:id="198"/>
      <w:bookmarkStart w:id="199" w:name="_Toc452502445"/>
      <w:bookmarkEnd w:id="199"/>
      <w:bookmarkStart w:id="200" w:name="_Toc452502482"/>
      <w:bookmarkEnd w:id="200"/>
      <w:bookmarkStart w:id="201" w:name="_Toc452556595"/>
      <w:bookmarkEnd w:id="201"/>
      <w:bookmarkStart w:id="202" w:name="_Toc452556564"/>
      <w:bookmarkEnd w:id="202"/>
      <w:bookmarkStart w:id="203" w:name="_Toc443332013"/>
      <w:bookmarkEnd w:id="203"/>
      <w:bookmarkStart w:id="204" w:name="_Toc452556637"/>
      <w:bookmarkEnd w:id="204"/>
      <w:bookmarkStart w:id="205" w:name="_Toc452556779"/>
      <w:bookmarkEnd w:id="205"/>
      <w:bookmarkStart w:id="206" w:name="_Toc402880644"/>
      <w:bookmarkEnd w:id="206"/>
      <w:bookmarkStart w:id="207" w:name="_Toc452502535"/>
      <w:bookmarkEnd w:id="207"/>
      <w:bookmarkStart w:id="208" w:name="_Toc402880645"/>
      <w:bookmarkEnd w:id="208"/>
      <w:bookmarkStart w:id="209" w:name="_Toc452502459"/>
      <w:bookmarkEnd w:id="209"/>
      <w:bookmarkStart w:id="210" w:name="_Toc452556782"/>
      <w:bookmarkEnd w:id="210"/>
      <w:bookmarkStart w:id="211" w:name="_Toc452556630"/>
      <w:bookmarkEnd w:id="211"/>
      <w:bookmarkStart w:id="212" w:name="_Toc452502344"/>
      <w:bookmarkEnd w:id="212"/>
      <w:bookmarkStart w:id="213" w:name="_Toc452502568"/>
      <w:bookmarkEnd w:id="213"/>
      <w:bookmarkStart w:id="214" w:name="_Toc452556745"/>
      <w:bookmarkEnd w:id="214"/>
      <w:bookmarkStart w:id="215" w:name="_Toc452556498"/>
      <w:bookmarkEnd w:id="215"/>
      <w:bookmarkStart w:id="216" w:name="_Toc452556758"/>
      <w:bookmarkEnd w:id="216"/>
      <w:bookmarkStart w:id="217" w:name="_Toc452556757"/>
      <w:bookmarkEnd w:id="217"/>
      <w:bookmarkStart w:id="218" w:name="_Toc452502427"/>
      <w:bookmarkEnd w:id="218"/>
      <w:bookmarkStart w:id="219" w:name="_Toc452502547"/>
      <w:bookmarkEnd w:id="219"/>
      <w:bookmarkStart w:id="220" w:name="_Toc452556821"/>
      <w:bookmarkEnd w:id="220"/>
      <w:bookmarkStart w:id="221" w:name="_Toc452502375"/>
      <w:bookmarkEnd w:id="221"/>
      <w:bookmarkStart w:id="222" w:name="_Toc452556829"/>
      <w:bookmarkEnd w:id="222"/>
      <w:bookmarkStart w:id="223" w:name="_Toc452502448"/>
      <w:bookmarkEnd w:id="223"/>
      <w:bookmarkStart w:id="224" w:name="_Toc388279024"/>
      <w:bookmarkEnd w:id="224"/>
      <w:bookmarkStart w:id="225" w:name="_Toc452556715"/>
      <w:bookmarkEnd w:id="225"/>
      <w:bookmarkStart w:id="226" w:name="_Toc452502330"/>
      <w:bookmarkEnd w:id="226"/>
      <w:bookmarkStart w:id="227" w:name="_Toc452556528"/>
      <w:bookmarkEnd w:id="227"/>
      <w:bookmarkStart w:id="228" w:name="_Toc452556556"/>
      <w:bookmarkEnd w:id="228"/>
      <w:bookmarkStart w:id="229" w:name="_Toc402880698"/>
      <w:bookmarkEnd w:id="229"/>
      <w:bookmarkStart w:id="230" w:name="_Toc402880677"/>
      <w:bookmarkEnd w:id="230"/>
      <w:bookmarkStart w:id="231" w:name="_Toc402880606"/>
      <w:bookmarkEnd w:id="231"/>
      <w:bookmarkStart w:id="232" w:name="_Toc452556550"/>
      <w:bookmarkEnd w:id="232"/>
      <w:bookmarkStart w:id="233" w:name="_Toc452556560"/>
      <w:bookmarkEnd w:id="233"/>
      <w:bookmarkStart w:id="234" w:name="_Toc452556722"/>
      <w:bookmarkEnd w:id="234"/>
      <w:bookmarkStart w:id="235" w:name="_Toc452556523"/>
      <w:bookmarkEnd w:id="235"/>
      <w:bookmarkStart w:id="236" w:name="_Toc452556786"/>
      <w:bookmarkEnd w:id="236"/>
      <w:bookmarkStart w:id="237" w:name="_Toc452502532"/>
      <w:bookmarkEnd w:id="237"/>
      <w:bookmarkStart w:id="238" w:name="_Toc452502398"/>
      <w:bookmarkEnd w:id="238"/>
      <w:bookmarkStart w:id="239" w:name="_Toc402880633"/>
      <w:bookmarkEnd w:id="239"/>
      <w:bookmarkStart w:id="240" w:name="_Toc452556778"/>
      <w:bookmarkEnd w:id="240"/>
      <w:bookmarkStart w:id="241" w:name="_Toc402880631"/>
      <w:bookmarkEnd w:id="241"/>
      <w:bookmarkStart w:id="242" w:name="_Toc452502554"/>
      <w:bookmarkEnd w:id="242"/>
      <w:bookmarkStart w:id="243" w:name="_Toc452502509"/>
      <w:bookmarkEnd w:id="243"/>
      <w:bookmarkStart w:id="244" w:name="_Toc452556690"/>
      <w:bookmarkEnd w:id="244"/>
      <w:bookmarkStart w:id="245" w:name="_Toc452502372"/>
      <w:bookmarkEnd w:id="245"/>
      <w:bookmarkStart w:id="246" w:name="_Toc471744106"/>
      <w:bookmarkEnd w:id="246"/>
      <w:bookmarkStart w:id="247" w:name="_Toc452502469"/>
      <w:bookmarkEnd w:id="247"/>
      <w:bookmarkStart w:id="248" w:name="_Toc452502423"/>
      <w:bookmarkEnd w:id="248"/>
      <w:bookmarkStart w:id="249" w:name="_Toc443332012"/>
      <w:bookmarkEnd w:id="249"/>
      <w:bookmarkStart w:id="250" w:name="_Toc443332006"/>
      <w:bookmarkEnd w:id="250"/>
      <w:bookmarkStart w:id="251" w:name="_Toc452556572"/>
      <w:bookmarkEnd w:id="251"/>
      <w:bookmarkStart w:id="252" w:name="_Toc452556552"/>
      <w:bookmarkEnd w:id="252"/>
      <w:bookmarkStart w:id="253" w:name="_Toc452556763"/>
      <w:bookmarkEnd w:id="253"/>
      <w:bookmarkStart w:id="254" w:name="_Toc402880680"/>
      <w:bookmarkEnd w:id="254"/>
      <w:bookmarkStart w:id="255" w:name="_Toc452556830"/>
      <w:bookmarkEnd w:id="255"/>
      <w:bookmarkStart w:id="256" w:name="_Toc452502333"/>
      <w:bookmarkEnd w:id="256"/>
      <w:bookmarkStart w:id="257" w:name="_Toc381963373"/>
      <w:bookmarkEnd w:id="257"/>
      <w:bookmarkStart w:id="258" w:name="_Toc402880675"/>
      <w:bookmarkEnd w:id="258"/>
      <w:bookmarkStart w:id="259" w:name="_Toc452556677"/>
      <w:bookmarkEnd w:id="259"/>
      <w:bookmarkStart w:id="260" w:name="_Toc452502359"/>
      <w:bookmarkEnd w:id="260"/>
      <w:bookmarkStart w:id="261" w:name="_Toc452502496"/>
      <w:bookmarkEnd w:id="261"/>
      <w:bookmarkStart w:id="262" w:name="_Toc402880618"/>
      <w:bookmarkEnd w:id="262"/>
      <w:bookmarkStart w:id="263" w:name="_Toc452502434"/>
      <w:bookmarkEnd w:id="263"/>
      <w:bookmarkStart w:id="264" w:name="_Toc452556751"/>
      <w:bookmarkEnd w:id="264"/>
      <w:bookmarkStart w:id="265" w:name="_Toc443332025"/>
      <w:bookmarkEnd w:id="265"/>
      <w:bookmarkStart w:id="266" w:name="_Toc452556598"/>
      <w:bookmarkEnd w:id="266"/>
      <w:bookmarkStart w:id="267" w:name="_Toc452502377"/>
      <w:bookmarkEnd w:id="267"/>
      <w:bookmarkStart w:id="268" w:name="_Toc452556621"/>
      <w:bookmarkEnd w:id="268"/>
      <w:bookmarkStart w:id="269" w:name="_Toc452556513"/>
      <w:bookmarkEnd w:id="269"/>
      <w:bookmarkStart w:id="270" w:name="_Toc452556725"/>
      <w:bookmarkEnd w:id="270"/>
      <w:bookmarkStart w:id="271" w:name="_Toc452502571"/>
      <w:bookmarkEnd w:id="271"/>
      <w:bookmarkStart w:id="272" w:name="_Toc452502403"/>
      <w:bookmarkEnd w:id="272"/>
      <w:bookmarkStart w:id="273" w:name="_Toc402880691"/>
      <w:bookmarkEnd w:id="273"/>
      <w:bookmarkStart w:id="274" w:name="_Toc452556740"/>
      <w:bookmarkEnd w:id="274"/>
      <w:bookmarkStart w:id="275" w:name="_Toc452556641"/>
      <w:bookmarkEnd w:id="275"/>
      <w:bookmarkStart w:id="276" w:name="_Toc452502331"/>
      <w:bookmarkEnd w:id="276"/>
      <w:bookmarkStart w:id="277" w:name="_Toc452502550"/>
      <w:bookmarkEnd w:id="277"/>
      <w:bookmarkStart w:id="278" w:name="_Toc452502546"/>
      <w:bookmarkEnd w:id="278"/>
      <w:bookmarkStart w:id="279" w:name="_Toc471739945"/>
      <w:bookmarkEnd w:id="279"/>
      <w:bookmarkStart w:id="280" w:name="_Toc452556616"/>
      <w:bookmarkEnd w:id="280"/>
      <w:bookmarkStart w:id="281" w:name="_Toc452502573"/>
      <w:bookmarkEnd w:id="281"/>
      <w:bookmarkStart w:id="282" w:name="_Toc452502332"/>
      <w:bookmarkEnd w:id="282"/>
      <w:bookmarkStart w:id="283" w:name="_Toc452556824"/>
      <w:bookmarkEnd w:id="283"/>
      <w:bookmarkStart w:id="284" w:name="_Toc452556583"/>
      <w:bookmarkEnd w:id="284"/>
      <w:bookmarkStart w:id="285" w:name="_Toc452502447"/>
      <w:bookmarkEnd w:id="285"/>
      <w:bookmarkStart w:id="286" w:name="_Toc452556808"/>
      <w:bookmarkEnd w:id="286"/>
      <w:bookmarkStart w:id="287" w:name="_Toc452502539"/>
      <w:bookmarkEnd w:id="287"/>
      <w:bookmarkStart w:id="288" w:name="_Toc452502570"/>
      <w:bookmarkEnd w:id="288"/>
      <w:bookmarkStart w:id="289" w:name="_Toc452556577"/>
      <w:bookmarkEnd w:id="289"/>
      <w:bookmarkStart w:id="290" w:name="_Toc402880685"/>
      <w:bookmarkEnd w:id="290"/>
      <w:bookmarkStart w:id="291" w:name="_Toc452502519"/>
      <w:bookmarkEnd w:id="291"/>
      <w:bookmarkStart w:id="292" w:name="_Toc452556627"/>
      <w:bookmarkEnd w:id="292"/>
      <w:bookmarkStart w:id="293" w:name="_Toc452556502"/>
      <w:bookmarkEnd w:id="293"/>
      <w:bookmarkStart w:id="294" w:name="_Toc452502342"/>
      <w:bookmarkEnd w:id="294"/>
      <w:bookmarkStart w:id="295" w:name="_Toc471745365"/>
      <w:bookmarkEnd w:id="295"/>
      <w:bookmarkStart w:id="296" w:name="_Toc402880614"/>
      <w:bookmarkEnd w:id="296"/>
      <w:bookmarkStart w:id="297" w:name="_Toc452502345"/>
      <w:bookmarkEnd w:id="297"/>
      <w:bookmarkStart w:id="298" w:name="_Toc452502559"/>
      <w:bookmarkEnd w:id="298"/>
      <w:bookmarkStart w:id="299" w:name="_Toc452502325"/>
      <w:bookmarkEnd w:id="299"/>
      <w:bookmarkStart w:id="300" w:name="_Toc381964098"/>
      <w:bookmarkEnd w:id="300"/>
      <w:bookmarkStart w:id="301" w:name="_Toc452502454"/>
      <w:bookmarkEnd w:id="301"/>
      <w:bookmarkStart w:id="302" w:name="_Toc452502369"/>
      <w:bookmarkEnd w:id="302"/>
      <w:bookmarkStart w:id="303" w:name="_Toc452502011"/>
      <w:bookmarkEnd w:id="303"/>
      <w:bookmarkStart w:id="304" w:name="_Toc382579311"/>
      <w:bookmarkEnd w:id="304"/>
      <w:bookmarkStart w:id="305" w:name="_Toc452502502"/>
      <w:bookmarkEnd w:id="305"/>
      <w:bookmarkStart w:id="306" w:name="_Toc402880617"/>
      <w:bookmarkEnd w:id="306"/>
      <w:bookmarkStart w:id="307" w:name="_Toc471744107"/>
      <w:bookmarkEnd w:id="307"/>
      <w:bookmarkStart w:id="308" w:name="_Toc402880619"/>
      <w:bookmarkEnd w:id="308"/>
      <w:bookmarkStart w:id="309" w:name="_Toc402880621"/>
      <w:bookmarkEnd w:id="309"/>
      <w:bookmarkStart w:id="310" w:name="_Toc452502566"/>
      <w:bookmarkEnd w:id="310"/>
      <w:bookmarkStart w:id="311" w:name="_Toc452502480"/>
      <w:bookmarkEnd w:id="311"/>
      <w:bookmarkStart w:id="312" w:name="_Toc452556727"/>
      <w:bookmarkEnd w:id="312"/>
      <w:bookmarkStart w:id="313" w:name="_Toc452556788"/>
      <w:bookmarkEnd w:id="313"/>
      <w:bookmarkStart w:id="314" w:name="_Toc402880681"/>
      <w:bookmarkEnd w:id="314"/>
      <w:bookmarkStart w:id="315" w:name="_Toc402880656"/>
      <w:bookmarkEnd w:id="315"/>
      <w:bookmarkStart w:id="316" w:name="_Toc452502415"/>
      <w:bookmarkEnd w:id="316"/>
      <w:bookmarkStart w:id="317" w:name="_Toc452556668"/>
      <w:bookmarkEnd w:id="317"/>
      <w:bookmarkStart w:id="318" w:name="_Toc452502518"/>
      <w:bookmarkEnd w:id="318"/>
      <w:bookmarkStart w:id="319" w:name="_Toc452556764"/>
      <w:bookmarkEnd w:id="319"/>
      <w:bookmarkStart w:id="320" w:name="_Toc452556633"/>
      <w:bookmarkEnd w:id="320"/>
      <w:bookmarkStart w:id="321" w:name="_Toc402880687"/>
      <w:bookmarkEnd w:id="321"/>
      <w:bookmarkStart w:id="322" w:name="_Toc452556784"/>
      <w:bookmarkEnd w:id="322"/>
      <w:bookmarkStart w:id="323" w:name="_Toc452556520"/>
      <w:bookmarkEnd w:id="323"/>
      <w:bookmarkStart w:id="324" w:name="_Toc471745863"/>
      <w:bookmarkEnd w:id="324"/>
      <w:bookmarkStart w:id="325" w:name="_Toc402880638"/>
      <w:bookmarkEnd w:id="325"/>
      <w:bookmarkStart w:id="326" w:name="_Toc452556594"/>
      <w:bookmarkEnd w:id="326"/>
      <w:bookmarkStart w:id="327" w:name="_Toc471745358"/>
      <w:bookmarkEnd w:id="327"/>
      <w:bookmarkStart w:id="328" w:name="_Toc452502312"/>
      <w:bookmarkEnd w:id="328"/>
      <w:bookmarkStart w:id="329" w:name="_Toc452502556"/>
      <w:bookmarkEnd w:id="329"/>
      <w:bookmarkStart w:id="330" w:name="_Toc452556533"/>
      <w:bookmarkEnd w:id="330"/>
      <w:bookmarkStart w:id="331" w:name="_Toc452502393"/>
      <w:bookmarkEnd w:id="331"/>
      <w:bookmarkStart w:id="332" w:name="_Toc400913977"/>
      <w:bookmarkEnd w:id="332"/>
      <w:bookmarkStart w:id="333" w:name="_Toc402880643"/>
      <w:bookmarkEnd w:id="333"/>
      <w:bookmarkStart w:id="334" w:name="_Toc452502481"/>
      <w:bookmarkEnd w:id="334"/>
      <w:bookmarkStart w:id="335" w:name="_Toc452502513"/>
      <w:bookmarkEnd w:id="335"/>
      <w:bookmarkStart w:id="336" w:name="_Toc452502371"/>
      <w:bookmarkEnd w:id="336"/>
      <w:bookmarkStart w:id="337" w:name="_Toc452502501"/>
      <w:bookmarkEnd w:id="337"/>
      <w:bookmarkStart w:id="338" w:name="_Toc452502533"/>
      <w:bookmarkEnd w:id="338"/>
      <w:bookmarkStart w:id="339" w:name="_Toc452556534"/>
      <w:bookmarkEnd w:id="339"/>
      <w:bookmarkStart w:id="340" w:name="_Toc452556538"/>
      <w:bookmarkEnd w:id="340"/>
      <w:bookmarkStart w:id="341" w:name="_Toc452556504"/>
      <w:bookmarkEnd w:id="341"/>
      <w:bookmarkStart w:id="342" w:name="_Toc402880632"/>
      <w:bookmarkEnd w:id="342"/>
      <w:bookmarkStart w:id="343" w:name="_Toc402880616"/>
      <w:bookmarkEnd w:id="343"/>
      <w:bookmarkStart w:id="344" w:name="_Toc471745368"/>
      <w:bookmarkEnd w:id="344"/>
      <w:bookmarkStart w:id="345" w:name="_Toc381963372"/>
      <w:bookmarkEnd w:id="345"/>
      <w:bookmarkStart w:id="346" w:name="_Toc452556714"/>
      <w:bookmarkEnd w:id="346"/>
      <w:bookmarkStart w:id="347" w:name="_Toc402880612"/>
      <w:bookmarkEnd w:id="347"/>
      <w:bookmarkStart w:id="348" w:name="_Toc452502354"/>
      <w:bookmarkEnd w:id="348"/>
      <w:bookmarkStart w:id="349" w:name="_Toc452502524"/>
      <w:bookmarkEnd w:id="349"/>
      <w:bookmarkStart w:id="350" w:name="_Toc452556658"/>
      <w:bookmarkEnd w:id="350"/>
      <w:bookmarkStart w:id="351" w:name="_Toc452556506"/>
      <w:bookmarkEnd w:id="351"/>
      <w:bookmarkStart w:id="352" w:name="_Toc402880669"/>
      <w:bookmarkEnd w:id="352"/>
      <w:bookmarkStart w:id="353" w:name="_Toc452502356"/>
      <w:bookmarkEnd w:id="353"/>
      <w:bookmarkStart w:id="354" w:name="_Toc452502404"/>
      <w:bookmarkEnd w:id="354"/>
      <w:bookmarkStart w:id="355" w:name="_Toc443332024"/>
      <w:bookmarkEnd w:id="355"/>
      <w:bookmarkStart w:id="356" w:name="_Toc452502337"/>
      <w:bookmarkEnd w:id="356"/>
      <w:bookmarkStart w:id="357" w:name="_Toc452556696"/>
      <w:bookmarkEnd w:id="357"/>
      <w:bookmarkStart w:id="358" w:name="_Toc471745859"/>
      <w:bookmarkEnd w:id="358"/>
      <w:bookmarkStart w:id="359" w:name="_Toc452556801"/>
      <w:bookmarkEnd w:id="359"/>
      <w:bookmarkStart w:id="360" w:name="_Toc452556789"/>
      <w:bookmarkEnd w:id="360"/>
      <w:bookmarkStart w:id="361" w:name="_Toc452556537"/>
      <w:bookmarkEnd w:id="361"/>
      <w:bookmarkStart w:id="362" w:name="_Toc452556798"/>
      <w:bookmarkEnd w:id="362"/>
      <w:bookmarkStart w:id="363" w:name="_Toc452556529"/>
      <w:bookmarkEnd w:id="363"/>
      <w:bookmarkStart w:id="364" w:name="_Toc452502328"/>
      <w:bookmarkEnd w:id="364"/>
      <w:bookmarkStart w:id="365" w:name="_Toc443332029"/>
      <w:bookmarkEnd w:id="365"/>
      <w:bookmarkStart w:id="366" w:name="_Toc452502450"/>
      <w:bookmarkEnd w:id="366"/>
      <w:bookmarkStart w:id="367" w:name="_Toc452502503"/>
      <w:bookmarkEnd w:id="367"/>
      <w:bookmarkStart w:id="368" w:name="_Toc402880657"/>
      <w:bookmarkEnd w:id="368"/>
      <w:bookmarkStart w:id="369" w:name="_Toc452556643"/>
      <w:bookmarkEnd w:id="369"/>
      <w:bookmarkStart w:id="370" w:name="_Toc452502440"/>
      <w:bookmarkEnd w:id="370"/>
      <w:bookmarkStart w:id="371" w:name="_Toc452502536"/>
      <w:bookmarkEnd w:id="371"/>
      <w:bookmarkStart w:id="372" w:name="_Toc452556596"/>
      <w:bookmarkEnd w:id="372"/>
      <w:bookmarkStart w:id="373" w:name="_Toc443332020"/>
      <w:bookmarkEnd w:id="373"/>
      <w:bookmarkStart w:id="374" w:name="_Toc452556516"/>
      <w:bookmarkEnd w:id="374"/>
      <w:bookmarkStart w:id="375" w:name="_Toc402880695"/>
      <w:bookmarkEnd w:id="375"/>
      <w:bookmarkStart w:id="376" w:name="_Toc402880662"/>
      <w:bookmarkEnd w:id="376"/>
      <w:bookmarkStart w:id="377" w:name="_Toc452556753"/>
      <w:bookmarkEnd w:id="377"/>
      <w:bookmarkStart w:id="378" w:name="_Toc471745870"/>
      <w:bookmarkEnd w:id="378"/>
      <w:bookmarkStart w:id="379" w:name="_Toc452556683"/>
      <w:bookmarkEnd w:id="379"/>
      <w:bookmarkStart w:id="380" w:name="_Toc452556567"/>
      <w:bookmarkEnd w:id="380"/>
      <w:bookmarkStart w:id="381" w:name="_Toc452556649"/>
      <w:bookmarkEnd w:id="381"/>
      <w:bookmarkStart w:id="382" w:name="_Toc452502310"/>
      <w:bookmarkEnd w:id="382"/>
      <w:bookmarkStart w:id="383" w:name="_Toc452556608"/>
      <w:bookmarkEnd w:id="383"/>
      <w:bookmarkStart w:id="384" w:name="_Toc452502489"/>
      <w:bookmarkEnd w:id="384"/>
      <w:bookmarkStart w:id="385" w:name="_Toc400913976"/>
      <w:bookmarkEnd w:id="385"/>
      <w:bookmarkStart w:id="386" w:name="_Toc388279022"/>
      <w:bookmarkEnd w:id="386"/>
      <w:bookmarkStart w:id="387" w:name="_Toc452556664"/>
      <w:bookmarkEnd w:id="387"/>
      <w:bookmarkStart w:id="388" w:name="_Toc452556539"/>
      <w:bookmarkEnd w:id="388"/>
      <w:bookmarkStart w:id="389" w:name="_Toc452502408"/>
      <w:bookmarkEnd w:id="389"/>
      <w:bookmarkStart w:id="390" w:name="_Toc452556548"/>
      <w:bookmarkEnd w:id="390"/>
      <w:bookmarkStart w:id="391" w:name="_Toc452502311"/>
      <w:bookmarkEnd w:id="391"/>
      <w:bookmarkStart w:id="392" w:name="_Toc452556825"/>
      <w:bookmarkEnd w:id="392"/>
      <w:bookmarkStart w:id="393" w:name="_Toc452556729"/>
      <w:bookmarkEnd w:id="393"/>
      <w:bookmarkStart w:id="394" w:name="_Toc452556522"/>
      <w:bookmarkEnd w:id="394"/>
      <w:bookmarkStart w:id="395" w:name="_Toc402880697"/>
      <w:bookmarkEnd w:id="395"/>
      <w:bookmarkStart w:id="396" w:name="_Toc452502446"/>
      <w:bookmarkEnd w:id="396"/>
      <w:bookmarkStart w:id="397" w:name="_Toc452502449"/>
      <w:bookmarkEnd w:id="397"/>
      <w:bookmarkStart w:id="398" w:name="_Toc452556629"/>
      <w:bookmarkEnd w:id="398"/>
      <w:bookmarkStart w:id="399" w:name="_Toc452556592"/>
      <w:bookmarkEnd w:id="399"/>
      <w:bookmarkStart w:id="400" w:name="_Toc452556563"/>
      <w:bookmarkEnd w:id="400"/>
      <w:bookmarkStart w:id="401" w:name="_Toc452556676"/>
      <w:bookmarkEnd w:id="401"/>
      <w:bookmarkStart w:id="402" w:name="_Toc452502497"/>
      <w:bookmarkEnd w:id="402"/>
      <w:bookmarkStart w:id="403" w:name="_Toc402880609"/>
      <w:bookmarkEnd w:id="403"/>
      <w:bookmarkStart w:id="404" w:name="_Toc388279018"/>
      <w:bookmarkEnd w:id="404"/>
      <w:bookmarkStart w:id="405" w:name="_Toc452502534"/>
      <w:bookmarkEnd w:id="405"/>
      <w:bookmarkStart w:id="406" w:name="_Toc452556686"/>
      <w:bookmarkEnd w:id="406"/>
      <w:bookmarkStart w:id="407" w:name="_Toc402880686"/>
      <w:bookmarkEnd w:id="407"/>
      <w:bookmarkStart w:id="408" w:name="_Toc452556590"/>
      <w:bookmarkEnd w:id="408"/>
      <w:bookmarkStart w:id="409" w:name="_Toc452556573"/>
      <w:bookmarkEnd w:id="409"/>
      <w:bookmarkStart w:id="410" w:name="_Toc452556607"/>
      <w:bookmarkEnd w:id="410"/>
      <w:bookmarkStart w:id="411" w:name="_Toc452502553"/>
      <w:bookmarkEnd w:id="411"/>
      <w:bookmarkStart w:id="412" w:name="_Toc452556581"/>
      <w:bookmarkEnd w:id="412"/>
      <w:bookmarkStart w:id="413" w:name="_Toc452556648"/>
      <w:bookmarkEnd w:id="413"/>
      <w:bookmarkStart w:id="414" w:name="_Toc452502491"/>
      <w:bookmarkEnd w:id="414"/>
      <w:bookmarkStart w:id="415" w:name="_Toc452556679"/>
      <w:bookmarkEnd w:id="415"/>
      <w:bookmarkStart w:id="416" w:name="_Toc452502374"/>
      <w:bookmarkEnd w:id="416"/>
      <w:bookmarkStart w:id="417" w:name="_Toc452502317"/>
      <w:bookmarkEnd w:id="417"/>
      <w:bookmarkStart w:id="418" w:name="_Toc452502438"/>
      <w:bookmarkEnd w:id="418"/>
      <w:bookmarkStart w:id="419" w:name="_Toc452502410"/>
      <w:bookmarkEnd w:id="419"/>
      <w:bookmarkStart w:id="420" w:name="_Toc471743612"/>
      <w:bookmarkEnd w:id="420"/>
      <w:bookmarkStart w:id="421" w:name="_Toc452556720"/>
      <w:bookmarkEnd w:id="421"/>
      <w:bookmarkStart w:id="422" w:name="_Toc452556706"/>
      <w:bookmarkEnd w:id="422"/>
      <w:bookmarkStart w:id="423" w:name="_Toc452502390"/>
      <w:bookmarkEnd w:id="423"/>
      <w:bookmarkStart w:id="424" w:name="_Toc452556597"/>
      <w:bookmarkEnd w:id="424"/>
      <w:bookmarkStart w:id="425" w:name="_Toc402880667"/>
      <w:bookmarkEnd w:id="425"/>
      <w:bookmarkStart w:id="426" w:name="_Toc452556653"/>
      <w:bookmarkEnd w:id="426"/>
      <w:bookmarkStart w:id="427" w:name="_Toc452556544"/>
      <w:bookmarkEnd w:id="427"/>
      <w:bookmarkStart w:id="428" w:name="_Toc452502327"/>
      <w:bookmarkEnd w:id="428"/>
      <w:bookmarkStart w:id="429" w:name="_Toc452556707"/>
      <w:bookmarkEnd w:id="429"/>
      <w:bookmarkStart w:id="430" w:name="_Toc402880684"/>
      <w:bookmarkEnd w:id="430"/>
      <w:bookmarkStart w:id="431" w:name="_Toc402880652"/>
      <w:bookmarkEnd w:id="431"/>
      <w:bookmarkStart w:id="432" w:name="_Toc452502341"/>
      <w:bookmarkEnd w:id="432"/>
      <w:bookmarkStart w:id="433" w:name="_Toc452502472"/>
      <w:bookmarkEnd w:id="433"/>
      <w:bookmarkStart w:id="434" w:name="_Toc452556814"/>
      <w:bookmarkEnd w:id="434"/>
      <w:bookmarkStart w:id="435" w:name="_Toc402880640"/>
      <w:bookmarkEnd w:id="435"/>
      <w:bookmarkStart w:id="436" w:name="_Toc402880629"/>
      <w:bookmarkEnd w:id="436"/>
      <w:bookmarkStart w:id="437" w:name="_Toc452556719"/>
      <w:bookmarkEnd w:id="437"/>
      <w:bookmarkStart w:id="438" w:name="_Toc402880604"/>
      <w:bookmarkEnd w:id="438"/>
      <w:bookmarkStart w:id="439" w:name="_Toc452556605"/>
      <w:bookmarkEnd w:id="439"/>
      <w:bookmarkStart w:id="440" w:name="_Toc443332031"/>
      <w:bookmarkEnd w:id="440"/>
      <w:bookmarkStart w:id="441" w:name="_Toc402880673"/>
      <w:bookmarkEnd w:id="441"/>
      <w:bookmarkStart w:id="442" w:name="_Toc452556803"/>
      <w:bookmarkEnd w:id="442"/>
      <w:bookmarkStart w:id="443" w:name="_Toc452556776"/>
      <w:bookmarkEnd w:id="443"/>
      <w:bookmarkStart w:id="444" w:name="_Toc452502527"/>
      <w:bookmarkEnd w:id="444"/>
      <w:bookmarkStart w:id="445" w:name="_Toc452502339"/>
      <w:bookmarkEnd w:id="445"/>
      <w:bookmarkStart w:id="446" w:name="_Toc452556636"/>
      <w:bookmarkEnd w:id="446"/>
      <w:bookmarkStart w:id="447" w:name="_Toc452502426"/>
      <w:bookmarkEnd w:id="447"/>
      <w:bookmarkStart w:id="448" w:name="_Toc452556575"/>
      <w:bookmarkEnd w:id="448"/>
      <w:bookmarkStart w:id="449" w:name="_Toc452556620"/>
      <w:bookmarkEnd w:id="449"/>
      <w:bookmarkStart w:id="450" w:name="_Toc452556755"/>
      <w:bookmarkEnd w:id="450"/>
      <w:bookmarkStart w:id="451" w:name="_Toc452502309"/>
      <w:bookmarkEnd w:id="451"/>
      <w:bookmarkStart w:id="452" w:name="_Toc452556593"/>
      <w:bookmarkEnd w:id="452"/>
      <w:bookmarkStart w:id="453" w:name="_Toc452556724"/>
      <w:bookmarkEnd w:id="453"/>
      <w:bookmarkStart w:id="454" w:name="_Toc452502358"/>
      <w:bookmarkEnd w:id="454"/>
      <w:bookmarkStart w:id="455" w:name="_Toc452556828"/>
      <w:bookmarkEnd w:id="455"/>
      <w:bookmarkStart w:id="456" w:name="_Toc443332007"/>
      <w:bookmarkEnd w:id="456"/>
      <w:bookmarkStart w:id="457" w:name="_Toc452556831"/>
      <w:bookmarkEnd w:id="457"/>
      <w:bookmarkStart w:id="458" w:name="_Toc452556640"/>
      <w:bookmarkEnd w:id="458"/>
      <w:bookmarkStart w:id="459" w:name="_Toc402880624"/>
      <w:bookmarkEnd w:id="459"/>
      <w:bookmarkStart w:id="460" w:name="_Toc452502422"/>
      <w:bookmarkEnd w:id="460"/>
      <w:bookmarkStart w:id="461" w:name="_Toc452556670"/>
      <w:bookmarkEnd w:id="461"/>
      <w:bookmarkStart w:id="462" w:name="_Toc402880699"/>
      <w:bookmarkEnd w:id="462"/>
      <w:bookmarkStart w:id="463" w:name="_Toc452556826"/>
      <w:bookmarkEnd w:id="463"/>
      <w:bookmarkStart w:id="464" w:name="_Toc452556741"/>
      <w:bookmarkEnd w:id="464"/>
      <w:bookmarkStart w:id="465" w:name="_Toc402880630"/>
      <w:bookmarkEnd w:id="465"/>
      <w:bookmarkStart w:id="466" w:name="_Toc452556692"/>
      <w:bookmarkEnd w:id="466"/>
      <w:bookmarkStart w:id="467" w:name="_Toc452502414"/>
      <w:bookmarkEnd w:id="467"/>
      <w:bookmarkStart w:id="468" w:name="_Toc452502453"/>
      <w:bookmarkEnd w:id="468"/>
      <w:bookmarkStart w:id="469" w:name="_Toc452556512"/>
      <w:bookmarkEnd w:id="469"/>
      <w:bookmarkStart w:id="470" w:name="_Toc400913975"/>
      <w:bookmarkEnd w:id="470"/>
      <w:bookmarkStart w:id="471" w:name="_Toc452556521"/>
      <w:bookmarkEnd w:id="471"/>
      <w:bookmarkStart w:id="472" w:name="_Toc452556646"/>
      <w:bookmarkEnd w:id="472"/>
      <w:bookmarkStart w:id="473" w:name="_Toc452502471"/>
      <w:bookmarkEnd w:id="473"/>
      <w:bookmarkStart w:id="474" w:name="_Toc471745864"/>
      <w:bookmarkEnd w:id="474"/>
      <w:bookmarkStart w:id="475" w:name="_Toc452556743"/>
      <w:bookmarkEnd w:id="475"/>
      <w:bookmarkStart w:id="476" w:name="_Toc452502490"/>
      <w:bookmarkEnd w:id="476"/>
      <w:bookmarkStart w:id="477" w:name="_Toc400913978"/>
      <w:bookmarkEnd w:id="477"/>
      <w:bookmarkStart w:id="478" w:name="_Toc452556576"/>
      <w:bookmarkEnd w:id="478"/>
      <w:bookmarkStart w:id="479" w:name="_Toc452556531"/>
      <w:bookmarkEnd w:id="479"/>
      <w:bookmarkStart w:id="480" w:name="_Toc452556530"/>
      <w:bookmarkEnd w:id="480"/>
      <w:bookmarkStart w:id="481" w:name="_Toc452502316"/>
      <w:bookmarkEnd w:id="481"/>
      <w:bookmarkStart w:id="482" w:name="_Toc452502455"/>
      <w:bookmarkEnd w:id="482"/>
      <w:bookmarkStart w:id="483" w:name="_Toc452556685"/>
      <w:bookmarkEnd w:id="483"/>
      <w:bookmarkStart w:id="484" w:name="_Toc452556606"/>
      <w:bookmarkEnd w:id="484"/>
      <w:bookmarkStart w:id="485" w:name="_Toc452556792"/>
      <w:bookmarkEnd w:id="485"/>
      <w:bookmarkStart w:id="486" w:name="_Toc452556663"/>
      <w:bookmarkEnd w:id="486"/>
      <w:bookmarkStart w:id="487" w:name="_Toc402880696"/>
      <w:bookmarkEnd w:id="487"/>
      <w:bookmarkStart w:id="488" w:name="_Toc452556693"/>
      <w:bookmarkEnd w:id="488"/>
      <w:bookmarkStart w:id="489" w:name="_Toc381963376"/>
      <w:bookmarkEnd w:id="489"/>
      <w:bookmarkStart w:id="490" w:name="_Toc452502347"/>
      <w:bookmarkEnd w:id="490"/>
      <w:bookmarkStart w:id="491" w:name="_Toc452556566"/>
      <w:bookmarkEnd w:id="491"/>
      <w:bookmarkStart w:id="492" w:name="_Toc452502413"/>
      <w:bookmarkEnd w:id="492"/>
      <w:bookmarkStart w:id="493" w:name="_Toc452502463"/>
      <w:bookmarkEnd w:id="493"/>
      <w:bookmarkStart w:id="494" w:name="_Toc402880693"/>
      <w:bookmarkEnd w:id="494"/>
      <w:bookmarkStart w:id="495" w:name="_Toc452556615"/>
      <w:bookmarkEnd w:id="495"/>
      <w:bookmarkStart w:id="496" w:name="_Toc452502552"/>
      <w:bookmarkEnd w:id="496"/>
      <w:bookmarkStart w:id="497" w:name="_Toc452556712"/>
      <w:bookmarkEnd w:id="497"/>
      <w:bookmarkStart w:id="498" w:name="_Toc443332028"/>
      <w:bookmarkEnd w:id="498"/>
      <w:bookmarkStart w:id="499" w:name="_Toc452556580"/>
      <w:bookmarkEnd w:id="499"/>
      <w:bookmarkStart w:id="500" w:name="_Toc452556746"/>
      <w:bookmarkEnd w:id="500"/>
      <w:bookmarkStart w:id="501" w:name="_Toc452556524"/>
      <w:bookmarkEnd w:id="501"/>
      <w:bookmarkStart w:id="502" w:name="_Toc452502441"/>
      <w:bookmarkEnd w:id="502"/>
      <w:bookmarkStart w:id="503" w:name="_Toc452502433"/>
      <w:bookmarkEnd w:id="503"/>
      <w:bookmarkStart w:id="504" w:name="_Toc452502456"/>
      <w:bookmarkEnd w:id="504"/>
      <w:bookmarkStart w:id="505" w:name="_Toc452502429"/>
      <w:bookmarkEnd w:id="505"/>
      <w:bookmarkStart w:id="506" w:name="_Toc452502457"/>
      <w:bookmarkEnd w:id="506"/>
      <w:bookmarkStart w:id="507" w:name="_Toc471745366"/>
      <w:bookmarkEnd w:id="507"/>
      <w:bookmarkStart w:id="508" w:name="_Toc452502420"/>
      <w:bookmarkEnd w:id="508"/>
      <w:bookmarkStart w:id="509" w:name="_Toc452502335"/>
      <w:bookmarkEnd w:id="509"/>
      <w:bookmarkStart w:id="510" w:name="_Toc452502368"/>
      <w:bookmarkEnd w:id="510"/>
      <w:bookmarkStart w:id="511" w:name="_Toc452556527"/>
      <w:bookmarkEnd w:id="511"/>
      <w:bookmarkStart w:id="512" w:name="_Toc402880663"/>
      <w:bookmarkEnd w:id="512"/>
      <w:bookmarkStart w:id="513" w:name="_Toc402880635"/>
      <w:bookmarkEnd w:id="513"/>
      <w:bookmarkStart w:id="514" w:name="_Toc471741425"/>
      <w:bookmarkEnd w:id="514"/>
      <w:bookmarkStart w:id="515" w:name="_Toc452556199"/>
      <w:bookmarkEnd w:id="515"/>
      <w:bookmarkStart w:id="516" w:name="_Toc452502478"/>
      <w:bookmarkEnd w:id="516"/>
      <w:bookmarkStart w:id="517" w:name="_Toc402880661"/>
      <w:bookmarkEnd w:id="517"/>
      <w:bookmarkStart w:id="518" w:name="_Toc452556651"/>
      <w:bookmarkEnd w:id="518"/>
      <w:bookmarkStart w:id="519" w:name="_Toc452556642"/>
      <w:bookmarkEnd w:id="519"/>
      <w:bookmarkStart w:id="520" w:name="_Toc452556541"/>
      <w:bookmarkEnd w:id="520"/>
      <w:bookmarkStart w:id="521" w:name="_Toc471745360"/>
      <w:bookmarkEnd w:id="521"/>
      <w:bookmarkStart w:id="522" w:name="_Toc443332034"/>
      <w:bookmarkEnd w:id="522"/>
      <w:bookmarkStart w:id="523" w:name="_Toc402880668"/>
      <w:bookmarkEnd w:id="523"/>
      <w:bookmarkStart w:id="524" w:name="_Toc452556809"/>
      <w:bookmarkEnd w:id="524"/>
      <w:bookmarkStart w:id="525" w:name="_Toc452502343"/>
      <w:bookmarkEnd w:id="525"/>
      <w:bookmarkStart w:id="526" w:name="_Toc452556698"/>
      <w:bookmarkEnd w:id="526"/>
      <w:bookmarkStart w:id="527" w:name="_Toc452556662"/>
      <w:bookmarkEnd w:id="527"/>
      <w:bookmarkStart w:id="528" w:name="_Toc402880679"/>
      <w:bookmarkEnd w:id="528"/>
      <w:bookmarkStart w:id="529" w:name="_Toc452502385"/>
      <w:bookmarkEnd w:id="529"/>
      <w:bookmarkStart w:id="530" w:name="_Toc452556500"/>
      <w:bookmarkEnd w:id="530"/>
      <w:bookmarkStart w:id="531" w:name="_Toc452556770"/>
      <w:bookmarkEnd w:id="531"/>
      <w:bookmarkStart w:id="532" w:name="_Toc452502544"/>
      <w:bookmarkEnd w:id="532"/>
      <w:bookmarkStart w:id="533" w:name="_Toc471745862"/>
      <w:bookmarkEnd w:id="533"/>
      <w:bookmarkStart w:id="534" w:name="_Toc381964100"/>
      <w:bookmarkEnd w:id="534"/>
      <w:bookmarkStart w:id="535" w:name="_Toc452502424"/>
      <w:bookmarkEnd w:id="535"/>
      <w:bookmarkStart w:id="536" w:name="_Toc452502392"/>
      <w:bookmarkEnd w:id="536"/>
      <w:bookmarkStart w:id="537" w:name="_Toc452556802"/>
      <w:bookmarkEnd w:id="537"/>
      <w:bookmarkStart w:id="538" w:name="_Toc471739946"/>
      <w:bookmarkEnd w:id="538"/>
      <w:bookmarkStart w:id="539" w:name="_Toc452556510"/>
      <w:bookmarkEnd w:id="539"/>
      <w:bookmarkStart w:id="540" w:name="_Toc452556733"/>
      <w:bookmarkEnd w:id="540"/>
      <w:bookmarkStart w:id="541" w:name="_Toc452502314"/>
      <w:bookmarkEnd w:id="541"/>
      <w:bookmarkStart w:id="542" w:name="_Toc452556582"/>
      <w:bookmarkEnd w:id="542"/>
      <w:bookmarkStart w:id="543" w:name="_Toc452556628"/>
      <w:bookmarkEnd w:id="543"/>
      <w:bookmarkStart w:id="544" w:name="_Toc452502514"/>
      <w:bookmarkEnd w:id="544"/>
      <w:bookmarkStart w:id="545" w:name="_Toc452502557"/>
      <w:bookmarkEnd w:id="545"/>
      <w:bookmarkStart w:id="546" w:name="_Toc452502349"/>
      <w:bookmarkEnd w:id="546"/>
      <w:bookmarkStart w:id="547" w:name="_Toc452502336"/>
      <w:bookmarkEnd w:id="547"/>
      <w:bookmarkStart w:id="548" w:name="_Toc402880637"/>
      <w:bookmarkEnd w:id="548"/>
      <w:bookmarkStart w:id="549" w:name="_Toc452556691"/>
      <w:bookmarkEnd w:id="549"/>
      <w:bookmarkStart w:id="550" w:name="_Toc452556631"/>
      <w:bookmarkEnd w:id="550"/>
      <w:bookmarkStart w:id="551" w:name="_Toc402880611"/>
      <w:bookmarkEnd w:id="551"/>
      <w:bookmarkStart w:id="552" w:name="_Toc452556666"/>
      <w:bookmarkEnd w:id="552"/>
      <w:bookmarkStart w:id="553" w:name="_Toc452556717"/>
      <w:bookmarkEnd w:id="553"/>
      <w:bookmarkStart w:id="554" w:name="_Toc471740933"/>
      <w:bookmarkEnd w:id="554"/>
      <w:bookmarkStart w:id="555" w:name="_Toc452502537"/>
      <w:bookmarkEnd w:id="555"/>
      <w:bookmarkStart w:id="556" w:name="_Toc402880648"/>
      <w:bookmarkEnd w:id="556"/>
      <w:bookmarkStart w:id="557" w:name="_Toc452556515"/>
      <w:bookmarkEnd w:id="557"/>
      <w:bookmarkStart w:id="558" w:name="_Toc471745369"/>
      <w:bookmarkEnd w:id="558"/>
      <w:bookmarkStart w:id="559" w:name="_Toc452556705"/>
      <w:bookmarkEnd w:id="559"/>
      <w:bookmarkStart w:id="560" w:name="_Toc452502435"/>
      <w:bookmarkEnd w:id="560"/>
      <w:bookmarkStart w:id="561" w:name="_Toc452502338"/>
      <w:bookmarkEnd w:id="561"/>
      <w:bookmarkStart w:id="562" w:name="_Toc452502510"/>
      <w:bookmarkEnd w:id="562"/>
      <w:bookmarkStart w:id="563" w:name="_Toc452502468"/>
      <w:bookmarkEnd w:id="563"/>
      <w:bookmarkStart w:id="564" w:name="_Toc452556591"/>
      <w:bookmarkEnd w:id="564"/>
      <w:bookmarkStart w:id="565" w:name="_Toc452556689"/>
      <w:bookmarkEnd w:id="565"/>
      <w:bookmarkStart w:id="566" w:name="_Toc452556519"/>
      <w:bookmarkEnd w:id="566"/>
      <w:bookmarkStart w:id="567" w:name="_Toc452502355"/>
      <w:bookmarkEnd w:id="567"/>
      <w:bookmarkStart w:id="568" w:name="_Toc443332015"/>
      <w:bookmarkEnd w:id="568"/>
      <w:bookmarkStart w:id="569" w:name="_Toc452556511"/>
      <w:bookmarkEnd w:id="569"/>
      <w:bookmarkStart w:id="570" w:name="_Toc452556549"/>
      <w:bookmarkEnd w:id="570"/>
      <w:bookmarkStart w:id="571" w:name="_Toc452556817"/>
      <w:bookmarkEnd w:id="571"/>
      <w:bookmarkStart w:id="572" w:name="_Toc443332030"/>
      <w:bookmarkEnd w:id="572"/>
      <w:bookmarkStart w:id="573" w:name="_Toc452502504"/>
      <w:bookmarkEnd w:id="573"/>
      <w:bookmarkStart w:id="574" w:name="_Toc452502326"/>
      <w:bookmarkEnd w:id="574"/>
      <w:bookmarkStart w:id="575" w:name="_Toc452502525"/>
      <w:bookmarkEnd w:id="575"/>
      <w:bookmarkStart w:id="576" w:name="_Toc452556759"/>
      <w:bookmarkEnd w:id="576"/>
      <w:bookmarkStart w:id="577" w:name="_Toc452502386"/>
      <w:bookmarkEnd w:id="577"/>
      <w:bookmarkStart w:id="578" w:name="_Toc452502379"/>
      <w:bookmarkEnd w:id="578"/>
      <w:bookmarkStart w:id="579" w:name="_Toc452556672"/>
      <w:bookmarkEnd w:id="579"/>
      <w:bookmarkStart w:id="580" w:name="_Toc452502483"/>
      <w:bookmarkEnd w:id="580"/>
      <w:bookmarkStart w:id="581" w:name="_Toc402880639"/>
      <w:bookmarkEnd w:id="581"/>
      <w:bookmarkStart w:id="582" w:name="_Toc452502381"/>
      <w:bookmarkEnd w:id="582"/>
      <w:bookmarkStart w:id="583" w:name="_Toc452556747"/>
      <w:bookmarkEnd w:id="583"/>
      <w:bookmarkStart w:id="584" w:name="_Toc402880625"/>
      <w:bookmarkEnd w:id="584"/>
      <w:bookmarkStart w:id="585" w:name="_Toc471740777"/>
      <w:bookmarkEnd w:id="585"/>
      <w:bookmarkStart w:id="586" w:name="_Toc452502476"/>
      <w:bookmarkEnd w:id="586"/>
      <w:bookmarkStart w:id="587" w:name="_Toc452502508"/>
      <w:bookmarkEnd w:id="587"/>
      <w:bookmarkStart w:id="588" w:name="_Toc388279019"/>
      <w:bookmarkEnd w:id="588"/>
      <w:bookmarkStart w:id="589" w:name="_Toc402880689"/>
      <w:bookmarkEnd w:id="589"/>
      <w:bookmarkStart w:id="590" w:name="_Toc452556574"/>
      <w:bookmarkEnd w:id="590"/>
      <w:bookmarkStart w:id="591" w:name="_Toc452556508"/>
      <w:bookmarkEnd w:id="591"/>
      <w:bookmarkStart w:id="592" w:name="_Toc452556660"/>
      <w:bookmarkEnd w:id="592"/>
      <w:bookmarkStart w:id="593" w:name="_Toc452556772"/>
      <w:bookmarkEnd w:id="593"/>
      <w:bookmarkStart w:id="594" w:name="_Toc452502439"/>
      <w:bookmarkEnd w:id="594"/>
      <w:bookmarkStart w:id="595" w:name="_Toc452502363"/>
      <w:bookmarkEnd w:id="595"/>
      <w:bookmarkStart w:id="596" w:name="_Toc452502458"/>
      <w:bookmarkEnd w:id="596"/>
      <w:bookmarkStart w:id="597" w:name="_Toc452556673"/>
      <w:bookmarkEnd w:id="597"/>
      <w:bookmarkStart w:id="598" w:name="_Toc452556546"/>
      <w:bookmarkEnd w:id="598"/>
      <w:bookmarkStart w:id="599" w:name="_Toc452556723"/>
      <w:bookmarkEnd w:id="599"/>
      <w:bookmarkStart w:id="600" w:name="_Toc452556767"/>
      <w:bookmarkEnd w:id="600"/>
      <w:bookmarkStart w:id="601" w:name="_Toc471745860"/>
      <w:bookmarkEnd w:id="601"/>
      <w:bookmarkStart w:id="602" w:name="_Toc452556748"/>
      <w:bookmarkEnd w:id="602"/>
      <w:bookmarkStart w:id="603" w:name="_Toc471739452"/>
      <w:bookmarkEnd w:id="603"/>
      <w:bookmarkStart w:id="604" w:name="_Toc452556617"/>
      <w:bookmarkEnd w:id="604"/>
      <w:bookmarkStart w:id="605" w:name="_Toc452502460"/>
      <w:bookmarkEnd w:id="605"/>
      <w:bookmarkStart w:id="606" w:name="_Toc452556499"/>
      <w:bookmarkEnd w:id="606"/>
      <w:bookmarkStart w:id="607" w:name="_Toc452502542"/>
      <w:bookmarkEnd w:id="607"/>
      <w:bookmarkStart w:id="608" w:name="_Toc452556503"/>
      <w:bookmarkEnd w:id="608"/>
      <w:bookmarkStart w:id="609" w:name="_Toc452556655"/>
      <w:bookmarkEnd w:id="609"/>
      <w:bookmarkStart w:id="610" w:name="_Toc452502528"/>
      <w:bookmarkEnd w:id="610"/>
      <w:bookmarkStart w:id="611" w:name="_Toc452502555"/>
      <w:bookmarkEnd w:id="611"/>
      <w:bookmarkStart w:id="612" w:name="_Toc452556684"/>
      <w:bookmarkEnd w:id="612"/>
      <w:bookmarkStart w:id="613" w:name="_Toc452502365"/>
      <w:bookmarkEnd w:id="613"/>
      <w:bookmarkStart w:id="614" w:name="_Toc452556675"/>
      <w:bookmarkEnd w:id="614"/>
      <w:bookmarkStart w:id="615" w:name="_Toc452556565"/>
      <w:bookmarkEnd w:id="615"/>
      <w:bookmarkStart w:id="616" w:name="_Toc452502389"/>
      <w:bookmarkEnd w:id="616"/>
      <w:bookmarkStart w:id="617" w:name="_Toc402880651"/>
      <w:bookmarkEnd w:id="617"/>
      <w:bookmarkStart w:id="618" w:name="_Toc452502391"/>
      <w:bookmarkEnd w:id="618"/>
      <w:bookmarkStart w:id="619" w:name="_Toc471745874"/>
      <w:bookmarkEnd w:id="619"/>
      <w:bookmarkStart w:id="620" w:name="_Toc452556813"/>
      <w:bookmarkEnd w:id="620"/>
      <w:bookmarkStart w:id="621" w:name="_Toc452556514"/>
      <w:bookmarkEnd w:id="621"/>
      <w:bookmarkStart w:id="622" w:name="_Toc452502362"/>
      <w:bookmarkEnd w:id="622"/>
      <w:bookmarkStart w:id="623" w:name="_Toc452556678"/>
      <w:bookmarkEnd w:id="623"/>
      <w:bookmarkStart w:id="624" w:name="_Toc452556726"/>
      <w:bookmarkEnd w:id="624"/>
      <w:bookmarkStart w:id="625" w:name="_Toc452556807"/>
      <w:bookmarkEnd w:id="625"/>
      <w:bookmarkStart w:id="626" w:name="_Toc452556713"/>
      <w:bookmarkEnd w:id="626"/>
      <w:bookmarkStart w:id="627" w:name="_Toc452556773"/>
      <w:bookmarkEnd w:id="627"/>
      <w:bookmarkStart w:id="628" w:name="_Toc471745361"/>
      <w:bookmarkEnd w:id="628"/>
      <w:bookmarkStart w:id="629" w:name="_Toc452556827"/>
      <w:bookmarkEnd w:id="629"/>
      <w:bookmarkStart w:id="630" w:name="_Toc452556771"/>
      <w:bookmarkEnd w:id="630"/>
      <w:bookmarkStart w:id="631" w:name="_Toc402880678"/>
      <w:bookmarkEnd w:id="631"/>
      <w:bookmarkStart w:id="632" w:name="_Toc452502529"/>
      <w:bookmarkEnd w:id="632"/>
      <w:bookmarkStart w:id="633" w:name="_Toc452502521"/>
      <w:bookmarkEnd w:id="633"/>
      <w:bookmarkStart w:id="634" w:name="_Toc452556635"/>
      <w:bookmarkEnd w:id="634"/>
      <w:bookmarkStart w:id="635" w:name="_Toc452556645"/>
      <w:bookmarkEnd w:id="635"/>
      <w:bookmarkStart w:id="636" w:name="_Toc452556536"/>
      <w:bookmarkEnd w:id="636"/>
      <w:bookmarkStart w:id="637" w:name="_Toc452502366"/>
      <w:bookmarkEnd w:id="637"/>
      <w:bookmarkStart w:id="638" w:name="_Toc452502388"/>
      <w:bookmarkEnd w:id="638"/>
      <w:bookmarkStart w:id="639" w:name="_Toc452556535"/>
      <w:bookmarkEnd w:id="639"/>
      <w:bookmarkStart w:id="640" w:name="_Toc452556785"/>
      <w:bookmarkEnd w:id="640"/>
      <w:bookmarkStart w:id="641" w:name="_Toc402880664"/>
      <w:bookmarkEnd w:id="641"/>
      <w:bookmarkStart w:id="642" w:name="_Toc443332009"/>
      <w:bookmarkEnd w:id="642"/>
      <w:bookmarkStart w:id="643" w:name="_Toc452556731"/>
      <w:bookmarkEnd w:id="643"/>
      <w:bookmarkStart w:id="644" w:name="_Toc452556553"/>
      <w:bookmarkEnd w:id="644"/>
      <w:bookmarkStart w:id="645" w:name="_Toc402880655"/>
      <w:bookmarkEnd w:id="645"/>
      <w:bookmarkStart w:id="646" w:name="_Toc452502498"/>
      <w:bookmarkEnd w:id="646"/>
      <w:bookmarkStart w:id="647" w:name="_Toc452556647"/>
      <w:bookmarkEnd w:id="647"/>
      <w:bookmarkStart w:id="648" w:name="_Toc381963374"/>
      <w:bookmarkEnd w:id="648"/>
      <w:bookmarkStart w:id="649" w:name="_Toc452556819"/>
      <w:bookmarkEnd w:id="649"/>
      <w:bookmarkStart w:id="650" w:name="_Toc452556545"/>
      <w:bookmarkEnd w:id="650"/>
      <w:bookmarkStart w:id="651" w:name="_Toc452502364"/>
      <w:bookmarkEnd w:id="651"/>
      <w:bookmarkStart w:id="652" w:name="_Toc402880649"/>
      <w:bookmarkEnd w:id="652"/>
      <w:bookmarkStart w:id="653" w:name="_Toc452502473"/>
      <w:bookmarkEnd w:id="653"/>
      <w:bookmarkStart w:id="654" w:name="_Toc452502561"/>
      <w:bookmarkEnd w:id="654"/>
      <w:bookmarkStart w:id="655" w:name="_Toc452556682"/>
      <w:bookmarkEnd w:id="655"/>
      <w:bookmarkStart w:id="656" w:name="_Toc452556787"/>
      <w:bookmarkEnd w:id="656"/>
      <w:bookmarkStart w:id="657" w:name="_Toc452556700"/>
      <w:bookmarkEnd w:id="657"/>
      <w:bookmarkStart w:id="658" w:name="_Toc452502494"/>
      <w:bookmarkEnd w:id="658"/>
      <w:bookmarkStart w:id="659" w:name="_Toc452556711"/>
      <w:bookmarkEnd w:id="659"/>
      <w:bookmarkStart w:id="660" w:name="_Toc452502405"/>
      <w:bookmarkEnd w:id="660"/>
      <w:bookmarkStart w:id="661" w:name="_Toc452556687"/>
      <w:bookmarkEnd w:id="661"/>
      <w:bookmarkStart w:id="662" w:name="_Toc452556619"/>
      <w:bookmarkEnd w:id="662"/>
      <w:bookmarkStart w:id="663" w:name="_Toc452556650"/>
      <w:bookmarkEnd w:id="663"/>
      <w:bookmarkStart w:id="664" w:name="_Toc452502421"/>
      <w:bookmarkEnd w:id="664"/>
      <w:bookmarkStart w:id="665" w:name="_Toc402880653"/>
      <w:bookmarkEnd w:id="665"/>
      <w:bookmarkStart w:id="666" w:name="_Toc452502437"/>
      <w:bookmarkEnd w:id="666"/>
      <w:bookmarkStart w:id="667" w:name="_Toc452556697"/>
      <w:bookmarkEnd w:id="667"/>
      <w:bookmarkStart w:id="668" w:name="_Toc452556505"/>
      <w:bookmarkEnd w:id="668"/>
      <w:bookmarkStart w:id="669" w:name="_Toc452556718"/>
      <w:bookmarkEnd w:id="669"/>
      <w:bookmarkStart w:id="670" w:name="_Toc452502464"/>
      <w:bookmarkEnd w:id="670"/>
      <w:bookmarkStart w:id="671" w:name="_Toc452502384"/>
      <w:bookmarkEnd w:id="671"/>
      <w:bookmarkStart w:id="672" w:name="_Toc452556794"/>
      <w:bookmarkEnd w:id="672"/>
      <w:bookmarkStart w:id="673" w:name="_Toc452502516"/>
      <w:bookmarkEnd w:id="673"/>
      <w:bookmarkStart w:id="674" w:name="_Toc443332021"/>
      <w:bookmarkEnd w:id="674"/>
      <w:bookmarkStart w:id="675" w:name="_Toc443332008"/>
      <w:bookmarkEnd w:id="675"/>
      <w:bookmarkStart w:id="676" w:name="_Toc452556644"/>
      <w:bookmarkEnd w:id="676"/>
      <w:bookmarkStart w:id="677" w:name="_Toc452502499"/>
      <w:bookmarkEnd w:id="677"/>
      <w:bookmarkStart w:id="678" w:name="_Toc452502526"/>
      <w:bookmarkEnd w:id="678"/>
      <w:bookmarkStart w:id="679" w:name="_Toc452502549"/>
      <w:bookmarkEnd w:id="679"/>
      <w:bookmarkStart w:id="680" w:name="_Toc471741424"/>
      <w:bookmarkEnd w:id="680"/>
      <w:bookmarkStart w:id="681" w:name="_Toc452556623"/>
      <w:bookmarkEnd w:id="681"/>
      <w:bookmarkStart w:id="682" w:name="_Toc452556793"/>
      <w:bookmarkEnd w:id="682"/>
      <w:bookmarkStart w:id="683" w:name="_Toc471745871"/>
      <w:bookmarkEnd w:id="683"/>
      <w:bookmarkStart w:id="684" w:name="_Toc452556509"/>
      <w:bookmarkEnd w:id="684"/>
      <w:bookmarkStart w:id="685" w:name="_Toc402880694"/>
      <w:bookmarkEnd w:id="685"/>
      <w:bookmarkStart w:id="686" w:name="_Toc452502484"/>
      <w:bookmarkEnd w:id="686"/>
      <w:bookmarkStart w:id="687" w:name="_Toc452556710"/>
      <w:bookmarkEnd w:id="687"/>
      <w:bookmarkStart w:id="688" w:name="_Toc452556501"/>
      <w:bookmarkEnd w:id="688"/>
      <w:bookmarkStart w:id="689" w:name="_Toc452502451"/>
      <w:bookmarkEnd w:id="689"/>
      <w:bookmarkStart w:id="690" w:name="_Toc471745872"/>
      <w:bookmarkEnd w:id="690"/>
      <w:bookmarkStart w:id="691" w:name="_Toc452556695"/>
      <w:bookmarkEnd w:id="691"/>
      <w:bookmarkStart w:id="692" w:name="_Toc452502572"/>
      <w:bookmarkEnd w:id="692"/>
      <w:bookmarkStart w:id="693" w:name="_Toc452556750"/>
      <w:bookmarkEnd w:id="693"/>
      <w:bookmarkStart w:id="694" w:name="_Toc452502487"/>
      <w:bookmarkEnd w:id="694"/>
      <w:bookmarkStart w:id="695" w:name="_Toc452502399"/>
      <w:bookmarkEnd w:id="695"/>
      <w:bookmarkStart w:id="696" w:name="_Toc452556602"/>
      <w:bookmarkEnd w:id="696"/>
      <w:bookmarkStart w:id="697" w:name="_Toc452556810"/>
      <w:bookmarkEnd w:id="697"/>
      <w:bookmarkStart w:id="698" w:name="_Toc471740776"/>
      <w:bookmarkEnd w:id="698"/>
      <w:bookmarkStart w:id="699" w:name="_Toc471745868"/>
      <w:bookmarkEnd w:id="699"/>
      <w:bookmarkStart w:id="700" w:name="_Toc452502493"/>
      <w:bookmarkEnd w:id="700"/>
      <w:bookmarkStart w:id="701" w:name="_Toc452556634"/>
      <w:bookmarkEnd w:id="701"/>
      <w:bookmarkStart w:id="702" w:name="_Toc452556497"/>
      <w:bookmarkEnd w:id="702"/>
      <w:bookmarkStart w:id="703" w:name="_Toc471745861"/>
      <w:bookmarkEnd w:id="703"/>
      <w:bookmarkStart w:id="704" w:name="_Toc452556736"/>
      <w:bookmarkEnd w:id="704"/>
      <w:bookmarkStart w:id="705" w:name="_Toc452556769"/>
      <w:bookmarkEnd w:id="705"/>
      <w:bookmarkStart w:id="706" w:name="_Toc402880666"/>
      <w:bookmarkEnd w:id="706"/>
      <w:bookmarkStart w:id="707" w:name="_Toc452556812"/>
      <w:bookmarkEnd w:id="707"/>
      <w:bookmarkStart w:id="708" w:name="_Toc452556694"/>
      <w:bookmarkEnd w:id="708"/>
      <w:bookmarkStart w:id="709" w:name="_Toc471744487"/>
      <w:bookmarkEnd w:id="709"/>
      <w:bookmarkStart w:id="710" w:name="_Toc452556680"/>
      <w:bookmarkEnd w:id="710"/>
      <w:bookmarkStart w:id="711" w:name="_Toc452556795"/>
      <w:bookmarkEnd w:id="711"/>
      <w:bookmarkStart w:id="712" w:name="_Toc452556542"/>
      <w:bookmarkEnd w:id="712"/>
      <w:bookmarkStart w:id="713" w:name="_Toc452556761"/>
      <w:bookmarkEnd w:id="713"/>
      <w:bookmarkStart w:id="714" w:name="_Toc443332027"/>
      <w:bookmarkEnd w:id="714"/>
      <w:bookmarkStart w:id="715" w:name="_Toc402880682"/>
      <w:bookmarkEnd w:id="715"/>
      <w:bookmarkStart w:id="716" w:name="_Toc452502515"/>
      <w:bookmarkEnd w:id="716"/>
      <w:bookmarkStart w:id="717" w:name="_Toc471740285"/>
      <w:bookmarkEnd w:id="717"/>
      <w:bookmarkStart w:id="718" w:name="_Toc452556601"/>
      <w:bookmarkEnd w:id="718"/>
      <w:bookmarkStart w:id="719" w:name="_Toc388279017"/>
      <w:bookmarkEnd w:id="719"/>
      <w:bookmarkStart w:id="720" w:name="_Toc452502419"/>
      <w:bookmarkEnd w:id="720"/>
      <w:bookmarkStart w:id="721" w:name="_Toc402880659"/>
      <w:bookmarkEnd w:id="721"/>
      <w:bookmarkStart w:id="722" w:name="_Toc452502382"/>
      <w:bookmarkEnd w:id="722"/>
      <w:bookmarkStart w:id="723" w:name="_Toc452502357"/>
      <w:bookmarkEnd w:id="723"/>
      <w:bookmarkStart w:id="724" w:name="_Toc452502383"/>
      <w:bookmarkEnd w:id="724"/>
      <w:bookmarkStart w:id="725" w:name="_Toc452502350"/>
      <w:bookmarkEnd w:id="725"/>
      <w:bookmarkStart w:id="726" w:name="_Toc402880613"/>
      <w:bookmarkEnd w:id="726"/>
      <w:bookmarkStart w:id="727" w:name="_Toc452502402"/>
      <w:bookmarkEnd w:id="727"/>
      <w:bookmarkStart w:id="728" w:name="_Toc452502551"/>
      <w:bookmarkEnd w:id="728"/>
      <w:bookmarkStart w:id="729" w:name="_Toc452502430"/>
      <w:bookmarkEnd w:id="729"/>
      <w:bookmarkStart w:id="730" w:name="_Toc452556517"/>
      <w:bookmarkEnd w:id="730"/>
      <w:bookmarkStart w:id="731" w:name="_Toc452556800"/>
      <w:bookmarkEnd w:id="731"/>
      <w:bookmarkStart w:id="732" w:name="_Toc443332019"/>
      <w:bookmarkEnd w:id="732"/>
      <w:bookmarkStart w:id="733" w:name="_Toc452502540"/>
      <w:bookmarkEnd w:id="733"/>
      <w:bookmarkStart w:id="734" w:name="_Toc382579315"/>
      <w:bookmarkEnd w:id="734"/>
      <w:bookmarkStart w:id="735" w:name="_Toc452556555"/>
      <w:bookmarkEnd w:id="735"/>
      <w:bookmarkStart w:id="736" w:name="_Toc402880690"/>
      <w:bookmarkEnd w:id="736"/>
      <w:bookmarkStart w:id="737" w:name="_Toc452556612"/>
      <w:bookmarkEnd w:id="737"/>
      <w:bookmarkStart w:id="738" w:name="_Toc402880627"/>
      <w:bookmarkEnd w:id="738"/>
      <w:bookmarkStart w:id="739" w:name="_Toc452502488"/>
      <w:bookmarkEnd w:id="739"/>
      <w:bookmarkStart w:id="740" w:name="_Toc452556665"/>
      <w:bookmarkEnd w:id="740"/>
      <w:bookmarkStart w:id="741" w:name="_Toc402880674"/>
      <w:bookmarkEnd w:id="741"/>
      <w:bookmarkStart w:id="742" w:name="_Toc452556674"/>
      <w:bookmarkEnd w:id="742"/>
      <w:bookmarkStart w:id="743" w:name="_Toc452556815"/>
      <w:bookmarkEnd w:id="743"/>
      <w:bookmarkStart w:id="744" w:name="_Toc452556562"/>
      <w:bookmarkEnd w:id="744"/>
      <w:bookmarkStart w:id="745" w:name="_Toc452502361"/>
      <w:bookmarkEnd w:id="745"/>
      <w:bookmarkStart w:id="746" w:name="_Toc452502569"/>
      <w:bookmarkEnd w:id="746"/>
      <w:bookmarkStart w:id="747" w:name="_Toc402880622"/>
      <w:bookmarkEnd w:id="747"/>
      <w:bookmarkStart w:id="748" w:name="_Toc388279016"/>
      <w:bookmarkEnd w:id="748"/>
      <w:bookmarkStart w:id="749" w:name="_Toc471745364"/>
      <w:bookmarkEnd w:id="749"/>
      <w:bookmarkStart w:id="750" w:name="_Toc471745866"/>
      <w:bookmarkEnd w:id="750"/>
      <w:bookmarkStart w:id="751" w:name="_Toc452502418"/>
      <w:bookmarkEnd w:id="751"/>
      <w:bookmarkStart w:id="752" w:name="_Toc452556781"/>
      <w:bookmarkEnd w:id="752"/>
      <w:bookmarkStart w:id="753" w:name="_Toc452556558"/>
      <w:bookmarkEnd w:id="753"/>
      <w:bookmarkStart w:id="754" w:name="_Toc402880676"/>
      <w:bookmarkEnd w:id="754"/>
      <w:bookmarkStart w:id="755" w:name="_Toc452502373"/>
      <w:bookmarkEnd w:id="755"/>
      <w:bookmarkStart w:id="756" w:name="_Toc452502396"/>
      <w:bookmarkEnd w:id="756"/>
      <w:bookmarkStart w:id="757" w:name="_Toc452556543"/>
      <w:bookmarkEnd w:id="757"/>
      <w:bookmarkStart w:id="758" w:name="_Toc452556754"/>
      <w:bookmarkEnd w:id="758"/>
      <w:bookmarkStart w:id="759" w:name="_Toc452556600"/>
      <w:bookmarkEnd w:id="759"/>
      <w:bookmarkStart w:id="760" w:name="_Toc452556561"/>
      <w:bookmarkEnd w:id="760"/>
      <w:bookmarkStart w:id="761" w:name="_Toc388279020"/>
      <w:bookmarkEnd w:id="761"/>
      <w:bookmarkStart w:id="762" w:name="_Toc452502523"/>
      <w:bookmarkEnd w:id="762"/>
      <w:bookmarkStart w:id="763" w:name="_Toc452502395"/>
      <w:bookmarkEnd w:id="763"/>
      <w:bookmarkStart w:id="764" w:name="_Toc452502378"/>
      <w:bookmarkEnd w:id="764"/>
      <w:bookmarkStart w:id="765" w:name="_Toc452502313"/>
      <w:bookmarkEnd w:id="765"/>
      <w:bookmarkStart w:id="766" w:name="_Toc452502530"/>
      <w:bookmarkEnd w:id="766"/>
      <w:bookmarkStart w:id="767" w:name="_Toc452556797"/>
      <w:bookmarkEnd w:id="767"/>
      <w:bookmarkStart w:id="768" w:name="_Toc452502465"/>
      <w:bookmarkEnd w:id="768"/>
      <w:bookmarkStart w:id="769" w:name="_Toc452502400"/>
      <w:bookmarkEnd w:id="769"/>
      <w:bookmarkStart w:id="770" w:name="_Toc443332033"/>
      <w:bookmarkEnd w:id="770"/>
      <w:bookmarkStart w:id="771" w:name="_Toc452502329"/>
      <w:bookmarkEnd w:id="771"/>
      <w:bookmarkStart w:id="772" w:name="_Toc402880688"/>
      <w:bookmarkEnd w:id="772"/>
      <w:bookmarkStart w:id="773" w:name="_Toc452556752"/>
      <w:bookmarkEnd w:id="773"/>
      <w:bookmarkStart w:id="774" w:name="_Toc452556791"/>
      <w:bookmarkEnd w:id="774"/>
      <w:bookmarkStart w:id="775" w:name="_Toc452556656"/>
      <w:bookmarkEnd w:id="775"/>
      <w:bookmarkStart w:id="776" w:name="_Toc452556730"/>
      <w:bookmarkEnd w:id="776"/>
      <w:bookmarkStart w:id="777" w:name="_Toc452556578"/>
      <w:bookmarkEnd w:id="777"/>
      <w:bookmarkStart w:id="778" w:name="_Toc452502412"/>
      <w:bookmarkEnd w:id="778"/>
      <w:bookmarkStart w:id="779" w:name="_Toc452556709"/>
      <w:bookmarkEnd w:id="779"/>
      <w:bookmarkStart w:id="780" w:name="_Toc452502394"/>
      <w:bookmarkEnd w:id="780"/>
      <w:bookmarkStart w:id="781" w:name="_Toc452556804"/>
      <w:bookmarkEnd w:id="781"/>
      <w:bookmarkStart w:id="782" w:name="_Toc452556557"/>
      <w:bookmarkEnd w:id="782"/>
      <w:bookmarkStart w:id="783" w:name="_Toc452556654"/>
      <w:bookmarkEnd w:id="783"/>
      <w:bookmarkStart w:id="784" w:name="_Toc471744484"/>
      <w:bookmarkEnd w:id="784"/>
      <w:bookmarkStart w:id="785" w:name="_Toc452502452"/>
      <w:bookmarkEnd w:id="785"/>
      <w:bookmarkStart w:id="786" w:name="_Toc452502520"/>
      <w:bookmarkEnd w:id="786"/>
      <w:bookmarkStart w:id="787" w:name="_Toc388279013"/>
      <w:bookmarkEnd w:id="787"/>
      <w:bookmarkStart w:id="788" w:name="_Toc452556818"/>
      <w:bookmarkEnd w:id="788"/>
      <w:bookmarkStart w:id="789" w:name="_Toc452556816"/>
      <w:bookmarkEnd w:id="789"/>
      <w:bookmarkStart w:id="790" w:name="_Toc402880623"/>
      <w:bookmarkEnd w:id="790"/>
      <w:bookmarkStart w:id="791" w:name="_Toc381964102"/>
      <w:bookmarkEnd w:id="791"/>
      <w:bookmarkStart w:id="792" w:name="_Toc402880634"/>
      <w:bookmarkEnd w:id="792"/>
      <w:bookmarkStart w:id="793" w:name="_Toc452556716"/>
      <w:bookmarkEnd w:id="793"/>
      <w:bookmarkStart w:id="794" w:name="_Toc471745869"/>
      <w:bookmarkEnd w:id="794"/>
      <w:bookmarkStart w:id="795" w:name="_Toc452556624"/>
      <w:bookmarkEnd w:id="795"/>
      <w:bookmarkStart w:id="796" w:name="_Toc402880671"/>
      <w:bookmarkEnd w:id="796"/>
      <w:bookmarkStart w:id="797" w:name="_Toc452556584"/>
      <w:bookmarkEnd w:id="797"/>
      <w:bookmarkStart w:id="798" w:name="_Toc452502512"/>
      <w:bookmarkEnd w:id="798"/>
      <w:bookmarkStart w:id="799" w:name="_Toc452502444"/>
      <w:bookmarkEnd w:id="799"/>
      <w:bookmarkStart w:id="800" w:name="_Toc452556699"/>
      <w:bookmarkEnd w:id="800"/>
      <w:bookmarkStart w:id="801" w:name="_Toc452556603"/>
      <w:bookmarkEnd w:id="801"/>
      <w:bookmarkStart w:id="802" w:name="_Toc452502432"/>
      <w:bookmarkEnd w:id="802"/>
      <w:bookmarkStart w:id="803" w:name="_Toc452556614"/>
      <w:bookmarkEnd w:id="803"/>
      <w:bookmarkStart w:id="804" w:name="_Toc452556762"/>
      <w:bookmarkEnd w:id="804"/>
      <w:bookmarkStart w:id="805" w:name="_Toc402880647"/>
      <w:bookmarkEnd w:id="805"/>
      <w:bookmarkStart w:id="806" w:name="_Toc452556783"/>
      <w:bookmarkEnd w:id="806"/>
      <w:bookmarkStart w:id="807" w:name="_Toc452556766"/>
      <w:bookmarkEnd w:id="807"/>
      <w:bookmarkStart w:id="808" w:name="_Toc452502506"/>
      <w:bookmarkEnd w:id="808"/>
      <w:bookmarkStart w:id="809" w:name="_Toc452556652"/>
      <w:bookmarkEnd w:id="809"/>
      <w:bookmarkStart w:id="810" w:name="_Toc402880636"/>
      <w:bookmarkEnd w:id="810"/>
      <w:bookmarkStart w:id="811" w:name="_Toc452502558"/>
      <w:bookmarkEnd w:id="811"/>
      <w:bookmarkStart w:id="812" w:name="_Toc402880670"/>
      <w:bookmarkEnd w:id="812"/>
      <w:bookmarkStart w:id="813" w:name="_Toc452556604"/>
      <w:bookmarkEnd w:id="813"/>
      <w:bookmarkStart w:id="814" w:name="_Toc402880615"/>
      <w:bookmarkEnd w:id="814"/>
      <w:bookmarkStart w:id="815" w:name="_Toc452556667"/>
      <w:bookmarkEnd w:id="815"/>
      <w:bookmarkStart w:id="816" w:name="_Toc402880658"/>
      <w:bookmarkEnd w:id="816"/>
      <w:bookmarkStart w:id="817" w:name="_Toc443332026"/>
      <w:bookmarkEnd w:id="817"/>
      <w:bookmarkStart w:id="818" w:name="_Toc452502409"/>
      <w:bookmarkEnd w:id="818"/>
      <w:bookmarkStart w:id="819" w:name="_Toc452502462"/>
      <w:bookmarkEnd w:id="819"/>
      <w:bookmarkStart w:id="820" w:name="_Toc452556811"/>
      <w:bookmarkEnd w:id="820"/>
      <w:bookmarkStart w:id="821" w:name="_Toc452556496"/>
      <w:bookmarkEnd w:id="821"/>
      <w:bookmarkStart w:id="822" w:name="_Toc452556756"/>
      <w:bookmarkEnd w:id="822"/>
      <w:bookmarkStart w:id="823" w:name="_Toc452556661"/>
      <w:bookmarkEnd w:id="823"/>
      <w:bookmarkStart w:id="824" w:name="_Toc452556526"/>
      <w:bookmarkEnd w:id="824"/>
      <w:bookmarkStart w:id="825" w:name="_Toc452502397"/>
      <w:bookmarkEnd w:id="825"/>
      <w:bookmarkStart w:id="826" w:name="_Toc402880607"/>
      <w:bookmarkEnd w:id="826"/>
      <w:bookmarkStart w:id="827" w:name="_Toc452502425"/>
      <w:bookmarkEnd w:id="827"/>
      <w:bookmarkStart w:id="828" w:name="_Toc452502348"/>
      <w:bookmarkEnd w:id="828"/>
      <w:bookmarkStart w:id="829" w:name="_Toc452502470"/>
      <w:bookmarkEnd w:id="829"/>
      <w:bookmarkStart w:id="830" w:name="_Toc452556587"/>
      <w:bookmarkEnd w:id="830"/>
      <w:bookmarkStart w:id="831" w:name="_Toc452556775"/>
      <w:bookmarkEnd w:id="831"/>
      <w:bookmarkStart w:id="832" w:name="_Toc402880628"/>
      <w:bookmarkEnd w:id="832"/>
      <w:bookmarkStart w:id="833" w:name="_Toc452556570"/>
      <w:bookmarkEnd w:id="833"/>
      <w:bookmarkStart w:id="834" w:name="_Toc402880641"/>
      <w:bookmarkEnd w:id="834"/>
      <w:bookmarkStart w:id="835" w:name="_Toc402880665"/>
      <w:bookmarkEnd w:id="835"/>
      <w:bookmarkStart w:id="836" w:name="_Toc471745865"/>
      <w:bookmarkEnd w:id="836"/>
      <w:bookmarkStart w:id="837" w:name="_Toc402880692"/>
      <w:bookmarkEnd w:id="837"/>
      <w:bookmarkStart w:id="838" w:name="_Toc452502442"/>
      <w:bookmarkEnd w:id="838"/>
      <w:bookmarkStart w:id="839" w:name="_Toc452556532"/>
      <w:bookmarkEnd w:id="839"/>
      <w:bookmarkStart w:id="840" w:name="_Toc452556681"/>
      <w:bookmarkEnd w:id="840"/>
      <w:bookmarkStart w:id="841" w:name="_Toc452556671"/>
      <w:bookmarkEnd w:id="841"/>
      <w:bookmarkStart w:id="842" w:name="_Toc452556589"/>
      <w:bookmarkEnd w:id="842"/>
      <w:bookmarkStart w:id="843" w:name="_Toc452556525"/>
      <w:bookmarkEnd w:id="843"/>
      <w:bookmarkStart w:id="844" w:name="_Toc471743615"/>
      <w:bookmarkEnd w:id="844"/>
      <w:bookmarkStart w:id="845" w:name="_Toc452556540"/>
      <w:bookmarkEnd w:id="845"/>
      <w:bookmarkStart w:id="846" w:name="_Toc452502466"/>
      <w:bookmarkEnd w:id="846"/>
      <w:bookmarkStart w:id="847" w:name="_Toc402880646"/>
      <w:bookmarkEnd w:id="847"/>
      <w:bookmarkStart w:id="848" w:name="_Toc452502411"/>
      <w:bookmarkEnd w:id="848"/>
      <w:bookmarkStart w:id="849" w:name="_Toc471745867"/>
      <w:bookmarkEnd w:id="849"/>
      <w:bookmarkStart w:id="850" w:name="_Toc452502475"/>
      <w:bookmarkEnd w:id="850"/>
      <w:bookmarkStart w:id="851" w:name="_Toc443332010"/>
      <w:bookmarkEnd w:id="851"/>
      <w:bookmarkStart w:id="852" w:name="_Toc452502517"/>
      <w:bookmarkEnd w:id="852"/>
      <w:bookmarkStart w:id="853" w:name="_Toc452502436"/>
      <w:bookmarkEnd w:id="853"/>
      <w:bookmarkStart w:id="854" w:name="_Toc443332014"/>
      <w:bookmarkEnd w:id="854"/>
      <w:bookmarkStart w:id="855" w:name="_Toc471745362"/>
      <w:bookmarkEnd w:id="855"/>
      <w:bookmarkStart w:id="856" w:name="_Toc471744979"/>
      <w:bookmarkEnd w:id="856"/>
      <w:bookmarkStart w:id="857" w:name="_Toc471745873"/>
      <w:bookmarkEnd w:id="857"/>
      <w:bookmarkStart w:id="858" w:name="_Toc452556626"/>
      <w:bookmarkEnd w:id="858"/>
      <w:bookmarkStart w:id="859" w:name="_Toc452556777"/>
      <w:bookmarkEnd w:id="859"/>
      <w:bookmarkStart w:id="860" w:name="_Toc452556599"/>
      <w:bookmarkEnd w:id="860"/>
      <w:bookmarkStart w:id="861" w:name="_Toc452502474"/>
      <w:bookmarkEnd w:id="861"/>
      <w:bookmarkStart w:id="862" w:name="_Toc471744978"/>
      <w:bookmarkEnd w:id="862"/>
      <w:bookmarkStart w:id="863" w:name="_Toc452502461"/>
      <w:bookmarkEnd w:id="863"/>
      <w:bookmarkStart w:id="864" w:name="_Toc452556659"/>
      <w:bookmarkEnd w:id="864"/>
      <w:bookmarkStart w:id="865" w:name="_Toc452502367"/>
      <w:bookmarkEnd w:id="865"/>
      <w:bookmarkStart w:id="866" w:name="_Toc452556554"/>
      <w:bookmarkEnd w:id="866"/>
      <w:bookmarkStart w:id="867" w:name="_Toc443332016"/>
      <w:bookmarkEnd w:id="867"/>
      <w:bookmarkStart w:id="868" w:name="_Toc452502531"/>
      <w:bookmarkEnd w:id="868"/>
      <w:bookmarkStart w:id="869" w:name="_Toc452556569"/>
      <w:bookmarkEnd w:id="869"/>
      <w:bookmarkStart w:id="870" w:name="_Toc452556669"/>
      <w:bookmarkEnd w:id="870"/>
      <w:bookmarkStart w:id="871" w:name="_Toc402880642"/>
      <w:bookmarkEnd w:id="871"/>
      <w:bookmarkStart w:id="872" w:name="_Toc452502485"/>
      <w:bookmarkEnd w:id="872"/>
      <w:bookmarkStart w:id="873" w:name="_Toc452556622"/>
      <w:bookmarkEnd w:id="873"/>
      <w:bookmarkStart w:id="874" w:name="_Toc452502353"/>
      <w:bookmarkEnd w:id="874"/>
      <w:bookmarkStart w:id="875" w:name="_Toc402880660"/>
      <w:bookmarkEnd w:id="875"/>
      <w:bookmarkStart w:id="876" w:name="_Toc402880683"/>
      <w:bookmarkEnd w:id="876"/>
      <w:bookmarkStart w:id="877" w:name="_Toc443332032"/>
      <w:bookmarkEnd w:id="877"/>
      <w:bookmarkStart w:id="878" w:name="_Toc452502407"/>
      <w:bookmarkEnd w:id="878"/>
      <w:bookmarkStart w:id="879" w:name="_Toc452502401"/>
      <w:bookmarkEnd w:id="879"/>
      <w:bookmarkStart w:id="880" w:name="_Toc402880672"/>
      <w:bookmarkEnd w:id="880"/>
      <w:bookmarkStart w:id="881" w:name="_Toc443332005"/>
      <w:bookmarkEnd w:id="881"/>
      <w:bookmarkStart w:id="882" w:name="_Toc400913980"/>
      <w:bookmarkEnd w:id="882"/>
      <w:bookmarkStart w:id="883" w:name="_Toc452502352"/>
      <w:bookmarkEnd w:id="883"/>
      <w:bookmarkStart w:id="884" w:name="_Toc452556579"/>
      <w:bookmarkEnd w:id="884"/>
      <w:bookmarkStart w:id="885" w:name="_Toc388279025"/>
      <w:bookmarkEnd w:id="885"/>
      <w:bookmarkStart w:id="886" w:name="_Toc452556518"/>
      <w:bookmarkEnd w:id="886"/>
      <w:bookmarkStart w:id="887" w:name="_Toc452556571"/>
      <w:bookmarkEnd w:id="887"/>
      <w:bookmarkStart w:id="888" w:name="_Toc452556657"/>
      <w:bookmarkEnd w:id="888"/>
      <w:bookmarkStart w:id="889" w:name="_Toc452556586"/>
      <w:bookmarkEnd w:id="889"/>
      <w:bookmarkStart w:id="890" w:name="_Toc452556551"/>
      <w:bookmarkEnd w:id="890"/>
      <w:bookmarkStart w:id="891" w:name="_Toc452556702"/>
      <w:bookmarkEnd w:id="891"/>
      <w:bookmarkStart w:id="892" w:name="_Toc452502406"/>
      <w:bookmarkEnd w:id="892"/>
      <w:bookmarkStart w:id="893" w:name="_Toc452556639"/>
      <w:bookmarkEnd w:id="893"/>
      <w:bookmarkStart w:id="894" w:name="_Toc452502479"/>
      <w:bookmarkEnd w:id="894"/>
      <w:bookmarkStart w:id="895" w:name="_Toc116946344"/>
    </w:p>
    <w:p w14:paraId="020C7467">
      <w:pPr>
        <w:pStyle w:val="263"/>
        <w:spacing w:line="360" w:lineRule="auto"/>
        <w:ind w:firstLine="482"/>
        <w:jc w:val="left"/>
        <w:outlineLvl w:val="1"/>
        <w:rPr>
          <w:rFonts w:ascii="宋体" w:hAnsi="宋体" w:cs="宋体"/>
          <w:b/>
          <w:bCs/>
          <w:color w:val="auto"/>
          <w:sz w:val="26"/>
          <w:szCs w:val="26"/>
          <w:highlight w:val="none"/>
        </w:rPr>
      </w:pPr>
      <w:r>
        <w:rPr>
          <w:rFonts w:hint="eastAsia" w:ascii="宋体" w:hAnsi="宋体" w:cs="宋体"/>
          <w:b/>
          <w:bCs/>
          <w:color w:val="auto"/>
          <w:sz w:val="26"/>
          <w:szCs w:val="26"/>
          <w:highlight w:val="none"/>
        </w:rPr>
        <w:t>（一）采购标的需实现的功能或者目标，以及为落实政府采购政策需满足的要求：</w:t>
      </w:r>
    </w:p>
    <w:p w14:paraId="32DA349D">
      <w:pPr>
        <w:spacing w:line="360" w:lineRule="auto"/>
        <w:ind w:firstLine="480"/>
        <w:rPr>
          <w:rFonts w:ascii="宋体" w:hAnsi="宋体" w:cs="宋体"/>
          <w:color w:val="auto"/>
          <w:sz w:val="24"/>
          <w:szCs w:val="24"/>
          <w:highlight w:val="none"/>
        </w:rPr>
      </w:pPr>
      <w:r>
        <w:rPr>
          <w:rFonts w:hint="eastAsia" w:ascii="宋体" w:hAnsi="宋体" w:cs="宋体"/>
          <w:b/>
          <w:bCs/>
          <w:color w:val="auto"/>
          <w:sz w:val="24"/>
          <w:highlight w:val="none"/>
        </w:rPr>
        <w:t>1.采购标的需实现的功能或者目标：</w:t>
      </w:r>
      <w:r>
        <w:rPr>
          <w:rFonts w:hint="eastAsia" w:ascii="宋体" w:hAnsi="宋体" w:cs="宋体"/>
          <w:color w:val="auto"/>
          <w:sz w:val="24"/>
          <w:szCs w:val="24"/>
          <w:highlight w:val="none"/>
        </w:rPr>
        <w:t>本项目为2026-2027年度度假区(阳山镇)机关食堂外包服务，项目地点位于无锡市阳山镇政府机关食堂，服务内容包括但不限于食堂运营及管理、食材采购及配送、以及其他相关配套服务；阳山镇政府员工数量约400人左右，用餐人数：早餐100人、午餐400人，晚餐（备桌）约15人，周末及法定节假日每天约10人用餐，另有访客工作餐需求。</w:t>
      </w:r>
    </w:p>
    <w:p w14:paraId="7821306B">
      <w:pPr>
        <w:spacing w:line="360" w:lineRule="auto"/>
        <w:ind w:firstLine="482"/>
        <w:rPr>
          <w:rFonts w:ascii="宋体" w:hAnsi="宋体" w:cs="宋体"/>
          <w:b/>
          <w:bCs/>
          <w:color w:val="auto"/>
          <w:sz w:val="24"/>
          <w:szCs w:val="24"/>
          <w:highlight w:val="none"/>
        </w:rPr>
      </w:pPr>
      <w:r>
        <w:rPr>
          <w:rFonts w:hint="eastAsia" w:ascii="宋体" w:hAnsi="宋体" w:cs="宋体"/>
          <w:b/>
          <w:bCs/>
          <w:color w:val="auto"/>
          <w:sz w:val="24"/>
          <w:highlight w:val="none"/>
        </w:rPr>
        <w:t>2.为落实政府采购政策需满足的要求：</w:t>
      </w:r>
      <w:r>
        <w:rPr>
          <w:rFonts w:hint="eastAsia" w:ascii="宋体" w:hAnsi="宋体"/>
          <w:bCs/>
          <w:color w:val="auto"/>
          <w:sz w:val="24"/>
          <w:highlight w:val="none"/>
        </w:rPr>
        <w:t>本项目专门面向中小（微）企业（含监狱企业、残疾人福利性单位）采购。</w:t>
      </w:r>
    </w:p>
    <w:p w14:paraId="2C4B715B">
      <w:pPr>
        <w:widowControl/>
        <w:spacing w:line="360" w:lineRule="auto"/>
        <w:ind w:firstLine="522" w:firstLineChars="200"/>
        <w:jc w:val="left"/>
        <w:outlineLvl w:val="1"/>
        <w:rPr>
          <w:rFonts w:ascii="宋体" w:hAnsi="宋体" w:cs="宋体"/>
          <w:b/>
          <w:color w:val="auto"/>
          <w:sz w:val="26"/>
          <w:szCs w:val="26"/>
          <w:highlight w:val="none"/>
        </w:rPr>
      </w:pPr>
      <w:r>
        <w:rPr>
          <w:rFonts w:hint="eastAsia" w:ascii="宋体" w:hAnsi="宋体" w:cs="宋体"/>
          <w:b/>
          <w:color w:val="auto"/>
          <w:sz w:val="26"/>
          <w:szCs w:val="26"/>
          <w:highlight w:val="none"/>
        </w:rPr>
        <w:t>（二）本项目采购标的概况、服务期、质量标准及其他要求：</w:t>
      </w:r>
    </w:p>
    <w:p w14:paraId="65488CE5">
      <w:pPr>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1、采购项目编号：JSZC-320206-JXCZ-G2026-0004；</w:t>
      </w:r>
    </w:p>
    <w:p w14:paraId="2B52090E">
      <w:pPr>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2、采购项目名称：</w:t>
      </w:r>
      <w:r>
        <w:rPr>
          <w:rFonts w:hint="eastAsia" w:ascii="宋体" w:hAnsi="宋体" w:cs="宋体"/>
          <w:color w:val="auto"/>
          <w:sz w:val="24"/>
          <w:highlight w:val="none"/>
        </w:rPr>
        <w:t>2026-2027年度度假区(阳山镇)机关食堂外包服务项目；</w:t>
      </w:r>
    </w:p>
    <w:p w14:paraId="05322C17">
      <w:pPr>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3、服务期：</w:t>
      </w:r>
      <w:r>
        <w:rPr>
          <w:rFonts w:hint="eastAsia" w:ascii="宋体" w:hAnsi="宋体"/>
          <w:bCs/>
          <w:color w:val="auto"/>
          <w:sz w:val="24"/>
          <w:szCs w:val="24"/>
          <w:highlight w:val="none"/>
        </w:rPr>
        <w:t>自合同签订之日起两年（具体起始日期以采购人通知为准）。合同一年一签订，合同履约期内，须严格遵守采购人的考核标准，如考核评价未达到采购人要求，采购人有权无条件单方面终止合同</w:t>
      </w:r>
      <w:r>
        <w:rPr>
          <w:rFonts w:hint="eastAsia" w:ascii="宋体" w:hAnsi="宋体" w:cs="宋体"/>
          <w:color w:val="auto"/>
          <w:sz w:val="24"/>
          <w:highlight w:val="none"/>
        </w:rPr>
        <w:t>；</w:t>
      </w:r>
    </w:p>
    <w:p w14:paraId="70D22533">
      <w:pPr>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4、质量要求：</w:t>
      </w:r>
      <w:r>
        <w:rPr>
          <w:rFonts w:hint="eastAsia" w:ascii="宋体" w:hAnsi="宋体" w:cs="宋体"/>
          <w:color w:val="auto"/>
          <w:sz w:val="24"/>
          <w:highlight w:val="none"/>
        </w:rPr>
        <w:t>所供食材符合国家相关食品安全卫生标准；运营及管理服务达到采购人要求；</w:t>
      </w:r>
    </w:p>
    <w:p w14:paraId="48EA143B">
      <w:pPr>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5、实施地点：</w:t>
      </w:r>
      <w:r>
        <w:rPr>
          <w:rFonts w:hint="eastAsia" w:ascii="宋体" w:hAnsi="宋体" w:cs="宋体"/>
          <w:color w:val="auto"/>
          <w:sz w:val="24"/>
          <w:highlight w:val="none"/>
        </w:rPr>
        <w:t>无锡市惠山区阳山镇；</w:t>
      </w:r>
    </w:p>
    <w:p w14:paraId="5716FB44">
      <w:pPr>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6、付款方式：</w:t>
      </w:r>
    </w:p>
    <w:p w14:paraId="27B245C2">
      <w:pPr>
        <w:spacing w:line="360" w:lineRule="auto"/>
        <w:ind w:firstLine="482"/>
        <w:rPr>
          <w:rFonts w:ascii="宋体" w:hAnsi="宋体" w:cs="宋体"/>
          <w:color w:val="auto"/>
          <w:sz w:val="24"/>
          <w:szCs w:val="24"/>
          <w:highlight w:val="none"/>
        </w:rPr>
      </w:pPr>
      <w:r>
        <w:rPr>
          <w:rFonts w:hint="eastAsia" w:ascii="宋体" w:hAnsi="宋体" w:cs="宋体"/>
          <w:color w:val="auto"/>
          <w:sz w:val="24"/>
          <w:szCs w:val="24"/>
          <w:highlight w:val="none"/>
        </w:rPr>
        <w:t>（1）预付款：合同签订生效后支付合同价款的10%作为预付款；在合同签订后的第一期应付款项中一次性扣除；若预付款扣回金额大于当期应支付款项，剩余部分顺延至下一期扣回，直至最后一期付款前扣回。</w:t>
      </w:r>
    </w:p>
    <w:p w14:paraId="7D2AE616">
      <w:pPr>
        <w:spacing w:line="360" w:lineRule="auto"/>
        <w:ind w:firstLine="482"/>
        <w:rPr>
          <w:rFonts w:ascii="宋体" w:hAnsi="宋体" w:cs="宋体"/>
          <w:color w:val="auto"/>
          <w:sz w:val="24"/>
          <w:szCs w:val="24"/>
          <w:highlight w:val="none"/>
        </w:rPr>
      </w:pPr>
      <w:r>
        <w:rPr>
          <w:rFonts w:hint="eastAsia" w:ascii="宋体" w:hAnsi="宋体" w:cs="宋体"/>
          <w:color w:val="auto"/>
          <w:sz w:val="24"/>
          <w:szCs w:val="24"/>
          <w:highlight w:val="none"/>
        </w:rPr>
        <w:t>（2）食堂运营及管理费用：每月支付一次（结合采购人考核情况），于服务期第2个月开始每月支付上个月的食堂运营及管理费用，应付金额为该部分合同金额/12-上个月的考核扣款（如有）。注：如遇特殊情况，应采购人需求，中标供应商务必配备相应数量及专业的服务人员以满足食堂运行的正常需要，期间产生的加班费用，采购人另行按实结算，具体加班人员数量和人员名单须经采购人审核同意，加班费按如下要求进行结算：以中标供应商加班人员当年月工资标准÷176小时作为计算基数，该费用不包含在本次合同金额内。</w:t>
      </w:r>
    </w:p>
    <w:p w14:paraId="71C9C630">
      <w:pPr>
        <w:spacing w:line="360" w:lineRule="auto"/>
        <w:ind w:firstLine="482"/>
        <w:rPr>
          <w:rFonts w:ascii="宋体" w:hAnsi="宋体" w:cs="宋体"/>
          <w:b/>
          <w:bCs/>
          <w:color w:val="auto"/>
          <w:sz w:val="24"/>
          <w:szCs w:val="24"/>
          <w:highlight w:val="none"/>
        </w:rPr>
      </w:pPr>
      <w:r>
        <w:rPr>
          <w:rFonts w:hint="eastAsia" w:ascii="宋体" w:hAnsi="宋体" w:cs="宋体"/>
          <w:color w:val="auto"/>
          <w:sz w:val="24"/>
          <w:szCs w:val="24"/>
          <w:highlight w:val="none"/>
        </w:rPr>
        <w:t>（3）食材采购及配送费用：1）按月支付（结合采购人考核情况），采购人按照无锡市发展和改革委员会官网民生价费专栏当月的算术平均价*中标折扣率（85%）进行结算（如发改委网站上没有的货品，可参考政府采购网上商城价格或者无锡市天惠或欧尚商城官网、无锡市朝阳农产品大市场等的价格），在此基础上*中标折扣率（85%）进行结算。结算数量按采购人实际验收数量为准，中标供应商应每日做好统计及计算工作。公示栏中未列明但临时需要供货的特殊品种，中标供应商须到超市（天惠、欧尚等）采购，供货价不得高于超市价格，以采购发票为准。2）定价方法：无锡市发展和改革委员会官网民生价费专栏当日或近期最新食材价（如发改委网站上没有的货品，可参考政府采购网上商城价格或者无锡市天惠或欧尚商城官网、无锡市朝阳农产品大市场等的价格）。</w:t>
      </w:r>
    </w:p>
    <w:p w14:paraId="64C5045D">
      <w:pPr>
        <w:widowControl/>
        <w:spacing w:line="360" w:lineRule="auto"/>
        <w:ind w:firstLine="522" w:firstLineChars="200"/>
        <w:jc w:val="left"/>
        <w:outlineLvl w:val="1"/>
        <w:rPr>
          <w:rFonts w:ascii="宋体" w:hAnsi="宋体" w:cs="宋体"/>
          <w:b/>
          <w:color w:val="auto"/>
          <w:sz w:val="26"/>
          <w:szCs w:val="26"/>
          <w:highlight w:val="none"/>
        </w:rPr>
      </w:pPr>
      <w:r>
        <w:rPr>
          <w:rFonts w:hint="eastAsia" w:ascii="宋体" w:hAnsi="宋体" w:cs="宋体"/>
          <w:b/>
          <w:color w:val="auto"/>
          <w:sz w:val="26"/>
          <w:szCs w:val="26"/>
          <w:highlight w:val="none"/>
        </w:rPr>
        <w:t>（三）具体服务内容及要求：</w:t>
      </w:r>
    </w:p>
    <w:p w14:paraId="75455766">
      <w:pPr>
        <w:spacing w:line="360" w:lineRule="auto"/>
        <w:ind w:firstLine="482" w:firstLineChars="200"/>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1、食材配送要求：</w:t>
      </w:r>
    </w:p>
    <w:p w14:paraId="0036C850">
      <w:pPr>
        <w:pStyle w:val="61"/>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1）中标供应商应提前一天规划并罗列好次日所有需配送的食材品种《送货清单》，报采购人审核确认，每天早上7：00前送到采购人指定的地点并配送完毕，中标供应商提供《送货清单》一式两份，采购人、中标供应商双方现场过秤并验收签名，作为结算凭证。</w:t>
      </w:r>
    </w:p>
    <w:p w14:paraId="50AF5A09">
      <w:pPr>
        <w:pStyle w:val="61"/>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（2）所有品种按除箱净重过磅，最终交易重量以双方确认的过磅数为准。</w:t>
      </w:r>
    </w:p>
    <w:p w14:paraId="721DF538">
      <w:pPr>
        <w:pStyle w:val="61"/>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（3）中标供应商不得随意变更《送货清单》内的品种、质量、规格、数量，如因货源不足或个别品种因缺货而无法提供等因素，中标供应商不能满足采购人需求，需调换食材品种时，</w:t>
      </w:r>
      <w:r>
        <w:rPr>
          <w:rFonts w:hint="eastAsia" w:ascii="宋体" w:hAnsi="宋体" w:eastAsia="宋体" w:cs="宋体"/>
          <w:color w:val="auto"/>
          <w:szCs w:val="24"/>
          <w:highlight w:val="none"/>
        </w:rPr>
        <w:t>必须于接到通知后3小时内及时知会采购人</w:t>
      </w:r>
      <w:r>
        <w:rPr>
          <w:rFonts w:hint="eastAsia" w:ascii="宋体" w:hAnsi="宋体" w:cs="宋体"/>
          <w:color w:val="auto"/>
          <w:szCs w:val="24"/>
          <w:highlight w:val="none"/>
        </w:rPr>
        <w:t>，经采购人同意后，按协商后的品种、质量、规格、数量将副食品于次日7:00前配送至采购人指定的地点，相关费用由中标供应商承担。如中标供应商未及时通知采购人，导致无法及时供货的，中标供应商须承担当日所有供货食材总金额的两倍罚款，出现三次及以上上述情况的，采购人有权立即终止合同，且中标供应商须向采购人支付5%合同总金额的赔偿金。</w:t>
      </w:r>
    </w:p>
    <w:p w14:paraId="0255476E">
      <w:pPr>
        <w:pStyle w:val="61"/>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4）如遇特殊、紧急情况，中标供应商在接到采购人当天的采购需求计划后，于3小时之内将所需物资配送到位。双方现场对食材数量、品质进行验收登记。除特殊原因（须提前告知采购人并经采购人认可），若中标供应商无法做到，采购人可视作当月一次考核不合格记录。</w:t>
      </w:r>
    </w:p>
    <w:p w14:paraId="1CA1F199">
      <w:pPr>
        <w:pStyle w:val="61"/>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（5）包括非正常工作时间段在内，采购人因特殊情况或任务需要临时增加物资时，中标供应商应提供应急配送服务。中标供应商必须在接到通知3小时内将新增的食材保质保量配送至采购人指定的地点。</w:t>
      </w:r>
    </w:p>
    <w:p w14:paraId="0BBE3BA0">
      <w:pPr>
        <w:pStyle w:val="61"/>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（6）品种数量超出规定的部分由中标供应商带回，不纳入结算，短缺的部分由中标供应商补足。</w:t>
      </w:r>
    </w:p>
    <w:p w14:paraId="1C0226B8">
      <w:pPr>
        <w:pStyle w:val="61"/>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（7）品种的重量以双方核准的净重过磅数为准，双方签字确认作为结算凭证。</w:t>
      </w:r>
    </w:p>
    <w:p w14:paraId="19942029">
      <w:pPr>
        <w:pStyle w:val="61"/>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8）质量必须符合国家相关食品安全卫生标准。采购人每天进行检测，检测一次不合格的，罚当天食材供货费用的两倍，检测不合格满二次的，采购人有权终止合同，且中标供应商须向采购人支付5%合同总金额的赔偿金。</w:t>
      </w:r>
    </w:p>
    <w:p w14:paraId="62A28B07">
      <w:pPr>
        <w:pStyle w:val="61"/>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（9）质量必须达到本标书所列的要求，并且品质不低于采购人当天在各大食材批发市场的自购标准。</w:t>
      </w:r>
    </w:p>
    <w:p w14:paraId="10BC65FC">
      <w:pPr>
        <w:pStyle w:val="61"/>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10）中标供应商当日供应副食品经采购人验收后不达标、不足量、漏供或错供时，中标供应商必须进行调换或补充并按合同规定进行处罚。中标供应商调换或补充的食材必须经采购人同意，按协商后的品种、质量、规格、数量将食材于当日10:00前配送至采购人指定地点，相关费用由中标供应商承担。</w:t>
      </w:r>
    </w:p>
    <w:p w14:paraId="26A1313E">
      <w:pPr>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2、食材配送原材料内容和质量要求（包括但不限于）：</w:t>
      </w:r>
    </w:p>
    <w:p w14:paraId="10EACFF3">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（1）肉禽、水产类</w:t>
      </w:r>
    </w:p>
    <w:p w14:paraId="1B384824">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1.猪肉类</w:t>
      </w:r>
    </w:p>
    <w:p w14:paraId="59343CA8">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①总体要求：本次采购所需标的物以鲜肉为主，主要有草排、五花肉、肉糜等。</w:t>
      </w:r>
      <w:r>
        <w:rPr>
          <w:rFonts w:hint="eastAsia" w:hAnsi="宋体" w:cs="宋体"/>
          <w:color w:val="auto"/>
          <w:sz w:val="24"/>
          <w:szCs w:val="24"/>
          <w:highlight w:val="none"/>
        </w:rPr>
        <w:t>投标供应商</w:t>
      </w:r>
      <w:r>
        <w:rPr>
          <w:rFonts w:hint="eastAsia" w:ascii="宋体" w:hAnsi="宋体" w:cs="宋体"/>
          <w:color w:val="auto"/>
          <w:sz w:val="24"/>
          <w:szCs w:val="24"/>
          <w:highlight w:val="none"/>
        </w:rPr>
        <w:t>必须保证正规的进货渠道，所供标的物必须卫生、清洁、新鲜、无污染、无假冒伪劣、无过期变质及“三无”商品，符合《中华人民共和国食品安全法》、GB 9959.1-2001等法规要求和国标标准。</w:t>
      </w:r>
    </w:p>
    <w:p w14:paraId="4407DFFC">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②具体标准：片猪肉生产原料应来自非疫区，并持有产地动物防疫监督机构出具的检疫证明，严禁公（母）种猪及晚阉猪用于加工猪肉；片猪肉前膀后座丰满，肋条花层好，颜色正常，胴体修割整齐干净，去头（蹄、尾）、槽头肉、内脏、三腺、奶头、残毛，分级以鲜片猪肉的第六、第七肋骨中间平行至第六胸椎刺突前下方（除皮后）的脂肪层厚度为准，脂肪层厚度在1.0-2.5cm以内，鲜片猪肉重在25公斤以上40公斤以内，劈半、整修符合国家二级标准。统排去尾骨、前脖骨，不得带膘油。猪蹄去毛，无破损、血斑，带筋。（详见附表）</w:t>
      </w:r>
    </w:p>
    <w:p w14:paraId="7D28900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③附表：猪肉相关技术指标</w:t>
      </w:r>
    </w:p>
    <w:tbl>
      <w:tblPr>
        <w:tblStyle w:val="67"/>
        <w:tblW w:w="96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0"/>
        <w:gridCol w:w="700"/>
        <w:gridCol w:w="1047"/>
        <w:gridCol w:w="6100"/>
        <w:gridCol w:w="1060"/>
      </w:tblGrid>
      <w:tr w14:paraId="10F62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7" w:hRule="atLeast"/>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182B23D5">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1747" w:type="dxa"/>
            <w:gridSpan w:val="2"/>
            <w:tcBorders>
              <w:top w:val="single" w:color="000000" w:sz="4" w:space="0"/>
              <w:left w:val="single" w:color="000000" w:sz="4" w:space="0"/>
              <w:bottom w:val="single" w:color="000000" w:sz="4" w:space="0"/>
              <w:right w:val="single" w:color="000000" w:sz="4" w:space="0"/>
            </w:tcBorders>
            <w:vAlign w:val="center"/>
          </w:tcPr>
          <w:p w14:paraId="4A0A6570">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项目</w:t>
            </w:r>
          </w:p>
        </w:tc>
        <w:tc>
          <w:tcPr>
            <w:tcW w:w="6100" w:type="dxa"/>
            <w:tcBorders>
              <w:top w:val="single" w:color="000000" w:sz="4" w:space="0"/>
              <w:left w:val="single" w:color="000000" w:sz="4" w:space="0"/>
              <w:bottom w:val="single" w:color="000000" w:sz="4" w:space="0"/>
              <w:right w:val="single" w:color="000000" w:sz="4" w:space="0"/>
            </w:tcBorders>
            <w:vAlign w:val="center"/>
          </w:tcPr>
          <w:p w14:paraId="0BE26956">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标准</w:t>
            </w:r>
          </w:p>
        </w:tc>
        <w:tc>
          <w:tcPr>
            <w:tcW w:w="1060" w:type="dxa"/>
            <w:tcBorders>
              <w:top w:val="single" w:color="000000" w:sz="4" w:space="0"/>
              <w:left w:val="single" w:color="000000" w:sz="4" w:space="0"/>
              <w:bottom w:val="single" w:color="000000" w:sz="4" w:space="0"/>
              <w:right w:val="single" w:color="000000" w:sz="4" w:space="0"/>
            </w:tcBorders>
            <w:vAlign w:val="center"/>
          </w:tcPr>
          <w:p w14:paraId="07EFAE16">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备注</w:t>
            </w:r>
          </w:p>
        </w:tc>
      </w:tr>
      <w:tr w14:paraId="60994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4EDE803E">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747" w:type="dxa"/>
            <w:gridSpan w:val="2"/>
            <w:vMerge w:val="restart"/>
            <w:tcBorders>
              <w:top w:val="single" w:color="000000" w:sz="4" w:space="0"/>
              <w:left w:val="single" w:color="000000" w:sz="4" w:space="0"/>
              <w:right w:val="single" w:color="000000" w:sz="4" w:space="0"/>
            </w:tcBorders>
            <w:vAlign w:val="center"/>
          </w:tcPr>
          <w:p w14:paraId="48EAA14A">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原料</w:t>
            </w:r>
          </w:p>
        </w:tc>
        <w:tc>
          <w:tcPr>
            <w:tcW w:w="6100" w:type="dxa"/>
            <w:tcBorders>
              <w:top w:val="single" w:color="000000" w:sz="4" w:space="0"/>
              <w:left w:val="single" w:color="000000" w:sz="4" w:space="0"/>
              <w:bottom w:val="single" w:color="000000" w:sz="4" w:space="0"/>
              <w:right w:val="single" w:color="000000" w:sz="4" w:space="0"/>
            </w:tcBorders>
            <w:vAlign w:val="center"/>
          </w:tcPr>
          <w:p w14:paraId="6C3A7AC2">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生猪应来自非疫区，并持有产地动物防疫监督机构出具的检疫证明。</w:t>
            </w:r>
          </w:p>
        </w:tc>
        <w:tc>
          <w:tcPr>
            <w:tcW w:w="1060" w:type="dxa"/>
            <w:tcBorders>
              <w:top w:val="single" w:color="000000" w:sz="4" w:space="0"/>
              <w:left w:val="single" w:color="000000" w:sz="4" w:space="0"/>
              <w:bottom w:val="single" w:color="000000" w:sz="4" w:space="0"/>
              <w:right w:val="single" w:color="000000" w:sz="4" w:space="0"/>
            </w:tcBorders>
            <w:vAlign w:val="center"/>
          </w:tcPr>
          <w:p w14:paraId="1A844D61">
            <w:pPr>
              <w:spacing w:line="360" w:lineRule="auto"/>
              <w:rPr>
                <w:rFonts w:ascii="宋体" w:hAnsi="宋体" w:cs="宋体"/>
                <w:color w:val="auto"/>
                <w:sz w:val="24"/>
                <w:szCs w:val="24"/>
                <w:highlight w:val="none"/>
              </w:rPr>
            </w:pPr>
          </w:p>
        </w:tc>
      </w:tr>
      <w:tr w14:paraId="33081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72636B7E">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747" w:type="dxa"/>
            <w:gridSpan w:val="2"/>
            <w:vMerge w:val="continue"/>
            <w:tcBorders>
              <w:left w:val="single" w:color="000000" w:sz="4" w:space="0"/>
              <w:bottom w:val="single" w:color="000000" w:sz="4" w:space="0"/>
              <w:right w:val="single" w:color="000000" w:sz="4" w:space="0"/>
            </w:tcBorders>
            <w:vAlign w:val="center"/>
          </w:tcPr>
          <w:p w14:paraId="6B1FB3F0">
            <w:pPr>
              <w:spacing w:line="360" w:lineRule="auto"/>
              <w:jc w:val="center"/>
              <w:rPr>
                <w:rFonts w:ascii="宋体" w:hAnsi="宋体" w:cs="宋体"/>
                <w:color w:val="auto"/>
                <w:sz w:val="24"/>
                <w:szCs w:val="24"/>
                <w:highlight w:val="none"/>
              </w:rPr>
            </w:pPr>
          </w:p>
        </w:tc>
        <w:tc>
          <w:tcPr>
            <w:tcW w:w="6100" w:type="dxa"/>
            <w:tcBorders>
              <w:top w:val="single" w:color="000000" w:sz="4" w:space="0"/>
              <w:left w:val="single" w:color="000000" w:sz="4" w:space="0"/>
              <w:bottom w:val="single" w:color="000000" w:sz="4" w:space="0"/>
              <w:right w:val="single" w:color="000000" w:sz="4" w:space="0"/>
            </w:tcBorders>
            <w:vAlign w:val="center"/>
          </w:tcPr>
          <w:p w14:paraId="3A46DF12">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公、母种猪及晚阉割猪不得用于加工鲜、冻片猪肉。</w:t>
            </w:r>
          </w:p>
        </w:tc>
        <w:tc>
          <w:tcPr>
            <w:tcW w:w="1060" w:type="dxa"/>
            <w:tcBorders>
              <w:top w:val="single" w:color="000000" w:sz="4" w:space="0"/>
              <w:left w:val="single" w:color="000000" w:sz="4" w:space="0"/>
              <w:bottom w:val="single" w:color="000000" w:sz="4" w:space="0"/>
              <w:right w:val="single" w:color="000000" w:sz="4" w:space="0"/>
            </w:tcBorders>
            <w:vAlign w:val="center"/>
          </w:tcPr>
          <w:p w14:paraId="4BE88A22">
            <w:pPr>
              <w:spacing w:line="360" w:lineRule="auto"/>
              <w:rPr>
                <w:rFonts w:ascii="宋体" w:hAnsi="宋体" w:cs="宋体"/>
                <w:color w:val="auto"/>
                <w:sz w:val="24"/>
                <w:szCs w:val="24"/>
                <w:highlight w:val="none"/>
              </w:rPr>
            </w:pPr>
          </w:p>
        </w:tc>
      </w:tr>
      <w:tr w14:paraId="0B799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5865C8B0">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700" w:type="dxa"/>
            <w:vMerge w:val="restart"/>
            <w:tcBorders>
              <w:top w:val="single" w:color="000000" w:sz="4" w:space="0"/>
              <w:left w:val="single" w:color="000000" w:sz="4" w:space="0"/>
              <w:bottom w:val="single" w:color="000000" w:sz="4" w:space="0"/>
              <w:right w:val="single" w:color="000000" w:sz="4" w:space="0"/>
            </w:tcBorders>
            <w:vAlign w:val="center"/>
          </w:tcPr>
          <w:p w14:paraId="53D0E24D">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屠宰加工</w:t>
            </w:r>
          </w:p>
        </w:tc>
        <w:tc>
          <w:tcPr>
            <w:tcW w:w="1047" w:type="dxa"/>
            <w:tcBorders>
              <w:top w:val="single" w:color="000000" w:sz="4" w:space="0"/>
              <w:left w:val="single" w:color="000000" w:sz="4" w:space="0"/>
              <w:bottom w:val="single" w:color="000000" w:sz="4" w:space="0"/>
              <w:right w:val="single" w:color="000000" w:sz="4" w:space="0"/>
            </w:tcBorders>
            <w:vAlign w:val="center"/>
          </w:tcPr>
          <w:p w14:paraId="0F868010">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去头和槽头肉</w:t>
            </w:r>
          </w:p>
        </w:tc>
        <w:tc>
          <w:tcPr>
            <w:tcW w:w="6100" w:type="dxa"/>
            <w:tcBorders>
              <w:top w:val="single" w:color="000000" w:sz="4" w:space="0"/>
              <w:left w:val="single" w:color="000000" w:sz="4" w:space="0"/>
              <w:bottom w:val="single" w:color="000000" w:sz="4" w:space="0"/>
              <w:right w:val="single" w:color="000000" w:sz="4" w:space="0"/>
            </w:tcBorders>
            <w:vAlign w:val="center"/>
          </w:tcPr>
          <w:p w14:paraId="35EBA25B">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按“平头”规格割下猪头。齐第一颈椎与之垂直线割去槽头肉和血刀肉。</w:t>
            </w:r>
          </w:p>
        </w:tc>
        <w:tc>
          <w:tcPr>
            <w:tcW w:w="1060" w:type="dxa"/>
            <w:tcBorders>
              <w:top w:val="single" w:color="000000" w:sz="4" w:space="0"/>
              <w:left w:val="single" w:color="000000" w:sz="4" w:space="0"/>
              <w:bottom w:val="single" w:color="000000" w:sz="4" w:space="0"/>
              <w:right w:val="single" w:color="000000" w:sz="4" w:space="0"/>
            </w:tcBorders>
            <w:vAlign w:val="center"/>
          </w:tcPr>
          <w:p w14:paraId="2BC04DE8">
            <w:pPr>
              <w:spacing w:line="360" w:lineRule="auto"/>
              <w:rPr>
                <w:rFonts w:ascii="宋体" w:hAnsi="宋体" w:cs="宋体"/>
                <w:color w:val="auto"/>
                <w:sz w:val="24"/>
                <w:szCs w:val="24"/>
                <w:highlight w:val="none"/>
              </w:rPr>
            </w:pPr>
          </w:p>
        </w:tc>
      </w:tr>
      <w:tr w14:paraId="6534F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5298F294">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700" w:type="dxa"/>
            <w:vMerge w:val="continue"/>
            <w:tcBorders>
              <w:top w:val="single" w:color="000000" w:sz="4" w:space="0"/>
              <w:left w:val="single" w:color="000000" w:sz="4" w:space="0"/>
              <w:bottom w:val="single" w:color="000000" w:sz="4" w:space="0"/>
              <w:right w:val="single" w:color="000000" w:sz="4" w:space="0"/>
            </w:tcBorders>
            <w:vAlign w:val="center"/>
          </w:tcPr>
          <w:p w14:paraId="509F05C2">
            <w:pPr>
              <w:widowControl/>
              <w:spacing w:line="360" w:lineRule="auto"/>
              <w:jc w:val="left"/>
              <w:rPr>
                <w:rFonts w:ascii="宋体" w:hAnsi="宋体" w:cs="宋体"/>
                <w:color w:val="auto"/>
                <w:sz w:val="24"/>
                <w:szCs w:val="24"/>
                <w:highlight w:val="none"/>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7FACD630">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去内脏</w:t>
            </w:r>
          </w:p>
        </w:tc>
        <w:tc>
          <w:tcPr>
            <w:tcW w:w="6100" w:type="dxa"/>
            <w:tcBorders>
              <w:top w:val="single" w:color="000000" w:sz="4" w:space="0"/>
              <w:left w:val="single" w:color="000000" w:sz="4" w:space="0"/>
              <w:bottom w:val="single" w:color="000000" w:sz="4" w:space="0"/>
              <w:right w:val="single" w:color="000000" w:sz="4" w:space="0"/>
            </w:tcBorders>
            <w:vAlign w:val="center"/>
          </w:tcPr>
          <w:p w14:paraId="24A1F32A">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去除全部内脏、护心油、横膈膜和横膈膜肌、脊椎大血管、生殖器官，修净应检部位的非传染病引起的明显异常淋巴结。</w:t>
            </w:r>
          </w:p>
        </w:tc>
        <w:tc>
          <w:tcPr>
            <w:tcW w:w="1060" w:type="dxa"/>
            <w:tcBorders>
              <w:top w:val="single" w:color="000000" w:sz="4" w:space="0"/>
              <w:left w:val="single" w:color="000000" w:sz="4" w:space="0"/>
              <w:bottom w:val="single" w:color="000000" w:sz="4" w:space="0"/>
              <w:right w:val="single" w:color="000000" w:sz="4" w:space="0"/>
            </w:tcBorders>
            <w:vAlign w:val="center"/>
          </w:tcPr>
          <w:p w14:paraId="73FA5252">
            <w:pPr>
              <w:spacing w:line="360" w:lineRule="auto"/>
              <w:rPr>
                <w:rFonts w:ascii="宋体" w:hAnsi="宋体" w:cs="宋体"/>
                <w:color w:val="auto"/>
                <w:sz w:val="24"/>
                <w:szCs w:val="24"/>
                <w:highlight w:val="none"/>
              </w:rPr>
            </w:pPr>
          </w:p>
        </w:tc>
      </w:tr>
      <w:tr w14:paraId="6612E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3C4A9744">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700" w:type="dxa"/>
            <w:vMerge w:val="continue"/>
            <w:tcBorders>
              <w:top w:val="single" w:color="000000" w:sz="4" w:space="0"/>
              <w:left w:val="single" w:color="000000" w:sz="4" w:space="0"/>
              <w:bottom w:val="single" w:color="000000" w:sz="4" w:space="0"/>
              <w:right w:val="single" w:color="000000" w:sz="4" w:space="0"/>
            </w:tcBorders>
            <w:vAlign w:val="center"/>
          </w:tcPr>
          <w:p w14:paraId="1499DA15">
            <w:pPr>
              <w:widowControl/>
              <w:spacing w:line="360" w:lineRule="auto"/>
              <w:jc w:val="left"/>
              <w:rPr>
                <w:rFonts w:ascii="宋体" w:hAnsi="宋体" w:cs="宋体"/>
                <w:color w:val="auto"/>
                <w:sz w:val="24"/>
                <w:szCs w:val="24"/>
                <w:highlight w:val="none"/>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6D500AF4">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去三腺</w:t>
            </w:r>
          </w:p>
        </w:tc>
        <w:tc>
          <w:tcPr>
            <w:tcW w:w="6100" w:type="dxa"/>
            <w:tcBorders>
              <w:top w:val="single" w:color="000000" w:sz="4" w:space="0"/>
              <w:left w:val="single" w:color="000000" w:sz="4" w:space="0"/>
              <w:bottom w:val="single" w:color="000000" w:sz="4" w:space="0"/>
              <w:right w:val="single" w:color="000000" w:sz="4" w:space="0"/>
            </w:tcBorders>
            <w:vAlign w:val="center"/>
          </w:tcPr>
          <w:p w14:paraId="32C11CBD">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摘除甲状腺、肾上腺、病变淋巴结。</w:t>
            </w:r>
          </w:p>
        </w:tc>
        <w:tc>
          <w:tcPr>
            <w:tcW w:w="1060" w:type="dxa"/>
            <w:tcBorders>
              <w:top w:val="single" w:color="000000" w:sz="4" w:space="0"/>
              <w:left w:val="single" w:color="000000" w:sz="4" w:space="0"/>
              <w:bottom w:val="single" w:color="000000" w:sz="4" w:space="0"/>
              <w:right w:val="single" w:color="000000" w:sz="4" w:space="0"/>
            </w:tcBorders>
            <w:vAlign w:val="center"/>
          </w:tcPr>
          <w:p w14:paraId="3578604B">
            <w:pPr>
              <w:spacing w:line="360" w:lineRule="auto"/>
              <w:rPr>
                <w:rFonts w:ascii="宋体" w:hAnsi="宋体" w:cs="宋体"/>
                <w:color w:val="auto"/>
                <w:sz w:val="24"/>
                <w:szCs w:val="24"/>
                <w:highlight w:val="none"/>
              </w:rPr>
            </w:pPr>
          </w:p>
        </w:tc>
      </w:tr>
      <w:tr w14:paraId="1E7D2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7EC38E00">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700" w:type="dxa"/>
            <w:vMerge w:val="continue"/>
            <w:tcBorders>
              <w:top w:val="single" w:color="000000" w:sz="4" w:space="0"/>
              <w:left w:val="single" w:color="000000" w:sz="4" w:space="0"/>
              <w:bottom w:val="single" w:color="000000" w:sz="4" w:space="0"/>
              <w:right w:val="single" w:color="000000" w:sz="4" w:space="0"/>
            </w:tcBorders>
            <w:vAlign w:val="center"/>
          </w:tcPr>
          <w:p w14:paraId="2F2B8B30">
            <w:pPr>
              <w:widowControl/>
              <w:spacing w:line="360" w:lineRule="auto"/>
              <w:jc w:val="left"/>
              <w:rPr>
                <w:rFonts w:ascii="宋体" w:hAnsi="宋体" w:cs="宋体"/>
                <w:color w:val="auto"/>
                <w:sz w:val="24"/>
                <w:szCs w:val="24"/>
                <w:highlight w:val="none"/>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34878D93">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锯（劈）半</w:t>
            </w:r>
          </w:p>
        </w:tc>
        <w:tc>
          <w:tcPr>
            <w:tcW w:w="6100" w:type="dxa"/>
            <w:tcBorders>
              <w:top w:val="single" w:color="000000" w:sz="4" w:space="0"/>
              <w:left w:val="single" w:color="000000" w:sz="4" w:space="0"/>
              <w:bottom w:val="single" w:color="000000" w:sz="4" w:space="0"/>
              <w:right w:val="single" w:color="000000" w:sz="4" w:space="0"/>
            </w:tcBorders>
            <w:vAlign w:val="center"/>
          </w:tcPr>
          <w:p w14:paraId="4F4F11C6">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沿脊椎中线纵向锯（劈）成两分体，每片肉整脊椎骨不允许偏差两节。</w:t>
            </w:r>
          </w:p>
        </w:tc>
        <w:tc>
          <w:tcPr>
            <w:tcW w:w="1060" w:type="dxa"/>
            <w:tcBorders>
              <w:top w:val="single" w:color="000000" w:sz="4" w:space="0"/>
              <w:left w:val="single" w:color="000000" w:sz="4" w:space="0"/>
              <w:bottom w:val="single" w:color="000000" w:sz="4" w:space="0"/>
              <w:right w:val="single" w:color="000000" w:sz="4" w:space="0"/>
            </w:tcBorders>
            <w:vAlign w:val="center"/>
          </w:tcPr>
          <w:p w14:paraId="2769BCD0">
            <w:pPr>
              <w:spacing w:line="360" w:lineRule="auto"/>
              <w:rPr>
                <w:rFonts w:ascii="宋体" w:hAnsi="宋体" w:cs="宋体"/>
                <w:color w:val="auto"/>
                <w:sz w:val="24"/>
                <w:szCs w:val="24"/>
                <w:highlight w:val="none"/>
              </w:rPr>
            </w:pPr>
          </w:p>
        </w:tc>
      </w:tr>
      <w:tr w14:paraId="5BC47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43A3C7E6">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7</w:t>
            </w:r>
          </w:p>
        </w:tc>
        <w:tc>
          <w:tcPr>
            <w:tcW w:w="700" w:type="dxa"/>
            <w:vMerge w:val="continue"/>
            <w:tcBorders>
              <w:top w:val="single" w:color="000000" w:sz="4" w:space="0"/>
              <w:left w:val="single" w:color="000000" w:sz="4" w:space="0"/>
              <w:bottom w:val="single" w:color="000000" w:sz="4" w:space="0"/>
              <w:right w:val="single" w:color="000000" w:sz="4" w:space="0"/>
            </w:tcBorders>
            <w:vAlign w:val="center"/>
          </w:tcPr>
          <w:p w14:paraId="7D389C9D">
            <w:pPr>
              <w:widowControl/>
              <w:spacing w:line="360" w:lineRule="auto"/>
              <w:jc w:val="left"/>
              <w:rPr>
                <w:rFonts w:ascii="宋体" w:hAnsi="宋体" w:cs="宋体"/>
                <w:color w:val="auto"/>
                <w:sz w:val="24"/>
                <w:szCs w:val="24"/>
                <w:highlight w:val="none"/>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7FDD3FF9">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去蹄</w:t>
            </w:r>
          </w:p>
        </w:tc>
        <w:tc>
          <w:tcPr>
            <w:tcW w:w="6100" w:type="dxa"/>
            <w:tcBorders>
              <w:top w:val="single" w:color="000000" w:sz="4" w:space="0"/>
              <w:left w:val="single" w:color="000000" w:sz="4" w:space="0"/>
              <w:bottom w:val="single" w:color="000000" w:sz="4" w:space="0"/>
              <w:right w:val="single" w:color="000000" w:sz="4" w:space="0"/>
            </w:tcBorders>
            <w:vAlign w:val="center"/>
          </w:tcPr>
          <w:p w14:paraId="65EC26EB">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前蹄从腕关节，后蹄从跗关节处隔断。</w:t>
            </w:r>
          </w:p>
        </w:tc>
        <w:tc>
          <w:tcPr>
            <w:tcW w:w="1060" w:type="dxa"/>
            <w:tcBorders>
              <w:top w:val="single" w:color="000000" w:sz="4" w:space="0"/>
              <w:left w:val="single" w:color="000000" w:sz="4" w:space="0"/>
              <w:bottom w:val="single" w:color="000000" w:sz="4" w:space="0"/>
              <w:right w:val="single" w:color="000000" w:sz="4" w:space="0"/>
            </w:tcBorders>
            <w:vAlign w:val="center"/>
          </w:tcPr>
          <w:p w14:paraId="2F9E0221">
            <w:pPr>
              <w:spacing w:line="360" w:lineRule="auto"/>
              <w:rPr>
                <w:rFonts w:ascii="宋体" w:hAnsi="宋体" w:cs="宋体"/>
                <w:color w:val="auto"/>
                <w:sz w:val="24"/>
                <w:szCs w:val="24"/>
                <w:highlight w:val="none"/>
              </w:rPr>
            </w:pPr>
          </w:p>
        </w:tc>
      </w:tr>
      <w:tr w14:paraId="5D4DE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1A0A6D53">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8</w:t>
            </w:r>
          </w:p>
        </w:tc>
        <w:tc>
          <w:tcPr>
            <w:tcW w:w="700" w:type="dxa"/>
            <w:vMerge w:val="continue"/>
            <w:tcBorders>
              <w:top w:val="single" w:color="000000" w:sz="4" w:space="0"/>
              <w:left w:val="single" w:color="000000" w:sz="4" w:space="0"/>
              <w:bottom w:val="single" w:color="000000" w:sz="4" w:space="0"/>
              <w:right w:val="single" w:color="000000" w:sz="4" w:space="0"/>
            </w:tcBorders>
            <w:vAlign w:val="center"/>
          </w:tcPr>
          <w:p w14:paraId="1D10C625">
            <w:pPr>
              <w:widowControl/>
              <w:spacing w:line="360" w:lineRule="auto"/>
              <w:jc w:val="left"/>
              <w:rPr>
                <w:rFonts w:ascii="宋体" w:hAnsi="宋体" w:cs="宋体"/>
                <w:color w:val="auto"/>
                <w:sz w:val="24"/>
                <w:szCs w:val="24"/>
                <w:highlight w:val="none"/>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278E4DBD">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去尾</w:t>
            </w:r>
          </w:p>
        </w:tc>
        <w:tc>
          <w:tcPr>
            <w:tcW w:w="6100" w:type="dxa"/>
            <w:tcBorders>
              <w:top w:val="single" w:color="000000" w:sz="4" w:space="0"/>
              <w:left w:val="single" w:color="000000" w:sz="4" w:space="0"/>
              <w:bottom w:val="single" w:color="000000" w:sz="4" w:space="0"/>
              <w:right w:val="single" w:color="000000" w:sz="4" w:space="0"/>
            </w:tcBorders>
            <w:vAlign w:val="center"/>
          </w:tcPr>
          <w:p w14:paraId="19490C67">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齐尾根部平行割下。</w:t>
            </w:r>
          </w:p>
        </w:tc>
        <w:tc>
          <w:tcPr>
            <w:tcW w:w="1060" w:type="dxa"/>
            <w:tcBorders>
              <w:top w:val="single" w:color="000000" w:sz="4" w:space="0"/>
              <w:left w:val="single" w:color="000000" w:sz="4" w:space="0"/>
              <w:bottom w:val="single" w:color="000000" w:sz="4" w:space="0"/>
              <w:right w:val="single" w:color="000000" w:sz="4" w:space="0"/>
            </w:tcBorders>
            <w:vAlign w:val="center"/>
          </w:tcPr>
          <w:p w14:paraId="226D7C80">
            <w:pPr>
              <w:spacing w:line="360" w:lineRule="auto"/>
              <w:rPr>
                <w:rFonts w:ascii="宋体" w:hAnsi="宋体" w:cs="宋体"/>
                <w:color w:val="auto"/>
                <w:sz w:val="24"/>
                <w:szCs w:val="24"/>
                <w:highlight w:val="none"/>
              </w:rPr>
            </w:pPr>
          </w:p>
        </w:tc>
      </w:tr>
      <w:tr w14:paraId="22E50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118A032D">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9</w:t>
            </w:r>
          </w:p>
        </w:tc>
        <w:tc>
          <w:tcPr>
            <w:tcW w:w="700" w:type="dxa"/>
            <w:vMerge w:val="continue"/>
            <w:tcBorders>
              <w:top w:val="single" w:color="000000" w:sz="4" w:space="0"/>
              <w:left w:val="single" w:color="000000" w:sz="4" w:space="0"/>
              <w:bottom w:val="single" w:color="000000" w:sz="4" w:space="0"/>
              <w:right w:val="single" w:color="000000" w:sz="4" w:space="0"/>
            </w:tcBorders>
            <w:vAlign w:val="center"/>
          </w:tcPr>
          <w:p w14:paraId="76A89795">
            <w:pPr>
              <w:widowControl/>
              <w:spacing w:line="360" w:lineRule="auto"/>
              <w:jc w:val="left"/>
              <w:rPr>
                <w:rFonts w:ascii="宋体" w:hAnsi="宋体" w:cs="宋体"/>
                <w:color w:val="auto"/>
                <w:sz w:val="24"/>
                <w:szCs w:val="24"/>
                <w:highlight w:val="none"/>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3CCC1ED9">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去奶头</w:t>
            </w:r>
          </w:p>
        </w:tc>
        <w:tc>
          <w:tcPr>
            <w:tcW w:w="6100" w:type="dxa"/>
            <w:tcBorders>
              <w:top w:val="single" w:color="000000" w:sz="4" w:space="0"/>
              <w:left w:val="single" w:color="000000" w:sz="4" w:space="0"/>
              <w:bottom w:val="single" w:color="000000" w:sz="4" w:space="0"/>
              <w:right w:val="single" w:color="000000" w:sz="4" w:space="0"/>
            </w:tcBorders>
            <w:vAlign w:val="center"/>
          </w:tcPr>
          <w:p w14:paraId="7DC83E13">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割净奶头，修净色素沉着物，不带黄汁。</w:t>
            </w:r>
          </w:p>
        </w:tc>
        <w:tc>
          <w:tcPr>
            <w:tcW w:w="1060" w:type="dxa"/>
            <w:tcBorders>
              <w:top w:val="single" w:color="000000" w:sz="4" w:space="0"/>
              <w:left w:val="single" w:color="000000" w:sz="4" w:space="0"/>
              <w:bottom w:val="single" w:color="000000" w:sz="4" w:space="0"/>
              <w:right w:val="single" w:color="000000" w:sz="4" w:space="0"/>
            </w:tcBorders>
            <w:vAlign w:val="center"/>
          </w:tcPr>
          <w:p w14:paraId="0602578A">
            <w:pPr>
              <w:spacing w:line="360" w:lineRule="auto"/>
              <w:rPr>
                <w:rFonts w:ascii="宋体" w:hAnsi="宋体" w:cs="宋体"/>
                <w:color w:val="auto"/>
                <w:sz w:val="24"/>
                <w:szCs w:val="24"/>
                <w:highlight w:val="none"/>
              </w:rPr>
            </w:pPr>
          </w:p>
        </w:tc>
      </w:tr>
      <w:tr w14:paraId="4CF596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484B20DB">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10</w:t>
            </w:r>
          </w:p>
        </w:tc>
        <w:tc>
          <w:tcPr>
            <w:tcW w:w="700" w:type="dxa"/>
            <w:vMerge w:val="continue"/>
            <w:tcBorders>
              <w:top w:val="single" w:color="000000" w:sz="4" w:space="0"/>
              <w:left w:val="single" w:color="000000" w:sz="4" w:space="0"/>
              <w:bottom w:val="single" w:color="000000" w:sz="4" w:space="0"/>
              <w:right w:val="single" w:color="000000" w:sz="4" w:space="0"/>
            </w:tcBorders>
            <w:vAlign w:val="center"/>
          </w:tcPr>
          <w:p w14:paraId="05385E6F">
            <w:pPr>
              <w:widowControl/>
              <w:spacing w:line="360" w:lineRule="auto"/>
              <w:jc w:val="left"/>
              <w:rPr>
                <w:rFonts w:ascii="宋体" w:hAnsi="宋体" w:cs="宋体"/>
                <w:color w:val="auto"/>
                <w:sz w:val="24"/>
                <w:szCs w:val="24"/>
                <w:highlight w:val="none"/>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5E8B78E0">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整修</w:t>
            </w:r>
          </w:p>
        </w:tc>
        <w:tc>
          <w:tcPr>
            <w:tcW w:w="6100" w:type="dxa"/>
            <w:tcBorders>
              <w:top w:val="single" w:color="000000" w:sz="4" w:space="0"/>
              <w:left w:val="single" w:color="000000" w:sz="4" w:space="0"/>
              <w:bottom w:val="single" w:color="000000" w:sz="4" w:space="0"/>
              <w:right w:val="single" w:color="000000" w:sz="4" w:space="0"/>
            </w:tcBorders>
            <w:vAlign w:val="center"/>
          </w:tcPr>
          <w:p w14:paraId="27A91E31">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臀部和鼠蹊部的黑皮和肛门括约肌，以及肉体上的伤痕、暗痕、脓疱、皮癣、湿疹、痂皮、皮肤结节、密集红斑和表皮伤斑均应修净。每片猪肉允许表皮修割面积不超过三分之一，内伤修割面积不超过200C㎡。</w:t>
            </w:r>
          </w:p>
        </w:tc>
        <w:tc>
          <w:tcPr>
            <w:tcW w:w="1060" w:type="dxa"/>
            <w:tcBorders>
              <w:top w:val="single" w:color="000000" w:sz="4" w:space="0"/>
              <w:left w:val="single" w:color="000000" w:sz="4" w:space="0"/>
              <w:bottom w:val="single" w:color="000000" w:sz="4" w:space="0"/>
              <w:right w:val="single" w:color="000000" w:sz="4" w:space="0"/>
            </w:tcBorders>
            <w:vAlign w:val="center"/>
          </w:tcPr>
          <w:p w14:paraId="1DF7F819">
            <w:pPr>
              <w:spacing w:line="360" w:lineRule="auto"/>
              <w:rPr>
                <w:rFonts w:ascii="宋体" w:hAnsi="宋体" w:cs="宋体"/>
                <w:color w:val="auto"/>
                <w:sz w:val="24"/>
                <w:szCs w:val="24"/>
                <w:highlight w:val="none"/>
              </w:rPr>
            </w:pPr>
          </w:p>
        </w:tc>
      </w:tr>
      <w:tr w14:paraId="605B2D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04A30CAD">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11</w:t>
            </w:r>
          </w:p>
        </w:tc>
        <w:tc>
          <w:tcPr>
            <w:tcW w:w="700" w:type="dxa"/>
            <w:vMerge w:val="continue"/>
            <w:tcBorders>
              <w:top w:val="single" w:color="000000" w:sz="4" w:space="0"/>
              <w:left w:val="single" w:color="000000" w:sz="4" w:space="0"/>
              <w:bottom w:val="single" w:color="000000" w:sz="4" w:space="0"/>
              <w:right w:val="single" w:color="000000" w:sz="4" w:space="0"/>
            </w:tcBorders>
            <w:vAlign w:val="center"/>
          </w:tcPr>
          <w:p w14:paraId="7E29EC6F">
            <w:pPr>
              <w:widowControl/>
              <w:spacing w:line="360" w:lineRule="auto"/>
              <w:jc w:val="left"/>
              <w:rPr>
                <w:rFonts w:ascii="宋体" w:hAnsi="宋体" w:cs="宋体"/>
                <w:color w:val="auto"/>
                <w:sz w:val="24"/>
                <w:szCs w:val="24"/>
                <w:highlight w:val="none"/>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2960693E">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去残毛</w:t>
            </w:r>
          </w:p>
        </w:tc>
        <w:tc>
          <w:tcPr>
            <w:tcW w:w="6100" w:type="dxa"/>
            <w:tcBorders>
              <w:top w:val="single" w:color="000000" w:sz="4" w:space="0"/>
              <w:left w:val="single" w:color="000000" w:sz="4" w:space="0"/>
              <w:bottom w:val="single" w:color="000000" w:sz="4" w:space="0"/>
              <w:right w:val="single" w:color="000000" w:sz="4" w:space="0"/>
            </w:tcBorders>
            <w:vAlign w:val="center"/>
          </w:tcPr>
          <w:p w14:paraId="72B2405E">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去净残留毛绒，不准带长短毛，每片肉上的密集断毛根（包括绒毛、新生短毛）不超过64 C㎡，零星分散断毛根集中相加面积不超过100 C㎡。</w:t>
            </w:r>
          </w:p>
        </w:tc>
        <w:tc>
          <w:tcPr>
            <w:tcW w:w="1060" w:type="dxa"/>
            <w:tcBorders>
              <w:top w:val="single" w:color="000000" w:sz="4" w:space="0"/>
              <w:left w:val="single" w:color="000000" w:sz="4" w:space="0"/>
              <w:bottom w:val="single" w:color="000000" w:sz="4" w:space="0"/>
              <w:right w:val="single" w:color="000000" w:sz="4" w:space="0"/>
            </w:tcBorders>
            <w:vAlign w:val="center"/>
          </w:tcPr>
          <w:p w14:paraId="3B5C55FA">
            <w:pPr>
              <w:spacing w:line="360" w:lineRule="auto"/>
              <w:rPr>
                <w:rFonts w:ascii="宋体" w:hAnsi="宋体" w:cs="宋体"/>
                <w:color w:val="auto"/>
                <w:sz w:val="24"/>
                <w:szCs w:val="24"/>
                <w:highlight w:val="none"/>
              </w:rPr>
            </w:pPr>
          </w:p>
        </w:tc>
      </w:tr>
      <w:tr w14:paraId="4D0428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24E079D4">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12</w:t>
            </w:r>
          </w:p>
        </w:tc>
        <w:tc>
          <w:tcPr>
            <w:tcW w:w="700" w:type="dxa"/>
            <w:vMerge w:val="continue"/>
            <w:tcBorders>
              <w:top w:val="single" w:color="000000" w:sz="4" w:space="0"/>
              <w:left w:val="single" w:color="000000" w:sz="4" w:space="0"/>
              <w:bottom w:val="single" w:color="000000" w:sz="4" w:space="0"/>
              <w:right w:val="single" w:color="000000" w:sz="4" w:space="0"/>
            </w:tcBorders>
            <w:vAlign w:val="center"/>
          </w:tcPr>
          <w:p w14:paraId="52AE7E20">
            <w:pPr>
              <w:widowControl/>
              <w:spacing w:line="360" w:lineRule="auto"/>
              <w:jc w:val="left"/>
              <w:rPr>
                <w:rFonts w:ascii="宋体" w:hAnsi="宋体" w:cs="宋体"/>
                <w:color w:val="auto"/>
                <w:sz w:val="24"/>
                <w:szCs w:val="24"/>
                <w:highlight w:val="none"/>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0B296FBD">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冲洗</w:t>
            </w:r>
          </w:p>
        </w:tc>
        <w:tc>
          <w:tcPr>
            <w:tcW w:w="6100" w:type="dxa"/>
            <w:tcBorders>
              <w:top w:val="single" w:color="000000" w:sz="4" w:space="0"/>
              <w:left w:val="single" w:color="000000" w:sz="4" w:space="0"/>
              <w:bottom w:val="single" w:color="000000" w:sz="4" w:space="0"/>
              <w:right w:val="single" w:color="000000" w:sz="4" w:space="0"/>
            </w:tcBorders>
            <w:vAlign w:val="center"/>
          </w:tcPr>
          <w:p w14:paraId="4FB05E88">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不带浮毛、凝血块、胆污、粪污及其他污染物。</w:t>
            </w:r>
          </w:p>
        </w:tc>
        <w:tc>
          <w:tcPr>
            <w:tcW w:w="1060" w:type="dxa"/>
            <w:tcBorders>
              <w:top w:val="single" w:color="000000" w:sz="4" w:space="0"/>
              <w:left w:val="single" w:color="000000" w:sz="4" w:space="0"/>
              <w:bottom w:val="single" w:color="000000" w:sz="4" w:space="0"/>
              <w:right w:val="single" w:color="000000" w:sz="4" w:space="0"/>
            </w:tcBorders>
            <w:vAlign w:val="center"/>
          </w:tcPr>
          <w:p w14:paraId="3C275C13">
            <w:pPr>
              <w:spacing w:line="360" w:lineRule="auto"/>
              <w:rPr>
                <w:rFonts w:ascii="宋体" w:hAnsi="宋体" w:cs="宋体"/>
                <w:color w:val="auto"/>
                <w:sz w:val="24"/>
                <w:szCs w:val="24"/>
                <w:highlight w:val="none"/>
              </w:rPr>
            </w:pPr>
          </w:p>
        </w:tc>
      </w:tr>
      <w:tr w14:paraId="4803B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3391DFE2">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13</w:t>
            </w:r>
          </w:p>
        </w:tc>
        <w:tc>
          <w:tcPr>
            <w:tcW w:w="700" w:type="dxa"/>
            <w:vMerge w:val="continue"/>
            <w:tcBorders>
              <w:top w:val="single" w:color="000000" w:sz="4" w:space="0"/>
              <w:left w:val="single" w:color="000000" w:sz="4" w:space="0"/>
              <w:bottom w:val="single" w:color="000000" w:sz="4" w:space="0"/>
              <w:right w:val="single" w:color="000000" w:sz="4" w:space="0"/>
            </w:tcBorders>
            <w:vAlign w:val="center"/>
          </w:tcPr>
          <w:p w14:paraId="7E46BBD6">
            <w:pPr>
              <w:widowControl/>
              <w:spacing w:line="360" w:lineRule="auto"/>
              <w:jc w:val="left"/>
              <w:rPr>
                <w:rFonts w:ascii="宋体" w:hAnsi="宋体" w:cs="宋体"/>
                <w:color w:val="auto"/>
                <w:sz w:val="24"/>
                <w:szCs w:val="24"/>
                <w:highlight w:val="none"/>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7AA0FFAB">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其他</w:t>
            </w:r>
          </w:p>
        </w:tc>
        <w:tc>
          <w:tcPr>
            <w:tcW w:w="6100" w:type="dxa"/>
            <w:tcBorders>
              <w:top w:val="single" w:color="000000" w:sz="4" w:space="0"/>
              <w:left w:val="single" w:color="000000" w:sz="4" w:space="0"/>
              <w:bottom w:val="single" w:color="000000" w:sz="4" w:space="0"/>
              <w:right w:val="single" w:color="000000" w:sz="4" w:space="0"/>
            </w:tcBorders>
            <w:vAlign w:val="center"/>
          </w:tcPr>
          <w:p w14:paraId="0D7D37F0">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不允许有烫生、烫老、机损、全身青皮。</w:t>
            </w:r>
          </w:p>
        </w:tc>
        <w:tc>
          <w:tcPr>
            <w:tcW w:w="1060" w:type="dxa"/>
            <w:tcBorders>
              <w:top w:val="single" w:color="000000" w:sz="4" w:space="0"/>
              <w:left w:val="single" w:color="000000" w:sz="4" w:space="0"/>
              <w:bottom w:val="single" w:color="000000" w:sz="4" w:space="0"/>
              <w:right w:val="single" w:color="000000" w:sz="4" w:space="0"/>
            </w:tcBorders>
            <w:vAlign w:val="center"/>
          </w:tcPr>
          <w:p w14:paraId="17D7AC8F">
            <w:pPr>
              <w:spacing w:line="360" w:lineRule="auto"/>
              <w:rPr>
                <w:rFonts w:ascii="宋体" w:hAnsi="宋体" w:cs="宋体"/>
                <w:color w:val="auto"/>
                <w:sz w:val="24"/>
                <w:szCs w:val="24"/>
                <w:highlight w:val="none"/>
              </w:rPr>
            </w:pPr>
          </w:p>
        </w:tc>
      </w:tr>
      <w:tr w14:paraId="7B464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50982F4A">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14</w:t>
            </w:r>
          </w:p>
        </w:tc>
        <w:tc>
          <w:tcPr>
            <w:tcW w:w="1747" w:type="dxa"/>
            <w:gridSpan w:val="2"/>
            <w:tcBorders>
              <w:top w:val="single" w:color="000000" w:sz="4" w:space="0"/>
              <w:left w:val="single" w:color="000000" w:sz="4" w:space="0"/>
              <w:bottom w:val="single" w:color="000000" w:sz="4" w:space="0"/>
              <w:right w:val="single" w:color="000000" w:sz="4" w:space="0"/>
            </w:tcBorders>
            <w:vAlign w:val="center"/>
          </w:tcPr>
          <w:p w14:paraId="795B1A92">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冷加工</w:t>
            </w:r>
          </w:p>
        </w:tc>
        <w:tc>
          <w:tcPr>
            <w:tcW w:w="6100" w:type="dxa"/>
            <w:tcBorders>
              <w:top w:val="single" w:color="000000" w:sz="4" w:space="0"/>
              <w:left w:val="single" w:color="000000" w:sz="4" w:space="0"/>
              <w:bottom w:val="single" w:color="000000" w:sz="4" w:space="0"/>
              <w:right w:val="single" w:color="000000" w:sz="4" w:space="0"/>
            </w:tcBorders>
            <w:vAlign w:val="center"/>
          </w:tcPr>
          <w:p w14:paraId="37175A6F">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冷却片猪肉，屠宰后24h内，其后腿肌肉中心温度不高于4℃，不低于0℃。</w:t>
            </w:r>
          </w:p>
        </w:tc>
        <w:tc>
          <w:tcPr>
            <w:tcW w:w="1060" w:type="dxa"/>
            <w:tcBorders>
              <w:top w:val="single" w:color="000000" w:sz="4" w:space="0"/>
              <w:left w:val="single" w:color="000000" w:sz="4" w:space="0"/>
              <w:bottom w:val="single" w:color="000000" w:sz="4" w:space="0"/>
              <w:right w:val="single" w:color="000000" w:sz="4" w:space="0"/>
            </w:tcBorders>
            <w:vAlign w:val="center"/>
          </w:tcPr>
          <w:p w14:paraId="15F536DC">
            <w:pPr>
              <w:spacing w:line="360" w:lineRule="auto"/>
              <w:rPr>
                <w:rFonts w:ascii="宋体" w:hAnsi="宋体" w:cs="宋体"/>
                <w:color w:val="auto"/>
                <w:sz w:val="24"/>
                <w:szCs w:val="24"/>
                <w:highlight w:val="none"/>
              </w:rPr>
            </w:pPr>
          </w:p>
        </w:tc>
      </w:tr>
      <w:tr w14:paraId="2909F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51A8C92B">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15</w:t>
            </w:r>
          </w:p>
        </w:tc>
        <w:tc>
          <w:tcPr>
            <w:tcW w:w="700" w:type="dxa"/>
            <w:vMerge w:val="restart"/>
            <w:tcBorders>
              <w:top w:val="single" w:color="000000" w:sz="4" w:space="0"/>
              <w:left w:val="single" w:color="000000" w:sz="4" w:space="0"/>
              <w:bottom w:val="single" w:color="000000" w:sz="4" w:space="0"/>
              <w:right w:val="single" w:color="000000" w:sz="4" w:space="0"/>
            </w:tcBorders>
            <w:vAlign w:val="center"/>
          </w:tcPr>
          <w:p w14:paraId="533A4A04">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感官指标</w:t>
            </w:r>
          </w:p>
        </w:tc>
        <w:tc>
          <w:tcPr>
            <w:tcW w:w="1047" w:type="dxa"/>
            <w:tcBorders>
              <w:top w:val="single" w:color="000000" w:sz="4" w:space="0"/>
              <w:left w:val="single" w:color="000000" w:sz="4" w:space="0"/>
              <w:bottom w:val="single" w:color="000000" w:sz="4" w:space="0"/>
              <w:right w:val="single" w:color="000000" w:sz="4" w:space="0"/>
            </w:tcBorders>
            <w:vAlign w:val="center"/>
          </w:tcPr>
          <w:p w14:paraId="7E365BA8">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色泽</w:t>
            </w:r>
          </w:p>
        </w:tc>
        <w:tc>
          <w:tcPr>
            <w:tcW w:w="6100" w:type="dxa"/>
            <w:tcBorders>
              <w:top w:val="single" w:color="000000" w:sz="4" w:space="0"/>
              <w:left w:val="single" w:color="000000" w:sz="4" w:space="0"/>
              <w:bottom w:val="single" w:color="000000" w:sz="4" w:space="0"/>
              <w:right w:val="single" w:color="000000" w:sz="4" w:space="0"/>
            </w:tcBorders>
            <w:vAlign w:val="center"/>
          </w:tcPr>
          <w:p w14:paraId="066744EE">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肌肉色泽鲜红或深红，有光泽；脂肪呈乳白色或粉白色。</w:t>
            </w:r>
          </w:p>
        </w:tc>
        <w:tc>
          <w:tcPr>
            <w:tcW w:w="1060" w:type="dxa"/>
            <w:tcBorders>
              <w:top w:val="single" w:color="000000" w:sz="4" w:space="0"/>
              <w:left w:val="single" w:color="000000" w:sz="4" w:space="0"/>
              <w:bottom w:val="single" w:color="000000" w:sz="4" w:space="0"/>
              <w:right w:val="single" w:color="000000" w:sz="4" w:space="0"/>
            </w:tcBorders>
            <w:vAlign w:val="center"/>
          </w:tcPr>
          <w:p w14:paraId="42CC0C8B">
            <w:pPr>
              <w:spacing w:line="360" w:lineRule="auto"/>
              <w:rPr>
                <w:rFonts w:ascii="宋体" w:hAnsi="宋体" w:cs="宋体"/>
                <w:color w:val="auto"/>
                <w:sz w:val="24"/>
                <w:szCs w:val="24"/>
                <w:highlight w:val="none"/>
              </w:rPr>
            </w:pPr>
          </w:p>
        </w:tc>
      </w:tr>
      <w:tr w14:paraId="19CE13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7F8F0A2E">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16</w:t>
            </w:r>
          </w:p>
        </w:tc>
        <w:tc>
          <w:tcPr>
            <w:tcW w:w="700" w:type="dxa"/>
            <w:vMerge w:val="continue"/>
            <w:tcBorders>
              <w:top w:val="single" w:color="000000" w:sz="4" w:space="0"/>
              <w:left w:val="single" w:color="000000" w:sz="4" w:space="0"/>
              <w:bottom w:val="single" w:color="000000" w:sz="4" w:space="0"/>
              <w:right w:val="single" w:color="000000" w:sz="4" w:space="0"/>
            </w:tcBorders>
            <w:vAlign w:val="center"/>
          </w:tcPr>
          <w:p w14:paraId="2D8686B1">
            <w:pPr>
              <w:widowControl/>
              <w:spacing w:line="360" w:lineRule="auto"/>
              <w:jc w:val="left"/>
              <w:rPr>
                <w:rFonts w:ascii="宋体" w:hAnsi="宋体" w:cs="宋体"/>
                <w:color w:val="auto"/>
                <w:sz w:val="24"/>
                <w:szCs w:val="24"/>
                <w:highlight w:val="none"/>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1CE9F112">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弹性      （组织状态）</w:t>
            </w:r>
          </w:p>
        </w:tc>
        <w:tc>
          <w:tcPr>
            <w:tcW w:w="6100" w:type="dxa"/>
            <w:tcBorders>
              <w:top w:val="single" w:color="000000" w:sz="4" w:space="0"/>
              <w:left w:val="single" w:color="000000" w:sz="4" w:space="0"/>
              <w:bottom w:val="single" w:color="000000" w:sz="4" w:space="0"/>
              <w:right w:val="single" w:color="000000" w:sz="4" w:space="0"/>
            </w:tcBorders>
            <w:vAlign w:val="center"/>
          </w:tcPr>
          <w:p w14:paraId="55D1FEED">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指压后的凹陷立即恢复。</w:t>
            </w:r>
          </w:p>
        </w:tc>
        <w:tc>
          <w:tcPr>
            <w:tcW w:w="1060" w:type="dxa"/>
            <w:tcBorders>
              <w:top w:val="single" w:color="000000" w:sz="4" w:space="0"/>
              <w:left w:val="single" w:color="000000" w:sz="4" w:space="0"/>
              <w:bottom w:val="single" w:color="000000" w:sz="4" w:space="0"/>
              <w:right w:val="single" w:color="000000" w:sz="4" w:space="0"/>
            </w:tcBorders>
            <w:vAlign w:val="center"/>
          </w:tcPr>
          <w:p w14:paraId="742DBD8F">
            <w:pPr>
              <w:spacing w:line="360" w:lineRule="auto"/>
              <w:rPr>
                <w:rFonts w:ascii="宋体" w:hAnsi="宋体" w:cs="宋体"/>
                <w:color w:val="auto"/>
                <w:sz w:val="24"/>
                <w:szCs w:val="24"/>
                <w:highlight w:val="none"/>
              </w:rPr>
            </w:pPr>
          </w:p>
        </w:tc>
      </w:tr>
      <w:tr w14:paraId="2636B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11D3EAEC">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17</w:t>
            </w:r>
          </w:p>
        </w:tc>
        <w:tc>
          <w:tcPr>
            <w:tcW w:w="700" w:type="dxa"/>
            <w:vMerge w:val="continue"/>
            <w:tcBorders>
              <w:top w:val="single" w:color="000000" w:sz="4" w:space="0"/>
              <w:left w:val="single" w:color="000000" w:sz="4" w:space="0"/>
              <w:bottom w:val="single" w:color="000000" w:sz="4" w:space="0"/>
              <w:right w:val="single" w:color="000000" w:sz="4" w:space="0"/>
            </w:tcBorders>
            <w:vAlign w:val="center"/>
          </w:tcPr>
          <w:p w14:paraId="09E814A3">
            <w:pPr>
              <w:widowControl/>
              <w:spacing w:line="360" w:lineRule="auto"/>
              <w:jc w:val="left"/>
              <w:rPr>
                <w:rFonts w:ascii="宋体" w:hAnsi="宋体" w:cs="宋体"/>
                <w:color w:val="auto"/>
                <w:sz w:val="24"/>
                <w:szCs w:val="24"/>
                <w:highlight w:val="none"/>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276C6DD5">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黏度</w:t>
            </w:r>
          </w:p>
        </w:tc>
        <w:tc>
          <w:tcPr>
            <w:tcW w:w="6100" w:type="dxa"/>
            <w:tcBorders>
              <w:top w:val="single" w:color="000000" w:sz="4" w:space="0"/>
              <w:left w:val="single" w:color="000000" w:sz="4" w:space="0"/>
              <w:bottom w:val="single" w:color="000000" w:sz="4" w:space="0"/>
              <w:right w:val="single" w:color="000000" w:sz="4" w:space="0"/>
            </w:tcBorders>
            <w:vAlign w:val="center"/>
          </w:tcPr>
          <w:p w14:paraId="05BE5C33">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外表微干或微湿润，不粘手。</w:t>
            </w:r>
          </w:p>
        </w:tc>
        <w:tc>
          <w:tcPr>
            <w:tcW w:w="1060" w:type="dxa"/>
            <w:tcBorders>
              <w:top w:val="single" w:color="000000" w:sz="4" w:space="0"/>
              <w:left w:val="single" w:color="000000" w:sz="4" w:space="0"/>
              <w:bottom w:val="single" w:color="000000" w:sz="4" w:space="0"/>
              <w:right w:val="single" w:color="000000" w:sz="4" w:space="0"/>
            </w:tcBorders>
            <w:vAlign w:val="center"/>
          </w:tcPr>
          <w:p w14:paraId="72E3BF81">
            <w:pPr>
              <w:spacing w:line="360" w:lineRule="auto"/>
              <w:rPr>
                <w:rFonts w:ascii="宋体" w:hAnsi="宋体" w:cs="宋体"/>
                <w:color w:val="auto"/>
                <w:sz w:val="24"/>
                <w:szCs w:val="24"/>
                <w:highlight w:val="none"/>
              </w:rPr>
            </w:pPr>
          </w:p>
        </w:tc>
      </w:tr>
      <w:tr w14:paraId="32BB8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1B9C5D5F">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18</w:t>
            </w:r>
          </w:p>
        </w:tc>
        <w:tc>
          <w:tcPr>
            <w:tcW w:w="700" w:type="dxa"/>
            <w:vMerge w:val="continue"/>
            <w:tcBorders>
              <w:top w:val="single" w:color="000000" w:sz="4" w:space="0"/>
              <w:left w:val="single" w:color="000000" w:sz="4" w:space="0"/>
              <w:bottom w:val="single" w:color="000000" w:sz="4" w:space="0"/>
              <w:right w:val="single" w:color="000000" w:sz="4" w:space="0"/>
            </w:tcBorders>
            <w:vAlign w:val="center"/>
          </w:tcPr>
          <w:p w14:paraId="58B6CB32">
            <w:pPr>
              <w:widowControl/>
              <w:spacing w:line="360" w:lineRule="auto"/>
              <w:jc w:val="left"/>
              <w:rPr>
                <w:rFonts w:ascii="宋体" w:hAnsi="宋体" w:cs="宋体"/>
                <w:color w:val="auto"/>
                <w:sz w:val="24"/>
                <w:szCs w:val="24"/>
                <w:highlight w:val="none"/>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779E1427">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气味</w:t>
            </w:r>
          </w:p>
        </w:tc>
        <w:tc>
          <w:tcPr>
            <w:tcW w:w="6100" w:type="dxa"/>
            <w:tcBorders>
              <w:top w:val="single" w:color="000000" w:sz="4" w:space="0"/>
              <w:left w:val="single" w:color="000000" w:sz="4" w:space="0"/>
              <w:bottom w:val="single" w:color="000000" w:sz="4" w:space="0"/>
              <w:right w:val="single" w:color="000000" w:sz="4" w:space="0"/>
            </w:tcBorders>
            <w:vAlign w:val="center"/>
          </w:tcPr>
          <w:p w14:paraId="067817F4">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具有鲜猪肉正常气味。煮沸后肉汤透明澄清，脂肪团聚于液面，具有香味。</w:t>
            </w:r>
          </w:p>
        </w:tc>
        <w:tc>
          <w:tcPr>
            <w:tcW w:w="1060" w:type="dxa"/>
            <w:tcBorders>
              <w:top w:val="single" w:color="000000" w:sz="4" w:space="0"/>
              <w:left w:val="single" w:color="000000" w:sz="4" w:space="0"/>
              <w:bottom w:val="single" w:color="000000" w:sz="4" w:space="0"/>
              <w:right w:val="single" w:color="000000" w:sz="4" w:space="0"/>
            </w:tcBorders>
            <w:vAlign w:val="center"/>
          </w:tcPr>
          <w:p w14:paraId="483BA1D0">
            <w:pPr>
              <w:spacing w:line="360" w:lineRule="auto"/>
              <w:rPr>
                <w:rFonts w:ascii="宋体" w:hAnsi="宋体" w:cs="宋体"/>
                <w:color w:val="auto"/>
                <w:sz w:val="24"/>
                <w:szCs w:val="24"/>
                <w:highlight w:val="none"/>
              </w:rPr>
            </w:pPr>
          </w:p>
        </w:tc>
      </w:tr>
      <w:tr w14:paraId="0C6EF7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6066857E">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19</w:t>
            </w:r>
          </w:p>
        </w:tc>
        <w:tc>
          <w:tcPr>
            <w:tcW w:w="1747" w:type="dxa"/>
            <w:gridSpan w:val="2"/>
            <w:tcBorders>
              <w:top w:val="single" w:color="000000" w:sz="4" w:space="0"/>
              <w:left w:val="single" w:color="000000" w:sz="4" w:space="0"/>
              <w:bottom w:val="single" w:color="000000" w:sz="4" w:space="0"/>
              <w:right w:val="single" w:color="000000" w:sz="4" w:space="0"/>
            </w:tcBorders>
            <w:vAlign w:val="center"/>
          </w:tcPr>
          <w:p w14:paraId="581C0E7C">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理化指标</w:t>
            </w:r>
          </w:p>
        </w:tc>
        <w:tc>
          <w:tcPr>
            <w:tcW w:w="6100" w:type="dxa"/>
            <w:tcBorders>
              <w:top w:val="single" w:color="000000" w:sz="4" w:space="0"/>
              <w:left w:val="single" w:color="000000" w:sz="4" w:space="0"/>
              <w:bottom w:val="single" w:color="000000" w:sz="4" w:space="0"/>
              <w:right w:val="single" w:color="000000" w:sz="4" w:space="0"/>
            </w:tcBorders>
            <w:vAlign w:val="center"/>
          </w:tcPr>
          <w:p w14:paraId="47649179">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参照GB 9959.1-2001国家标准</w:t>
            </w:r>
          </w:p>
        </w:tc>
        <w:tc>
          <w:tcPr>
            <w:tcW w:w="1060" w:type="dxa"/>
            <w:tcBorders>
              <w:top w:val="single" w:color="000000" w:sz="4" w:space="0"/>
              <w:left w:val="single" w:color="000000" w:sz="4" w:space="0"/>
              <w:bottom w:val="single" w:color="000000" w:sz="4" w:space="0"/>
              <w:right w:val="single" w:color="000000" w:sz="4" w:space="0"/>
            </w:tcBorders>
            <w:vAlign w:val="center"/>
          </w:tcPr>
          <w:p w14:paraId="782DB468">
            <w:pPr>
              <w:spacing w:line="360" w:lineRule="auto"/>
              <w:rPr>
                <w:rFonts w:ascii="宋体" w:hAnsi="宋体" w:cs="宋体"/>
                <w:color w:val="auto"/>
                <w:sz w:val="24"/>
                <w:szCs w:val="24"/>
                <w:highlight w:val="none"/>
              </w:rPr>
            </w:pPr>
          </w:p>
        </w:tc>
      </w:tr>
      <w:tr w14:paraId="4F9B7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1822CE2D">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20</w:t>
            </w:r>
          </w:p>
        </w:tc>
        <w:tc>
          <w:tcPr>
            <w:tcW w:w="1747" w:type="dxa"/>
            <w:gridSpan w:val="2"/>
            <w:tcBorders>
              <w:top w:val="single" w:color="000000" w:sz="4" w:space="0"/>
              <w:left w:val="single" w:color="000000" w:sz="4" w:space="0"/>
              <w:bottom w:val="single" w:color="000000" w:sz="4" w:space="0"/>
              <w:right w:val="single" w:color="000000" w:sz="4" w:space="0"/>
            </w:tcBorders>
            <w:vAlign w:val="center"/>
          </w:tcPr>
          <w:p w14:paraId="0A4C56E3">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脂肪层厚度</w:t>
            </w:r>
          </w:p>
        </w:tc>
        <w:tc>
          <w:tcPr>
            <w:tcW w:w="6100" w:type="dxa"/>
            <w:tcBorders>
              <w:top w:val="single" w:color="000000" w:sz="4" w:space="0"/>
              <w:left w:val="single" w:color="000000" w:sz="4" w:space="0"/>
              <w:bottom w:val="single" w:color="000000" w:sz="4" w:space="0"/>
              <w:right w:val="single" w:color="000000" w:sz="4" w:space="0"/>
            </w:tcBorders>
            <w:vAlign w:val="center"/>
          </w:tcPr>
          <w:p w14:paraId="2DAE0155">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以鲜片猪肉的第六、第七肋骨中间平行至第六胸椎刺突前下方（除皮后）的脂肪层厚度为准，脂肪层厚度在1.0-2.5cm以内，鲜片猪肉重在25kg以上40kg以内。</w:t>
            </w:r>
          </w:p>
        </w:tc>
        <w:tc>
          <w:tcPr>
            <w:tcW w:w="1060" w:type="dxa"/>
            <w:tcBorders>
              <w:top w:val="single" w:color="000000" w:sz="4" w:space="0"/>
              <w:left w:val="single" w:color="000000" w:sz="4" w:space="0"/>
              <w:bottom w:val="single" w:color="000000" w:sz="4" w:space="0"/>
              <w:right w:val="single" w:color="000000" w:sz="4" w:space="0"/>
            </w:tcBorders>
            <w:vAlign w:val="center"/>
          </w:tcPr>
          <w:p w14:paraId="0775DC92">
            <w:pPr>
              <w:spacing w:line="360" w:lineRule="auto"/>
              <w:rPr>
                <w:rFonts w:ascii="宋体" w:hAnsi="宋体" w:cs="宋体"/>
                <w:color w:val="auto"/>
                <w:sz w:val="24"/>
                <w:szCs w:val="24"/>
                <w:highlight w:val="none"/>
              </w:rPr>
            </w:pPr>
          </w:p>
        </w:tc>
      </w:tr>
    </w:tbl>
    <w:p w14:paraId="19A9F021">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2.肉禽类</w:t>
      </w:r>
    </w:p>
    <w:p w14:paraId="276DEF8A">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①总体要求：本次采购所需标的物以鲜肉禽为主，主要有鸡、鸭、鹅等。如有特殊情况，经采购人同意可临时调整为冷却肉禽，冰层厚度不超过1毫米，单体含冰量不得超过净重3%。投标</w:t>
      </w:r>
      <w:r>
        <w:rPr>
          <w:rFonts w:hint="eastAsia" w:hAnsi="宋体" w:cs="宋体"/>
          <w:color w:val="auto"/>
          <w:sz w:val="24"/>
          <w:szCs w:val="24"/>
          <w:highlight w:val="none"/>
        </w:rPr>
        <w:t>供应商</w:t>
      </w:r>
      <w:r>
        <w:rPr>
          <w:rFonts w:hint="eastAsia" w:ascii="宋体" w:hAnsi="宋体" w:cs="宋体"/>
          <w:color w:val="auto"/>
          <w:sz w:val="24"/>
          <w:szCs w:val="24"/>
          <w:highlight w:val="none"/>
        </w:rPr>
        <w:t>保证正规的进货渠道，所供标的物必须卫生、清洁、新鲜、无污染、无假冒伪劣、无过期变质及“三无”商品，符合《中华人民共和国食品安全法》、GB 16869-2005、NY/T 753-2003等法规要求和国标（行业）标准。</w:t>
      </w:r>
    </w:p>
    <w:p w14:paraId="3F8B5AE6">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②具体标准：标的物未经违禁物质处理，药残留量符合相关国家标准，禽体各部位应修剪外伤、血点、血污、羽毛根等，每只重量约1.0千克-2.0千克。（详见附表）</w:t>
      </w:r>
    </w:p>
    <w:p w14:paraId="602AF442">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③附表：肉禽类相关技术指标</w:t>
      </w:r>
    </w:p>
    <w:tbl>
      <w:tblPr>
        <w:tblStyle w:val="67"/>
        <w:tblW w:w="96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6"/>
        <w:gridCol w:w="933"/>
        <w:gridCol w:w="1069"/>
        <w:gridCol w:w="6031"/>
        <w:gridCol w:w="887"/>
      </w:tblGrid>
      <w:tr w14:paraId="3CE7E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6AE9657C">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2002" w:type="dxa"/>
            <w:gridSpan w:val="2"/>
            <w:tcBorders>
              <w:top w:val="single" w:color="000000" w:sz="4" w:space="0"/>
              <w:left w:val="single" w:color="000000" w:sz="4" w:space="0"/>
              <w:bottom w:val="single" w:color="000000" w:sz="4" w:space="0"/>
              <w:right w:val="single" w:color="000000" w:sz="4" w:space="0"/>
            </w:tcBorders>
            <w:vAlign w:val="center"/>
          </w:tcPr>
          <w:p w14:paraId="16E73A43">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w:t>
            </w:r>
          </w:p>
        </w:tc>
        <w:tc>
          <w:tcPr>
            <w:tcW w:w="6031" w:type="dxa"/>
            <w:tcBorders>
              <w:top w:val="single" w:color="000000" w:sz="4" w:space="0"/>
              <w:left w:val="single" w:color="000000" w:sz="4" w:space="0"/>
              <w:bottom w:val="single" w:color="000000" w:sz="4" w:space="0"/>
              <w:right w:val="single" w:color="000000" w:sz="4" w:space="0"/>
            </w:tcBorders>
            <w:vAlign w:val="center"/>
          </w:tcPr>
          <w:p w14:paraId="3FB2EBB0">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标准</w:t>
            </w:r>
          </w:p>
        </w:tc>
        <w:tc>
          <w:tcPr>
            <w:tcW w:w="887" w:type="dxa"/>
            <w:tcBorders>
              <w:top w:val="single" w:color="000000" w:sz="4" w:space="0"/>
              <w:left w:val="single" w:color="000000" w:sz="4" w:space="0"/>
              <w:bottom w:val="single" w:color="000000" w:sz="4" w:space="0"/>
              <w:right w:val="single" w:color="000000" w:sz="4" w:space="0"/>
            </w:tcBorders>
            <w:vAlign w:val="center"/>
          </w:tcPr>
          <w:p w14:paraId="4E08A67D">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备注</w:t>
            </w:r>
          </w:p>
        </w:tc>
      </w:tr>
      <w:tr w14:paraId="3603FF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272E1E1D">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2002" w:type="dxa"/>
            <w:gridSpan w:val="2"/>
            <w:tcBorders>
              <w:top w:val="single" w:color="000000" w:sz="4" w:space="0"/>
              <w:left w:val="single" w:color="000000" w:sz="4" w:space="0"/>
              <w:bottom w:val="single" w:color="000000" w:sz="4" w:space="0"/>
              <w:right w:val="single" w:color="000000" w:sz="4" w:space="0"/>
            </w:tcBorders>
            <w:vAlign w:val="center"/>
          </w:tcPr>
          <w:p w14:paraId="2F460498">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原料</w:t>
            </w:r>
          </w:p>
        </w:tc>
        <w:tc>
          <w:tcPr>
            <w:tcW w:w="6031" w:type="dxa"/>
            <w:tcBorders>
              <w:top w:val="single" w:color="000000" w:sz="4" w:space="0"/>
              <w:left w:val="single" w:color="000000" w:sz="4" w:space="0"/>
              <w:bottom w:val="single" w:color="000000" w:sz="4" w:space="0"/>
              <w:right w:val="single" w:color="000000" w:sz="4" w:space="0"/>
            </w:tcBorders>
            <w:vAlign w:val="center"/>
          </w:tcPr>
          <w:p w14:paraId="2C2B0EB1">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屠宰前的活禽应来自非疫区，并经检疫、检验合格。</w:t>
            </w:r>
          </w:p>
        </w:tc>
        <w:tc>
          <w:tcPr>
            <w:tcW w:w="887" w:type="dxa"/>
            <w:tcBorders>
              <w:top w:val="single" w:color="000000" w:sz="4" w:space="0"/>
              <w:left w:val="single" w:color="000000" w:sz="4" w:space="0"/>
              <w:bottom w:val="single" w:color="000000" w:sz="4" w:space="0"/>
              <w:right w:val="single" w:color="000000" w:sz="4" w:space="0"/>
            </w:tcBorders>
            <w:vAlign w:val="center"/>
          </w:tcPr>
          <w:p w14:paraId="0ADF5D1E">
            <w:pPr>
              <w:pStyle w:val="924"/>
              <w:spacing w:line="360" w:lineRule="auto"/>
              <w:jc w:val="center"/>
              <w:rPr>
                <w:rFonts w:ascii="宋体" w:hAnsi="宋体" w:cs="宋体"/>
                <w:color w:val="auto"/>
                <w:sz w:val="24"/>
                <w:highlight w:val="none"/>
              </w:rPr>
            </w:pPr>
          </w:p>
        </w:tc>
      </w:tr>
      <w:tr w14:paraId="1B465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527EBBA8">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933" w:type="dxa"/>
            <w:vMerge w:val="restart"/>
            <w:tcBorders>
              <w:top w:val="single" w:color="000000" w:sz="4" w:space="0"/>
              <w:left w:val="single" w:color="000000" w:sz="4" w:space="0"/>
              <w:bottom w:val="single" w:color="000000" w:sz="4" w:space="0"/>
              <w:right w:val="single" w:color="000000" w:sz="4" w:space="0"/>
            </w:tcBorders>
            <w:vAlign w:val="center"/>
          </w:tcPr>
          <w:p w14:paraId="62F20694">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加工</w:t>
            </w:r>
          </w:p>
        </w:tc>
        <w:tc>
          <w:tcPr>
            <w:tcW w:w="1069" w:type="dxa"/>
            <w:tcBorders>
              <w:top w:val="single" w:color="000000" w:sz="4" w:space="0"/>
              <w:left w:val="single" w:color="000000" w:sz="4" w:space="0"/>
              <w:bottom w:val="single" w:color="000000" w:sz="4" w:space="0"/>
              <w:right w:val="single" w:color="000000" w:sz="4" w:space="0"/>
            </w:tcBorders>
            <w:vAlign w:val="center"/>
          </w:tcPr>
          <w:p w14:paraId="79F340D7">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加工</w:t>
            </w:r>
          </w:p>
        </w:tc>
        <w:tc>
          <w:tcPr>
            <w:tcW w:w="6031" w:type="dxa"/>
            <w:tcBorders>
              <w:top w:val="single" w:color="000000" w:sz="4" w:space="0"/>
              <w:left w:val="single" w:color="000000" w:sz="4" w:space="0"/>
              <w:bottom w:val="single" w:color="000000" w:sz="4" w:space="0"/>
              <w:right w:val="single" w:color="000000" w:sz="4" w:space="0"/>
            </w:tcBorders>
            <w:vAlign w:val="center"/>
          </w:tcPr>
          <w:p w14:paraId="040B7996">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屠宰后的禽体应经检疫、检验合格后，再进行加工。</w:t>
            </w:r>
          </w:p>
        </w:tc>
        <w:tc>
          <w:tcPr>
            <w:tcW w:w="887" w:type="dxa"/>
            <w:tcBorders>
              <w:top w:val="single" w:color="000000" w:sz="4" w:space="0"/>
              <w:left w:val="single" w:color="000000" w:sz="4" w:space="0"/>
              <w:bottom w:val="single" w:color="000000" w:sz="4" w:space="0"/>
              <w:right w:val="single" w:color="000000" w:sz="4" w:space="0"/>
            </w:tcBorders>
            <w:vAlign w:val="center"/>
          </w:tcPr>
          <w:p w14:paraId="47441E2C">
            <w:pPr>
              <w:pStyle w:val="924"/>
              <w:spacing w:line="360" w:lineRule="auto"/>
              <w:jc w:val="center"/>
              <w:rPr>
                <w:rFonts w:ascii="宋体" w:hAnsi="宋体" w:cs="宋体"/>
                <w:color w:val="auto"/>
                <w:sz w:val="24"/>
                <w:highlight w:val="none"/>
              </w:rPr>
            </w:pPr>
          </w:p>
        </w:tc>
      </w:tr>
      <w:tr w14:paraId="29665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7592A096">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3</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15279D78">
            <w:pPr>
              <w:widowControl/>
              <w:spacing w:line="360" w:lineRule="auto"/>
              <w:jc w:val="left"/>
              <w:rPr>
                <w:rFonts w:ascii="宋体" w:hAnsi="宋体" w:cs="宋体"/>
                <w:color w:val="auto"/>
                <w:sz w:val="24"/>
                <w:szCs w:val="24"/>
                <w:highlight w:val="none"/>
              </w:rPr>
            </w:pPr>
          </w:p>
        </w:tc>
        <w:tc>
          <w:tcPr>
            <w:tcW w:w="1069" w:type="dxa"/>
            <w:tcBorders>
              <w:top w:val="single" w:color="000000" w:sz="4" w:space="0"/>
              <w:left w:val="single" w:color="000000" w:sz="4" w:space="0"/>
              <w:bottom w:val="single" w:color="000000" w:sz="4" w:space="0"/>
              <w:right w:val="single" w:color="000000" w:sz="4" w:space="0"/>
            </w:tcBorders>
            <w:vAlign w:val="center"/>
          </w:tcPr>
          <w:p w14:paraId="2BD0CB8D">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整修</w:t>
            </w:r>
          </w:p>
        </w:tc>
        <w:tc>
          <w:tcPr>
            <w:tcW w:w="6031" w:type="dxa"/>
            <w:tcBorders>
              <w:top w:val="single" w:color="000000" w:sz="4" w:space="0"/>
              <w:left w:val="single" w:color="000000" w:sz="4" w:space="0"/>
              <w:bottom w:val="single" w:color="000000" w:sz="4" w:space="0"/>
              <w:right w:val="single" w:color="000000" w:sz="4" w:space="0"/>
            </w:tcBorders>
            <w:vAlign w:val="center"/>
          </w:tcPr>
          <w:p w14:paraId="041DBA97">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应修除或割除禽体各部位的外伤、血点、血污、羽毛根等。</w:t>
            </w:r>
          </w:p>
        </w:tc>
        <w:tc>
          <w:tcPr>
            <w:tcW w:w="887" w:type="dxa"/>
            <w:tcBorders>
              <w:top w:val="single" w:color="000000" w:sz="4" w:space="0"/>
              <w:left w:val="single" w:color="000000" w:sz="4" w:space="0"/>
              <w:bottom w:val="single" w:color="000000" w:sz="4" w:space="0"/>
              <w:right w:val="single" w:color="000000" w:sz="4" w:space="0"/>
            </w:tcBorders>
            <w:vAlign w:val="center"/>
          </w:tcPr>
          <w:p w14:paraId="038BE895">
            <w:pPr>
              <w:pStyle w:val="924"/>
              <w:spacing w:line="360" w:lineRule="auto"/>
              <w:jc w:val="center"/>
              <w:rPr>
                <w:rFonts w:ascii="宋体" w:hAnsi="宋体" w:cs="宋体"/>
                <w:color w:val="auto"/>
                <w:sz w:val="24"/>
                <w:highlight w:val="none"/>
              </w:rPr>
            </w:pPr>
          </w:p>
        </w:tc>
      </w:tr>
      <w:tr w14:paraId="521B11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56648F55">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4</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6ADB8957">
            <w:pPr>
              <w:widowControl/>
              <w:spacing w:line="360" w:lineRule="auto"/>
              <w:jc w:val="left"/>
              <w:rPr>
                <w:rFonts w:ascii="宋体" w:hAnsi="宋体" w:cs="宋体"/>
                <w:color w:val="auto"/>
                <w:sz w:val="24"/>
                <w:szCs w:val="24"/>
                <w:highlight w:val="none"/>
              </w:rPr>
            </w:pPr>
          </w:p>
        </w:tc>
        <w:tc>
          <w:tcPr>
            <w:tcW w:w="1069" w:type="dxa"/>
            <w:tcBorders>
              <w:top w:val="single" w:color="000000" w:sz="4" w:space="0"/>
              <w:left w:val="single" w:color="000000" w:sz="4" w:space="0"/>
              <w:bottom w:val="single" w:color="000000" w:sz="4" w:space="0"/>
              <w:right w:val="single" w:color="000000" w:sz="4" w:space="0"/>
            </w:tcBorders>
            <w:vAlign w:val="center"/>
          </w:tcPr>
          <w:p w14:paraId="0330CA2B">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分割</w:t>
            </w:r>
          </w:p>
        </w:tc>
        <w:tc>
          <w:tcPr>
            <w:tcW w:w="6031" w:type="dxa"/>
            <w:tcBorders>
              <w:top w:val="single" w:color="000000" w:sz="4" w:space="0"/>
              <w:left w:val="single" w:color="000000" w:sz="4" w:space="0"/>
              <w:bottom w:val="single" w:color="000000" w:sz="4" w:space="0"/>
              <w:right w:val="single" w:color="000000" w:sz="4" w:space="0"/>
            </w:tcBorders>
            <w:vAlign w:val="center"/>
          </w:tcPr>
          <w:p w14:paraId="01C874F8">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分割禽体时应先预冷后分割；从放血到包装、入冷库的时间不得超过2h。</w:t>
            </w:r>
          </w:p>
        </w:tc>
        <w:tc>
          <w:tcPr>
            <w:tcW w:w="887" w:type="dxa"/>
            <w:tcBorders>
              <w:top w:val="single" w:color="000000" w:sz="4" w:space="0"/>
              <w:left w:val="single" w:color="000000" w:sz="4" w:space="0"/>
              <w:bottom w:val="single" w:color="000000" w:sz="4" w:space="0"/>
              <w:right w:val="single" w:color="000000" w:sz="4" w:space="0"/>
            </w:tcBorders>
            <w:vAlign w:val="center"/>
          </w:tcPr>
          <w:p w14:paraId="023BFB0F">
            <w:pPr>
              <w:pStyle w:val="924"/>
              <w:spacing w:line="360" w:lineRule="auto"/>
              <w:jc w:val="center"/>
              <w:rPr>
                <w:rFonts w:ascii="宋体" w:hAnsi="宋体" w:cs="宋体"/>
                <w:color w:val="auto"/>
                <w:sz w:val="24"/>
                <w:highlight w:val="none"/>
              </w:rPr>
            </w:pPr>
          </w:p>
        </w:tc>
      </w:tr>
      <w:tr w14:paraId="3D10A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738CE053">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5</w:t>
            </w:r>
          </w:p>
        </w:tc>
        <w:tc>
          <w:tcPr>
            <w:tcW w:w="933" w:type="dxa"/>
            <w:vMerge w:val="restart"/>
            <w:tcBorders>
              <w:top w:val="single" w:color="000000" w:sz="4" w:space="0"/>
              <w:left w:val="single" w:color="000000" w:sz="4" w:space="0"/>
              <w:bottom w:val="single" w:color="000000" w:sz="4" w:space="0"/>
              <w:right w:val="single" w:color="000000" w:sz="4" w:space="0"/>
            </w:tcBorders>
            <w:vAlign w:val="center"/>
          </w:tcPr>
          <w:p w14:paraId="7E86BE98">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感官指标</w:t>
            </w:r>
          </w:p>
        </w:tc>
        <w:tc>
          <w:tcPr>
            <w:tcW w:w="1069" w:type="dxa"/>
            <w:tcBorders>
              <w:top w:val="single" w:color="000000" w:sz="4" w:space="0"/>
              <w:left w:val="single" w:color="000000" w:sz="4" w:space="0"/>
              <w:bottom w:val="single" w:color="000000" w:sz="4" w:space="0"/>
              <w:right w:val="single" w:color="000000" w:sz="4" w:space="0"/>
            </w:tcBorders>
            <w:vAlign w:val="center"/>
          </w:tcPr>
          <w:p w14:paraId="124AC389">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色泽</w:t>
            </w:r>
          </w:p>
        </w:tc>
        <w:tc>
          <w:tcPr>
            <w:tcW w:w="6031" w:type="dxa"/>
            <w:tcBorders>
              <w:top w:val="single" w:color="000000" w:sz="4" w:space="0"/>
              <w:left w:val="single" w:color="000000" w:sz="4" w:space="0"/>
              <w:bottom w:val="single" w:color="000000" w:sz="4" w:space="0"/>
              <w:right w:val="single" w:color="000000" w:sz="4" w:space="0"/>
            </w:tcBorders>
            <w:vAlign w:val="center"/>
          </w:tcPr>
          <w:p w14:paraId="593C0B0D">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表皮和肌肉切面有光泽，具有禽种固有的色泽</w:t>
            </w:r>
          </w:p>
        </w:tc>
        <w:tc>
          <w:tcPr>
            <w:tcW w:w="887" w:type="dxa"/>
            <w:tcBorders>
              <w:top w:val="single" w:color="000000" w:sz="4" w:space="0"/>
              <w:left w:val="single" w:color="000000" w:sz="4" w:space="0"/>
              <w:bottom w:val="single" w:color="000000" w:sz="4" w:space="0"/>
              <w:right w:val="single" w:color="000000" w:sz="4" w:space="0"/>
            </w:tcBorders>
            <w:vAlign w:val="center"/>
          </w:tcPr>
          <w:p w14:paraId="6F80D8F9">
            <w:pPr>
              <w:pStyle w:val="924"/>
              <w:spacing w:line="360" w:lineRule="auto"/>
              <w:jc w:val="center"/>
              <w:rPr>
                <w:rFonts w:ascii="宋体" w:hAnsi="宋体" w:cs="宋体"/>
                <w:color w:val="auto"/>
                <w:sz w:val="24"/>
                <w:highlight w:val="none"/>
              </w:rPr>
            </w:pPr>
          </w:p>
        </w:tc>
      </w:tr>
      <w:tr w14:paraId="48F4E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43E9BB71">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6</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78C8A993">
            <w:pPr>
              <w:widowControl/>
              <w:spacing w:line="360" w:lineRule="auto"/>
              <w:jc w:val="left"/>
              <w:rPr>
                <w:rFonts w:ascii="宋体" w:hAnsi="宋体" w:cs="宋体"/>
                <w:color w:val="auto"/>
                <w:sz w:val="24"/>
                <w:szCs w:val="24"/>
                <w:highlight w:val="none"/>
              </w:rPr>
            </w:pPr>
          </w:p>
        </w:tc>
        <w:tc>
          <w:tcPr>
            <w:tcW w:w="1069" w:type="dxa"/>
            <w:tcBorders>
              <w:top w:val="single" w:color="000000" w:sz="4" w:space="0"/>
              <w:left w:val="single" w:color="000000" w:sz="4" w:space="0"/>
              <w:bottom w:val="single" w:color="000000" w:sz="4" w:space="0"/>
              <w:right w:val="single" w:color="000000" w:sz="4" w:space="0"/>
            </w:tcBorders>
            <w:vAlign w:val="center"/>
          </w:tcPr>
          <w:p w14:paraId="451E7034">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弹性（组织状态）</w:t>
            </w:r>
          </w:p>
        </w:tc>
        <w:tc>
          <w:tcPr>
            <w:tcW w:w="6031" w:type="dxa"/>
            <w:tcBorders>
              <w:top w:val="single" w:color="000000" w:sz="4" w:space="0"/>
              <w:left w:val="single" w:color="000000" w:sz="4" w:space="0"/>
              <w:bottom w:val="single" w:color="000000" w:sz="4" w:space="0"/>
              <w:right w:val="single" w:color="000000" w:sz="4" w:space="0"/>
            </w:tcBorders>
            <w:vAlign w:val="center"/>
          </w:tcPr>
          <w:p w14:paraId="3BC341D9">
            <w:pPr>
              <w:autoSpaceDE w:val="0"/>
              <w:autoSpaceDN w:val="0"/>
              <w:adjustRightInd w:val="0"/>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鲜肉禽肌肉有弹性，经指压后凹陷部位立即恢复原位。冻肉禽肌肉经指压后凹陷部位恢复慢，不能完全恢复原状</w:t>
            </w:r>
          </w:p>
        </w:tc>
        <w:tc>
          <w:tcPr>
            <w:tcW w:w="887" w:type="dxa"/>
            <w:tcBorders>
              <w:top w:val="single" w:color="000000" w:sz="4" w:space="0"/>
              <w:left w:val="single" w:color="000000" w:sz="4" w:space="0"/>
              <w:bottom w:val="single" w:color="000000" w:sz="4" w:space="0"/>
              <w:right w:val="single" w:color="000000" w:sz="4" w:space="0"/>
            </w:tcBorders>
            <w:vAlign w:val="center"/>
          </w:tcPr>
          <w:p w14:paraId="4CC1FC32">
            <w:pPr>
              <w:pStyle w:val="924"/>
              <w:spacing w:line="360" w:lineRule="auto"/>
              <w:jc w:val="center"/>
              <w:rPr>
                <w:rFonts w:ascii="宋体" w:hAnsi="宋体" w:cs="宋体"/>
                <w:color w:val="auto"/>
                <w:sz w:val="24"/>
                <w:highlight w:val="none"/>
              </w:rPr>
            </w:pPr>
          </w:p>
        </w:tc>
      </w:tr>
      <w:tr w14:paraId="63873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76320827">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7</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786FB760">
            <w:pPr>
              <w:widowControl/>
              <w:spacing w:line="360" w:lineRule="auto"/>
              <w:jc w:val="left"/>
              <w:rPr>
                <w:rFonts w:ascii="宋体" w:hAnsi="宋体" w:cs="宋体"/>
                <w:color w:val="auto"/>
                <w:sz w:val="24"/>
                <w:szCs w:val="24"/>
                <w:highlight w:val="none"/>
              </w:rPr>
            </w:pPr>
          </w:p>
        </w:tc>
        <w:tc>
          <w:tcPr>
            <w:tcW w:w="1069" w:type="dxa"/>
            <w:tcBorders>
              <w:top w:val="single" w:color="000000" w:sz="4" w:space="0"/>
              <w:left w:val="single" w:color="000000" w:sz="4" w:space="0"/>
              <w:bottom w:val="single" w:color="000000" w:sz="4" w:space="0"/>
              <w:right w:val="single" w:color="000000" w:sz="4" w:space="0"/>
            </w:tcBorders>
            <w:vAlign w:val="center"/>
          </w:tcPr>
          <w:p w14:paraId="70DADDC6">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气味</w:t>
            </w:r>
          </w:p>
        </w:tc>
        <w:tc>
          <w:tcPr>
            <w:tcW w:w="6031" w:type="dxa"/>
            <w:tcBorders>
              <w:top w:val="single" w:color="000000" w:sz="4" w:space="0"/>
              <w:left w:val="single" w:color="000000" w:sz="4" w:space="0"/>
              <w:bottom w:val="single" w:color="000000" w:sz="4" w:space="0"/>
              <w:right w:val="single" w:color="000000" w:sz="4" w:space="0"/>
            </w:tcBorders>
            <w:vAlign w:val="center"/>
          </w:tcPr>
          <w:p w14:paraId="177AF788">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具有禽种固有的气味，无异味。煮沸后的肉汤透明澄清，脂肪团聚于表面，具有固有香味。</w:t>
            </w:r>
          </w:p>
        </w:tc>
        <w:tc>
          <w:tcPr>
            <w:tcW w:w="887" w:type="dxa"/>
            <w:tcBorders>
              <w:top w:val="single" w:color="000000" w:sz="4" w:space="0"/>
              <w:left w:val="single" w:color="000000" w:sz="4" w:space="0"/>
              <w:bottom w:val="single" w:color="000000" w:sz="4" w:space="0"/>
              <w:right w:val="single" w:color="000000" w:sz="4" w:space="0"/>
            </w:tcBorders>
            <w:vAlign w:val="center"/>
          </w:tcPr>
          <w:p w14:paraId="6376E6F5">
            <w:pPr>
              <w:pStyle w:val="924"/>
              <w:spacing w:line="360" w:lineRule="auto"/>
              <w:jc w:val="center"/>
              <w:rPr>
                <w:rFonts w:ascii="宋体" w:hAnsi="宋体" w:cs="宋体"/>
                <w:color w:val="auto"/>
                <w:sz w:val="24"/>
                <w:highlight w:val="none"/>
              </w:rPr>
            </w:pPr>
          </w:p>
        </w:tc>
      </w:tr>
      <w:tr w14:paraId="2069D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55ED05A4">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8</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00FE5978">
            <w:pPr>
              <w:widowControl/>
              <w:spacing w:line="360" w:lineRule="auto"/>
              <w:jc w:val="left"/>
              <w:rPr>
                <w:rFonts w:ascii="宋体" w:hAnsi="宋体" w:cs="宋体"/>
                <w:color w:val="auto"/>
                <w:sz w:val="24"/>
                <w:szCs w:val="24"/>
                <w:highlight w:val="none"/>
              </w:rPr>
            </w:pPr>
          </w:p>
        </w:tc>
        <w:tc>
          <w:tcPr>
            <w:tcW w:w="1069" w:type="dxa"/>
            <w:tcBorders>
              <w:top w:val="single" w:color="000000" w:sz="4" w:space="0"/>
              <w:left w:val="single" w:color="000000" w:sz="4" w:space="0"/>
              <w:bottom w:val="single" w:color="000000" w:sz="4" w:space="0"/>
              <w:right w:val="single" w:color="000000" w:sz="4" w:space="0"/>
            </w:tcBorders>
            <w:vAlign w:val="center"/>
          </w:tcPr>
          <w:p w14:paraId="38BB11DB">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淤血</w:t>
            </w:r>
          </w:p>
        </w:tc>
        <w:tc>
          <w:tcPr>
            <w:tcW w:w="6031" w:type="dxa"/>
            <w:tcBorders>
              <w:top w:val="single" w:color="000000" w:sz="4" w:space="0"/>
              <w:left w:val="single" w:color="000000" w:sz="4" w:space="0"/>
              <w:bottom w:val="single" w:color="000000" w:sz="4" w:space="0"/>
              <w:right w:val="single" w:color="000000" w:sz="4" w:space="0"/>
            </w:tcBorders>
            <w:vAlign w:val="center"/>
          </w:tcPr>
          <w:p w14:paraId="7BA8E06A">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不允许存在淤血面积大于1 C㎡；淤血面积小于1 C㎡时，不得超过抽样量的2%。（淤血面积以单一整禽或单一分割禽体的1片淤血面积计）</w:t>
            </w:r>
          </w:p>
        </w:tc>
        <w:tc>
          <w:tcPr>
            <w:tcW w:w="887" w:type="dxa"/>
            <w:tcBorders>
              <w:top w:val="single" w:color="000000" w:sz="4" w:space="0"/>
              <w:left w:val="single" w:color="000000" w:sz="4" w:space="0"/>
              <w:bottom w:val="single" w:color="000000" w:sz="4" w:space="0"/>
              <w:right w:val="single" w:color="000000" w:sz="4" w:space="0"/>
            </w:tcBorders>
            <w:vAlign w:val="center"/>
          </w:tcPr>
          <w:p w14:paraId="18B6305B">
            <w:pPr>
              <w:pStyle w:val="924"/>
              <w:spacing w:line="360" w:lineRule="auto"/>
              <w:jc w:val="center"/>
              <w:rPr>
                <w:rFonts w:ascii="宋体" w:hAnsi="宋体" w:cs="宋体"/>
                <w:color w:val="auto"/>
                <w:sz w:val="24"/>
                <w:highlight w:val="none"/>
              </w:rPr>
            </w:pPr>
          </w:p>
        </w:tc>
      </w:tr>
      <w:tr w14:paraId="40A2D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169BB44E">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9</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6E60CB42">
            <w:pPr>
              <w:widowControl/>
              <w:spacing w:line="360" w:lineRule="auto"/>
              <w:jc w:val="left"/>
              <w:rPr>
                <w:rFonts w:ascii="宋体" w:hAnsi="宋体" w:cs="宋体"/>
                <w:color w:val="auto"/>
                <w:sz w:val="24"/>
                <w:szCs w:val="24"/>
                <w:highlight w:val="none"/>
              </w:rPr>
            </w:pPr>
          </w:p>
        </w:tc>
        <w:tc>
          <w:tcPr>
            <w:tcW w:w="1069" w:type="dxa"/>
            <w:tcBorders>
              <w:top w:val="single" w:color="000000" w:sz="4" w:space="0"/>
              <w:left w:val="single" w:color="000000" w:sz="4" w:space="0"/>
              <w:bottom w:val="single" w:color="000000" w:sz="4" w:space="0"/>
              <w:right w:val="single" w:color="000000" w:sz="4" w:space="0"/>
            </w:tcBorders>
            <w:vAlign w:val="center"/>
          </w:tcPr>
          <w:p w14:paraId="1262824A">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硬杆毛/（根/10kg）</w:t>
            </w:r>
          </w:p>
        </w:tc>
        <w:tc>
          <w:tcPr>
            <w:tcW w:w="6031" w:type="dxa"/>
            <w:tcBorders>
              <w:top w:val="single" w:color="000000" w:sz="4" w:space="0"/>
              <w:left w:val="single" w:color="000000" w:sz="4" w:space="0"/>
              <w:bottom w:val="single" w:color="000000" w:sz="4" w:space="0"/>
              <w:right w:val="single" w:color="000000" w:sz="4" w:space="0"/>
            </w:tcBorders>
            <w:vAlign w:val="center"/>
          </w:tcPr>
          <w:p w14:paraId="682D0628">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887" w:type="dxa"/>
            <w:tcBorders>
              <w:top w:val="single" w:color="000000" w:sz="4" w:space="0"/>
              <w:left w:val="single" w:color="000000" w:sz="4" w:space="0"/>
              <w:bottom w:val="single" w:color="000000" w:sz="4" w:space="0"/>
              <w:right w:val="single" w:color="000000" w:sz="4" w:space="0"/>
            </w:tcBorders>
            <w:vAlign w:val="center"/>
          </w:tcPr>
          <w:p w14:paraId="22520BFE">
            <w:pPr>
              <w:pStyle w:val="924"/>
              <w:spacing w:line="360" w:lineRule="auto"/>
              <w:jc w:val="center"/>
              <w:rPr>
                <w:rFonts w:ascii="宋体" w:hAnsi="宋体" w:cs="宋体"/>
                <w:color w:val="auto"/>
                <w:sz w:val="24"/>
                <w:highlight w:val="none"/>
              </w:rPr>
            </w:pPr>
          </w:p>
        </w:tc>
      </w:tr>
      <w:tr w14:paraId="5EBC8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4171B643">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10</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426A12AA">
            <w:pPr>
              <w:widowControl/>
              <w:spacing w:line="360" w:lineRule="auto"/>
              <w:jc w:val="left"/>
              <w:rPr>
                <w:rFonts w:ascii="宋体" w:hAnsi="宋体" w:cs="宋体"/>
                <w:color w:val="auto"/>
                <w:sz w:val="24"/>
                <w:szCs w:val="24"/>
                <w:highlight w:val="none"/>
              </w:rPr>
            </w:pPr>
          </w:p>
        </w:tc>
        <w:tc>
          <w:tcPr>
            <w:tcW w:w="1069" w:type="dxa"/>
            <w:tcBorders>
              <w:top w:val="single" w:color="000000" w:sz="4" w:space="0"/>
              <w:left w:val="single" w:color="000000" w:sz="4" w:space="0"/>
              <w:bottom w:val="single" w:color="000000" w:sz="4" w:space="0"/>
              <w:right w:val="single" w:color="000000" w:sz="4" w:space="0"/>
            </w:tcBorders>
            <w:vAlign w:val="center"/>
          </w:tcPr>
          <w:p w14:paraId="7A5AD3EE">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肉眼可见物</w:t>
            </w:r>
          </w:p>
        </w:tc>
        <w:tc>
          <w:tcPr>
            <w:tcW w:w="6031" w:type="dxa"/>
            <w:tcBorders>
              <w:top w:val="single" w:color="000000" w:sz="4" w:space="0"/>
              <w:left w:val="single" w:color="000000" w:sz="4" w:space="0"/>
              <w:bottom w:val="single" w:color="000000" w:sz="4" w:space="0"/>
              <w:right w:val="single" w:color="000000" w:sz="4" w:space="0"/>
            </w:tcBorders>
            <w:vAlign w:val="center"/>
          </w:tcPr>
          <w:p w14:paraId="098138F1">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不得检出。</w:t>
            </w:r>
          </w:p>
        </w:tc>
        <w:tc>
          <w:tcPr>
            <w:tcW w:w="887" w:type="dxa"/>
            <w:tcBorders>
              <w:top w:val="single" w:color="000000" w:sz="4" w:space="0"/>
              <w:left w:val="single" w:color="000000" w:sz="4" w:space="0"/>
              <w:bottom w:val="single" w:color="000000" w:sz="4" w:space="0"/>
              <w:right w:val="single" w:color="000000" w:sz="4" w:space="0"/>
            </w:tcBorders>
            <w:vAlign w:val="center"/>
          </w:tcPr>
          <w:p w14:paraId="3D72232F">
            <w:pPr>
              <w:pStyle w:val="924"/>
              <w:spacing w:line="360" w:lineRule="auto"/>
              <w:jc w:val="center"/>
              <w:rPr>
                <w:rFonts w:ascii="宋体" w:hAnsi="宋体" w:cs="宋体"/>
                <w:color w:val="auto"/>
                <w:sz w:val="24"/>
                <w:highlight w:val="none"/>
              </w:rPr>
            </w:pPr>
          </w:p>
        </w:tc>
      </w:tr>
      <w:tr w14:paraId="5511A6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0285AAE7">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11</w:t>
            </w:r>
          </w:p>
        </w:tc>
        <w:tc>
          <w:tcPr>
            <w:tcW w:w="2002" w:type="dxa"/>
            <w:gridSpan w:val="2"/>
            <w:tcBorders>
              <w:top w:val="single" w:color="000000" w:sz="4" w:space="0"/>
              <w:left w:val="single" w:color="000000" w:sz="4" w:space="0"/>
              <w:bottom w:val="single" w:color="000000" w:sz="4" w:space="0"/>
              <w:right w:val="single" w:color="000000" w:sz="4" w:space="0"/>
            </w:tcBorders>
            <w:vAlign w:val="center"/>
          </w:tcPr>
          <w:p w14:paraId="5CFA10EB">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理化指标</w:t>
            </w:r>
          </w:p>
        </w:tc>
        <w:tc>
          <w:tcPr>
            <w:tcW w:w="6031" w:type="dxa"/>
            <w:tcBorders>
              <w:top w:val="single" w:color="000000" w:sz="4" w:space="0"/>
              <w:left w:val="single" w:color="000000" w:sz="4" w:space="0"/>
              <w:bottom w:val="single" w:color="000000" w:sz="4" w:space="0"/>
              <w:right w:val="single" w:color="000000" w:sz="4" w:space="0"/>
            </w:tcBorders>
            <w:vAlign w:val="center"/>
          </w:tcPr>
          <w:p w14:paraId="0067FFA3">
            <w:pPr>
              <w:pStyle w:val="924"/>
              <w:spacing w:line="360" w:lineRule="auto"/>
              <w:rPr>
                <w:rFonts w:ascii="宋体" w:hAnsi="宋体" w:cs="宋体"/>
                <w:color w:val="auto"/>
                <w:sz w:val="24"/>
                <w:highlight w:val="none"/>
              </w:rPr>
            </w:pPr>
            <w:r>
              <w:rPr>
                <w:rFonts w:hint="eastAsia" w:ascii="宋体" w:hAnsi="宋体" w:cs="宋体"/>
                <w:color w:val="auto"/>
                <w:sz w:val="24"/>
                <w:highlight w:val="none"/>
              </w:rPr>
              <w:t>参照GB 16869-2005国家标准</w:t>
            </w:r>
          </w:p>
        </w:tc>
        <w:tc>
          <w:tcPr>
            <w:tcW w:w="887" w:type="dxa"/>
            <w:tcBorders>
              <w:top w:val="single" w:color="000000" w:sz="4" w:space="0"/>
              <w:left w:val="single" w:color="000000" w:sz="4" w:space="0"/>
              <w:bottom w:val="single" w:color="000000" w:sz="4" w:space="0"/>
              <w:right w:val="single" w:color="000000" w:sz="4" w:space="0"/>
            </w:tcBorders>
            <w:vAlign w:val="center"/>
          </w:tcPr>
          <w:p w14:paraId="30C6C8C9">
            <w:pPr>
              <w:pStyle w:val="924"/>
              <w:spacing w:line="360" w:lineRule="auto"/>
              <w:jc w:val="center"/>
              <w:rPr>
                <w:rFonts w:ascii="宋体" w:hAnsi="宋体" w:cs="宋体"/>
                <w:color w:val="auto"/>
                <w:sz w:val="24"/>
                <w:highlight w:val="none"/>
              </w:rPr>
            </w:pPr>
          </w:p>
        </w:tc>
      </w:tr>
    </w:tbl>
    <w:p w14:paraId="21210ECD">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3.水产类</w:t>
      </w:r>
    </w:p>
    <w:p w14:paraId="0C418B05">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①总体要求：本次采购所需标的物以鲜活水产品为主，主要有鳊鱼、草鱼、鲈鱼、昂刺鱼等，根据采购人需求可供部分冷冻产品。</w:t>
      </w:r>
      <w:r>
        <w:rPr>
          <w:rFonts w:hint="eastAsia" w:hAnsi="宋体" w:cs="宋体"/>
          <w:color w:val="auto"/>
          <w:sz w:val="24"/>
          <w:szCs w:val="24"/>
          <w:highlight w:val="none"/>
        </w:rPr>
        <w:t>投标供应商</w:t>
      </w:r>
      <w:r>
        <w:rPr>
          <w:rFonts w:hint="eastAsia" w:ascii="宋体" w:hAnsi="宋体" w:cs="宋体"/>
          <w:color w:val="auto"/>
          <w:sz w:val="24"/>
          <w:szCs w:val="24"/>
          <w:highlight w:val="none"/>
        </w:rPr>
        <w:t>保证正规的进货渠道，所供标的物必须卫生、清洁、新鲜、无污染、无假冒伪劣、无过期变质及“三无”商品，符合《中华人民共和国食品安全法》、GB 2733-2005、GB/T 24861-2010等法规要求及相应的国标（行业）标准。</w:t>
      </w:r>
    </w:p>
    <w:p w14:paraId="497EE94D">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②具体标准：（详见附表）</w:t>
      </w:r>
    </w:p>
    <w:p w14:paraId="24C90870">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③附表：水产品相关技术指标</w:t>
      </w:r>
    </w:p>
    <w:tbl>
      <w:tblPr>
        <w:tblStyle w:val="67"/>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1"/>
        <w:gridCol w:w="927"/>
        <w:gridCol w:w="866"/>
        <w:gridCol w:w="6307"/>
        <w:gridCol w:w="833"/>
      </w:tblGrid>
      <w:tr w14:paraId="71528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4F5585E1">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1793" w:type="dxa"/>
            <w:gridSpan w:val="2"/>
            <w:tcBorders>
              <w:top w:val="single" w:color="000000" w:sz="4" w:space="0"/>
              <w:left w:val="single" w:color="000000" w:sz="4" w:space="0"/>
              <w:bottom w:val="single" w:color="000000" w:sz="4" w:space="0"/>
              <w:right w:val="single" w:color="000000" w:sz="4" w:space="0"/>
            </w:tcBorders>
            <w:vAlign w:val="center"/>
          </w:tcPr>
          <w:p w14:paraId="1EFDF6BC">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w:t>
            </w:r>
          </w:p>
        </w:tc>
        <w:tc>
          <w:tcPr>
            <w:tcW w:w="6307" w:type="dxa"/>
            <w:tcBorders>
              <w:top w:val="single" w:color="000000" w:sz="4" w:space="0"/>
              <w:left w:val="single" w:color="000000" w:sz="4" w:space="0"/>
              <w:bottom w:val="single" w:color="000000" w:sz="4" w:space="0"/>
              <w:right w:val="single" w:color="000000" w:sz="4" w:space="0"/>
            </w:tcBorders>
            <w:vAlign w:val="center"/>
          </w:tcPr>
          <w:p w14:paraId="0FEF56A7">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标准</w:t>
            </w:r>
          </w:p>
        </w:tc>
        <w:tc>
          <w:tcPr>
            <w:tcW w:w="833" w:type="dxa"/>
            <w:tcBorders>
              <w:top w:val="single" w:color="000000" w:sz="4" w:space="0"/>
              <w:left w:val="single" w:color="000000" w:sz="4" w:space="0"/>
              <w:bottom w:val="single" w:color="000000" w:sz="4" w:space="0"/>
              <w:right w:val="single" w:color="000000" w:sz="4" w:space="0"/>
            </w:tcBorders>
            <w:vAlign w:val="center"/>
          </w:tcPr>
          <w:p w14:paraId="6BDBFBAA">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备注</w:t>
            </w:r>
          </w:p>
        </w:tc>
      </w:tr>
      <w:tr w14:paraId="77E1C2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074623DD">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1793" w:type="dxa"/>
            <w:gridSpan w:val="2"/>
            <w:tcBorders>
              <w:top w:val="single" w:color="000000" w:sz="4" w:space="0"/>
              <w:left w:val="single" w:color="000000" w:sz="4" w:space="0"/>
              <w:bottom w:val="single" w:color="000000" w:sz="4" w:space="0"/>
              <w:right w:val="single" w:color="000000" w:sz="4" w:space="0"/>
            </w:tcBorders>
            <w:vAlign w:val="center"/>
          </w:tcPr>
          <w:p w14:paraId="28DA95CD">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原料</w:t>
            </w:r>
          </w:p>
        </w:tc>
        <w:tc>
          <w:tcPr>
            <w:tcW w:w="6307" w:type="dxa"/>
            <w:tcBorders>
              <w:top w:val="single" w:color="000000" w:sz="4" w:space="0"/>
              <w:left w:val="single" w:color="000000" w:sz="4" w:space="0"/>
              <w:bottom w:val="single" w:color="000000" w:sz="4" w:space="0"/>
              <w:right w:val="single" w:color="000000" w:sz="4" w:space="0"/>
            </w:tcBorders>
            <w:vAlign w:val="center"/>
          </w:tcPr>
          <w:p w14:paraId="64B19C02">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招标的水产品应无污染、无危害，其品质应符合GB 2733的规定</w:t>
            </w:r>
          </w:p>
        </w:tc>
        <w:tc>
          <w:tcPr>
            <w:tcW w:w="833" w:type="dxa"/>
            <w:tcBorders>
              <w:top w:val="single" w:color="000000" w:sz="4" w:space="0"/>
              <w:left w:val="single" w:color="000000" w:sz="4" w:space="0"/>
              <w:bottom w:val="single" w:color="000000" w:sz="4" w:space="0"/>
              <w:right w:val="single" w:color="000000" w:sz="4" w:space="0"/>
            </w:tcBorders>
            <w:vAlign w:val="center"/>
          </w:tcPr>
          <w:p w14:paraId="0CBADDF5">
            <w:pPr>
              <w:pStyle w:val="924"/>
              <w:spacing w:line="360" w:lineRule="auto"/>
              <w:jc w:val="center"/>
              <w:rPr>
                <w:rFonts w:ascii="宋体" w:hAnsi="宋体" w:cs="宋体"/>
                <w:color w:val="auto"/>
                <w:sz w:val="24"/>
                <w:highlight w:val="none"/>
              </w:rPr>
            </w:pPr>
          </w:p>
        </w:tc>
      </w:tr>
      <w:tr w14:paraId="3E1AD0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2" w:hRule="atLeast"/>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2AF6CD1B">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1793" w:type="dxa"/>
            <w:gridSpan w:val="2"/>
            <w:vMerge w:val="restart"/>
            <w:tcBorders>
              <w:top w:val="single" w:color="000000" w:sz="4" w:space="0"/>
              <w:left w:val="single" w:color="000000" w:sz="4" w:space="0"/>
              <w:right w:val="single" w:color="000000" w:sz="4" w:space="0"/>
            </w:tcBorders>
            <w:vAlign w:val="center"/>
          </w:tcPr>
          <w:p w14:paraId="59273F54">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感官指标</w:t>
            </w:r>
          </w:p>
        </w:tc>
        <w:tc>
          <w:tcPr>
            <w:tcW w:w="6307" w:type="dxa"/>
            <w:tcBorders>
              <w:top w:val="single" w:color="000000" w:sz="4" w:space="0"/>
              <w:left w:val="single" w:color="000000" w:sz="4" w:space="0"/>
              <w:bottom w:val="single" w:color="000000" w:sz="4" w:space="0"/>
              <w:right w:val="single" w:color="000000" w:sz="4" w:space="0"/>
            </w:tcBorders>
            <w:vAlign w:val="center"/>
          </w:tcPr>
          <w:p w14:paraId="51B54E09">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淡水鱼、虾必须鲜活</w:t>
            </w:r>
          </w:p>
        </w:tc>
        <w:tc>
          <w:tcPr>
            <w:tcW w:w="833" w:type="dxa"/>
            <w:tcBorders>
              <w:top w:val="single" w:color="000000" w:sz="4" w:space="0"/>
              <w:left w:val="single" w:color="000000" w:sz="4" w:space="0"/>
              <w:bottom w:val="single" w:color="000000" w:sz="4" w:space="0"/>
              <w:right w:val="single" w:color="000000" w:sz="4" w:space="0"/>
            </w:tcBorders>
            <w:vAlign w:val="center"/>
          </w:tcPr>
          <w:p w14:paraId="337F84EA">
            <w:pPr>
              <w:pStyle w:val="924"/>
              <w:spacing w:line="360" w:lineRule="auto"/>
              <w:jc w:val="center"/>
              <w:rPr>
                <w:rFonts w:ascii="宋体" w:hAnsi="宋体" w:cs="宋体"/>
                <w:color w:val="auto"/>
                <w:sz w:val="24"/>
                <w:highlight w:val="none"/>
              </w:rPr>
            </w:pPr>
          </w:p>
        </w:tc>
      </w:tr>
      <w:tr w14:paraId="71B02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25ADB5FC">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3</w:t>
            </w:r>
          </w:p>
        </w:tc>
        <w:tc>
          <w:tcPr>
            <w:tcW w:w="1793" w:type="dxa"/>
            <w:gridSpan w:val="2"/>
            <w:vMerge w:val="continue"/>
            <w:tcBorders>
              <w:left w:val="single" w:color="000000" w:sz="4" w:space="0"/>
              <w:bottom w:val="single" w:color="000000" w:sz="4" w:space="0"/>
              <w:right w:val="single" w:color="000000" w:sz="4" w:space="0"/>
            </w:tcBorders>
            <w:vAlign w:val="center"/>
          </w:tcPr>
          <w:p w14:paraId="142B3DCC">
            <w:pPr>
              <w:pStyle w:val="924"/>
              <w:spacing w:line="360" w:lineRule="auto"/>
              <w:rPr>
                <w:rFonts w:ascii="宋体" w:hAnsi="宋体" w:cs="宋体"/>
                <w:color w:val="auto"/>
                <w:sz w:val="24"/>
                <w:highlight w:val="none"/>
              </w:rPr>
            </w:pPr>
          </w:p>
        </w:tc>
        <w:tc>
          <w:tcPr>
            <w:tcW w:w="6307" w:type="dxa"/>
            <w:tcBorders>
              <w:top w:val="single" w:color="000000" w:sz="4" w:space="0"/>
              <w:left w:val="single" w:color="000000" w:sz="4" w:space="0"/>
              <w:bottom w:val="single" w:color="000000" w:sz="4" w:space="0"/>
              <w:right w:val="single" w:color="000000" w:sz="4" w:space="0"/>
            </w:tcBorders>
            <w:vAlign w:val="center"/>
          </w:tcPr>
          <w:p w14:paraId="59EE65E4">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国标标准</w:t>
            </w:r>
          </w:p>
        </w:tc>
        <w:tc>
          <w:tcPr>
            <w:tcW w:w="833" w:type="dxa"/>
            <w:tcBorders>
              <w:top w:val="single" w:color="000000" w:sz="4" w:space="0"/>
              <w:left w:val="single" w:color="000000" w:sz="4" w:space="0"/>
              <w:bottom w:val="single" w:color="000000" w:sz="4" w:space="0"/>
              <w:right w:val="single" w:color="000000" w:sz="4" w:space="0"/>
            </w:tcBorders>
            <w:vAlign w:val="center"/>
          </w:tcPr>
          <w:p w14:paraId="29C7D12B">
            <w:pPr>
              <w:pStyle w:val="924"/>
              <w:spacing w:line="360" w:lineRule="auto"/>
              <w:jc w:val="center"/>
              <w:rPr>
                <w:rFonts w:ascii="宋体" w:hAnsi="宋体" w:cs="宋体"/>
                <w:color w:val="auto"/>
                <w:sz w:val="24"/>
                <w:highlight w:val="none"/>
              </w:rPr>
            </w:pPr>
          </w:p>
        </w:tc>
      </w:tr>
      <w:tr w14:paraId="1C852E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0D483D03">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4</w:t>
            </w:r>
          </w:p>
        </w:tc>
        <w:tc>
          <w:tcPr>
            <w:tcW w:w="1793" w:type="dxa"/>
            <w:gridSpan w:val="2"/>
            <w:tcBorders>
              <w:top w:val="single" w:color="000000" w:sz="4" w:space="0"/>
              <w:left w:val="single" w:color="000000" w:sz="4" w:space="0"/>
              <w:bottom w:val="single" w:color="000000" w:sz="4" w:space="0"/>
              <w:right w:val="single" w:color="000000" w:sz="4" w:space="0"/>
            </w:tcBorders>
            <w:vAlign w:val="center"/>
          </w:tcPr>
          <w:p w14:paraId="27595A5B">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理化指标</w:t>
            </w:r>
          </w:p>
        </w:tc>
        <w:tc>
          <w:tcPr>
            <w:tcW w:w="6307" w:type="dxa"/>
            <w:tcBorders>
              <w:top w:val="single" w:color="000000" w:sz="4" w:space="0"/>
              <w:left w:val="single" w:color="000000" w:sz="4" w:space="0"/>
              <w:bottom w:val="single" w:color="000000" w:sz="4" w:space="0"/>
              <w:right w:val="single" w:color="000000" w:sz="4" w:space="0"/>
            </w:tcBorders>
            <w:vAlign w:val="center"/>
          </w:tcPr>
          <w:p w14:paraId="29EC2CBA">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参照国家标准</w:t>
            </w:r>
          </w:p>
        </w:tc>
        <w:tc>
          <w:tcPr>
            <w:tcW w:w="833" w:type="dxa"/>
            <w:tcBorders>
              <w:top w:val="single" w:color="000000" w:sz="4" w:space="0"/>
              <w:left w:val="single" w:color="000000" w:sz="4" w:space="0"/>
              <w:bottom w:val="single" w:color="000000" w:sz="4" w:space="0"/>
              <w:right w:val="single" w:color="000000" w:sz="4" w:space="0"/>
            </w:tcBorders>
            <w:vAlign w:val="center"/>
          </w:tcPr>
          <w:p w14:paraId="647CA2FA">
            <w:pPr>
              <w:pStyle w:val="924"/>
              <w:spacing w:line="360" w:lineRule="auto"/>
              <w:jc w:val="center"/>
              <w:rPr>
                <w:rFonts w:ascii="宋体" w:hAnsi="宋体" w:cs="宋体"/>
                <w:color w:val="auto"/>
                <w:sz w:val="24"/>
                <w:highlight w:val="none"/>
              </w:rPr>
            </w:pPr>
          </w:p>
        </w:tc>
      </w:tr>
      <w:tr w14:paraId="75027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3C5AC036">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5</w:t>
            </w:r>
          </w:p>
        </w:tc>
        <w:tc>
          <w:tcPr>
            <w:tcW w:w="1793" w:type="dxa"/>
            <w:gridSpan w:val="2"/>
            <w:tcBorders>
              <w:top w:val="single" w:color="000000" w:sz="4" w:space="0"/>
              <w:left w:val="single" w:color="000000" w:sz="4" w:space="0"/>
              <w:bottom w:val="single" w:color="000000" w:sz="4" w:space="0"/>
              <w:right w:val="single" w:color="000000" w:sz="4" w:space="0"/>
            </w:tcBorders>
            <w:vAlign w:val="center"/>
          </w:tcPr>
          <w:p w14:paraId="008CBCC6">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生产加工</w:t>
            </w:r>
          </w:p>
        </w:tc>
        <w:tc>
          <w:tcPr>
            <w:tcW w:w="6307" w:type="dxa"/>
            <w:tcBorders>
              <w:top w:val="single" w:color="000000" w:sz="4" w:space="0"/>
              <w:left w:val="single" w:color="000000" w:sz="4" w:space="0"/>
              <w:bottom w:val="single" w:color="000000" w:sz="4" w:space="0"/>
              <w:right w:val="single" w:color="000000" w:sz="4" w:space="0"/>
            </w:tcBorders>
            <w:vAlign w:val="center"/>
          </w:tcPr>
          <w:p w14:paraId="3232B3A6">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生产加工过程的卫生要求符合GB 14881</w:t>
            </w:r>
          </w:p>
        </w:tc>
        <w:tc>
          <w:tcPr>
            <w:tcW w:w="833" w:type="dxa"/>
            <w:tcBorders>
              <w:top w:val="single" w:color="000000" w:sz="4" w:space="0"/>
              <w:left w:val="single" w:color="000000" w:sz="4" w:space="0"/>
              <w:bottom w:val="single" w:color="000000" w:sz="4" w:space="0"/>
              <w:right w:val="single" w:color="000000" w:sz="4" w:space="0"/>
            </w:tcBorders>
            <w:vAlign w:val="center"/>
          </w:tcPr>
          <w:p w14:paraId="5E22B83A">
            <w:pPr>
              <w:pStyle w:val="924"/>
              <w:spacing w:line="360" w:lineRule="auto"/>
              <w:jc w:val="center"/>
              <w:rPr>
                <w:rFonts w:ascii="宋体" w:hAnsi="宋体" w:cs="宋体"/>
                <w:color w:val="auto"/>
                <w:sz w:val="24"/>
                <w:highlight w:val="none"/>
              </w:rPr>
            </w:pPr>
          </w:p>
        </w:tc>
      </w:tr>
      <w:tr w14:paraId="694D7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7A4F871E">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6</w:t>
            </w:r>
          </w:p>
        </w:tc>
        <w:tc>
          <w:tcPr>
            <w:tcW w:w="927" w:type="dxa"/>
            <w:vMerge w:val="restart"/>
            <w:tcBorders>
              <w:top w:val="single" w:color="000000" w:sz="4" w:space="0"/>
              <w:left w:val="single" w:color="000000" w:sz="4" w:space="0"/>
              <w:bottom w:val="single" w:color="000000" w:sz="4" w:space="0"/>
              <w:right w:val="single" w:color="000000" w:sz="4" w:space="0"/>
            </w:tcBorders>
            <w:vAlign w:val="center"/>
          </w:tcPr>
          <w:p w14:paraId="57FF8F7F">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贮存与运输</w:t>
            </w:r>
          </w:p>
        </w:tc>
        <w:tc>
          <w:tcPr>
            <w:tcW w:w="866" w:type="dxa"/>
            <w:tcBorders>
              <w:top w:val="single" w:color="000000" w:sz="4" w:space="0"/>
              <w:left w:val="single" w:color="000000" w:sz="4" w:space="0"/>
              <w:bottom w:val="single" w:color="000000" w:sz="4" w:space="0"/>
              <w:right w:val="single" w:color="000000" w:sz="4" w:space="0"/>
            </w:tcBorders>
            <w:vAlign w:val="center"/>
          </w:tcPr>
          <w:p w14:paraId="0230CFE2">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贮存</w:t>
            </w:r>
          </w:p>
        </w:tc>
        <w:tc>
          <w:tcPr>
            <w:tcW w:w="6307" w:type="dxa"/>
            <w:tcBorders>
              <w:top w:val="single" w:color="000000" w:sz="4" w:space="0"/>
              <w:left w:val="single" w:color="000000" w:sz="4" w:space="0"/>
              <w:bottom w:val="single" w:color="000000" w:sz="4" w:space="0"/>
              <w:right w:val="single" w:color="000000" w:sz="4" w:space="0"/>
            </w:tcBorders>
            <w:vAlign w:val="center"/>
          </w:tcPr>
          <w:p w14:paraId="25A3D54A">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冷冻产品应包装完好地贮存在-15℃至-18℃的冷库内。贮存期不超过9个月。禁止与有毒、有害、有异味物品同库贮存</w:t>
            </w:r>
          </w:p>
        </w:tc>
        <w:tc>
          <w:tcPr>
            <w:tcW w:w="833" w:type="dxa"/>
            <w:tcBorders>
              <w:top w:val="single" w:color="000000" w:sz="4" w:space="0"/>
              <w:left w:val="single" w:color="000000" w:sz="4" w:space="0"/>
              <w:bottom w:val="single" w:color="000000" w:sz="4" w:space="0"/>
              <w:right w:val="single" w:color="000000" w:sz="4" w:space="0"/>
            </w:tcBorders>
            <w:vAlign w:val="center"/>
          </w:tcPr>
          <w:p w14:paraId="193A369A">
            <w:pPr>
              <w:pStyle w:val="924"/>
              <w:spacing w:line="360" w:lineRule="auto"/>
              <w:jc w:val="center"/>
              <w:rPr>
                <w:rFonts w:ascii="宋体" w:hAnsi="宋体" w:cs="宋体"/>
                <w:color w:val="auto"/>
                <w:sz w:val="24"/>
                <w:highlight w:val="none"/>
              </w:rPr>
            </w:pPr>
          </w:p>
        </w:tc>
      </w:tr>
      <w:tr w14:paraId="6050C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5CDC0801">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7</w:t>
            </w:r>
          </w:p>
        </w:tc>
        <w:tc>
          <w:tcPr>
            <w:tcW w:w="927" w:type="dxa"/>
            <w:vMerge w:val="continue"/>
            <w:tcBorders>
              <w:top w:val="single" w:color="000000" w:sz="4" w:space="0"/>
              <w:left w:val="single" w:color="000000" w:sz="4" w:space="0"/>
              <w:bottom w:val="single" w:color="000000" w:sz="4" w:space="0"/>
              <w:right w:val="single" w:color="000000" w:sz="4" w:space="0"/>
            </w:tcBorders>
            <w:vAlign w:val="center"/>
          </w:tcPr>
          <w:p w14:paraId="002BEF40">
            <w:pPr>
              <w:widowControl/>
              <w:spacing w:line="360" w:lineRule="auto"/>
              <w:jc w:val="left"/>
              <w:rPr>
                <w:rFonts w:ascii="宋体" w:hAnsi="宋体" w:cs="宋体"/>
                <w:color w:val="auto"/>
                <w:sz w:val="24"/>
                <w:szCs w:val="24"/>
                <w:highlight w:val="none"/>
              </w:rPr>
            </w:pPr>
          </w:p>
        </w:tc>
        <w:tc>
          <w:tcPr>
            <w:tcW w:w="866" w:type="dxa"/>
            <w:tcBorders>
              <w:top w:val="single" w:color="000000" w:sz="4" w:space="0"/>
              <w:left w:val="single" w:color="000000" w:sz="4" w:space="0"/>
              <w:bottom w:val="single" w:color="000000" w:sz="4" w:space="0"/>
              <w:right w:val="single" w:color="000000" w:sz="4" w:space="0"/>
            </w:tcBorders>
            <w:vAlign w:val="center"/>
          </w:tcPr>
          <w:p w14:paraId="30861868">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运输</w:t>
            </w:r>
          </w:p>
        </w:tc>
        <w:tc>
          <w:tcPr>
            <w:tcW w:w="6307" w:type="dxa"/>
            <w:tcBorders>
              <w:top w:val="single" w:color="000000" w:sz="4" w:space="0"/>
              <w:left w:val="single" w:color="000000" w:sz="4" w:space="0"/>
              <w:bottom w:val="single" w:color="000000" w:sz="4" w:space="0"/>
              <w:right w:val="single" w:color="000000" w:sz="4" w:space="0"/>
            </w:tcBorders>
            <w:vAlign w:val="center"/>
          </w:tcPr>
          <w:p w14:paraId="2363236E">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冷冻产品应冷藏车运输。运输工具应清洁卫生，禁止与有毒、有害、有异味物品混运</w:t>
            </w:r>
          </w:p>
        </w:tc>
        <w:tc>
          <w:tcPr>
            <w:tcW w:w="833" w:type="dxa"/>
            <w:tcBorders>
              <w:top w:val="single" w:color="000000" w:sz="4" w:space="0"/>
              <w:left w:val="single" w:color="000000" w:sz="4" w:space="0"/>
              <w:bottom w:val="single" w:color="000000" w:sz="4" w:space="0"/>
              <w:right w:val="single" w:color="000000" w:sz="4" w:space="0"/>
            </w:tcBorders>
            <w:vAlign w:val="center"/>
          </w:tcPr>
          <w:p w14:paraId="2D52E610">
            <w:pPr>
              <w:pStyle w:val="924"/>
              <w:spacing w:line="360" w:lineRule="auto"/>
              <w:jc w:val="center"/>
              <w:rPr>
                <w:rFonts w:ascii="宋体" w:hAnsi="宋体" w:cs="宋体"/>
                <w:color w:val="auto"/>
                <w:sz w:val="24"/>
                <w:highlight w:val="none"/>
              </w:rPr>
            </w:pPr>
          </w:p>
        </w:tc>
      </w:tr>
    </w:tbl>
    <w:p w14:paraId="163C195C">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4.禽蛋类</w:t>
      </w:r>
    </w:p>
    <w:p w14:paraId="1AA5AAC7">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①总体要求：本次采购所需标的物为鲜鸡蛋。</w:t>
      </w:r>
      <w:r>
        <w:rPr>
          <w:rFonts w:hint="eastAsia" w:hAnsi="宋体" w:cs="宋体"/>
          <w:color w:val="auto"/>
          <w:sz w:val="24"/>
          <w:szCs w:val="24"/>
          <w:highlight w:val="none"/>
        </w:rPr>
        <w:t>投标供应商</w:t>
      </w:r>
      <w:r>
        <w:rPr>
          <w:rFonts w:hint="eastAsia" w:ascii="宋体" w:hAnsi="宋体" w:cs="宋体"/>
          <w:color w:val="auto"/>
          <w:sz w:val="24"/>
          <w:szCs w:val="24"/>
          <w:highlight w:val="none"/>
        </w:rPr>
        <w:t>保证正规的进货渠道，所供标的物必须卫生、清洁、新鲜、无污染、无假冒伪劣、无过期变质及“三无”商品，符合《中华人民共和国食品安全法》、GB 2748-2003等法规要求及相应的国标（行业）标准。</w:t>
      </w:r>
    </w:p>
    <w:p w14:paraId="60954B4A">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②具体标准：（详见附表）</w:t>
      </w:r>
    </w:p>
    <w:p w14:paraId="5A763C29">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③附表：禽蛋产品相关技术指标</w:t>
      </w:r>
    </w:p>
    <w:tbl>
      <w:tblPr>
        <w:tblStyle w:val="67"/>
        <w:tblW w:w="96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3"/>
        <w:gridCol w:w="812"/>
        <w:gridCol w:w="787"/>
        <w:gridCol w:w="6435"/>
        <w:gridCol w:w="858"/>
      </w:tblGrid>
      <w:tr w14:paraId="42DF6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04EEC86A">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1599" w:type="dxa"/>
            <w:gridSpan w:val="2"/>
            <w:tcBorders>
              <w:top w:val="single" w:color="000000" w:sz="4" w:space="0"/>
              <w:left w:val="single" w:color="000000" w:sz="4" w:space="0"/>
              <w:bottom w:val="single" w:color="000000" w:sz="4" w:space="0"/>
              <w:right w:val="single" w:color="000000" w:sz="4" w:space="0"/>
            </w:tcBorders>
            <w:vAlign w:val="center"/>
          </w:tcPr>
          <w:p w14:paraId="578B43FA">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w:t>
            </w:r>
          </w:p>
        </w:tc>
        <w:tc>
          <w:tcPr>
            <w:tcW w:w="6435" w:type="dxa"/>
            <w:tcBorders>
              <w:top w:val="single" w:color="000000" w:sz="4" w:space="0"/>
              <w:left w:val="single" w:color="000000" w:sz="4" w:space="0"/>
              <w:bottom w:val="single" w:color="000000" w:sz="4" w:space="0"/>
              <w:right w:val="single" w:color="000000" w:sz="4" w:space="0"/>
            </w:tcBorders>
            <w:vAlign w:val="center"/>
          </w:tcPr>
          <w:p w14:paraId="14BBB3E0">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标准</w:t>
            </w:r>
          </w:p>
        </w:tc>
        <w:tc>
          <w:tcPr>
            <w:tcW w:w="858" w:type="dxa"/>
            <w:tcBorders>
              <w:top w:val="single" w:color="000000" w:sz="4" w:space="0"/>
              <w:left w:val="single" w:color="000000" w:sz="4" w:space="0"/>
              <w:bottom w:val="single" w:color="000000" w:sz="4" w:space="0"/>
              <w:right w:val="single" w:color="000000" w:sz="4" w:space="0"/>
            </w:tcBorders>
            <w:vAlign w:val="center"/>
          </w:tcPr>
          <w:p w14:paraId="7FF05AFC">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备注</w:t>
            </w:r>
          </w:p>
        </w:tc>
      </w:tr>
      <w:tr w14:paraId="268D2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0EB59AF5">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1599" w:type="dxa"/>
            <w:gridSpan w:val="2"/>
            <w:tcBorders>
              <w:top w:val="single" w:color="000000" w:sz="4" w:space="0"/>
              <w:left w:val="single" w:color="000000" w:sz="4" w:space="0"/>
              <w:bottom w:val="single" w:color="000000" w:sz="4" w:space="0"/>
              <w:right w:val="single" w:color="000000" w:sz="4" w:space="0"/>
            </w:tcBorders>
            <w:vAlign w:val="center"/>
          </w:tcPr>
          <w:p w14:paraId="68064FD1">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来源</w:t>
            </w:r>
          </w:p>
        </w:tc>
        <w:tc>
          <w:tcPr>
            <w:tcW w:w="6435" w:type="dxa"/>
            <w:tcBorders>
              <w:top w:val="single" w:color="000000" w:sz="4" w:space="0"/>
              <w:left w:val="single" w:color="000000" w:sz="4" w:space="0"/>
              <w:bottom w:val="single" w:color="000000" w:sz="4" w:space="0"/>
              <w:right w:val="single" w:color="000000" w:sz="4" w:space="0"/>
            </w:tcBorders>
            <w:vAlign w:val="center"/>
          </w:tcPr>
          <w:p w14:paraId="5530E236">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禽蛋应来自非疫区禽场，蛋禽场环境条件应符合GB 18407.3的要求。蛋禽饲养中不应使用国家禁止的兽药、饲料添加剂及其他违规药品。</w:t>
            </w:r>
          </w:p>
        </w:tc>
        <w:tc>
          <w:tcPr>
            <w:tcW w:w="858" w:type="dxa"/>
            <w:tcBorders>
              <w:top w:val="single" w:color="000000" w:sz="4" w:space="0"/>
              <w:left w:val="single" w:color="000000" w:sz="4" w:space="0"/>
              <w:bottom w:val="single" w:color="000000" w:sz="4" w:space="0"/>
              <w:right w:val="single" w:color="000000" w:sz="4" w:space="0"/>
            </w:tcBorders>
            <w:vAlign w:val="center"/>
          </w:tcPr>
          <w:p w14:paraId="4F6310ED">
            <w:pPr>
              <w:pStyle w:val="924"/>
              <w:spacing w:line="360" w:lineRule="auto"/>
              <w:rPr>
                <w:rFonts w:ascii="宋体" w:hAnsi="宋体" w:cs="宋体"/>
                <w:color w:val="auto"/>
                <w:sz w:val="24"/>
                <w:highlight w:val="none"/>
              </w:rPr>
            </w:pPr>
          </w:p>
        </w:tc>
      </w:tr>
      <w:tr w14:paraId="4C918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116D1EC2">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812" w:type="dxa"/>
            <w:vMerge w:val="restart"/>
            <w:tcBorders>
              <w:top w:val="single" w:color="000000" w:sz="4" w:space="0"/>
              <w:left w:val="single" w:color="000000" w:sz="4" w:space="0"/>
              <w:bottom w:val="single" w:color="000000" w:sz="4" w:space="0"/>
              <w:right w:val="single" w:color="000000" w:sz="4" w:space="0"/>
            </w:tcBorders>
            <w:vAlign w:val="center"/>
          </w:tcPr>
          <w:p w14:paraId="2241BBB0">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感官指标</w:t>
            </w:r>
          </w:p>
        </w:tc>
        <w:tc>
          <w:tcPr>
            <w:tcW w:w="787" w:type="dxa"/>
            <w:tcBorders>
              <w:top w:val="single" w:color="000000" w:sz="4" w:space="0"/>
              <w:left w:val="single" w:color="000000" w:sz="4" w:space="0"/>
              <w:bottom w:val="single" w:color="000000" w:sz="4" w:space="0"/>
              <w:right w:val="single" w:color="000000" w:sz="4" w:space="0"/>
            </w:tcBorders>
            <w:vAlign w:val="center"/>
          </w:tcPr>
          <w:p w14:paraId="4ECA2627">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色泽</w:t>
            </w:r>
          </w:p>
        </w:tc>
        <w:tc>
          <w:tcPr>
            <w:tcW w:w="6435" w:type="dxa"/>
            <w:tcBorders>
              <w:top w:val="single" w:color="000000" w:sz="4" w:space="0"/>
              <w:left w:val="single" w:color="000000" w:sz="4" w:space="0"/>
              <w:bottom w:val="single" w:color="000000" w:sz="4" w:space="0"/>
              <w:right w:val="single" w:color="000000" w:sz="4" w:space="0"/>
            </w:tcBorders>
            <w:vAlign w:val="center"/>
          </w:tcPr>
          <w:p w14:paraId="3C26907E">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具有禽蛋固有的色泽。</w:t>
            </w:r>
          </w:p>
        </w:tc>
        <w:tc>
          <w:tcPr>
            <w:tcW w:w="858" w:type="dxa"/>
            <w:tcBorders>
              <w:top w:val="single" w:color="000000" w:sz="4" w:space="0"/>
              <w:left w:val="single" w:color="000000" w:sz="4" w:space="0"/>
              <w:bottom w:val="single" w:color="000000" w:sz="4" w:space="0"/>
              <w:right w:val="single" w:color="000000" w:sz="4" w:space="0"/>
            </w:tcBorders>
            <w:vAlign w:val="center"/>
          </w:tcPr>
          <w:p w14:paraId="2E8201F3">
            <w:pPr>
              <w:pStyle w:val="924"/>
              <w:spacing w:line="360" w:lineRule="auto"/>
              <w:jc w:val="center"/>
              <w:rPr>
                <w:rFonts w:ascii="宋体" w:hAnsi="宋体" w:cs="宋体"/>
                <w:color w:val="auto"/>
                <w:sz w:val="24"/>
                <w:highlight w:val="none"/>
              </w:rPr>
            </w:pPr>
          </w:p>
        </w:tc>
      </w:tr>
      <w:tr w14:paraId="6CCA7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062A3840">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3</w:t>
            </w:r>
          </w:p>
        </w:tc>
        <w:tc>
          <w:tcPr>
            <w:tcW w:w="812" w:type="dxa"/>
            <w:vMerge w:val="continue"/>
            <w:tcBorders>
              <w:top w:val="single" w:color="000000" w:sz="4" w:space="0"/>
              <w:left w:val="single" w:color="000000" w:sz="4" w:space="0"/>
              <w:bottom w:val="single" w:color="000000" w:sz="4" w:space="0"/>
              <w:right w:val="single" w:color="000000" w:sz="4" w:space="0"/>
            </w:tcBorders>
            <w:vAlign w:val="center"/>
          </w:tcPr>
          <w:p w14:paraId="1CBCB383">
            <w:pPr>
              <w:widowControl/>
              <w:spacing w:line="360" w:lineRule="auto"/>
              <w:jc w:val="left"/>
              <w:rPr>
                <w:rFonts w:ascii="宋体" w:hAnsi="宋体" w:cs="宋体"/>
                <w:color w:val="auto"/>
                <w:sz w:val="24"/>
                <w:szCs w:val="24"/>
                <w:highlight w:val="none"/>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0E3F6E47">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组织形态</w:t>
            </w:r>
          </w:p>
        </w:tc>
        <w:tc>
          <w:tcPr>
            <w:tcW w:w="6435" w:type="dxa"/>
            <w:tcBorders>
              <w:top w:val="single" w:color="000000" w:sz="4" w:space="0"/>
              <w:left w:val="single" w:color="000000" w:sz="4" w:space="0"/>
              <w:bottom w:val="single" w:color="000000" w:sz="4" w:space="0"/>
              <w:right w:val="single" w:color="000000" w:sz="4" w:space="0"/>
            </w:tcBorders>
            <w:vAlign w:val="center"/>
          </w:tcPr>
          <w:p w14:paraId="32764A6C">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蛋壳清洁、无破裂，打开后蛋黄凸起、完整、有韧性，蛋白澄清透明，稀稠分明。</w:t>
            </w:r>
          </w:p>
        </w:tc>
        <w:tc>
          <w:tcPr>
            <w:tcW w:w="858" w:type="dxa"/>
            <w:tcBorders>
              <w:top w:val="single" w:color="000000" w:sz="4" w:space="0"/>
              <w:left w:val="single" w:color="000000" w:sz="4" w:space="0"/>
              <w:bottom w:val="single" w:color="000000" w:sz="4" w:space="0"/>
              <w:right w:val="single" w:color="000000" w:sz="4" w:space="0"/>
            </w:tcBorders>
            <w:vAlign w:val="center"/>
          </w:tcPr>
          <w:p w14:paraId="7F11E6A6">
            <w:pPr>
              <w:pStyle w:val="924"/>
              <w:spacing w:line="360" w:lineRule="auto"/>
              <w:jc w:val="center"/>
              <w:rPr>
                <w:rFonts w:ascii="宋体" w:hAnsi="宋体" w:cs="宋体"/>
                <w:color w:val="auto"/>
                <w:sz w:val="24"/>
                <w:highlight w:val="none"/>
              </w:rPr>
            </w:pPr>
          </w:p>
        </w:tc>
      </w:tr>
      <w:tr w14:paraId="64DD9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2D65BE52">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4</w:t>
            </w:r>
          </w:p>
        </w:tc>
        <w:tc>
          <w:tcPr>
            <w:tcW w:w="812" w:type="dxa"/>
            <w:vMerge w:val="continue"/>
            <w:tcBorders>
              <w:top w:val="single" w:color="000000" w:sz="4" w:space="0"/>
              <w:left w:val="single" w:color="000000" w:sz="4" w:space="0"/>
              <w:bottom w:val="single" w:color="000000" w:sz="4" w:space="0"/>
              <w:right w:val="single" w:color="000000" w:sz="4" w:space="0"/>
            </w:tcBorders>
            <w:vAlign w:val="center"/>
          </w:tcPr>
          <w:p w14:paraId="33430EF4">
            <w:pPr>
              <w:widowControl/>
              <w:spacing w:line="360" w:lineRule="auto"/>
              <w:jc w:val="left"/>
              <w:rPr>
                <w:rFonts w:ascii="宋体" w:hAnsi="宋体" w:cs="宋体"/>
                <w:color w:val="auto"/>
                <w:sz w:val="24"/>
                <w:szCs w:val="24"/>
                <w:highlight w:val="none"/>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2EA18534">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气味</w:t>
            </w:r>
          </w:p>
        </w:tc>
        <w:tc>
          <w:tcPr>
            <w:tcW w:w="6435" w:type="dxa"/>
            <w:tcBorders>
              <w:top w:val="single" w:color="000000" w:sz="4" w:space="0"/>
              <w:left w:val="single" w:color="000000" w:sz="4" w:space="0"/>
              <w:bottom w:val="single" w:color="000000" w:sz="4" w:space="0"/>
              <w:right w:val="single" w:color="000000" w:sz="4" w:space="0"/>
            </w:tcBorders>
            <w:vAlign w:val="center"/>
          </w:tcPr>
          <w:p w14:paraId="057FD836">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具有产品固有的气味，无异味。</w:t>
            </w:r>
          </w:p>
        </w:tc>
        <w:tc>
          <w:tcPr>
            <w:tcW w:w="858" w:type="dxa"/>
            <w:tcBorders>
              <w:top w:val="single" w:color="000000" w:sz="4" w:space="0"/>
              <w:left w:val="single" w:color="000000" w:sz="4" w:space="0"/>
              <w:bottom w:val="single" w:color="000000" w:sz="4" w:space="0"/>
              <w:right w:val="single" w:color="000000" w:sz="4" w:space="0"/>
            </w:tcBorders>
            <w:vAlign w:val="center"/>
          </w:tcPr>
          <w:p w14:paraId="14964B90">
            <w:pPr>
              <w:pStyle w:val="924"/>
              <w:spacing w:line="360" w:lineRule="auto"/>
              <w:jc w:val="center"/>
              <w:rPr>
                <w:rFonts w:ascii="宋体" w:hAnsi="宋体" w:cs="宋体"/>
                <w:color w:val="auto"/>
                <w:sz w:val="24"/>
                <w:highlight w:val="none"/>
              </w:rPr>
            </w:pPr>
          </w:p>
        </w:tc>
      </w:tr>
      <w:tr w14:paraId="7255E3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2354B05D">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5</w:t>
            </w:r>
          </w:p>
        </w:tc>
        <w:tc>
          <w:tcPr>
            <w:tcW w:w="812" w:type="dxa"/>
            <w:vMerge w:val="continue"/>
            <w:tcBorders>
              <w:top w:val="single" w:color="000000" w:sz="4" w:space="0"/>
              <w:left w:val="single" w:color="000000" w:sz="4" w:space="0"/>
              <w:bottom w:val="single" w:color="000000" w:sz="4" w:space="0"/>
              <w:right w:val="single" w:color="000000" w:sz="4" w:space="0"/>
            </w:tcBorders>
            <w:vAlign w:val="center"/>
          </w:tcPr>
          <w:p w14:paraId="02FEB1FC">
            <w:pPr>
              <w:widowControl/>
              <w:spacing w:line="360" w:lineRule="auto"/>
              <w:jc w:val="left"/>
              <w:rPr>
                <w:rFonts w:ascii="宋体" w:hAnsi="宋体" w:cs="宋体"/>
                <w:color w:val="auto"/>
                <w:sz w:val="24"/>
                <w:szCs w:val="24"/>
                <w:highlight w:val="none"/>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7FFECDFC">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杂质</w:t>
            </w:r>
          </w:p>
        </w:tc>
        <w:tc>
          <w:tcPr>
            <w:tcW w:w="6435" w:type="dxa"/>
            <w:tcBorders>
              <w:top w:val="single" w:color="000000" w:sz="4" w:space="0"/>
              <w:left w:val="single" w:color="000000" w:sz="4" w:space="0"/>
              <w:bottom w:val="single" w:color="000000" w:sz="4" w:space="0"/>
              <w:right w:val="single" w:color="000000" w:sz="4" w:space="0"/>
            </w:tcBorders>
            <w:vAlign w:val="center"/>
          </w:tcPr>
          <w:p w14:paraId="6D313AA7">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无杂质，内容物不得有血块及其他鸡组织异物。</w:t>
            </w:r>
          </w:p>
        </w:tc>
        <w:tc>
          <w:tcPr>
            <w:tcW w:w="858" w:type="dxa"/>
            <w:tcBorders>
              <w:top w:val="single" w:color="000000" w:sz="4" w:space="0"/>
              <w:left w:val="single" w:color="000000" w:sz="4" w:space="0"/>
              <w:bottom w:val="single" w:color="000000" w:sz="4" w:space="0"/>
              <w:right w:val="single" w:color="000000" w:sz="4" w:space="0"/>
            </w:tcBorders>
            <w:vAlign w:val="center"/>
          </w:tcPr>
          <w:p w14:paraId="14A3FE0D">
            <w:pPr>
              <w:pStyle w:val="924"/>
              <w:spacing w:line="360" w:lineRule="auto"/>
              <w:jc w:val="center"/>
              <w:rPr>
                <w:rFonts w:ascii="宋体" w:hAnsi="宋体" w:cs="宋体"/>
                <w:color w:val="auto"/>
                <w:sz w:val="24"/>
                <w:highlight w:val="none"/>
              </w:rPr>
            </w:pPr>
          </w:p>
        </w:tc>
      </w:tr>
      <w:tr w14:paraId="4D4B3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63F481FA">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6</w:t>
            </w:r>
          </w:p>
        </w:tc>
        <w:tc>
          <w:tcPr>
            <w:tcW w:w="1599" w:type="dxa"/>
            <w:gridSpan w:val="2"/>
            <w:tcBorders>
              <w:top w:val="single" w:color="000000" w:sz="4" w:space="0"/>
              <w:left w:val="single" w:color="000000" w:sz="4" w:space="0"/>
              <w:bottom w:val="single" w:color="000000" w:sz="4" w:space="0"/>
              <w:right w:val="single" w:color="000000" w:sz="4" w:space="0"/>
            </w:tcBorders>
            <w:vAlign w:val="center"/>
          </w:tcPr>
          <w:p w14:paraId="362B3142">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理化指标</w:t>
            </w:r>
          </w:p>
        </w:tc>
        <w:tc>
          <w:tcPr>
            <w:tcW w:w="6435" w:type="dxa"/>
            <w:tcBorders>
              <w:top w:val="single" w:color="000000" w:sz="4" w:space="0"/>
              <w:left w:val="single" w:color="000000" w:sz="4" w:space="0"/>
              <w:bottom w:val="single" w:color="000000" w:sz="4" w:space="0"/>
              <w:right w:val="single" w:color="000000" w:sz="4" w:space="0"/>
            </w:tcBorders>
            <w:vAlign w:val="center"/>
          </w:tcPr>
          <w:p w14:paraId="320D77DC">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参照GB 2748-2003国家标准</w:t>
            </w:r>
          </w:p>
        </w:tc>
        <w:tc>
          <w:tcPr>
            <w:tcW w:w="858" w:type="dxa"/>
            <w:tcBorders>
              <w:top w:val="single" w:color="000000" w:sz="4" w:space="0"/>
              <w:left w:val="single" w:color="000000" w:sz="4" w:space="0"/>
              <w:bottom w:val="single" w:color="000000" w:sz="4" w:space="0"/>
              <w:right w:val="single" w:color="000000" w:sz="4" w:space="0"/>
            </w:tcBorders>
            <w:vAlign w:val="center"/>
          </w:tcPr>
          <w:p w14:paraId="49BC0651">
            <w:pPr>
              <w:pStyle w:val="924"/>
              <w:spacing w:line="360" w:lineRule="auto"/>
              <w:jc w:val="center"/>
              <w:rPr>
                <w:rFonts w:ascii="宋体" w:hAnsi="宋体" w:cs="宋体"/>
                <w:color w:val="auto"/>
                <w:sz w:val="24"/>
                <w:highlight w:val="none"/>
              </w:rPr>
            </w:pPr>
          </w:p>
        </w:tc>
      </w:tr>
      <w:tr w14:paraId="55E52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58BBF662">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7</w:t>
            </w:r>
          </w:p>
        </w:tc>
        <w:tc>
          <w:tcPr>
            <w:tcW w:w="1599" w:type="dxa"/>
            <w:gridSpan w:val="2"/>
            <w:tcBorders>
              <w:top w:val="single" w:color="000000" w:sz="4" w:space="0"/>
              <w:left w:val="single" w:color="000000" w:sz="4" w:space="0"/>
              <w:bottom w:val="single" w:color="000000" w:sz="4" w:space="0"/>
              <w:right w:val="single" w:color="000000" w:sz="4" w:space="0"/>
            </w:tcBorders>
            <w:vAlign w:val="center"/>
          </w:tcPr>
          <w:p w14:paraId="3DE7E1F9">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食品添加剂</w:t>
            </w:r>
          </w:p>
        </w:tc>
        <w:tc>
          <w:tcPr>
            <w:tcW w:w="6435" w:type="dxa"/>
            <w:tcBorders>
              <w:top w:val="single" w:color="000000" w:sz="4" w:space="0"/>
              <w:left w:val="single" w:color="000000" w:sz="4" w:space="0"/>
              <w:bottom w:val="single" w:color="000000" w:sz="4" w:space="0"/>
              <w:right w:val="single" w:color="000000" w:sz="4" w:space="0"/>
            </w:tcBorders>
            <w:vAlign w:val="center"/>
          </w:tcPr>
          <w:p w14:paraId="03D4D52B">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食品添加剂质量符合相应的标准和有关规定。食品添加剂的品种和使用量应符合GB 2760的规定。</w:t>
            </w:r>
          </w:p>
        </w:tc>
        <w:tc>
          <w:tcPr>
            <w:tcW w:w="858" w:type="dxa"/>
            <w:tcBorders>
              <w:top w:val="single" w:color="000000" w:sz="4" w:space="0"/>
              <w:left w:val="single" w:color="000000" w:sz="4" w:space="0"/>
              <w:bottom w:val="single" w:color="000000" w:sz="4" w:space="0"/>
              <w:right w:val="single" w:color="000000" w:sz="4" w:space="0"/>
            </w:tcBorders>
            <w:vAlign w:val="center"/>
          </w:tcPr>
          <w:p w14:paraId="17027F95">
            <w:pPr>
              <w:pStyle w:val="924"/>
              <w:spacing w:line="360" w:lineRule="auto"/>
              <w:jc w:val="center"/>
              <w:rPr>
                <w:rFonts w:ascii="宋体" w:hAnsi="宋体" w:cs="宋体"/>
                <w:color w:val="auto"/>
                <w:sz w:val="24"/>
                <w:highlight w:val="none"/>
              </w:rPr>
            </w:pPr>
          </w:p>
        </w:tc>
      </w:tr>
      <w:tr w14:paraId="0FB32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53894F04">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8</w:t>
            </w:r>
          </w:p>
        </w:tc>
        <w:tc>
          <w:tcPr>
            <w:tcW w:w="812" w:type="dxa"/>
            <w:vMerge w:val="restart"/>
            <w:tcBorders>
              <w:top w:val="single" w:color="000000" w:sz="4" w:space="0"/>
              <w:left w:val="single" w:color="000000" w:sz="4" w:space="0"/>
              <w:bottom w:val="single" w:color="000000" w:sz="4" w:space="0"/>
              <w:right w:val="single" w:color="000000" w:sz="4" w:space="0"/>
            </w:tcBorders>
            <w:vAlign w:val="center"/>
          </w:tcPr>
          <w:p w14:paraId="55A92072">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贮存及运输</w:t>
            </w:r>
          </w:p>
        </w:tc>
        <w:tc>
          <w:tcPr>
            <w:tcW w:w="787" w:type="dxa"/>
            <w:tcBorders>
              <w:top w:val="single" w:color="000000" w:sz="4" w:space="0"/>
              <w:left w:val="single" w:color="000000" w:sz="4" w:space="0"/>
              <w:bottom w:val="single" w:color="000000" w:sz="4" w:space="0"/>
              <w:right w:val="single" w:color="000000" w:sz="4" w:space="0"/>
            </w:tcBorders>
            <w:vAlign w:val="center"/>
          </w:tcPr>
          <w:p w14:paraId="544EA701">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贮存</w:t>
            </w:r>
          </w:p>
        </w:tc>
        <w:tc>
          <w:tcPr>
            <w:tcW w:w="6435" w:type="dxa"/>
            <w:tcBorders>
              <w:top w:val="single" w:color="000000" w:sz="4" w:space="0"/>
              <w:left w:val="single" w:color="000000" w:sz="4" w:space="0"/>
              <w:bottom w:val="single" w:color="000000" w:sz="4" w:space="0"/>
              <w:right w:val="single" w:color="000000" w:sz="4" w:space="0"/>
            </w:tcBorders>
            <w:vAlign w:val="center"/>
          </w:tcPr>
          <w:p w14:paraId="6869B949">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产品入库前破壳蛋应及时清除，产品应贮存在阴凉、干燥、通风良好的场所，贮存冷库温度为-1℃至0℃。不得与有毒、有害、有异味、易挥发、易腐蚀的物品同处贮存。</w:t>
            </w:r>
          </w:p>
        </w:tc>
        <w:tc>
          <w:tcPr>
            <w:tcW w:w="858" w:type="dxa"/>
            <w:tcBorders>
              <w:top w:val="single" w:color="000000" w:sz="4" w:space="0"/>
              <w:left w:val="single" w:color="000000" w:sz="4" w:space="0"/>
              <w:bottom w:val="single" w:color="000000" w:sz="4" w:space="0"/>
              <w:right w:val="single" w:color="000000" w:sz="4" w:space="0"/>
            </w:tcBorders>
            <w:vAlign w:val="center"/>
          </w:tcPr>
          <w:p w14:paraId="3AF62340">
            <w:pPr>
              <w:pStyle w:val="924"/>
              <w:spacing w:line="360" w:lineRule="auto"/>
              <w:jc w:val="center"/>
              <w:rPr>
                <w:rFonts w:ascii="宋体" w:hAnsi="宋体" w:cs="宋体"/>
                <w:color w:val="auto"/>
                <w:sz w:val="24"/>
                <w:highlight w:val="none"/>
              </w:rPr>
            </w:pPr>
          </w:p>
        </w:tc>
      </w:tr>
      <w:tr w14:paraId="76401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65E519BC">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9</w:t>
            </w:r>
          </w:p>
        </w:tc>
        <w:tc>
          <w:tcPr>
            <w:tcW w:w="812" w:type="dxa"/>
            <w:vMerge w:val="continue"/>
            <w:tcBorders>
              <w:top w:val="single" w:color="000000" w:sz="4" w:space="0"/>
              <w:left w:val="single" w:color="000000" w:sz="4" w:space="0"/>
              <w:bottom w:val="single" w:color="000000" w:sz="4" w:space="0"/>
              <w:right w:val="single" w:color="000000" w:sz="4" w:space="0"/>
            </w:tcBorders>
            <w:vAlign w:val="center"/>
          </w:tcPr>
          <w:p w14:paraId="21192986">
            <w:pPr>
              <w:widowControl/>
              <w:spacing w:line="360" w:lineRule="auto"/>
              <w:jc w:val="left"/>
              <w:rPr>
                <w:rFonts w:ascii="宋体" w:hAnsi="宋体" w:cs="宋体"/>
                <w:color w:val="auto"/>
                <w:sz w:val="24"/>
                <w:szCs w:val="24"/>
                <w:highlight w:val="none"/>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5D5AC68E">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运输</w:t>
            </w:r>
          </w:p>
        </w:tc>
        <w:tc>
          <w:tcPr>
            <w:tcW w:w="6435" w:type="dxa"/>
            <w:tcBorders>
              <w:top w:val="single" w:color="000000" w:sz="4" w:space="0"/>
              <w:left w:val="single" w:color="000000" w:sz="4" w:space="0"/>
              <w:bottom w:val="single" w:color="000000" w:sz="4" w:space="0"/>
              <w:right w:val="single" w:color="000000" w:sz="4" w:space="0"/>
            </w:tcBorders>
            <w:vAlign w:val="center"/>
          </w:tcPr>
          <w:p w14:paraId="7E801D5C">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运输产品时应避免日晒、雨淋。不得与有毒、有害、有异味或影响产品质量的物品混装运输。搬运过程应轻拿轻放。</w:t>
            </w:r>
          </w:p>
        </w:tc>
        <w:tc>
          <w:tcPr>
            <w:tcW w:w="858" w:type="dxa"/>
            <w:tcBorders>
              <w:top w:val="single" w:color="000000" w:sz="4" w:space="0"/>
              <w:left w:val="single" w:color="000000" w:sz="4" w:space="0"/>
              <w:bottom w:val="single" w:color="000000" w:sz="4" w:space="0"/>
              <w:right w:val="single" w:color="000000" w:sz="4" w:space="0"/>
            </w:tcBorders>
            <w:vAlign w:val="center"/>
          </w:tcPr>
          <w:p w14:paraId="13F34238">
            <w:pPr>
              <w:pStyle w:val="924"/>
              <w:spacing w:line="360" w:lineRule="auto"/>
              <w:jc w:val="center"/>
              <w:rPr>
                <w:rFonts w:ascii="宋体" w:hAnsi="宋体" w:cs="宋体"/>
                <w:color w:val="auto"/>
                <w:sz w:val="24"/>
                <w:highlight w:val="none"/>
              </w:rPr>
            </w:pPr>
          </w:p>
        </w:tc>
      </w:tr>
    </w:tbl>
    <w:p w14:paraId="1303F672">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5.蔬菜类：</w:t>
      </w:r>
    </w:p>
    <w:tbl>
      <w:tblPr>
        <w:tblStyle w:val="67"/>
        <w:tblpPr w:leftFromText="180" w:rightFromText="180" w:vertAnchor="text" w:horzAnchor="page" w:tblpXSpec="center" w:tblpY="2467"/>
        <w:tblOverlap w:val="never"/>
        <w:tblW w:w="9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4"/>
        <w:gridCol w:w="1993"/>
        <w:gridCol w:w="6493"/>
        <w:gridCol w:w="740"/>
      </w:tblGrid>
      <w:tr w14:paraId="5A3E1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474" w:type="dxa"/>
            <w:vAlign w:val="center"/>
          </w:tcPr>
          <w:p w14:paraId="1A123C79">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1993" w:type="dxa"/>
            <w:vAlign w:val="center"/>
          </w:tcPr>
          <w:p w14:paraId="48A6A541">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货物种类</w:t>
            </w:r>
          </w:p>
        </w:tc>
        <w:tc>
          <w:tcPr>
            <w:tcW w:w="6493" w:type="dxa"/>
            <w:vAlign w:val="center"/>
          </w:tcPr>
          <w:p w14:paraId="3C1E8A67">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质量要求标准</w:t>
            </w:r>
          </w:p>
        </w:tc>
        <w:tc>
          <w:tcPr>
            <w:tcW w:w="740" w:type="dxa"/>
            <w:vAlign w:val="center"/>
          </w:tcPr>
          <w:p w14:paraId="7AB05872">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备注</w:t>
            </w:r>
          </w:p>
        </w:tc>
      </w:tr>
      <w:tr w14:paraId="28C59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474" w:type="dxa"/>
            <w:vAlign w:val="center"/>
          </w:tcPr>
          <w:p w14:paraId="1ABCAB37">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993" w:type="dxa"/>
            <w:vAlign w:val="center"/>
          </w:tcPr>
          <w:p w14:paraId="530120DD">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叶菜类</w:t>
            </w:r>
          </w:p>
        </w:tc>
        <w:tc>
          <w:tcPr>
            <w:tcW w:w="6493" w:type="dxa"/>
            <w:vAlign w:val="center"/>
          </w:tcPr>
          <w:p w14:paraId="6D56ADDA">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外形正常，叶梗光滑幼嫩，不干瘪凋萎，无过多黄叶，色泽正常。去除根须，不含土，无虫害，大白菜、卷心菜切开，菜心不变黑，无腐烂情形，无明显浸水现象；农药残留不超标。</w:t>
            </w:r>
          </w:p>
        </w:tc>
        <w:tc>
          <w:tcPr>
            <w:tcW w:w="740" w:type="dxa"/>
            <w:vMerge w:val="restart"/>
            <w:vAlign w:val="center"/>
          </w:tcPr>
          <w:p w14:paraId="31586FCB">
            <w:pPr>
              <w:spacing w:line="360" w:lineRule="auto"/>
              <w:rPr>
                <w:rFonts w:ascii="宋体" w:hAnsi="宋体" w:cs="宋体"/>
                <w:color w:val="auto"/>
                <w:sz w:val="24"/>
                <w:szCs w:val="24"/>
                <w:highlight w:val="none"/>
              </w:rPr>
            </w:pPr>
          </w:p>
        </w:tc>
      </w:tr>
      <w:tr w14:paraId="42BE6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474" w:type="dxa"/>
            <w:vAlign w:val="center"/>
          </w:tcPr>
          <w:p w14:paraId="3E8A0F07">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993" w:type="dxa"/>
            <w:vAlign w:val="center"/>
          </w:tcPr>
          <w:p w14:paraId="516F59D5">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根茎类。如香芋、土豆、莴笋</w:t>
            </w:r>
          </w:p>
        </w:tc>
        <w:tc>
          <w:tcPr>
            <w:tcW w:w="6493" w:type="dxa"/>
            <w:vAlign w:val="center"/>
          </w:tcPr>
          <w:p w14:paraId="37D61580">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无虫咬、发芽、发霉现象，新鲜，形态大小与招标人自购标准相当。农药残留不超标。</w:t>
            </w:r>
          </w:p>
        </w:tc>
        <w:tc>
          <w:tcPr>
            <w:tcW w:w="740" w:type="dxa"/>
            <w:vMerge w:val="continue"/>
            <w:vAlign w:val="center"/>
          </w:tcPr>
          <w:p w14:paraId="2B03902A">
            <w:pPr>
              <w:spacing w:line="360" w:lineRule="auto"/>
              <w:rPr>
                <w:rFonts w:ascii="宋体" w:hAnsi="宋体" w:cs="宋体"/>
                <w:color w:val="auto"/>
                <w:sz w:val="24"/>
                <w:szCs w:val="24"/>
                <w:highlight w:val="none"/>
              </w:rPr>
            </w:pPr>
          </w:p>
        </w:tc>
      </w:tr>
      <w:tr w14:paraId="1BBC0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474" w:type="dxa"/>
            <w:vAlign w:val="center"/>
          </w:tcPr>
          <w:p w14:paraId="1E37C1EC">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1993" w:type="dxa"/>
            <w:vAlign w:val="center"/>
          </w:tcPr>
          <w:p w14:paraId="5C173E2B">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花果类。如西兰花、白菜花</w:t>
            </w:r>
          </w:p>
        </w:tc>
        <w:tc>
          <w:tcPr>
            <w:tcW w:w="6493" w:type="dxa"/>
            <w:vAlign w:val="center"/>
          </w:tcPr>
          <w:p w14:paraId="02B8E3BF">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无虫害，成熟度良好，新鲜固有的色泽鲜明，无发霉发黄。农药残留不超标。</w:t>
            </w:r>
          </w:p>
        </w:tc>
        <w:tc>
          <w:tcPr>
            <w:tcW w:w="740" w:type="dxa"/>
            <w:vMerge w:val="continue"/>
            <w:vAlign w:val="center"/>
          </w:tcPr>
          <w:p w14:paraId="0A05CDFD">
            <w:pPr>
              <w:spacing w:line="360" w:lineRule="auto"/>
              <w:rPr>
                <w:rFonts w:ascii="宋体" w:hAnsi="宋体" w:cs="宋体"/>
                <w:color w:val="auto"/>
                <w:sz w:val="24"/>
                <w:szCs w:val="24"/>
                <w:highlight w:val="none"/>
              </w:rPr>
            </w:pPr>
          </w:p>
        </w:tc>
      </w:tr>
      <w:tr w14:paraId="2A254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474" w:type="dxa"/>
            <w:vAlign w:val="center"/>
          </w:tcPr>
          <w:p w14:paraId="186C0B60">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1993" w:type="dxa"/>
            <w:vAlign w:val="center"/>
          </w:tcPr>
          <w:p w14:paraId="03FD2C65">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瓜果类</w:t>
            </w:r>
          </w:p>
        </w:tc>
        <w:tc>
          <w:tcPr>
            <w:tcW w:w="6493" w:type="dxa"/>
            <w:vAlign w:val="center"/>
          </w:tcPr>
          <w:p w14:paraId="229CD79A">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外表光亮无斑点，有新鲜连接的秧，形状正常、大小均匀，无软塌，成熟度适度。无腐烂，无污染，清洁、新鲜，无异味、无病虫损害。农药残留不超标。</w:t>
            </w:r>
          </w:p>
        </w:tc>
        <w:tc>
          <w:tcPr>
            <w:tcW w:w="740" w:type="dxa"/>
            <w:vMerge w:val="continue"/>
            <w:vAlign w:val="center"/>
          </w:tcPr>
          <w:p w14:paraId="7607F3EA">
            <w:pPr>
              <w:spacing w:line="360" w:lineRule="auto"/>
              <w:rPr>
                <w:rFonts w:ascii="宋体" w:hAnsi="宋体" w:cs="宋体"/>
                <w:color w:val="auto"/>
                <w:sz w:val="24"/>
                <w:szCs w:val="24"/>
                <w:highlight w:val="none"/>
              </w:rPr>
            </w:pPr>
          </w:p>
        </w:tc>
      </w:tr>
    </w:tbl>
    <w:p w14:paraId="73FCA52D">
      <w:pPr>
        <w:spacing w:line="360" w:lineRule="auto"/>
        <w:ind w:firstLine="470" w:firstLineChars="196"/>
        <w:rPr>
          <w:rFonts w:ascii="宋体" w:hAnsi="宋体" w:cs="宋体"/>
          <w:bCs/>
          <w:color w:val="auto"/>
          <w:sz w:val="24"/>
          <w:szCs w:val="24"/>
          <w:highlight w:val="none"/>
        </w:rPr>
      </w:pPr>
      <w:r>
        <w:rPr>
          <w:rFonts w:hint="eastAsia" w:ascii="宋体" w:hAnsi="宋体" w:cs="宋体"/>
          <w:color w:val="auto"/>
          <w:sz w:val="24"/>
          <w:szCs w:val="24"/>
          <w:highlight w:val="none"/>
        </w:rPr>
        <w:t>本次采购所供应为日常生活常用蔬菜，</w:t>
      </w:r>
      <w:r>
        <w:rPr>
          <w:rFonts w:hint="eastAsia" w:hAnsi="宋体" w:cs="宋体"/>
          <w:color w:val="auto"/>
          <w:sz w:val="24"/>
          <w:szCs w:val="24"/>
          <w:highlight w:val="none"/>
        </w:rPr>
        <w:t>投标供应商</w:t>
      </w:r>
      <w:r>
        <w:rPr>
          <w:rFonts w:hint="eastAsia" w:ascii="宋体" w:hAnsi="宋体" w:cs="宋体"/>
          <w:color w:val="auto"/>
          <w:sz w:val="24"/>
          <w:szCs w:val="24"/>
          <w:highlight w:val="none"/>
        </w:rPr>
        <w:t>保证蔬菜新鲜，不得采用催熟等手段。投标</w:t>
      </w:r>
      <w:r>
        <w:rPr>
          <w:rFonts w:hint="eastAsia" w:hAnsi="宋体" w:cs="宋体"/>
          <w:color w:val="auto"/>
          <w:sz w:val="24"/>
          <w:szCs w:val="24"/>
          <w:highlight w:val="none"/>
        </w:rPr>
        <w:t>供应商</w:t>
      </w:r>
      <w:r>
        <w:rPr>
          <w:rFonts w:hint="eastAsia" w:ascii="宋体" w:hAnsi="宋体" w:cs="宋体"/>
          <w:color w:val="auto"/>
          <w:sz w:val="24"/>
          <w:szCs w:val="24"/>
          <w:highlight w:val="none"/>
        </w:rPr>
        <w:t>保证正规的进货渠道，所供标的物必须卫生、清洁、新鲜、无污染、无过期变质，符合《中华人民共和国食品安全法》、GB 2748-2003等法规要求及相应的国标（行业）标准。</w:t>
      </w:r>
    </w:p>
    <w:p w14:paraId="3E599EFE">
      <w:pPr>
        <w:numPr>
          <w:ilvl w:val="0"/>
          <w:numId w:val="17"/>
        </w:num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米、油、调料类</w:t>
      </w:r>
      <w:r>
        <w:rPr>
          <w:rFonts w:hint="eastAsia" w:hAnsi="宋体" w:cs="宋体"/>
          <w:color w:val="auto"/>
          <w:sz w:val="24"/>
          <w:szCs w:val="24"/>
          <w:highlight w:val="none"/>
        </w:rPr>
        <w:t>：</w:t>
      </w:r>
    </w:p>
    <w:p w14:paraId="0F3542A1">
      <w:pPr>
        <w:numPr>
          <w:ilvl w:val="0"/>
          <w:numId w:val="17"/>
        </w:numPr>
        <w:spacing w:line="360" w:lineRule="auto"/>
        <w:ind w:firstLine="470" w:firstLineChars="196"/>
        <w:rPr>
          <w:rFonts w:ascii="宋体" w:hAnsi="宋体" w:cs="宋体"/>
          <w:bCs/>
          <w:color w:val="auto"/>
          <w:sz w:val="24"/>
          <w:szCs w:val="24"/>
          <w:highlight w:val="none"/>
        </w:rPr>
      </w:pPr>
      <w:r>
        <w:rPr>
          <w:rFonts w:hint="eastAsia" w:ascii="宋体" w:hAnsi="宋体" w:cs="宋体"/>
          <w:color w:val="auto"/>
          <w:sz w:val="24"/>
          <w:szCs w:val="24"/>
          <w:highlight w:val="none"/>
        </w:rPr>
        <w:t>大米、食用油、面粉必须符合最新国标规范标准，送货时应附有检测报告</w:t>
      </w:r>
      <w:r>
        <w:rPr>
          <w:rFonts w:hint="eastAsia" w:ascii="宋体" w:hAnsi="宋体" w:cs="宋体"/>
          <w:bCs/>
          <w:color w:val="auto"/>
          <w:sz w:val="24"/>
          <w:szCs w:val="24"/>
          <w:highlight w:val="none"/>
        </w:rPr>
        <w:t>。</w:t>
      </w:r>
      <w:r>
        <w:rPr>
          <w:rFonts w:hint="eastAsia" w:hAnsi="宋体" w:cs="宋体"/>
          <w:color w:val="auto"/>
          <w:sz w:val="24"/>
          <w:szCs w:val="24"/>
          <w:highlight w:val="none"/>
        </w:rPr>
        <w:t>投标供应商</w:t>
      </w:r>
      <w:r>
        <w:rPr>
          <w:rFonts w:hint="eastAsia" w:ascii="宋体" w:hAnsi="宋体" w:cs="宋体"/>
          <w:color w:val="auto"/>
          <w:sz w:val="24"/>
          <w:szCs w:val="24"/>
          <w:highlight w:val="none"/>
        </w:rPr>
        <w:t>保证正规的进货渠道，所供标的物必须卫生、清洁、新鲜、无污染、无假冒伪劣、无过期变质及“三无”商品，符合《中华人民共和国食品安全法》、GB 2748-2003等法规要求及相应的国标（行业）标准。</w:t>
      </w:r>
    </w:p>
    <w:tbl>
      <w:tblPr>
        <w:tblStyle w:val="67"/>
        <w:tblW w:w="9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2807"/>
        <w:gridCol w:w="1446"/>
        <w:gridCol w:w="1354"/>
        <w:gridCol w:w="3153"/>
      </w:tblGrid>
      <w:tr w14:paraId="29994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960" w:type="dxa"/>
            <w:tcBorders>
              <w:tl2br w:val="nil"/>
              <w:tr2bl w:val="nil"/>
            </w:tcBorders>
            <w:shd w:val="clear" w:color="auto" w:fill="auto"/>
            <w:noWrap/>
            <w:vAlign w:val="center"/>
          </w:tcPr>
          <w:p w14:paraId="0949D17D">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2807" w:type="dxa"/>
            <w:tcBorders>
              <w:tl2br w:val="nil"/>
              <w:tr2bl w:val="nil"/>
            </w:tcBorders>
            <w:shd w:val="clear" w:color="auto" w:fill="auto"/>
            <w:vAlign w:val="center"/>
          </w:tcPr>
          <w:p w14:paraId="6FF66852">
            <w:pPr>
              <w:widowControl/>
              <w:adjustRightInd w:val="0"/>
              <w:snapToGrid w:val="0"/>
              <w:spacing w:after="200"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品名</w:t>
            </w:r>
          </w:p>
        </w:tc>
        <w:tc>
          <w:tcPr>
            <w:tcW w:w="1446" w:type="dxa"/>
            <w:tcBorders>
              <w:tl2br w:val="nil"/>
              <w:tr2bl w:val="nil"/>
            </w:tcBorders>
            <w:shd w:val="clear" w:color="auto" w:fill="auto"/>
            <w:vAlign w:val="center"/>
          </w:tcPr>
          <w:p w14:paraId="5B0D0FAB">
            <w:pPr>
              <w:widowControl/>
              <w:adjustRightInd w:val="0"/>
              <w:snapToGrid w:val="0"/>
              <w:spacing w:after="200"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规格</w:t>
            </w:r>
          </w:p>
        </w:tc>
        <w:tc>
          <w:tcPr>
            <w:tcW w:w="1354" w:type="dxa"/>
            <w:tcBorders>
              <w:tl2br w:val="nil"/>
              <w:tr2bl w:val="nil"/>
            </w:tcBorders>
            <w:shd w:val="clear" w:color="auto" w:fill="auto"/>
            <w:noWrap/>
            <w:vAlign w:val="center"/>
          </w:tcPr>
          <w:p w14:paraId="1F1EF2F5">
            <w:pPr>
              <w:widowControl/>
              <w:adjustRightInd w:val="0"/>
              <w:snapToGrid w:val="0"/>
              <w:spacing w:after="200"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单位</w:t>
            </w:r>
          </w:p>
        </w:tc>
        <w:tc>
          <w:tcPr>
            <w:tcW w:w="3153" w:type="dxa"/>
            <w:tcBorders>
              <w:tl2br w:val="nil"/>
              <w:tr2bl w:val="nil"/>
            </w:tcBorders>
            <w:shd w:val="clear" w:color="auto" w:fill="auto"/>
            <w:vAlign w:val="center"/>
          </w:tcPr>
          <w:p w14:paraId="015B60B2">
            <w:pPr>
              <w:widowControl/>
              <w:adjustRightInd w:val="0"/>
              <w:snapToGrid w:val="0"/>
              <w:spacing w:after="200"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参考品牌</w:t>
            </w:r>
            <w:r>
              <w:rPr>
                <w:rFonts w:hint="eastAsia" w:hAnsi="宋体" w:cs="宋体"/>
                <w:b/>
                <w:bCs/>
                <w:color w:val="auto"/>
                <w:sz w:val="24"/>
                <w:szCs w:val="24"/>
                <w:highlight w:val="none"/>
              </w:rPr>
              <w:t>（包括但不限于）</w:t>
            </w:r>
          </w:p>
        </w:tc>
      </w:tr>
      <w:tr w14:paraId="1F5EC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79831CA0">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2807" w:type="dxa"/>
            <w:tcBorders>
              <w:tl2br w:val="nil"/>
              <w:tr2bl w:val="nil"/>
            </w:tcBorders>
            <w:shd w:val="clear" w:color="auto" w:fill="auto"/>
            <w:vAlign w:val="center"/>
          </w:tcPr>
          <w:p w14:paraId="35EE168E">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葵花籽油</w:t>
            </w:r>
          </w:p>
        </w:tc>
        <w:tc>
          <w:tcPr>
            <w:tcW w:w="1446" w:type="dxa"/>
            <w:tcBorders>
              <w:tl2br w:val="nil"/>
              <w:tr2bl w:val="nil"/>
            </w:tcBorders>
            <w:shd w:val="clear" w:color="auto" w:fill="auto"/>
            <w:vAlign w:val="center"/>
          </w:tcPr>
          <w:p w14:paraId="09E42187">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5L</w:t>
            </w:r>
          </w:p>
        </w:tc>
        <w:tc>
          <w:tcPr>
            <w:tcW w:w="1354" w:type="dxa"/>
            <w:tcBorders>
              <w:tl2br w:val="nil"/>
              <w:tr2bl w:val="nil"/>
            </w:tcBorders>
            <w:shd w:val="clear" w:color="auto" w:fill="auto"/>
            <w:noWrap/>
            <w:vAlign w:val="center"/>
          </w:tcPr>
          <w:p w14:paraId="0FE6E6A7">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桶</w:t>
            </w:r>
          </w:p>
        </w:tc>
        <w:tc>
          <w:tcPr>
            <w:tcW w:w="3153" w:type="dxa"/>
            <w:tcBorders>
              <w:tl2br w:val="nil"/>
              <w:tr2bl w:val="nil"/>
            </w:tcBorders>
            <w:shd w:val="clear" w:color="auto" w:fill="auto"/>
            <w:vAlign w:val="center"/>
          </w:tcPr>
          <w:p w14:paraId="282B4765">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多力、福临门、鲁花</w:t>
            </w:r>
          </w:p>
        </w:tc>
      </w:tr>
      <w:tr w14:paraId="135CF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11EE6005">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2807" w:type="dxa"/>
            <w:tcBorders>
              <w:tl2br w:val="nil"/>
              <w:tr2bl w:val="nil"/>
            </w:tcBorders>
            <w:shd w:val="clear" w:color="auto" w:fill="auto"/>
            <w:vAlign w:val="center"/>
          </w:tcPr>
          <w:p w14:paraId="00E66A4D">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压榨葵花籽油</w:t>
            </w:r>
          </w:p>
        </w:tc>
        <w:tc>
          <w:tcPr>
            <w:tcW w:w="1446" w:type="dxa"/>
            <w:tcBorders>
              <w:tl2br w:val="nil"/>
              <w:tr2bl w:val="nil"/>
            </w:tcBorders>
            <w:shd w:val="clear" w:color="auto" w:fill="auto"/>
            <w:vAlign w:val="center"/>
          </w:tcPr>
          <w:p w14:paraId="2288AE38">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5L</w:t>
            </w:r>
          </w:p>
        </w:tc>
        <w:tc>
          <w:tcPr>
            <w:tcW w:w="1354" w:type="dxa"/>
            <w:tcBorders>
              <w:tl2br w:val="nil"/>
              <w:tr2bl w:val="nil"/>
            </w:tcBorders>
            <w:shd w:val="clear" w:color="auto" w:fill="auto"/>
            <w:noWrap/>
            <w:vAlign w:val="center"/>
          </w:tcPr>
          <w:p w14:paraId="70904E31">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桶</w:t>
            </w:r>
          </w:p>
        </w:tc>
        <w:tc>
          <w:tcPr>
            <w:tcW w:w="3153" w:type="dxa"/>
            <w:tcBorders>
              <w:tl2br w:val="nil"/>
              <w:tr2bl w:val="nil"/>
            </w:tcBorders>
            <w:shd w:val="clear" w:color="auto" w:fill="auto"/>
            <w:vAlign w:val="center"/>
          </w:tcPr>
          <w:p w14:paraId="6B14ADD0">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福临门、多力、鲁花</w:t>
            </w:r>
          </w:p>
        </w:tc>
      </w:tr>
      <w:tr w14:paraId="39CB9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719B2FD0">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2807" w:type="dxa"/>
            <w:tcBorders>
              <w:tl2br w:val="nil"/>
              <w:tr2bl w:val="nil"/>
            </w:tcBorders>
            <w:shd w:val="clear" w:color="auto" w:fill="auto"/>
            <w:vAlign w:val="center"/>
          </w:tcPr>
          <w:p w14:paraId="69861FD1">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非转基因一级大豆油</w:t>
            </w:r>
          </w:p>
        </w:tc>
        <w:tc>
          <w:tcPr>
            <w:tcW w:w="1446" w:type="dxa"/>
            <w:tcBorders>
              <w:tl2br w:val="nil"/>
              <w:tr2bl w:val="nil"/>
            </w:tcBorders>
            <w:shd w:val="clear" w:color="auto" w:fill="auto"/>
            <w:vAlign w:val="center"/>
          </w:tcPr>
          <w:p w14:paraId="597F8C6F">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5L</w:t>
            </w:r>
          </w:p>
        </w:tc>
        <w:tc>
          <w:tcPr>
            <w:tcW w:w="1354" w:type="dxa"/>
            <w:tcBorders>
              <w:tl2br w:val="nil"/>
              <w:tr2bl w:val="nil"/>
            </w:tcBorders>
            <w:shd w:val="clear" w:color="auto" w:fill="auto"/>
            <w:noWrap/>
            <w:vAlign w:val="center"/>
          </w:tcPr>
          <w:p w14:paraId="0D3B73AA">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桶</w:t>
            </w:r>
          </w:p>
        </w:tc>
        <w:tc>
          <w:tcPr>
            <w:tcW w:w="3153" w:type="dxa"/>
            <w:tcBorders>
              <w:tl2br w:val="nil"/>
              <w:tr2bl w:val="nil"/>
            </w:tcBorders>
            <w:shd w:val="clear" w:color="auto" w:fill="auto"/>
            <w:vAlign w:val="center"/>
          </w:tcPr>
          <w:p w14:paraId="3CD10578">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MC、福临门、鲁花</w:t>
            </w:r>
          </w:p>
        </w:tc>
      </w:tr>
      <w:tr w14:paraId="7C881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523BBED6">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2807" w:type="dxa"/>
            <w:tcBorders>
              <w:tl2br w:val="nil"/>
              <w:tr2bl w:val="nil"/>
            </w:tcBorders>
            <w:shd w:val="clear" w:color="auto" w:fill="auto"/>
            <w:vAlign w:val="center"/>
          </w:tcPr>
          <w:p w14:paraId="5914EF68">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非转基因大豆油</w:t>
            </w:r>
          </w:p>
        </w:tc>
        <w:tc>
          <w:tcPr>
            <w:tcW w:w="1446" w:type="dxa"/>
            <w:tcBorders>
              <w:tl2br w:val="nil"/>
              <w:tr2bl w:val="nil"/>
            </w:tcBorders>
            <w:shd w:val="clear" w:color="auto" w:fill="auto"/>
            <w:vAlign w:val="center"/>
          </w:tcPr>
          <w:p w14:paraId="1331568E">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5L</w:t>
            </w:r>
          </w:p>
        </w:tc>
        <w:tc>
          <w:tcPr>
            <w:tcW w:w="1354" w:type="dxa"/>
            <w:tcBorders>
              <w:tl2br w:val="nil"/>
              <w:tr2bl w:val="nil"/>
            </w:tcBorders>
            <w:shd w:val="clear" w:color="auto" w:fill="auto"/>
            <w:noWrap/>
            <w:vAlign w:val="center"/>
          </w:tcPr>
          <w:p w14:paraId="66D23D08">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桶</w:t>
            </w:r>
          </w:p>
        </w:tc>
        <w:tc>
          <w:tcPr>
            <w:tcW w:w="3153" w:type="dxa"/>
            <w:tcBorders>
              <w:tl2br w:val="nil"/>
              <w:tr2bl w:val="nil"/>
            </w:tcBorders>
            <w:shd w:val="clear" w:color="auto" w:fill="auto"/>
            <w:vAlign w:val="center"/>
          </w:tcPr>
          <w:p w14:paraId="2A7C45A2">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福临门、MC、鲁花</w:t>
            </w:r>
          </w:p>
        </w:tc>
      </w:tr>
      <w:tr w14:paraId="50D29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0BD973AA">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2807" w:type="dxa"/>
            <w:tcBorders>
              <w:tl2br w:val="nil"/>
              <w:tr2bl w:val="nil"/>
            </w:tcBorders>
            <w:shd w:val="clear" w:color="auto" w:fill="auto"/>
            <w:vAlign w:val="center"/>
          </w:tcPr>
          <w:p w14:paraId="3036EB65">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压榨菜籽油</w:t>
            </w:r>
          </w:p>
        </w:tc>
        <w:tc>
          <w:tcPr>
            <w:tcW w:w="1446" w:type="dxa"/>
            <w:tcBorders>
              <w:tl2br w:val="nil"/>
              <w:tr2bl w:val="nil"/>
            </w:tcBorders>
            <w:shd w:val="clear" w:color="auto" w:fill="auto"/>
            <w:vAlign w:val="center"/>
          </w:tcPr>
          <w:p w14:paraId="45F142BB">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5L</w:t>
            </w:r>
          </w:p>
        </w:tc>
        <w:tc>
          <w:tcPr>
            <w:tcW w:w="1354" w:type="dxa"/>
            <w:tcBorders>
              <w:tl2br w:val="nil"/>
              <w:tr2bl w:val="nil"/>
            </w:tcBorders>
            <w:shd w:val="clear" w:color="auto" w:fill="auto"/>
            <w:noWrap/>
            <w:vAlign w:val="center"/>
          </w:tcPr>
          <w:p w14:paraId="5399CCE2">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桶</w:t>
            </w:r>
          </w:p>
        </w:tc>
        <w:tc>
          <w:tcPr>
            <w:tcW w:w="3153" w:type="dxa"/>
            <w:tcBorders>
              <w:tl2br w:val="nil"/>
              <w:tr2bl w:val="nil"/>
            </w:tcBorders>
            <w:shd w:val="clear" w:color="auto" w:fill="auto"/>
            <w:vAlign w:val="center"/>
          </w:tcPr>
          <w:p w14:paraId="4E55E8D8">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金成、福临门、多力</w:t>
            </w:r>
          </w:p>
        </w:tc>
      </w:tr>
      <w:tr w14:paraId="7F843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393D4998">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2807" w:type="dxa"/>
            <w:tcBorders>
              <w:tl2br w:val="nil"/>
              <w:tr2bl w:val="nil"/>
            </w:tcBorders>
            <w:shd w:val="clear" w:color="auto" w:fill="auto"/>
            <w:vAlign w:val="center"/>
          </w:tcPr>
          <w:p w14:paraId="7F3D0FE0">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老抽</w:t>
            </w:r>
          </w:p>
        </w:tc>
        <w:tc>
          <w:tcPr>
            <w:tcW w:w="1446" w:type="dxa"/>
            <w:tcBorders>
              <w:tl2br w:val="nil"/>
              <w:tr2bl w:val="nil"/>
            </w:tcBorders>
            <w:shd w:val="clear" w:color="auto" w:fill="auto"/>
            <w:vAlign w:val="center"/>
          </w:tcPr>
          <w:p w14:paraId="64970566">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4.9L</w:t>
            </w:r>
          </w:p>
        </w:tc>
        <w:tc>
          <w:tcPr>
            <w:tcW w:w="1354" w:type="dxa"/>
            <w:tcBorders>
              <w:tl2br w:val="nil"/>
              <w:tr2bl w:val="nil"/>
            </w:tcBorders>
            <w:shd w:val="clear" w:color="auto" w:fill="auto"/>
            <w:noWrap/>
            <w:vAlign w:val="center"/>
          </w:tcPr>
          <w:p w14:paraId="10B7122B">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桶</w:t>
            </w:r>
          </w:p>
        </w:tc>
        <w:tc>
          <w:tcPr>
            <w:tcW w:w="3153" w:type="dxa"/>
            <w:tcBorders>
              <w:tl2br w:val="nil"/>
              <w:tr2bl w:val="nil"/>
            </w:tcBorders>
            <w:shd w:val="clear" w:color="auto" w:fill="auto"/>
            <w:vAlign w:val="center"/>
          </w:tcPr>
          <w:p w14:paraId="5A40B59D">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海天、李锦记、鲁花</w:t>
            </w:r>
          </w:p>
        </w:tc>
      </w:tr>
      <w:tr w14:paraId="471B0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0E7878FE">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7</w:t>
            </w:r>
          </w:p>
        </w:tc>
        <w:tc>
          <w:tcPr>
            <w:tcW w:w="2807" w:type="dxa"/>
            <w:tcBorders>
              <w:tl2br w:val="nil"/>
              <w:tr2bl w:val="nil"/>
            </w:tcBorders>
            <w:shd w:val="clear" w:color="auto" w:fill="auto"/>
            <w:vAlign w:val="center"/>
          </w:tcPr>
          <w:p w14:paraId="3EC670BB">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老抽</w:t>
            </w:r>
          </w:p>
        </w:tc>
        <w:tc>
          <w:tcPr>
            <w:tcW w:w="1446" w:type="dxa"/>
            <w:tcBorders>
              <w:tl2br w:val="nil"/>
              <w:tr2bl w:val="nil"/>
            </w:tcBorders>
            <w:shd w:val="clear" w:color="auto" w:fill="auto"/>
            <w:vAlign w:val="center"/>
          </w:tcPr>
          <w:p w14:paraId="5DDF8236">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1.9L</w:t>
            </w:r>
          </w:p>
        </w:tc>
        <w:tc>
          <w:tcPr>
            <w:tcW w:w="1354" w:type="dxa"/>
            <w:tcBorders>
              <w:tl2br w:val="nil"/>
              <w:tr2bl w:val="nil"/>
            </w:tcBorders>
            <w:shd w:val="clear" w:color="auto" w:fill="auto"/>
            <w:noWrap/>
            <w:vAlign w:val="center"/>
          </w:tcPr>
          <w:p w14:paraId="62932802">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桶</w:t>
            </w:r>
          </w:p>
        </w:tc>
        <w:tc>
          <w:tcPr>
            <w:tcW w:w="3153" w:type="dxa"/>
            <w:tcBorders>
              <w:tl2br w:val="nil"/>
              <w:tr2bl w:val="nil"/>
            </w:tcBorders>
            <w:shd w:val="clear" w:color="auto" w:fill="auto"/>
            <w:vAlign w:val="center"/>
          </w:tcPr>
          <w:p w14:paraId="4272BF20">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海天、李锦记、鲁花</w:t>
            </w:r>
          </w:p>
        </w:tc>
      </w:tr>
      <w:tr w14:paraId="028BD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72B9138E">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8</w:t>
            </w:r>
          </w:p>
        </w:tc>
        <w:tc>
          <w:tcPr>
            <w:tcW w:w="2807" w:type="dxa"/>
            <w:tcBorders>
              <w:tl2br w:val="nil"/>
              <w:tr2bl w:val="nil"/>
            </w:tcBorders>
            <w:shd w:val="clear" w:color="auto" w:fill="auto"/>
            <w:vAlign w:val="center"/>
          </w:tcPr>
          <w:p w14:paraId="4130293E">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生抽</w:t>
            </w:r>
          </w:p>
        </w:tc>
        <w:tc>
          <w:tcPr>
            <w:tcW w:w="1446" w:type="dxa"/>
            <w:tcBorders>
              <w:tl2br w:val="nil"/>
              <w:tr2bl w:val="nil"/>
            </w:tcBorders>
            <w:shd w:val="clear" w:color="auto" w:fill="auto"/>
            <w:vAlign w:val="center"/>
          </w:tcPr>
          <w:p w14:paraId="6FAB16B2">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4.9L</w:t>
            </w:r>
          </w:p>
        </w:tc>
        <w:tc>
          <w:tcPr>
            <w:tcW w:w="1354" w:type="dxa"/>
            <w:tcBorders>
              <w:tl2br w:val="nil"/>
              <w:tr2bl w:val="nil"/>
            </w:tcBorders>
            <w:shd w:val="clear" w:color="auto" w:fill="auto"/>
            <w:noWrap/>
            <w:vAlign w:val="center"/>
          </w:tcPr>
          <w:p w14:paraId="1192AF71">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包</w:t>
            </w:r>
          </w:p>
        </w:tc>
        <w:tc>
          <w:tcPr>
            <w:tcW w:w="3153" w:type="dxa"/>
            <w:tcBorders>
              <w:tl2br w:val="nil"/>
              <w:tr2bl w:val="nil"/>
            </w:tcBorders>
            <w:shd w:val="clear" w:color="auto" w:fill="auto"/>
            <w:vAlign w:val="center"/>
          </w:tcPr>
          <w:p w14:paraId="4361306E">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海天、李锦记、鲁花</w:t>
            </w:r>
          </w:p>
        </w:tc>
      </w:tr>
      <w:tr w14:paraId="47487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49B11E4E">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9</w:t>
            </w:r>
          </w:p>
        </w:tc>
        <w:tc>
          <w:tcPr>
            <w:tcW w:w="2807" w:type="dxa"/>
            <w:tcBorders>
              <w:tl2br w:val="nil"/>
              <w:tr2bl w:val="nil"/>
            </w:tcBorders>
            <w:shd w:val="clear" w:color="auto" w:fill="auto"/>
            <w:vAlign w:val="center"/>
          </w:tcPr>
          <w:p w14:paraId="2AE47174">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生抽</w:t>
            </w:r>
          </w:p>
        </w:tc>
        <w:tc>
          <w:tcPr>
            <w:tcW w:w="1446" w:type="dxa"/>
            <w:tcBorders>
              <w:tl2br w:val="nil"/>
              <w:tr2bl w:val="nil"/>
            </w:tcBorders>
            <w:shd w:val="clear" w:color="auto" w:fill="auto"/>
            <w:vAlign w:val="center"/>
          </w:tcPr>
          <w:p w14:paraId="18E134D4">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1.9L</w:t>
            </w:r>
          </w:p>
        </w:tc>
        <w:tc>
          <w:tcPr>
            <w:tcW w:w="1354" w:type="dxa"/>
            <w:tcBorders>
              <w:tl2br w:val="nil"/>
              <w:tr2bl w:val="nil"/>
            </w:tcBorders>
            <w:shd w:val="clear" w:color="auto" w:fill="auto"/>
            <w:noWrap/>
            <w:vAlign w:val="center"/>
          </w:tcPr>
          <w:p w14:paraId="12B459A6">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包</w:t>
            </w:r>
          </w:p>
        </w:tc>
        <w:tc>
          <w:tcPr>
            <w:tcW w:w="3153" w:type="dxa"/>
            <w:tcBorders>
              <w:tl2br w:val="nil"/>
              <w:tr2bl w:val="nil"/>
            </w:tcBorders>
            <w:shd w:val="clear" w:color="auto" w:fill="auto"/>
            <w:vAlign w:val="center"/>
          </w:tcPr>
          <w:p w14:paraId="2BDFE45C">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海天、李锦记、鲁花</w:t>
            </w:r>
          </w:p>
        </w:tc>
      </w:tr>
      <w:tr w14:paraId="2B872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960" w:type="dxa"/>
            <w:tcBorders>
              <w:tl2br w:val="nil"/>
              <w:tr2bl w:val="nil"/>
            </w:tcBorders>
            <w:shd w:val="clear" w:color="auto" w:fill="auto"/>
            <w:noWrap/>
            <w:vAlign w:val="center"/>
          </w:tcPr>
          <w:p w14:paraId="427B925B">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10</w:t>
            </w:r>
          </w:p>
        </w:tc>
        <w:tc>
          <w:tcPr>
            <w:tcW w:w="2807" w:type="dxa"/>
            <w:tcBorders>
              <w:tl2br w:val="nil"/>
              <w:tr2bl w:val="nil"/>
            </w:tcBorders>
            <w:shd w:val="clear" w:color="auto" w:fill="auto"/>
            <w:vAlign w:val="center"/>
          </w:tcPr>
          <w:p w14:paraId="19AA8B8C">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特级酱油</w:t>
            </w:r>
          </w:p>
        </w:tc>
        <w:tc>
          <w:tcPr>
            <w:tcW w:w="1446" w:type="dxa"/>
            <w:tcBorders>
              <w:tl2br w:val="nil"/>
              <w:tr2bl w:val="nil"/>
            </w:tcBorders>
            <w:shd w:val="clear" w:color="auto" w:fill="auto"/>
            <w:vAlign w:val="center"/>
          </w:tcPr>
          <w:p w14:paraId="3EB82F35">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1L</w:t>
            </w:r>
          </w:p>
        </w:tc>
        <w:tc>
          <w:tcPr>
            <w:tcW w:w="1354" w:type="dxa"/>
            <w:tcBorders>
              <w:tl2br w:val="nil"/>
              <w:tr2bl w:val="nil"/>
            </w:tcBorders>
            <w:shd w:val="clear" w:color="auto" w:fill="auto"/>
            <w:noWrap/>
            <w:vAlign w:val="center"/>
          </w:tcPr>
          <w:p w14:paraId="3AF7EAAE">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包</w:t>
            </w:r>
          </w:p>
        </w:tc>
        <w:tc>
          <w:tcPr>
            <w:tcW w:w="3153" w:type="dxa"/>
            <w:tcBorders>
              <w:tl2br w:val="nil"/>
              <w:tr2bl w:val="nil"/>
            </w:tcBorders>
            <w:shd w:val="clear" w:color="auto" w:fill="auto"/>
            <w:vAlign w:val="center"/>
          </w:tcPr>
          <w:p w14:paraId="53F2FAAA">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欣和、海天、李锦记</w:t>
            </w:r>
          </w:p>
        </w:tc>
      </w:tr>
      <w:tr w14:paraId="45ECC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7A63F421">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11</w:t>
            </w:r>
          </w:p>
        </w:tc>
        <w:tc>
          <w:tcPr>
            <w:tcW w:w="2807" w:type="dxa"/>
            <w:tcBorders>
              <w:tl2br w:val="nil"/>
              <w:tr2bl w:val="nil"/>
            </w:tcBorders>
            <w:shd w:val="clear" w:color="auto" w:fill="auto"/>
            <w:vAlign w:val="center"/>
          </w:tcPr>
          <w:p w14:paraId="67999E48">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陈醋</w:t>
            </w:r>
          </w:p>
        </w:tc>
        <w:tc>
          <w:tcPr>
            <w:tcW w:w="1446" w:type="dxa"/>
            <w:tcBorders>
              <w:tl2br w:val="nil"/>
              <w:tr2bl w:val="nil"/>
            </w:tcBorders>
            <w:shd w:val="clear" w:color="auto" w:fill="auto"/>
            <w:vAlign w:val="center"/>
          </w:tcPr>
          <w:p w14:paraId="0B5A1995">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500ML</w:t>
            </w:r>
          </w:p>
        </w:tc>
        <w:tc>
          <w:tcPr>
            <w:tcW w:w="1354" w:type="dxa"/>
            <w:tcBorders>
              <w:tl2br w:val="nil"/>
              <w:tr2bl w:val="nil"/>
            </w:tcBorders>
            <w:shd w:val="clear" w:color="auto" w:fill="auto"/>
            <w:noWrap/>
            <w:vAlign w:val="center"/>
          </w:tcPr>
          <w:p w14:paraId="1A943269">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包</w:t>
            </w:r>
          </w:p>
        </w:tc>
        <w:tc>
          <w:tcPr>
            <w:tcW w:w="3153" w:type="dxa"/>
            <w:tcBorders>
              <w:tl2br w:val="nil"/>
              <w:tr2bl w:val="nil"/>
            </w:tcBorders>
            <w:shd w:val="clear" w:color="auto" w:fill="auto"/>
            <w:vAlign w:val="center"/>
          </w:tcPr>
          <w:p w14:paraId="425EB259">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恒顺、宝鼎、千禾</w:t>
            </w:r>
          </w:p>
        </w:tc>
      </w:tr>
      <w:tr w14:paraId="05CFC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28EB0DA2">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12</w:t>
            </w:r>
          </w:p>
        </w:tc>
        <w:tc>
          <w:tcPr>
            <w:tcW w:w="2807" w:type="dxa"/>
            <w:tcBorders>
              <w:tl2br w:val="nil"/>
              <w:tr2bl w:val="nil"/>
            </w:tcBorders>
            <w:shd w:val="clear" w:color="auto" w:fill="auto"/>
            <w:vAlign w:val="center"/>
          </w:tcPr>
          <w:p w14:paraId="5C76D69E">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白醋</w:t>
            </w:r>
          </w:p>
        </w:tc>
        <w:tc>
          <w:tcPr>
            <w:tcW w:w="1446" w:type="dxa"/>
            <w:tcBorders>
              <w:tl2br w:val="nil"/>
              <w:tr2bl w:val="nil"/>
            </w:tcBorders>
            <w:shd w:val="clear" w:color="auto" w:fill="auto"/>
            <w:vAlign w:val="center"/>
          </w:tcPr>
          <w:p w14:paraId="56145246">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500ML</w:t>
            </w:r>
          </w:p>
        </w:tc>
        <w:tc>
          <w:tcPr>
            <w:tcW w:w="1354" w:type="dxa"/>
            <w:tcBorders>
              <w:tl2br w:val="nil"/>
              <w:tr2bl w:val="nil"/>
            </w:tcBorders>
            <w:shd w:val="clear" w:color="auto" w:fill="auto"/>
            <w:noWrap/>
            <w:vAlign w:val="center"/>
          </w:tcPr>
          <w:p w14:paraId="64A53054">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块</w:t>
            </w:r>
          </w:p>
        </w:tc>
        <w:tc>
          <w:tcPr>
            <w:tcW w:w="3153" w:type="dxa"/>
            <w:tcBorders>
              <w:tl2br w:val="nil"/>
              <w:tr2bl w:val="nil"/>
            </w:tcBorders>
            <w:shd w:val="clear" w:color="auto" w:fill="auto"/>
            <w:vAlign w:val="center"/>
          </w:tcPr>
          <w:p w14:paraId="303BEBBF">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上海、恒顺、千禾</w:t>
            </w:r>
          </w:p>
        </w:tc>
      </w:tr>
      <w:tr w14:paraId="1AE45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0E2EC2B5">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13</w:t>
            </w:r>
          </w:p>
        </w:tc>
        <w:tc>
          <w:tcPr>
            <w:tcW w:w="2807" w:type="dxa"/>
            <w:tcBorders>
              <w:tl2br w:val="nil"/>
              <w:tr2bl w:val="nil"/>
            </w:tcBorders>
            <w:shd w:val="clear" w:color="auto" w:fill="auto"/>
            <w:vAlign w:val="center"/>
          </w:tcPr>
          <w:p w14:paraId="32F05433">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精制食用盐</w:t>
            </w:r>
          </w:p>
        </w:tc>
        <w:tc>
          <w:tcPr>
            <w:tcW w:w="1446" w:type="dxa"/>
            <w:tcBorders>
              <w:tl2br w:val="nil"/>
              <w:tr2bl w:val="nil"/>
            </w:tcBorders>
            <w:shd w:val="clear" w:color="auto" w:fill="auto"/>
            <w:vAlign w:val="center"/>
          </w:tcPr>
          <w:p w14:paraId="48DAF614">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500G</w:t>
            </w:r>
          </w:p>
        </w:tc>
        <w:tc>
          <w:tcPr>
            <w:tcW w:w="1354" w:type="dxa"/>
            <w:tcBorders>
              <w:tl2br w:val="nil"/>
              <w:tr2bl w:val="nil"/>
            </w:tcBorders>
            <w:shd w:val="clear" w:color="auto" w:fill="auto"/>
            <w:noWrap/>
            <w:vAlign w:val="center"/>
          </w:tcPr>
          <w:p w14:paraId="131F3708">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包</w:t>
            </w:r>
          </w:p>
        </w:tc>
        <w:tc>
          <w:tcPr>
            <w:tcW w:w="3153" w:type="dxa"/>
            <w:tcBorders>
              <w:tl2br w:val="nil"/>
              <w:tr2bl w:val="nil"/>
            </w:tcBorders>
            <w:shd w:val="clear" w:color="auto" w:fill="auto"/>
            <w:vAlign w:val="center"/>
          </w:tcPr>
          <w:p w14:paraId="2F8EF89C">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淮牌、中盐、茶卡</w:t>
            </w:r>
          </w:p>
        </w:tc>
      </w:tr>
      <w:tr w14:paraId="20314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44CB16ED">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14</w:t>
            </w:r>
          </w:p>
        </w:tc>
        <w:tc>
          <w:tcPr>
            <w:tcW w:w="2807" w:type="dxa"/>
            <w:tcBorders>
              <w:tl2br w:val="nil"/>
              <w:tr2bl w:val="nil"/>
            </w:tcBorders>
            <w:shd w:val="clear" w:color="auto" w:fill="auto"/>
            <w:vAlign w:val="center"/>
          </w:tcPr>
          <w:p w14:paraId="3E3B515F">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低钠盐</w:t>
            </w:r>
          </w:p>
        </w:tc>
        <w:tc>
          <w:tcPr>
            <w:tcW w:w="1446" w:type="dxa"/>
            <w:tcBorders>
              <w:tl2br w:val="nil"/>
              <w:tr2bl w:val="nil"/>
            </w:tcBorders>
            <w:shd w:val="clear" w:color="auto" w:fill="auto"/>
            <w:vAlign w:val="center"/>
          </w:tcPr>
          <w:p w14:paraId="04AD8A19">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400G</w:t>
            </w:r>
          </w:p>
        </w:tc>
        <w:tc>
          <w:tcPr>
            <w:tcW w:w="1354" w:type="dxa"/>
            <w:tcBorders>
              <w:tl2br w:val="nil"/>
              <w:tr2bl w:val="nil"/>
            </w:tcBorders>
            <w:shd w:val="clear" w:color="auto" w:fill="auto"/>
            <w:noWrap/>
            <w:vAlign w:val="center"/>
          </w:tcPr>
          <w:p w14:paraId="109799BB">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包</w:t>
            </w:r>
          </w:p>
        </w:tc>
        <w:tc>
          <w:tcPr>
            <w:tcW w:w="3153" w:type="dxa"/>
            <w:tcBorders>
              <w:tl2br w:val="nil"/>
              <w:tr2bl w:val="nil"/>
            </w:tcBorders>
            <w:shd w:val="clear" w:color="auto" w:fill="auto"/>
            <w:vAlign w:val="center"/>
          </w:tcPr>
          <w:p w14:paraId="22F15AB3">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淮牌、中盐、茶卡</w:t>
            </w:r>
          </w:p>
        </w:tc>
      </w:tr>
      <w:tr w14:paraId="4A78C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1EA17863">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15</w:t>
            </w:r>
          </w:p>
        </w:tc>
        <w:tc>
          <w:tcPr>
            <w:tcW w:w="2807" w:type="dxa"/>
            <w:tcBorders>
              <w:tl2br w:val="nil"/>
              <w:tr2bl w:val="nil"/>
            </w:tcBorders>
            <w:shd w:val="clear" w:color="auto" w:fill="auto"/>
            <w:vAlign w:val="center"/>
          </w:tcPr>
          <w:p w14:paraId="33942CE8">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宴会酱蘸汁调味料</w:t>
            </w:r>
          </w:p>
        </w:tc>
        <w:tc>
          <w:tcPr>
            <w:tcW w:w="1446" w:type="dxa"/>
            <w:tcBorders>
              <w:tl2br w:val="nil"/>
              <w:tr2bl w:val="nil"/>
            </w:tcBorders>
            <w:shd w:val="clear" w:color="auto" w:fill="auto"/>
            <w:vAlign w:val="center"/>
          </w:tcPr>
          <w:p w14:paraId="568B89EF">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623ML</w:t>
            </w:r>
          </w:p>
        </w:tc>
        <w:tc>
          <w:tcPr>
            <w:tcW w:w="1354" w:type="dxa"/>
            <w:tcBorders>
              <w:tl2br w:val="nil"/>
              <w:tr2bl w:val="nil"/>
            </w:tcBorders>
            <w:shd w:val="clear" w:color="auto" w:fill="auto"/>
            <w:noWrap/>
            <w:vAlign w:val="center"/>
          </w:tcPr>
          <w:p w14:paraId="423784DE">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包</w:t>
            </w:r>
          </w:p>
        </w:tc>
        <w:tc>
          <w:tcPr>
            <w:tcW w:w="3153" w:type="dxa"/>
            <w:tcBorders>
              <w:tl2br w:val="nil"/>
              <w:tr2bl w:val="nil"/>
            </w:tcBorders>
            <w:shd w:val="clear" w:color="auto" w:fill="auto"/>
            <w:vAlign w:val="center"/>
          </w:tcPr>
          <w:p w14:paraId="66F119D4">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太太乐、千禾、海天</w:t>
            </w:r>
          </w:p>
        </w:tc>
      </w:tr>
      <w:tr w14:paraId="2FEB7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16F9E34E">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16</w:t>
            </w:r>
          </w:p>
        </w:tc>
        <w:tc>
          <w:tcPr>
            <w:tcW w:w="2807" w:type="dxa"/>
            <w:tcBorders>
              <w:tl2br w:val="nil"/>
              <w:tr2bl w:val="nil"/>
            </w:tcBorders>
            <w:shd w:val="clear" w:color="auto" w:fill="auto"/>
            <w:vAlign w:val="center"/>
          </w:tcPr>
          <w:p w14:paraId="0B91F3EB">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99%味精</w:t>
            </w:r>
          </w:p>
        </w:tc>
        <w:tc>
          <w:tcPr>
            <w:tcW w:w="1446" w:type="dxa"/>
            <w:tcBorders>
              <w:tl2br w:val="nil"/>
              <w:tr2bl w:val="nil"/>
            </w:tcBorders>
            <w:shd w:val="clear" w:color="auto" w:fill="auto"/>
            <w:vAlign w:val="center"/>
          </w:tcPr>
          <w:p w14:paraId="794723E8">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1KG</w:t>
            </w:r>
          </w:p>
        </w:tc>
        <w:tc>
          <w:tcPr>
            <w:tcW w:w="1354" w:type="dxa"/>
            <w:tcBorders>
              <w:tl2br w:val="nil"/>
              <w:tr2bl w:val="nil"/>
            </w:tcBorders>
            <w:shd w:val="clear" w:color="auto" w:fill="auto"/>
            <w:noWrap/>
            <w:vAlign w:val="center"/>
          </w:tcPr>
          <w:p w14:paraId="39397B8F">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斤</w:t>
            </w:r>
          </w:p>
        </w:tc>
        <w:tc>
          <w:tcPr>
            <w:tcW w:w="3153" w:type="dxa"/>
            <w:tcBorders>
              <w:tl2br w:val="nil"/>
              <w:tr2bl w:val="nil"/>
            </w:tcBorders>
            <w:shd w:val="clear" w:color="auto" w:fill="auto"/>
            <w:vAlign w:val="center"/>
          </w:tcPr>
          <w:p w14:paraId="6D45F596">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太太乐、莲花、佛手</w:t>
            </w:r>
          </w:p>
        </w:tc>
      </w:tr>
      <w:tr w14:paraId="0D401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7745D55F">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17</w:t>
            </w:r>
          </w:p>
        </w:tc>
        <w:tc>
          <w:tcPr>
            <w:tcW w:w="2807" w:type="dxa"/>
            <w:tcBorders>
              <w:tl2br w:val="nil"/>
              <w:tr2bl w:val="nil"/>
            </w:tcBorders>
            <w:shd w:val="clear" w:color="auto" w:fill="auto"/>
            <w:vAlign w:val="center"/>
          </w:tcPr>
          <w:p w14:paraId="4D179A0B">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鸡精调味料</w:t>
            </w:r>
          </w:p>
        </w:tc>
        <w:tc>
          <w:tcPr>
            <w:tcW w:w="1446" w:type="dxa"/>
            <w:tcBorders>
              <w:tl2br w:val="nil"/>
              <w:tr2bl w:val="nil"/>
            </w:tcBorders>
            <w:shd w:val="clear" w:color="auto" w:fill="auto"/>
            <w:vAlign w:val="center"/>
          </w:tcPr>
          <w:p w14:paraId="1D7D6DA4">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1KG</w:t>
            </w:r>
          </w:p>
        </w:tc>
        <w:tc>
          <w:tcPr>
            <w:tcW w:w="1354" w:type="dxa"/>
            <w:tcBorders>
              <w:tl2br w:val="nil"/>
              <w:tr2bl w:val="nil"/>
            </w:tcBorders>
            <w:shd w:val="clear" w:color="auto" w:fill="auto"/>
            <w:noWrap/>
            <w:vAlign w:val="center"/>
          </w:tcPr>
          <w:p w14:paraId="6FE3F7A7">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瓶</w:t>
            </w:r>
          </w:p>
        </w:tc>
        <w:tc>
          <w:tcPr>
            <w:tcW w:w="3153" w:type="dxa"/>
            <w:tcBorders>
              <w:tl2br w:val="nil"/>
              <w:tr2bl w:val="nil"/>
            </w:tcBorders>
            <w:shd w:val="clear" w:color="auto" w:fill="auto"/>
            <w:vAlign w:val="center"/>
          </w:tcPr>
          <w:p w14:paraId="17A0C206">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太太乐、莲花、佛手</w:t>
            </w:r>
          </w:p>
        </w:tc>
      </w:tr>
      <w:tr w14:paraId="20F44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6F1F1B9D">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18</w:t>
            </w:r>
          </w:p>
        </w:tc>
        <w:tc>
          <w:tcPr>
            <w:tcW w:w="2807" w:type="dxa"/>
            <w:tcBorders>
              <w:tl2br w:val="nil"/>
              <w:tr2bl w:val="nil"/>
            </w:tcBorders>
            <w:shd w:val="clear" w:color="auto" w:fill="auto"/>
            <w:vAlign w:val="center"/>
          </w:tcPr>
          <w:p w14:paraId="17734741">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纯芝麻油</w:t>
            </w:r>
          </w:p>
        </w:tc>
        <w:tc>
          <w:tcPr>
            <w:tcW w:w="1446" w:type="dxa"/>
            <w:tcBorders>
              <w:tl2br w:val="nil"/>
              <w:tr2bl w:val="nil"/>
            </w:tcBorders>
            <w:shd w:val="clear" w:color="auto" w:fill="auto"/>
            <w:vAlign w:val="center"/>
          </w:tcPr>
          <w:p w14:paraId="3C814DC6">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450ML</w:t>
            </w:r>
          </w:p>
        </w:tc>
        <w:tc>
          <w:tcPr>
            <w:tcW w:w="1354" w:type="dxa"/>
            <w:tcBorders>
              <w:tl2br w:val="nil"/>
              <w:tr2bl w:val="nil"/>
            </w:tcBorders>
            <w:shd w:val="clear" w:color="auto" w:fill="auto"/>
            <w:noWrap/>
            <w:vAlign w:val="center"/>
          </w:tcPr>
          <w:p w14:paraId="47917182">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包</w:t>
            </w:r>
          </w:p>
        </w:tc>
        <w:tc>
          <w:tcPr>
            <w:tcW w:w="3153" w:type="dxa"/>
            <w:tcBorders>
              <w:tl2br w:val="nil"/>
              <w:tr2bl w:val="nil"/>
            </w:tcBorders>
            <w:shd w:val="clear" w:color="auto" w:fill="auto"/>
            <w:vAlign w:val="center"/>
          </w:tcPr>
          <w:p w14:paraId="31BC5421">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鸡笼山、崔字牌、李锦记</w:t>
            </w:r>
          </w:p>
        </w:tc>
      </w:tr>
      <w:tr w14:paraId="48C3D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 w:hRule="atLeast"/>
          <w:jc w:val="center"/>
        </w:trPr>
        <w:tc>
          <w:tcPr>
            <w:tcW w:w="960" w:type="dxa"/>
            <w:tcBorders>
              <w:tl2br w:val="nil"/>
              <w:tr2bl w:val="nil"/>
            </w:tcBorders>
            <w:shd w:val="clear" w:color="auto" w:fill="auto"/>
            <w:noWrap/>
            <w:vAlign w:val="center"/>
          </w:tcPr>
          <w:p w14:paraId="57AA298F">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19</w:t>
            </w:r>
          </w:p>
        </w:tc>
        <w:tc>
          <w:tcPr>
            <w:tcW w:w="2807" w:type="dxa"/>
            <w:tcBorders>
              <w:tl2br w:val="nil"/>
              <w:tr2bl w:val="nil"/>
            </w:tcBorders>
            <w:shd w:val="clear" w:color="000000" w:fill="FFFFFF"/>
            <w:vAlign w:val="center"/>
          </w:tcPr>
          <w:p w14:paraId="36092838">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绵白糖</w:t>
            </w:r>
          </w:p>
        </w:tc>
        <w:tc>
          <w:tcPr>
            <w:tcW w:w="1446" w:type="dxa"/>
            <w:tcBorders>
              <w:tl2br w:val="nil"/>
              <w:tr2bl w:val="nil"/>
            </w:tcBorders>
            <w:shd w:val="clear" w:color="000000" w:fill="FFFFFF"/>
            <w:vAlign w:val="center"/>
          </w:tcPr>
          <w:p w14:paraId="1858BAF2">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2KG</w:t>
            </w:r>
          </w:p>
        </w:tc>
        <w:tc>
          <w:tcPr>
            <w:tcW w:w="1354" w:type="dxa"/>
            <w:tcBorders>
              <w:tl2br w:val="nil"/>
              <w:tr2bl w:val="nil"/>
            </w:tcBorders>
            <w:shd w:val="clear" w:color="000000" w:fill="FFFFFF"/>
            <w:noWrap/>
            <w:vAlign w:val="center"/>
          </w:tcPr>
          <w:p w14:paraId="1F089E26">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袋</w:t>
            </w:r>
          </w:p>
        </w:tc>
        <w:tc>
          <w:tcPr>
            <w:tcW w:w="3153" w:type="dxa"/>
            <w:tcBorders>
              <w:tl2br w:val="nil"/>
              <w:tr2bl w:val="nil"/>
            </w:tcBorders>
            <w:shd w:val="clear" w:color="000000" w:fill="FFFFFF"/>
            <w:vAlign w:val="center"/>
          </w:tcPr>
          <w:p w14:paraId="28A7CF2E">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AKA、太古、玉棠</w:t>
            </w:r>
          </w:p>
        </w:tc>
      </w:tr>
      <w:tr w14:paraId="62A3F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1BACD2B9">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20</w:t>
            </w:r>
          </w:p>
        </w:tc>
        <w:tc>
          <w:tcPr>
            <w:tcW w:w="2807" w:type="dxa"/>
            <w:tcBorders>
              <w:tl2br w:val="nil"/>
              <w:tr2bl w:val="nil"/>
            </w:tcBorders>
            <w:shd w:val="clear" w:color="auto" w:fill="auto"/>
            <w:vAlign w:val="center"/>
          </w:tcPr>
          <w:p w14:paraId="501CBE8D">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糯米黄酒</w:t>
            </w:r>
          </w:p>
        </w:tc>
        <w:tc>
          <w:tcPr>
            <w:tcW w:w="1446" w:type="dxa"/>
            <w:tcBorders>
              <w:tl2br w:val="nil"/>
              <w:tr2bl w:val="nil"/>
            </w:tcBorders>
            <w:shd w:val="clear" w:color="auto" w:fill="auto"/>
            <w:vAlign w:val="center"/>
          </w:tcPr>
          <w:p w14:paraId="79C6FBAA">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400ML</w:t>
            </w:r>
          </w:p>
        </w:tc>
        <w:tc>
          <w:tcPr>
            <w:tcW w:w="1354" w:type="dxa"/>
            <w:tcBorders>
              <w:tl2br w:val="nil"/>
              <w:tr2bl w:val="nil"/>
            </w:tcBorders>
            <w:shd w:val="clear" w:color="auto" w:fill="auto"/>
            <w:noWrap/>
            <w:vAlign w:val="center"/>
          </w:tcPr>
          <w:p w14:paraId="61B19DCB">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包</w:t>
            </w:r>
          </w:p>
        </w:tc>
        <w:tc>
          <w:tcPr>
            <w:tcW w:w="3153" w:type="dxa"/>
            <w:tcBorders>
              <w:tl2br w:val="nil"/>
              <w:tr2bl w:val="nil"/>
            </w:tcBorders>
            <w:shd w:val="clear" w:color="auto" w:fill="auto"/>
            <w:vAlign w:val="center"/>
          </w:tcPr>
          <w:p w14:paraId="75FF6A75">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孙埠、锡山、古越龙山</w:t>
            </w:r>
          </w:p>
        </w:tc>
      </w:tr>
      <w:tr w14:paraId="45B5B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4689DE20">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21</w:t>
            </w:r>
          </w:p>
        </w:tc>
        <w:tc>
          <w:tcPr>
            <w:tcW w:w="2807" w:type="dxa"/>
            <w:tcBorders>
              <w:tl2br w:val="nil"/>
              <w:tr2bl w:val="nil"/>
            </w:tcBorders>
            <w:shd w:val="clear" w:color="auto" w:fill="auto"/>
            <w:vAlign w:val="center"/>
          </w:tcPr>
          <w:p w14:paraId="321B3FB4">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胡椒粉（混合型）</w:t>
            </w:r>
          </w:p>
        </w:tc>
        <w:tc>
          <w:tcPr>
            <w:tcW w:w="1446" w:type="dxa"/>
            <w:tcBorders>
              <w:tl2br w:val="nil"/>
              <w:tr2bl w:val="nil"/>
            </w:tcBorders>
            <w:shd w:val="clear" w:color="auto" w:fill="auto"/>
            <w:vAlign w:val="center"/>
          </w:tcPr>
          <w:p w14:paraId="5A679A35">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500G</w:t>
            </w:r>
          </w:p>
        </w:tc>
        <w:tc>
          <w:tcPr>
            <w:tcW w:w="1354" w:type="dxa"/>
            <w:tcBorders>
              <w:tl2br w:val="nil"/>
              <w:tr2bl w:val="nil"/>
            </w:tcBorders>
            <w:shd w:val="clear" w:color="auto" w:fill="auto"/>
            <w:noWrap/>
            <w:vAlign w:val="center"/>
          </w:tcPr>
          <w:p w14:paraId="5393B779">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瓶</w:t>
            </w:r>
          </w:p>
        </w:tc>
        <w:tc>
          <w:tcPr>
            <w:tcW w:w="3153" w:type="dxa"/>
            <w:tcBorders>
              <w:tl2br w:val="nil"/>
              <w:tr2bl w:val="nil"/>
            </w:tcBorders>
            <w:shd w:val="clear" w:color="auto" w:fill="auto"/>
            <w:vAlign w:val="center"/>
          </w:tcPr>
          <w:p w14:paraId="64F27D17">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味好美、友加、吉得利</w:t>
            </w:r>
          </w:p>
        </w:tc>
      </w:tr>
      <w:tr w14:paraId="27A19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67372DDC">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22</w:t>
            </w:r>
          </w:p>
        </w:tc>
        <w:tc>
          <w:tcPr>
            <w:tcW w:w="2807" w:type="dxa"/>
            <w:tcBorders>
              <w:tl2br w:val="nil"/>
              <w:tr2bl w:val="nil"/>
            </w:tcBorders>
            <w:shd w:val="clear" w:color="auto" w:fill="auto"/>
            <w:vAlign w:val="center"/>
          </w:tcPr>
          <w:p w14:paraId="4AE73E9E">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白胡椒粉</w:t>
            </w:r>
          </w:p>
        </w:tc>
        <w:tc>
          <w:tcPr>
            <w:tcW w:w="1446" w:type="dxa"/>
            <w:tcBorders>
              <w:tl2br w:val="nil"/>
              <w:tr2bl w:val="nil"/>
            </w:tcBorders>
            <w:shd w:val="clear" w:color="auto" w:fill="auto"/>
            <w:vAlign w:val="center"/>
          </w:tcPr>
          <w:p w14:paraId="245A0A3E">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500G</w:t>
            </w:r>
          </w:p>
        </w:tc>
        <w:tc>
          <w:tcPr>
            <w:tcW w:w="1354" w:type="dxa"/>
            <w:tcBorders>
              <w:tl2br w:val="nil"/>
              <w:tr2bl w:val="nil"/>
            </w:tcBorders>
            <w:shd w:val="clear" w:color="auto" w:fill="auto"/>
            <w:noWrap/>
            <w:vAlign w:val="center"/>
          </w:tcPr>
          <w:p w14:paraId="2D47B402">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瓶</w:t>
            </w:r>
          </w:p>
        </w:tc>
        <w:tc>
          <w:tcPr>
            <w:tcW w:w="3153" w:type="dxa"/>
            <w:tcBorders>
              <w:tl2br w:val="nil"/>
              <w:tr2bl w:val="nil"/>
            </w:tcBorders>
            <w:shd w:val="clear" w:color="auto" w:fill="auto"/>
            <w:vAlign w:val="center"/>
          </w:tcPr>
          <w:p w14:paraId="32D16F25">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味好美、友加、吉得利</w:t>
            </w:r>
          </w:p>
        </w:tc>
      </w:tr>
      <w:tr w14:paraId="6692B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7E2B01BC">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23</w:t>
            </w:r>
          </w:p>
        </w:tc>
        <w:tc>
          <w:tcPr>
            <w:tcW w:w="2807" w:type="dxa"/>
            <w:tcBorders>
              <w:tl2br w:val="nil"/>
              <w:tr2bl w:val="nil"/>
            </w:tcBorders>
            <w:shd w:val="clear" w:color="auto" w:fill="auto"/>
            <w:vAlign w:val="center"/>
          </w:tcPr>
          <w:p w14:paraId="52EE8E38">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番茄酱</w:t>
            </w:r>
          </w:p>
        </w:tc>
        <w:tc>
          <w:tcPr>
            <w:tcW w:w="1446" w:type="dxa"/>
            <w:tcBorders>
              <w:tl2br w:val="nil"/>
              <w:tr2bl w:val="nil"/>
            </w:tcBorders>
            <w:shd w:val="clear" w:color="auto" w:fill="auto"/>
            <w:vAlign w:val="center"/>
          </w:tcPr>
          <w:p w14:paraId="24D2DD2D">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3KG</w:t>
            </w:r>
          </w:p>
        </w:tc>
        <w:tc>
          <w:tcPr>
            <w:tcW w:w="1354" w:type="dxa"/>
            <w:tcBorders>
              <w:tl2br w:val="nil"/>
              <w:tr2bl w:val="nil"/>
            </w:tcBorders>
            <w:shd w:val="clear" w:color="auto" w:fill="auto"/>
            <w:noWrap/>
            <w:vAlign w:val="center"/>
          </w:tcPr>
          <w:p w14:paraId="487BD13A">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袋</w:t>
            </w:r>
          </w:p>
        </w:tc>
        <w:tc>
          <w:tcPr>
            <w:tcW w:w="3153" w:type="dxa"/>
            <w:tcBorders>
              <w:tl2br w:val="nil"/>
              <w:tr2bl w:val="nil"/>
            </w:tcBorders>
            <w:shd w:val="clear" w:color="auto" w:fill="auto"/>
            <w:vAlign w:val="center"/>
          </w:tcPr>
          <w:p w14:paraId="51167BA8">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亨氏、味好美、李锦记</w:t>
            </w:r>
          </w:p>
        </w:tc>
      </w:tr>
      <w:tr w14:paraId="5E58B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2497665A">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24</w:t>
            </w:r>
          </w:p>
        </w:tc>
        <w:tc>
          <w:tcPr>
            <w:tcW w:w="2807" w:type="dxa"/>
            <w:tcBorders>
              <w:tl2br w:val="nil"/>
              <w:tr2bl w:val="nil"/>
            </w:tcBorders>
            <w:shd w:val="clear" w:color="auto" w:fill="auto"/>
            <w:vAlign w:val="center"/>
          </w:tcPr>
          <w:p w14:paraId="5F3E454A">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芝麻油</w:t>
            </w:r>
          </w:p>
        </w:tc>
        <w:tc>
          <w:tcPr>
            <w:tcW w:w="1446" w:type="dxa"/>
            <w:tcBorders>
              <w:tl2br w:val="nil"/>
              <w:tr2bl w:val="nil"/>
            </w:tcBorders>
            <w:shd w:val="clear" w:color="auto" w:fill="auto"/>
            <w:vAlign w:val="center"/>
          </w:tcPr>
          <w:p w14:paraId="72F5035E">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450ML</w:t>
            </w:r>
          </w:p>
        </w:tc>
        <w:tc>
          <w:tcPr>
            <w:tcW w:w="1354" w:type="dxa"/>
            <w:tcBorders>
              <w:tl2br w:val="nil"/>
              <w:tr2bl w:val="nil"/>
            </w:tcBorders>
            <w:shd w:val="clear" w:color="auto" w:fill="auto"/>
            <w:noWrap/>
            <w:vAlign w:val="center"/>
          </w:tcPr>
          <w:p w14:paraId="3C8F2509">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瓶</w:t>
            </w:r>
          </w:p>
        </w:tc>
        <w:tc>
          <w:tcPr>
            <w:tcW w:w="3153" w:type="dxa"/>
            <w:tcBorders>
              <w:tl2br w:val="nil"/>
              <w:tr2bl w:val="nil"/>
            </w:tcBorders>
            <w:shd w:val="clear" w:color="auto" w:fill="auto"/>
            <w:vAlign w:val="center"/>
          </w:tcPr>
          <w:p w14:paraId="5A8C95B9">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崔字牌、李锦记、友加</w:t>
            </w:r>
          </w:p>
        </w:tc>
      </w:tr>
      <w:tr w14:paraId="6C5C9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0B7EA7DB">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25</w:t>
            </w:r>
          </w:p>
        </w:tc>
        <w:tc>
          <w:tcPr>
            <w:tcW w:w="2807" w:type="dxa"/>
            <w:tcBorders>
              <w:tl2br w:val="nil"/>
              <w:tr2bl w:val="nil"/>
            </w:tcBorders>
            <w:shd w:val="clear" w:color="auto" w:fill="auto"/>
            <w:vAlign w:val="center"/>
          </w:tcPr>
          <w:p w14:paraId="14FA2938">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红油豆瓣</w:t>
            </w:r>
          </w:p>
        </w:tc>
        <w:tc>
          <w:tcPr>
            <w:tcW w:w="1446" w:type="dxa"/>
            <w:tcBorders>
              <w:tl2br w:val="nil"/>
              <w:tr2bl w:val="nil"/>
            </w:tcBorders>
            <w:shd w:val="clear" w:color="auto" w:fill="auto"/>
            <w:vAlign w:val="center"/>
          </w:tcPr>
          <w:p w14:paraId="5C0C06B5">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3.5KG</w:t>
            </w:r>
          </w:p>
        </w:tc>
        <w:tc>
          <w:tcPr>
            <w:tcW w:w="1354" w:type="dxa"/>
            <w:tcBorders>
              <w:tl2br w:val="nil"/>
              <w:tr2bl w:val="nil"/>
            </w:tcBorders>
            <w:shd w:val="clear" w:color="auto" w:fill="auto"/>
            <w:noWrap/>
            <w:vAlign w:val="center"/>
          </w:tcPr>
          <w:p w14:paraId="546A44E4">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桶</w:t>
            </w:r>
          </w:p>
        </w:tc>
        <w:tc>
          <w:tcPr>
            <w:tcW w:w="3153" w:type="dxa"/>
            <w:tcBorders>
              <w:tl2br w:val="nil"/>
              <w:tr2bl w:val="nil"/>
            </w:tcBorders>
            <w:shd w:val="clear" w:color="auto" w:fill="auto"/>
            <w:vAlign w:val="center"/>
          </w:tcPr>
          <w:p w14:paraId="0BE1B154">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丹丹、娟城、恒顺</w:t>
            </w:r>
          </w:p>
        </w:tc>
      </w:tr>
      <w:tr w14:paraId="7E91B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370540DA">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26</w:t>
            </w:r>
          </w:p>
        </w:tc>
        <w:tc>
          <w:tcPr>
            <w:tcW w:w="2807" w:type="dxa"/>
            <w:tcBorders>
              <w:tl2br w:val="nil"/>
              <w:tr2bl w:val="nil"/>
            </w:tcBorders>
            <w:shd w:val="clear" w:color="auto" w:fill="auto"/>
            <w:vAlign w:val="center"/>
          </w:tcPr>
          <w:p w14:paraId="5F95BB24">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绿豆</w:t>
            </w:r>
          </w:p>
        </w:tc>
        <w:tc>
          <w:tcPr>
            <w:tcW w:w="1446" w:type="dxa"/>
            <w:tcBorders>
              <w:tl2br w:val="nil"/>
              <w:tr2bl w:val="nil"/>
            </w:tcBorders>
            <w:shd w:val="clear" w:color="auto" w:fill="auto"/>
            <w:vAlign w:val="center"/>
          </w:tcPr>
          <w:p w14:paraId="0E394D04">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1KG</w:t>
            </w:r>
          </w:p>
        </w:tc>
        <w:tc>
          <w:tcPr>
            <w:tcW w:w="1354" w:type="dxa"/>
            <w:tcBorders>
              <w:tl2br w:val="nil"/>
              <w:tr2bl w:val="nil"/>
            </w:tcBorders>
            <w:shd w:val="clear" w:color="auto" w:fill="auto"/>
            <w:noWrap/>
            <w:vAlign w:val="center"/>
          </w:tcPr>
          <w:p w14:paraId="474C4C5F">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袋</w:t>
            </w:r>
          </w:p>
        </w:tc>
        <w:tc>
          <w:tcPr>
            <w:tcW w:w="3153" w:type="dxa"/>
            <w:tcBorders>
              <w:tl2br w:val="nil"/>
              <w:tr2bl w:val="nil"/>
            </w:tcBorders>
            <w:shd w:val="clear" w:color="auto" w:fill="auto"/>
            <w:vAlign w:val="center"/>
          </w:tcPr>
          <w:p w14:paraId="551AC203">
            <w:pPr>
              <w:widowControl/>
              <w:adjustRightInd w:val="0"/>
              <w:snapToGrid w:val="0"/>
              <w:spacing w:after="200" w:line="360" w:lineRule="auto"/>
              <w:jc w:val="center"/>
              <w:rPr>
                <w:rFonts w:ascii="宋体" w:hAnsi="宋体" w:cs="宋体"/>
                <w:color w:val="auto"/>
                <w:sz w:val="24"/>
                <w:szCs w:val="24"/>
                <w:highlight w:val="none"/>
              </w:rPr>
            </w:pPr>
          </w:p>
        </w:tc>
      </w:tr>
      <w:tr w14:paraId="7E387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38197AB0">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27</w:t>
            </w:r>
          </w:p>
        </w:tc>
        <w:tc>
          <w:tcPr>
            <w:tcW w:w="2807" w:type="dxa"/>
            <w:tcBorders>
              <w:tl2br w:val="nil"/>
              <w:tr2bl w:val="nil"/>
            </w:tcBorders>
            <w:shd w:val="clear" w:color="auto" w:fill="auto"/>
            <w:vAlign w:val="center"/>
          </w:tcPr>
          <w:p w14:paraId="448481E3">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红豆</w:t>
            </w:r>
          </w:p>
        </w:tc>
        <w:tc>
          <w:tcPr>
            <w:tcW w:w="1446" w:type="dxa"/>
            <w:tcBorders>
              <w:tl2br w:val="nil"/>
              <w:tr2bl w:val="nil"/>
            </w:tcBorders>
            <w:shd w:val="clear" w:color="auto" w:fill="auto"/>
            <w:vAlign w:val="center"/>
          </w:tcPr>
          <w:p w14:paraId="2A77B40A">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1KG</w:t>
            </w:r>
          </w:p>
        </w:tc>
        <w:tc>
          <w:tcPr>
            <w:tcW w:w="1354" w:type="dxa"/>
            <w:tcBorders>
              <w:tl2br w:val="nil"/>
              <w:tr2bl w:val="nil"/>
            </w:tcBorders>
            <w:shd w:val="clear" w:color="auto" w:fill="auto"/>
            <w:noWrap/>
            <w:vAlign w:val="center"/>
          </w:tcPr>
          <w:p w14:paraId="4D429D8D">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袋</w:t>
            </w:r>
          </w:p>
        </w:tc>
        <w:tc>
          <w:tcPr>
            <w:tcW w:w="3153" w:type="dxa"/>
            <w:tcBorders>
              <w:tl2br w:val="nil"/>
              <w:tr2bl w:val="nil"/>
            </w:tcBorders>
            <w:shd w:val="clear" w:color="auto" w:fill="auto"/>
            <w:vAlign w:val="center"/>
          </w:tcPr>
          <w:p w14:paraId="0FA313BA">
            <w:pPr>
              <w:widowControl/>
              <w:adjustRightInd w:val="0"/>
              <w:snapToGrid w:val="0"/>
              <w:spacing w:after="200" w:line="360" w:lineRule="auto"/>
              <w:jc w:val="center"/>
              <w:rPr>
                <w:rFonts w:ascii="宋体" w:hAnsi="宋体" w:cs="宋体"/>
                <w:color w:val="auto"/>
                <w:sz w:val="24"/>
                <w:szCs w:val="24"/>
                <w:highlight w:val="none"/>
              </w:rPr>
            </w:pPr>
          </w:p>
        </w:tc>
      </w:tr>
      <w:tr w14:paraId="5DA12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563F0095">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28</w:t>
            </w:r>
          </w:p>
        </w:tc>
        <w:tc>
          <w:tcPr>
            <w:tcW w:w="2807" w:type="dxa"/>
            <w:tcBorders>
              <w:tl2br w:val="nil"/>
              <w:tr2bl w:val="nil"/>
            </w:tcBorders>
            <w:shd w:val="clear" w:color="auto" w:fill="auto"/>
            <w:vAlign w:val="center"/>
          </w:tcPr>
          <w:p w14:paraId="4A064A71">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草果</w:t>
            </w:r>
          </w:p>
        </w:tc>
        <w:tc>
          <w:tcPr>
            <w:tcW w:w="1446" w:type="dxa"/>
            <w:tcBorders>
              <w:tl2br w:val="nil"/>
              <w:tr2bl w:val="nil"/>
            </w:tcBorders>
            <w:shd w:val="clear" w:color="auto" w:fill="auto"/>
            <w:vAlign w:val="center"/>
          </w:tcPr>
          <w:p w14:paraId="6E62A39F">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400G</w:t>
            </w:r>
          </w:p>
        </w:tc>
        <w:tc>
          <w:tcPr>
            <w:tcW w:w="1354" w:type="dxa"/>
            <w:tcBorders>
              <w:tl2br w:val="nil"/>
              <w:tr2bl w:val="nil"/>
            </w:tcBorders>
            <w:shd w:val="clear" w:color="auto" w:fill="auto"/>
            <w:noWrap/>
            <w:vAlign w:val="center"/>
          </w:tcPr>
          <w:p w14:paraId="592BEB0B">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袋</w:t>
            </w:r>
          </w:p>
        </w:tc>
        <w:tc>
          <w:tcPr>
            <w:tcW w:w="3153" w:type="dxa"/>
            <w:tcBorders>
              <w:tl2br w:val="nil"/>
              <w:tr2bl w:val="nil"/>
            </w:tcBorders>
            <w:shd w:val="clear" w:color="auto" w:fill="auto"/>
            <w:vAlign w:val="center"/>
          </w:tcPr>
          <w:p w14:paraId="04E4EE93">
            <w:pPr>
              <w:widowControl/>
              <w:adjustRightInd w:val="0"/>
              <w:snapToGrid w:val="0"/>
              <w:spacing w:after="200" w:line="360" w:lineRule="auto"/>
              <w:jc w:val="center"/>
              <w:rPr>
                <w:rFonts w:ascii="宋体" w:hAnsi="宋体" w:cs="宋体"/>
                <w:color w:val="auto"/>
                <w:sz w:val="24"/>
                <w:szCs w:val="24"/>
                <w:highlight w:val="none"/>
              </w:rPr>
            </w:pPr>
          </w:p>
        </w:tc>
      </w:tr>
      <w:tr w14:paraId="25565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0B785DF1">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29</w:t>
            </w:r>
          </w:p>
        </w:tc>
        <w:tc>
          <w:tcPr>
            <w:tcW w:w="2807" w:type="dxa"/>
            <w:tcBorders>
              <w:tl2br w:val="nil"/>
              <w:tr2bl w:val="nil"/>
            </w:tcBorders>
            <w:shd w:val="clear" w:color="auto" w:fill="auto"/>
            <w:vAlign w:val="center"/>
          </w:tcPr>
          <w:p w14:paraId="23B8905D">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香叶</w:t>
            </w:r>
          </w:p>
        </w:tc>
        <w:tc>
          <w:tcPr>
            <w:tcW w:w="1446" w:type="dxa"/>
            <w:tcBorders>
              <w:tl2br w:val="nil"/>
              <w:tr2bl w:val="nil"/>
            </w:tcBorders>
            <w:shd w:val="clear" w:color="auto" w:fill="auto"/>
            <w:vAlign w:val="center"/>
          </w:tcPr>
          <w:p w14:paraId="7A8700E5">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250G</w:t>
            </w:r>
          </w:p>
        </w:tc>
        <w:tc>
          <w:tcPr>
            <w:tcW w:w="1354" w:type="dxa"/>
            <w:tcBorders>
              <w:tl2br w:val="nil"/>
              <w:tr2bl w:val="nil"/>
            </w:tcBorders>
            <w:shd w:val="clear" w:color="auto" w:fill="auto"/>
            <w:noWrap/>
            <w:vAlign w:val="center"/>
          </w:tcPr>
          <w:p w14:paraId="283A4B7A">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袋</w:t>
            </w:r>
          </w:p>
        </w:tc>
        <w:tc>
          <w:tcPr>
            <w:tcW w:w="3153" w:type="dxa"/>
            <w:tcBorders>
              <w:tl2br w:val="nil"/>
              <w:tr2bl w:val="nil"/>
            </w:tcBorders>
            <w:shd w:val="clear" w:color="auto" w:fill="auto"/>
            <w:vAlign w:val="center"/>
          </w:tcPr>
          <w:p w14:paraId="5F6E4B94">
            <w:pPr>
              <w:widowControl/>
              <w:adjustRightInd w:val="0"/>
              <w:snapToGrid w:val="0"/>
              <w:spacing w:after="200" w:line="360" w:lineRule="auto"/>
              <w:jc w:val="center"/>
              <w:rPr>
                <w:rFonts w:ascii="宋体" w:hAnsi="宋体" w:cs="宋体"/>
                <w:color w:val="auto"/>
                <w:sz w:val="24"/>
                <w:szCs w:val="24"/>
                <w:highlight w:val="none"/>
              </w:rPr>
            </w:pPr>
          </w:p>
        </w:tc>
      </w:tr>
      <w:tr w14:paraId="71D74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7C99FA8D">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30</w:t>
            </w:r>
          </w:p>
        </w:tc>
        <w:tc>
          <w:tcPr>
            <w:tcW w:w="2807" w:type="dxa"/>
            <w:tcBorders>
              <w:tl2br w:val="nil"/>
              <w:tr2bl w:val="nil"/>
            </w:tcBorders>
            <w:shd w:val="clear" w:color="auto" w:fill="auto"/>
            <w:vAlign w:val="center"/>
          </w:tcPr>
          <w:p w14:paraId="3A2DEF01">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八角茴香</w:t>
            </w:r>
          </w:p>
        </w:tc>
        <w:tc>
          <w:tcPr>
            <w:tcW w:w="1446" w:type="dxa"/>
            <w:tcBorders>
              <w:tl2br w:val="nil"/>
              <w:tr2bl w:val="nil"/>
            </w:tcBorders>
            <w:shd w:val="clear" w:color="auto" w:fill="auto"/>
            <w:vAlign w:val="center"/>
          </w:tcPr>
          <w:p w14:paraId="0F36D5E7">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450G</w:t>
            </w:r>
          </w:p>
        </w:tc>
        <w:tc>
          <w:tcPr>
            <w:tcW w:w="1354" w:type="dxa"/>
            <w:tcBorders>
              <w:tl2br w:val="nil"/>
              <w:tr2bl w:val="nil"/>
            </w:tcBorders>
            <w:shd w:val="clear" w:color="auto" w:fill="auto"/>
            <w:noWrap/>
            <w:vAlign w:val="center"/>
          </w:tcPr>
          <w:p w14:paraId="45B8BEE8">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袋</w:t>
            </w:r>
          </w:p>
        </w:tc>
        <w:tc>
          <w:tcPr>
            <w:tcW w:w="3153" w:type="dxa"/>
            <w:tcBorders>
              <w:tl2br w:val="nil"/>
              <w:tr2bl w:val="nil"/>
            </w:tcBorders>
            <w:shd w:val="clear" w:color="auto" w:fill="auto"/>
            <w:vAlign w:val="center"/>
          </w:tcPr>
          <w:p w14:paraId="5B80A8C4">
            <w:pPr>
              <w:widowControl/>
              <w:adjustRightInd w:val="0"/>
              <w:snapToGrid w:val="0"/>
              <w:spacing w:after="200" w:line="360" w:lineRule="auto"/>
              <w:jc w:val="center"/>
              <w:rPr>
                <w:rFonts w:ascii="宋体" w:hAnsi="宋体" w:cs="宋体"/>
                <w:color w:val="auto"/>
                <w:sz w:val="24"/>
                <w:szCs w:val="24"/>
                <w:highlight w:val="none"/>
              </w:rPr>
            </w:pPr>
          </w:p>
        </w:tc>
      </w:tr>
      <w:tr w14:paraId="490FE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6A2EF16F">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31</w:t>
            </w:r>
          </w:p>
        </w:tc>
        <w:tc>
          <w:tcPr>
            <w:tcW w:w="2807" w:type="dxa"/>
            <w:tcBorders>
              <w:tl2br w:val="nil"/>
              <w:tr2bl w:val="nil"/>
            </w:tcBorders>
            <w:shd w:val="clear" w:color="auto" w:fill="auto"/>
            <w:vAlign w:val="center"/>
          </w:tcPr>
          <w:p w14:paraId="25F114DB">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桂皮</w:t>
            </w:r>
          </w:p>
        </w:tc>
        <w:tc>
          <w:tcPr>
            <w:tcW w:w="1446" w:type="dxa"/>
            <w:tcBorders>
              <w:tl2br w:val="nil"/>
              <w:tr2bl w:val="nil"/>
            </w:tcBorders>
            <w:shd w:val="clear" w:color="auto" w:fill="auto"/>
            <w:vAlign w:val="center"/>
          </w:tcPr>
          <w:p w14:paraId="2CB9CDC2">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400G</w:t>
            </w:r>
          </w:p>
        </w:tc>
        <w:tc>
          <w:tcPr>
            <w:tcW w:w="1354" w:type="dxa"/>
            <w:tcBorders>
              <w:tl2br w:val="nil"/>
              <w:tr2bl w:val="nil"/>
            </w:tcBorders>
            <w:shd w:val="clear" w:color="auto" w:fill="auto"/>
            <w:noWrap/>
            <w:vAlign w:val="center"/>
          </w:tcPr>
          <w:p w14:paraId="6F1747CB">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袋</w:t>
            </w:r>
          </w:p>
        </w:tc>
        <w:tc>
          <w:tcPr>
            <w:tcW w:w="3153" w:type="dxa"/>
            <w:tcBorders>
              <w:tl2br w:val="nil"/>
              <w:tr2bl w:val="nil"/>
            </w:tcBorders>
            <w:shd w:val="clear" w:color="auto" w:fill="auto"/>
            <w:vAlign w:val="center"/>
          </w:tcPr>
          <w:p w14:paraId="6B2A190D">
            <w:pPr>
              <w:widowControl/>
              <w:adjustRightInd w:val="0"/>
              <w:snapToGrid w:val="0"/>
              <w:spacing w:after="200" w:line="360" w:lineRule="auto"/>
              <w:jc w:val="center"/>
              <w:rPr>
                <w:rFonts w:ascii="宋体" w:hAnsi="宋体" w:cs="宋体"/>
                <w:color w:val="auto"/>
                <w:sz w:val="24"/>
                <w:szCs w:val="24"/>
                <w:highlight w:val="none"/>
              </w:rPr>
            </w:pPr>
          </w:p>
        </w:tc>
      </w:tr>
      <w:tr w14:paraId="19446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960" w:type="dxa"/>
            <w:tcBorders>
              <w:tl2br w:val="nil"/>
              <w:tr2bl w:val="nil"/>
            </w:tcBorders>
            <w:shd w:val="clear" w:color="auto" w:fill="auto"/>
            <w:noWrap/>
            <w:vAlign w:val="center"/>
          </w:tcPr>
          <w:p w14:paraId="03190E5F">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32</w:t>
            </w:r>
          </w:p>
        </w:tc>
        <w:tc>
          <w:tcPr>
            <w:tcW w:w="2807" w:type="dxa"/>
            <w:tcBorders>
              <w:tl2br w:val="nil"/>
              <w:tr2bl w:val="nil"/>
            </w:tcBorders>
            <w:shd w:val="clear" w:color="auto" w:fill="auto"/>
            <w:vAlign w:val="center"/>
          </w:tcPr>
          <w:p w14:paraId="7349054F">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蚝油</w:t>
            </w:r>
          </w:p>
        </w:tc>
        <w:tc>
          <w:tcPr>
            <w:tcW w:w="1446" w:type="dxa"/>
            <w:tcBorders>
              <w:tl2br w:val="nil"/>
              <w:tr2bl w:val="nil"/>
            </w:tcBorders>
            <w:shd w:val="clear" w:color="auto" w:fill="auto"/>
            <w:vAlign w:val="center"/>
          </w:tcPr>
          <w:p w14:paraId="535DADBF">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2.4KG</w:t>
            </w:r>
          </w:p>
        </w:tc>
        <w:tc>
          <w:tcPr>
            <w:tcW w:w="1354" w:type="dxa"/>
            <w:tcBorders>
              <w:tl2br w:val="nil"/>
              <w:tr2bl w:val="nil"/>
            </w:tcBorders>
            <w:shd w:val="clear" w:color="auto" w:fill="auto"/>
            <w:noWrap/>
            <w:vAlign w:val="center"/>
          </w:tcPr>
          <w:p w14:paraId="4BDF6781">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瓶</w:t>
            </w:r>
          </w:p>
        </w:tc>
        <w:tc>
          <w:tcPr>
            <w:tcW w:w="3153" w:type="dxa"/>
            <w:tcBorders>
              <w:tl2br w:val="nil"/>
              <w:tr2bl w:val="nil"/>
            </w:tcBorders>
            <w:shd w:val="clear" w:color="auto" w:fill="auto"/>
            <w:vAlign w:val="center"/>
          </w:tcPr>
          <w:p w14:paraId="5492A803">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李锦记、海天、太太乐</w:t>
            </w:r>
          </w:p>
        </w:tc>
      </w:tr>
      <w:tr w14:paraId="3963A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703E2051">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33</w:t>
            </w:r>
          </w:p>
        </w:tc>
        <w:tc>
          <w:tcPr>
            <w:tcW w:w="2807" w:type="dxa"/>
            <w:tcBorders>
              <w:tl2br w:val="nil"/>
              <w:tr2bl w:val="nil"/>
            </w:tcBorders>
            <w:shd w:val="clear" w:color="auto" w:fill="auto"/>
            <w:vAlign w:val="center"/>
          </w:tcPr>
          <w:p w14:paraId="1A6AB2D9">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蒸鱼豉油</w:t>
            </w:r>
          </w:p>
        </w:tc>
        <w:tc>
          <w:tcPr>
            <w:tcW w:w="1446" w:type="dxa"/>
            <w:tcBorders>
              <w:tl2br w:val="nil"/>
              <w:tr2bl w:val="nil"/>
            </w:tcBorders>
            <w:shd w:val="clear" w:color="auto" w:fill="auto"/>
            <w:vAlign w:val="center"/>
          </w:tcPr>
          <w:p w14:paraId="0A5BE635">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750ML</w:t>
            </w:r>
          </w:p>
        </w:tc>
        <w:tc>
          <w:tcPr>
            <w:tcW w:w="1354" w:type="dxa"/>
            <w:tcBorders>
              <w:tl2br w:val="nil"/>
              <w:tr2bl w:val="nil"/>
            </w:tcBorders>
            <w:shd w:val="clear" w:color="auto" w:fill="auto"/>
            <w:noWrap/>
            <w:vAlign w:val="center"/>
          </w:tcPr>
          <w:p w14:paraId="029B3BA6">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瓶</w:t>
            </w:r>
          </w:p>
        </w:tc>
        <w:tc>
          <w:tcPr>
            <w:tcW w:w="3153" w:type="dxa"/>
            <w:tcBorders>
              <w:tl2br w:val="nil"/>
              <w:tr2bl w:val="nil"/>
            </w:tcBorders>
            <w:shd w:val="clear" w:color="auto" w:fill="auto"/>
            <w:vAlign w:val="center"/>
          </w:tcPr>
          <w:p w14:paraId="184C1238">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李锦记、海天、太太乐</w:t>
            </w:r>
          </w:p>
        </w:tc>
      </w:tr>
    </w:tbl>
    <w:p w14:paraId="3F71B063">
      <w:pPr>
        <w:pStyle w:val="61"/>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7.豆制品：</w:t>
      </w:r>
    </w:p>
    <w:p w14:paraId="07888B94">
      <w:pPr>
        <w:pStyle w:val="61"/>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豆腐、豆腐干、百叶、素鸡等；须保证食材干净，按统一标准加工、码放整齐、无须二次处理可以直接进行熟加工。百叶丝、百叶结统归为百叶类，单价相同；豆制品采用无锡“阿三”或“阿四”或祖名</w:t>
      </w:r>
      <w:r>
        <w:rPr>
          <w:rFonts w:hint="eastAsia" w:cs="宋体"/>
          <w:color w:val="auto"/>
          <w:szCs w:val="24"/>
          <w:highlight w:val="none"/>
        </w:rPr>
        <w:t>等</w:t>
      </w:r>
      <w:r>
        <w:rPr>
          <w:rFonts w:hint="eastAsia" w:ascii="宋体" w:hAnsi="宋体" w:cs="宋体"/>
          <w:color w:val="auto"/>
          <w:szCs w:val="24"/>
          <w:highlight w:val="none"/>
        </w:rPr>
        <w:t>品牌。</w:t>
      </w:r>
      <w:r>
        <w:rPr>
          <w:rFonts w:hint="eastAsia" w:cs="宋体"/>
          <w:color w:val="auto"/>
          <w:szCs w:val="24"/>
          <w:highlight w:val="none"/>
        </w:rPr>
        <w:t>投标供应商</w:t>
      </w:r>
      <w:r>
        <w:rPr>
          <w:rFonts w:hint="eastAsia" w:ascii="宋体" w:hAnsi="宋体" w:cs="宋体"/>
          <w:color w:val="auto"/>
          <w:szCs w:val="24"/>
          <w:highlight w:val="none"/>
        </w:rPr>
        <w:t>保证正规的进货渠道，所供标的物必须卫生、清洁、新鲜、无污染、无假冒伪劣、无过期变质及“三无”商品，符合《中华人民共和国食品安全法》、GB 2748-2003等法规要求及相应的国标（行业）标准。</w:t>
      </w:r>
    </w:p>
    <w:p w14:paraId="1C5F566E">
      <w:pPr>
        <w:pStyle w:val="61"/>
        <w:spacing w:before="0" w:beforeAutospacing="0" w:after="0" w:afterAutospacing="0" w:line="360" w:lineRule="auto"/>
        <w:ind w:firstLine="482" w:firstLineChars="200"/>
        <w:rPr>
          <w:rFonts w:ascii="宋体" w:hAnsi="宋体" w:cs="宋体"/>
          <w:b/>
          <w:bCs/>
          <w:color w:val="auto"/>
          <w:szCs w:val="24"/>
          <w:highlight w:val="none"/>
        </w:rPr>
      </w:pPr>
      <w:r>
        <w:rPr>
          <w:rFonts w:hint="eastAsia" w:ascii="宋体" w:hAnsi="宋体" w:cs="宋体"/>
          <w:b/>
          <w:bCs/>
          <w:color w:val="auto"/>
          <w:szCs w:val="24"/>
          <w:highlight w:val="none"/>
        </w:rPr>
        <w:t>注：中标供应商所供食材品牌必须报采购人同意。</w:t>
      </w:r>
    </w:p>
    <w:p w14:paraId="10836D24">
      <w:pPr>
        <w:spacing w:line="360" w:lineRule="auto"/>
        <w:ind w:firstLine="482" w:firstLineChars="200"/>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2、人员要求：</w:t>
      </w:r>
    </w:p>
    <w:p w14:paraId="1CFEB3E1">
      <w:pPr>
        <w:pStyle w:val="955"/>
        <w:widowControl/>
        <w:spacing w:line="360" w:lineRule="auto"/>
        <w:ind w:firstLine="480"/>
        <w:rPr>
          <w:rFonts w:ascii="宋体" w:hAnsi="宋体" w:cs="宋体"/>
          <w:bCs/>
          <w:color w:val="auto"/>
          <w:sz w:val="24"/>
          <w:szCs w:val="24"/>
          <w:highlight w:val="none"/>
        </w:rPr>
      </w:pPr>
      <w:r>
        <w:rPr>
          <w:rFonts w:hint="eastAsia" w:ascii="宋体" w:hAnsi="宋体" w:cs="宋体"/>
          <w:color w:val="auto"/>
          <w:sz w:val="24"/>
          <w:szCs w:val="24"/>
          <w:highlight w:val="none"/>
        </w:rPr>
        <w:t>本项目所需管理服务人员至少15名。其中：现场经理1名、厨师长1名、服务主管1名、小灶厨师1名、厨师2名、捞面师1名、服务员2名、帮厨6名，</w:t>
      </w:r>
      <w:r>
        <w:rPr>
          <w:rFonts w:hint="eastAsia" w:ascii="宋体" w:hAnsi="宋体" w:cs="宋体"/>
          <w:bCs/>
          <w:color w:val="auto"/>
          <w:sz w:val="24"/>
          <w:szCs w:val="24"/>
          <w:highlight w:val="none"/>
        </w:rPr>
        <w:t>中标供应商根据采购人要求定岗、定薪，员工工资不得低于</w:t>
      </w:r>
      <w:r>
        <w:rPr>
          <w:rFonts w:hint="eastAsia" w:ascii="宋体" w:hAnsi="宋体" w:cs="宋体"/>
          <w:color w:val="auto"/>
          <w:sz w:val="24"/>
          <w:szCs w:val="24"/>
          <w:highlight w:val="none"/>
        </w:rPr>
        <w:t>无锡市最低工资标准且必须缴纳社会保险费及公积金</w:t>
      </w:r>
      <w:r>
        <w:rPr>
          <w:rFonts w:hint="eastAsia" w:ascii="宋体" w:hAnsi="宋体" w:cs="宋体"/>
          <w:bCs/>
          <w:color w:val="auto"/>
          <w:sz w:val="24"/>
          <w:szCs w:val="24"/>
          <w:highlight w:val="none"/>
        </w:rPr>
        <w:t>，并按照相关规定，与所有聘用人员依法签订劳动合同，具体岗位职责如下：</w:t>
      </w:r>
    </w:p>
    <w:tbl>
      <w:tblPr>
        <w:tblStyle w:val="67"/>
        <w:tblW w:w="99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47"/>
        <w:gridCol w:w="2313"/>
      </w:tblGrid>
      <w:tr w14:paraId="3C5C9D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960" w:type="dxa"/>
            <w:gridSpan w:val="2"/>
            <w:vMerge w:val="restart"/>
            <w:vAlign w:val="center"/>
          </w:tcPr>
          <w:p w14:paraId="7247823F">
            <w:pPr>
              <w:widowControl/>
              <w:spacing w:line="380" w:lineRule="exact"/>
              <w:jc w:val="center"/>
              <w:outlineLvl w:val="0"/>
              <w:rPr>
                <w:rFonts w:ascii="宋体" w:hAnsi="宋体" w:cs="宋体"/>
                <w:color w:val="auto"/>
                <w:sz w:val="24"/>
                <w:highlight w:val="none"/>
              </w:rPr>
            </w:pPr>
            <w:r>
              <w:rPr>
                <w:rFonts w:hint="eastAsia" w:ascii="宋体" w:hAnsi="宋体" w:cs="宋体"/>
                <w:color w:val="auto"/>
                <w:sz w:val="24"/>
                <w:highlight w:val="none"/>
              </w:rPr>
              <w:t>岗位职责</w:t>
            </w:r>
          </w:p>
        </w:tc>
      </w:tr>
      <w:tr w14:paraId="4070B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647" w:type="dxa"/>
            <w:vAlign w:val="center"/>
          </w:tcPr>
          <w:p w14:paraId="482559A9">
            <w:pPr>
              <w:widowControl/>
              <w:spacing w:line="380" w:lineRule="exact"/>
              <w:jc w:val="center"/>
              <w:outlineLvl w:val="0"/>
              <w:rPr>
                <w:rFonts w:ascii="宋体" w:hAnsi="宋体" w:cs="宋体"/>
                <w:color w:val="auto"/>
                <w:sz w:val="24"/>
                <w:highlight w:val="none"/>
              </w:rPr>
            </w:pPr>
            <w:r>
              <w:rPr>
                <w:rFonts w:hint="eastAsia" w:ascii="宋体" w:hAnsi="宋体" w:cs="宋体"/>
                <w:color w:val="auto"/>
                <w:sz w:val="24"/>
                <w:highlight w:val="none"/>
              </w:rPr>
              <w:t>现场经理1</w:t>
            </w:r>
            <w:r>
              <w:rPr>
                <w:rFonts w:hint="eastAsia" w:ascii="宋体" w:hAnsi="宋体" w:cs="宋体"/>
                <w:color w:val="auto"/>
                <w:sz w:val="24"/>
                <w:szCs w:val="24"/>
                <w:highlight w:val="none"/>
              </w:rPr>
              <w:t>名</w:t>
            </w:r>
            <w:r>
              <w:rPr>
                <w:rFonts w:hint="eastAsia" w:ascii="宋体" w:hAnsi="宋体" w:cs="宋体"/>
                <w:color w:val="auto"/>
                <w:sz w:val="24"/>
                <w:highlight w:val="none"/>
              </w:rPr>
              <w:t>，年龄45周岁以下，具有实际管理经验并有较强沟通能力，责任心强</w:t>
            </w:r>
          </w:p>
        </w:tc>
        <w:tc>
          <w:tcPr>
            <w:tcW w:w="2313" w:type="dxa"/>
            <w:vMerge w:val="restart"/>
            <w:vAlign w:val="center"/>
          </w:tcPr>
          <w:p w14:paraId="5BED7A11">
            <w:pPr>
              <w:widowControl/>
              <w:spacing w:line="380" w:lineRule="exact"/>
              <w:jc w:val="center"/>
              <w:outlineLvl w:val="0"/>
              <w:rPr>
                <w:rFonts w:ascii="宋体" w:hAnsi="宋体" w:cs="宋体"/>
                <w:color w:val="auto"/>
                <w:sz w:val="24"/>
                <w:highlight w:val="none"/>
              </w:rPr>
            </w:pPr>
            <w:r>
              <w:rPr>
                <w:rFonts w:hint="eastAsia" w:ascii="宋体" w:hAnsi="宋体" w:cs="宋体"/>
                <w:color w:val="auto"/>
                <w:sz w:val="24"/>
                <w:highlight w:val="none"/>
              </w:rPr>
              <w:t>管理人员</w:t>
            </w:r>
          </w:p>
        </w:tc>
      </w:tr>
      <w:tr w14:paraId="6FA612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6" w:hRule="atLeast"/>
          <w:jc w:val="center"/>
        </w:trPr>
        <w:tc>
          <w:tcPr>
            <w:tcW w:w="7647" w:type="dxa"/>
            <w:vAlign w:val="center"/>
          </w:tcPr>
          <w:p w14:paraId="3F3F03E7">
            <w:pPr>
              <w:widowControl/>
              <w:spacing w:line="380" w:lineRule="exact"/>
              <w:jc w:val="center"/>
              <w:outlineLvl w:val="0"/>
              <w:rPr>
                <w:rFonts w:ascii="宋体" w:hAnsi="宋体" w:cs="宋体"/>
                <w:color w:val="auto"/>
                <w:sz w:val="24"/>
                <w:highlight w:val="none"/>
              </w:rPr>
            </w:pPr>
            <w:r>
              <w:rPr>
                <w:rFonts w:hint="eastAsia" w:ascii="宋体" w:hAnsi="宋体" w:cs="宋体"/>
                <w:color w:val="auto"/>
                <w:sz w:val="24"/>
                <w:highlight w:val="none"/>
              </w:rPr>
              <w:t>厨师长1</w:t>
            </w:r>
            <w:r>
              <w:rPr>
                <w:rFonts w:hint="eastAsia" w:ascii="宋体" w:hAnsi="宋体" w:cs="宋体"/>
                <w:color w:val="auto"/>
                <w:sz w:val="24"/>
                <w:szCs w:val="24"/>
                <w:highlight w:val="none"/>
              </w:rPr>
              <w:t>名</w:t>
            </w:r>
            <w:r>
              <w:rPr>
                <w:rFonts w:hint="eastAsia" w:ascii="宋体" w:hAnsi="宋体" w:cs="宋体"/>
                <w:color w:val="auto"/>
                <w:sz w:val="24"/>
                <w:highlight w:val="none"/>
              </w:rPr>
              <w:t>，8年工作经验以上，具有实际管理经验并有较强沟通能力，责任心强</w:t>
            </w:r>
          </w:p>
        </w:tc>
        <w:tc>
          <w:tcPr>
            <w:tcW w:w="2313" w:type="dxa"/>
            <w:vMerge w:val="continue"/>
            <w:vAlign w:val="center"/>
          </w:tcPr>
          <w:p w14:paraId="6F8580AB">
            <w:pPr>
              <w:widowControl/>
              <w:spacing w:line="380" w:lineRule="exact"/>
              <w:jc w:val="center"/>
              <w:outlineLvl w:val="0"/>
              <w:rPr>
                <w:rFonts w:ascii="宋体" w:hAnsi="宋体" w:cs="宋体"/>
                <w:color w:val="auto"/>
                <w:sz w:val="24"/>
                <w:highlight w:val="none"/>
              </w:rPr>
            </w:pPr>
          </w:p>
        </w:tc>
      </w:tr>
      <w:tr w14:paraId="507F7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647" w:type="dxa"/>
            <w:vAlign w:val="center"/>
          </w:tcPr>
          <w:p w14:paraId="511F19E6">
            <w:pPr>
              <w:widowControl/>
              <w:spacing w:line="380" w:lineRule="exact"/>
              <w:jc w:val="center"/>
              <w:outlineLvl w:val="0"/>
              <w:rPr>
                <w:rFonts w:ascii="宋体" w:hAnsi="宋体" w:cs="宋体"/>
                <w:color w:val="auto"/>
                <w:sz w:val="24"/>
                <w:highlight w:val="none"/>
              </w:rPr>
            </w:pPr>
            <w:r>
              <w:rPr>
                <w:rFonts w:hint="eastAsia" w:ascii="宋体" w:hAnsi="宋体" w:cs="宋体"/>
                <w:color w:val="auto"/>
                <w:sz w:val="24"/>
                <w:highlight w:val="none"/>
              </w:rPr>
              <w:t>服务主管1</w:t>
            </w:r>
            <w:r>
              <w:rPr>
                <w:rFonts w:hint="eastAsia" w:ascii="宋体" w:hAnsi="宋体" w:cs="宋体"/>
                <w:color w:val="auto"/>
                <w:sz w:val="24"/>
                <w:szCs w:val="24"/>
                <w:highlight w:val="none"/>
              </w:rPr>
              <w:t>名</w:t>
            </w:r>
            <w:r>
              <w:rPr>
                <w:rFonts w:hint="eastAsia" w:ascii="宋体" w:hAnsi="宋体" w:cs="宋体"/>
                <w:color w:val="auto"/>
                <w:sz w:val="24"/>
                <w:highlight w:val="none"/>
              </w:rPr>
              <w:t>，年龄45周岁以下，具有实际管理经验并有较强沟通能力，责任心强</w:t>
            </w:r>
          </w:p>
        </w:tc>
        <w:tc>
          <w:tcPr>
            <w:tcW w:w="2313" w:type="dxa"/>
            <w:vMerge w:val="continue"/>
            <w:vAlign w:val="center"/>
          </w:tcPr>
          <w:p w14:paraId="31316F16">
            <w:pPr>
              <w:widowControl/>
              <w:spacing w:line="380" w:lineRule="exact"/>
              <w:jc w:val="center"/>
              <w:outlineLvl w:val="0"/>
              <w:rPr>
                <w:rFonts w:ascii="宋体" w:hAnsi="宋体" w:cs="宋体"/>
                <w:color w:val="auto"/>
                <w:sz w:val="24"/>
                <w:highlight w:val="none"/>
              </w:rPr>
            </w:pPr>
          </w:p>
        </w:tc>
      </w:tr>
      <w:tr w14:paraId="21DD20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647" w:type="dxa"/>
            <w:vAlign w:val="center"/>
          </w:tcPr>
          <w:p w14:paraId="44797E7E">
            <w:pPr>
              <w:widowControl/>
              <w:spacing w:line="380" w:lineRule="exact"/>
              <w:jc w:val="center"/>
              <w:outlineLvl w:val="0"/>
              <w:rPr>
                <w:rFonts w:ascii="宋体" w:hAnsi="宋体" w:cs="宋体"/>
                <w:color w:val="auto"/>
                <w:sz w:val="24"/>
                <w:highlight w:val="none"/>
              </w:rPr>
            </w:pPr>
            <w:r>
              <w:rPr>
                <w:rFonts w:hint="eastAsia" w:ascii="宋体" w:hAnsi="宋体" w:cs="宋体"/>
                <w:color w:val="auto"/>
                <w:sz w:val="24"/>
                <w:highlight w:val="none"/>
              </w:rPr>
              <w:t>小灶厨师1</w:t>
            </w:r>
            <w:r>
              <w:rPr>
                <w:rFonts w:hint="eastAsia" w:ascii="宋体" w:hAnsi="宋体" w:cs="宋体"/>
                <w:color w:val="auto"/>
                <w:sz w:val="24"/>
                <w:szCs w:val="24"/>
                <w:highlight w:val="none"/>
              </w:rPr>
              <w:t>名</w:t>
            </w:r>
            <w:r>
              <w:rPr>
                <w:rFonts w:hint="eastAsia" w:ascii="宋体" w:hAnsi="宋体" w:cs="宋体"/>
                <w:color w:val="auto"/>
                <w:sz w:val="24"/>
                <w:highlight w:val="none"/>
              </w:rPr>
              <w:t>，3年工作经验以上，具有丰富的厨师从业经验并有较强沟通能力，责任心强，执行力强，团队配合能力强</w:t>
            </w:r>
          </w:p>
        </w:tc>
        <w:tc>
          <w:tcPr>
            <w:tcW w:w="2313" w:type="dxa"/>
            <w:vMerge w:val="restart"/>
            <w:vAlign w:val="center"/>
          </w:tcPr>
          <w:p w14:paraId="03F67B19">
            <w:pPr>
              <w:widowControl/>
              <w:spacing w:line="380" w:lineRule="exact"/>
              <w:jc w:val="center"/>
              <w:outlineLvl w:val="0"/>
              <w:rPr>
                <w:rFonts w:ascii="宋体" w:hAnsi="宋体" w:cs="宋体"/>
                <w:color w:val="auto"/>
                <w:sz w:val="24"/>
                <w:highlight w:val="none"/>
              </w:rPr>
            </w:pPr>
            <w:r>
              <w:rPr>
                <w:rFonts w:hint="eastAsia" w:ascii="宋体" w:hAnsi="宋体" w:cs="宋体"/>
                <w:color w:val="auto"/>
                <w:sz w:val="24"/>
                <w:highlight w:val="none"/>
              </w:rPr>
              <w:t>厨房人员</w:t>
            </w:r>
          </w:p>
        </w:tc>
      </w:tr>
      <w:tr w14:paraId="04311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647" w:type="dxa"/>
            <w:vAlign w:val="center"/>
          </w:tcPr>
          <w:p w14:paraId="3B463DA8">
            <w:pPr>
              <w:widowControl/>
              <w:spacing w:line="380" w:lineRule="exact"/>
              <w:jc w:val="center"/>
              <w:outlineLvl w:val="0"/>
              <w:rPr>
                <w:rFonts w:ascii="宋体" w:hAnsi="宋体" w:cs="宋体"/>
                <w:color w:val="auto"/>
                <w:sz w:val="24"/>
                <w:highlight w:val="none"/>
              </w:rPr>
            </w:pPr>
            <w:r>
              <w:rPr>
                <w:rFonts w:hint="eastAsia" w:ascii="宋体" w:hAnsi="宋体" w:cs="宋体"/>
                <w:color w:val="auto"/>
                <w:sz w:val="24"/>
                <w:highlight w:val="none"/>
              </w:rPr>
              <w:t>厨师2</w:t>
            </w:r>
            <w:r>
              <w:rPr>
                <w:rFonts w:hint="eastAsia" w:ascii="宋体" w:hAnsi="宋体" w:cs="宋体"/>
                <w:color w:val="auto"/>
                <w:sz w:val="24"/>
                <w:szCs w:val="24"/>
                <w:highlight w:val="none"/>
              </w:rPr>
              <w:t>名</w:t>
            </w:r>
            <w:r>
              <w:rPr>
                <w:rFonts w:hint="eastAsia" w:ascii="宋体" w:hAnsi="宋体" w:cs="宋体"/>
                <w:color w:val="auto"/>
                <w:sz w:val="24"/>
                <w:highlight w:val="none"/>
              </w:rPr>
              <w:t>，3年工作经验以上，具有丰富的厨师从业经验并有较强沟通能力，责任心强，执行力强，团队配合能力强</w:t>
            </w:r>
          </w:p>
        </w:tc>
        <w:tc>
          <w:tcPr>
            <w:tcW w:w="2313" w:type="dxa"/>
            <w:vMerge w:val="continue"/>
            <w:vAlign w:val="center"/>
          </w:tcPr>
          <w:p w14:paraId="10B82A07">
            <w:pPr>
              <w:widowControl/>
              <w:spacing w:line="380" w:lineRule="exact"/>
              <w:jc w:val="center"/>
              <w:outlineLvl w:val="0"/>
              <w:rPr>
                <w:rFonts w:ascii="宋体" w:hAnsi="宋体" w:cs="宋体"/>
                <w:color w:val="auto"/>
                <w:sz w:val="24"/>
                <w:highlight w:val="none"/>
              </w:rPr>
            </w:pPr>
          </w:p>
        </w:tc>
      </w:tr>
      <w:tr w14:paraId="30547D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647" w:type="dxa"/>
            <w:vAlign w:val="center"/>
          </w:tcPr>
          <w:p w14:paraId="6AB6827D">
            <w:pPr>
              <w:widowControl/>
              <w:spacing w:line="380" w:lineRule="exact"/>
              <w:jc w:val="center"/>
              <w:outlineLvl w:val="0"/>
              <w:rPr>
                <w:rFonts w:ascii="宋体" w:hAnsi="宋体" w:cs="宋体"/>
                <w:color w:val="auto"/>
                <w:sz w:val="24"/>
                <w:highlight w:val="none"/>
              </w:rPr>
            </w:pPr>
            <w:r>
              <w:rPr>
                <w:rFonts w:hint="eastAsia" w:ascii="宋体" w:hAnsi="宋体" w:cs="宋体"/>
                <w:color w:val="auto"/>
                <w:sz w:val="24"/>
                <w:highlight w:val="none"/>
              </w:rPr>
              <w:t>捞面师1</w:t>
            </w:r>
            <w:r>
              <w:rPr>
                <w:rFonts w:hint="eastAsia" w:ascii="宋体" w:hAnsi="宋体" w:cs="宋体"/>
                <w:color w:val="auto"/>
                <w:sz w:val="24"/>
                <w:szCs w:val="24"/>
                <w:highlight w:val="none"/>
              </w:rPr>
              <w:t>名</w:t>
            </w:r>
            <w:r>
              <w:rPr>
                <w:rFonts w:hint="eastAsia" w:ascii="宋体" w:hAnsi="宋体" w:cs="宋体"/>
                <w:color w:val="auto"/>
                <w:sz w:val="24"/>
                <w:highlight w:val="none"/>
              </w:rPr>
              <w:t>，2年工作经验以上，具有丰富的从业经验并有较强沟通能力，责任心强，执行力强，团队配合能力强</w:t>
            </w:r>
          </w:p>
        </w:tc>
        <w:tc>
          <w:tcPr>
            <w:tcW w:w="2313" w:type="dxa"/>
            <w:vMerge w:val="continue"/>
            <w:vAlign w:val="center"/>
          </w:tcPr>
          <w:p w14:paraId="76B8F323">
            <w:pPr>
              <w:widowControl/>
              <w:spacing w:line="380" w:lineRule="exact"/>
              <w:jc w:val="center"/>
              <w:outlineLvl w:val="0"/>
              <w:rPr>
                <w:rFonts w:ascii="宋体" w:hAnsi="宋体" w:cs="宋体"/>
                <w:color w:val="auto"/>
                <w:sz w:val="24"/>
                <w:highlight w:val="none"/>
              </w:rPr>
            </w:pPr>
          </w:p>
        </w:tc>
      </w:tr>
      <w:tr w14:paraId="45D1A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647" w:type="dxa"/>
            <w:vAlign w:val="center"/>
          </w:tcPr>
          <w:p w14:paraId="3471A7D4">
            <w:pPr>
              <w:widowControl/>
              <w:spacing w:line="380" w:lineRule="exact"/>
              <w:jc w:val="center"/>
              <w:outlineLvl w:val="0"/>
              <w:rPr>
                <w:rFonts w:ascii="宋体" w:hAnsi="宋体" w:cs="宋体"/>
                <w:color w:val="auto"/>
                <w:sz w:val="24"/>
                <w:highlight w:val="none"/>
              </w:rPr>
            </w:pPr>
            <w:r>
              <w:rPr>
                <w:rFonts w:hint="eastAsia" w:ascii="宋体" w:hAnsi="宋体" w:cs="宋体"/>
                <w:color w:val="auto"/>
                <w:sz w:val="24"/>
                <w:highlight w:val="none"/>
              </w:rPr>
              <w:t>服务员2</w:t>
            </w:r>
            <w:r>
              <w:rPr>
                <w:rFonts w:hint="eastAsia" w:ascii="宋体" w:hAnsi="宋体" w:cs="宋体"/>
                <w:color w:val="auto"/>
                <w:sz w:val="24"/>
                <w:szCs w:val="24"/>
                <w:highlight w:val="none"/>
              </w:rPr>
              <w:t>名</w:t>
            </w:r>
            <w:r>
              <w:rPr>
                <w:rFonts w:hint="eastAsia" w:ascii="宋体" w:hAnsi="宋体" w:cs="宋体"/>
                <w:color w:val="auto"/>
                <w:sz w:val="24"/>
                <w:highlight w:val="none"/>
              </w:rPr>
              <w:t>，年龄45周岁以下，具有丰富的从业经验并有较强沟通能力，责任心强，执行力强，团队配合能力强</w:t>
            </w:r>
          </w:p>
        </w:tc>
        <w:tc>
          <w:tcPr>
            <w:tcW w:w="2313" w:type="dxa"/>
            <w:vMerge w:val="restart"/>
            <w:vAlign w:val="center"/>
          </w:tcPr>
          <w:p w14:paraId="074038DA">
            <w:pPr>
              <w:widowControl/>
              <w:spacing w:line="380" w:lineRule="exact"/>
              <w:jc w:val="center"/>
              <w:outlineLvl w:val="0"/>
              <w:rPr>
                <w:rFonts w:ascii="宋体" w:hAnsi="宋体" w:cs="宋体"/>
                <w:color w:val="auto"/>
                <w:sz w:val="24"/>
                <w:highlight w:val="none"/>
              </w:rPr>
            </w:pPr>
            <w:r>
              <w:rPr>
                <w:rFonts w:hint="eastAsia" w:ascii="宋体" w:hAnsi="宋体" w:cs="宋体"/>
                <w:color w:val="auto"/>
                <w:sz w:val="24"/>
                <w:highlight w:val="none"/>
              </w:rPr>
              <w:t>服务人员</w:t>
            </w:r>
          </w:p>
        </w:tc>
      </w:tr>
      <w:tr w14:paraId="39C8B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647" w:type="dxa"/>
            <w:vAlign w:val="center"/>
          </w:tcPr>
          <w:p w14:paraId="16CA53A5">
            <w:pPr>
              <w:widowControl/>
              <w:spacing w:line="380" w:lineRule="exact"/>
              <w:jc w:val="center"/>
              <w:outlineLvl w:val="0"/>
              <w:rPr>
                <w:rFonts w:ascii="宋体" w:hAnsi="宋体" w:cs="宋体"/>
                <w:color w:val="auto"/>
                <w:sz w:val="24"/>
                <w:highlight w:val="none"/>
              </w:rPr>
            </w:pPr>
            <w:r>
              <w:rPr>
                <w:rFonts w:hint="eastAsia" w:ascii="宋体" w:hAnsi="宋体" w:cs="宋体"/>
                <w:color w:val="auto"/>
                <w:sz w:val="24"/>
                <w:highlight w:val="none"/>
              </w:rPr>
              <w:t>帮厨6</w:t>
            </w:r>
            <w:r>
              <w:rPr>
                <w:rFonts w:hint="eastAsia" w:ascii="宋体" w:hAnsi="宋体" w:cs="宋体"/>
                <w:color w:val="auto"/>
                <w:sz w:val="24"/>
                <w:szCs w:val="24"/>
                <w:highlight w:val="none"/>
              </w:rPr>
              <w:t>名</w:t>
            </w:r>
            <w:r>
              <w:rPr>
                <w:rFonts w:hint="eastAsia" w:ascii="宋体" w:hAnsi="宋体" w:cs="宋体"/>
                <w:color w:val="auto"/>
                <w:sz w:val="24"/>
                <w:highlight w:val="none"/>
              </w:rPr>
              <w:t>，2年工作经验以上，具有丰富的从业经验并有较强沟通能力，责任心强，执行力强，团队配合能力强</w:t>
            </w:r>
          </w:p>
        </w:tc>
        <w:tc>
          <w:tcPr>
            <w:tcW w:w="2313" w:type="dxa"/>
            <w:vMerge w:val="continue"/>
            <w:vAlign w:val="center"/>
          </w:tcPr>
          <w:p w14:paraId="6AF7A6D9">
            <w:pPr>
              <w:widowControl/>
              <w:spacing w:line="380" w:lineRule="exact"/>
              <w:outlineLvl w:val="0"/>
              <w:rPr>
                <w:rFonts w:ascii="宋体" w:hAnsi="宋体" w:cs="宋体"/>
                <w:color w:val="auto"/>
                <w:sz w:val="24"/>
                <w:highlight w:val="none"/>
              </w:rPr>
            </w:pPr>
          </w:p>
        </w:tc>
      </w:tr>
    </w:tbl>
    <w:p w14:paraId="6549D4FD">
      <w:pPr>
        <w:pStyle w:val="955"/>
        <w:widowControl/>
        <w:spacing w:line="360" w:lineRule="auto"/>
        <w:ind w:firstLine="480"/>
        <w:rPr>
          <w:rFonts w:ascii="宋体" w:hAnsi="宋体" w:cs="宋体"/>
          <w:bCs/>
          <w:color w:val="auto"/>
          <w:sz w:val="24"/>
          <w:szCs w:val="24"/>
          <w:highlight w:val="none"/>
        </w:rPr>
      </w:pPr>
    </w:p>
    <w:p w14:paraId="5C7CCB92">
      <w:pPr>
        <w:spacing w:line="360" w:lineRule="auto"/>
        <w:ind w:firstLine="482" w:firstLineChars="200"/>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3、具体服务内容：</w:t>
      </w:r>
    </w:p>
    <w:p w14:paraId="3A9A7BD4">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中标供应商负责提供</w:t>
      </w:r>
      <w:r>
        <w:rPr>
          <w:rFonts w:hint="eastAsia" w:ascii="宋体" w:hAnsi="宋体" w:cs="宋体"/>
          <w:bCs/>
          <w:color w:val="auto"/>
          <w:sz w:val="24"/>
          <w:szCs w:val="24"/>
          <w:highlight w:val="none"/>
        </w:rPr>
        <w:t>食堂运营及管理、食材采购及配送、以及其他相关配套服务。具体服务内容包括但不限于负责</w:t>
      </w:r>
      <w:r>
        <w:rPr>
          <w:rFonts w:hint="eastAsia" w:ascii="宋体" w:hAnsi="宋体" w:cs="宋体"/>
          <w:color w:val="auto"/>
          <w:kern w:val="2"/>
          <w:sz w:val="24"/>
          <w:szCs w:val="24"/>
          <w:highlight w:val="none"/>
        </w:rPr>
        <w:t>食品原材料的采购、核价及成本核算和餐费收取；提供服务人员及技术服务，负责菜单制定、菜点制作、售卖、餐饮工艺流程实施、管理、餐厅厨房保洁、服务等。</w:t>
      </w:r>
    </w:p>
    <w:p w14:paraId="538D3B0C">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1）中标供应商应丰富菜肴品种，不断推陈出新。根据采购人需求有能力适时更换厨师，每周须推出1-2个创新菜，确保菜肴精致可口，口味鲜美，全力做好就餐接待服务。负责做好各类食材的采购，保证供应食材的及时、供应食材的优质、供应食材的多样、供应食材的新鲜度。按季节及时调整时令菜品，定期推出特色菜或新菜，每餐菜肴要求荤素搭配均衡、营养安排合理。</w:t>
      </w:r>
    </w:p>
    <w:p w14:paraId="6C1F1CB0">
      <w:pPr>
        <w:spacing w:line="360" w:lineRule="auto"/>
        <w:ind w:firstLine="480" w:firstLineChars="200"/>
        <w:rPr>
          <w:rFonts w:ascii="宋体" w:hAnsi="宋体" w:cs="宋体"/>
          <w:color w:val="auto"/>
          <w:sz w:val="24"/>
          <w:szCs w:val="24"/>
          <w:highlight w:val="none"/>
        </w:rPr>
      </w:pPr>
      <w:r>
        <w:rPr>
          <w:rFonts w:hint="eastAsia" w:ascii="宋体" w:hAnsi="宋体" w:cs="宋体"/>
          <w:color w:val="auto"/>
          <w:kern w:val="2"/>
          <w:sz w:val="24"/>
          <w:szCs w:val="24"/>
          <w:highlight w:val="none"/>
        </w:rPr>
        <w:t>（2）餐饮标准：中标供应商负责</w:t>
      </w:r>
      <w:r>
        <w:rPr>
          <w:rFonts w:hint="eastAsia" w:ascii="宋体" w:hAnsi="宋体" w:cs="宋体"/>
          <w:color w:val="auto"/>
          <w:sz w:val="24"/>
          <w:szCs w:val="24"/>
          <w:highlight w:val="none"/>
        </w:rPr>
        <w:t>每天供应早、午两餐，全年（双休日、节假日除外）开餐。就餐时间：早餐7:30-8:45；午餐11:00—12:30。如有特殊情况，早、午餐开餐时间及大致就餐人数以发标方通知为准。</w:t>
      </w:r>
    </w:p>
    <w:p w14:paraId="009C8A45">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早餐提供中西式糕点4款、粗粮2款、粥2款、小菜4款、鸡蛋、豆浆/牛奶、早面，小份自选模式。午餐提供1大荤、2小荤、2蔬菜、汤、米饭、粗粮、酸奶/水果，小份自选模式。可根据实际情况限量提供特色餐，如面条、饺子、牛肉米线、炒饭、盖浇饭等；也可根据采购人要求提供圆桌工作餐。</w:t>
      </w:r>
    </w:p>
    <w:p w14:paraId="10713623">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（3）工作日晚间安排两名人员在岗值守，同时全程保障备桌相关服务需求。</w:t>
      </w:r>
    </w:p>
    <w:p w14:paraId="6236919D">
      <w:pPr>
        <w:spacing w:line="360" w:lineRule="auto"/>
        <w:ind w:firstLine="482" w:firstLineChars="200"/>
        <w:rPr>
          <w:rFonts w:ascii="宋体" w:hAnsi="宋体" w:cs="宋体"/>
          <w:b/>
          <w:bCs/>
          <w:color w:val="auto"/>
          <w:kern w:val="2"/>
          <w:sz w:val="24"/>
          <w:szCs w:val="24"/>
          <w:highlight w:val="none"/>
        </w:rPr>
      </w:pPr>
      <w:r>
        <w:rPr>
          <w:rFonts w:hint="eastAsia" w:hAnsi="宋体" w:cs="宋体"/>
          <w:b/>
          <w:bCs/>
          <w:color w:val="auto"/>
          <w:kern w:val="2"/>
          <w:sz w:val="24"/>
          <w:szCs w:val="24"/>
          <w:highlight w:val="none"/>
        </w:rPr>
        <w:t>4</w:t>
      </w:r>
      <w:r>
        <w:rPr>
          <w:rFonts w:hint="eastAsia" w:ascii="宋体" w:hAnsi="宋体" w:cs="宋体"/>
          <w:b/>
          <w:bCs/>
          <w:color w:val="auto"/>
          <w:kern w:val="2"/>
          <w:sz w:val="24"/>
          <w:szCs w:val="24"/>
          <w:highlight w:val="none"/>
        </w:rPr>
        <w:t>、采购人责任与义务:</w:t>
      </w:r>
    </w:p>
    <w:p w14:paraId="627D2284">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1）采购人提供餐厅及厨房硬件设备、餐具、厨具、炊具、餐桌椅、排风设备、排污设备、洗碗设备、泔水、废油处理设备（设施），能源（水、电、煤）、油烟机清洗、厨房餐厅虫害控制。采购人将现有工作场所设施设备，各类物品列出清单，待中标供应商进驻时，由采购人、中标供应商双方办理交接手续，确认签字后各执一份。中标供应商须做到食堂设备的文明使用，合同期满须将能正常使用的食堂设备、设施及各类物品完整、完好地移交采购人。</w:t>
      </w:r>
    </w:p>
    <w:p w14:paraId="75A20874">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（2）采购人提供餐厅内所需的客用低值易耗用品如餐巾纸、牙签、洗手液等（微笑口罩、围兜、一次性手套等服务人员自用劳保低值易耗品除外）。</w:t>
      </w:r>
    </w:p>
    <w:p w14:paraId="642B368F">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（3）采购人如有条件，应向中标供应商提供项目办公室（值班室）、员工更衣室、食品仓库、非食品仓库等工作用房使用权。</w:t>
      </w:r>
    </w:p>
    <w:p w14:paraId="68D905DB">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 xml:space="preserve">（4）采购人保证工作所需的水、电、气正常供应，并对中标供应商使用的水、电、气的进行管理和考核，中标供应商必须强化管理和监督，减少水、电、气等的浪费。 </w:t>
      </w:r>
    </w:p>
    <w:p w14:paraId="68C290B3">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（5）采购人负责餐饮服务外包有关工作的考核和服务费用的支付。</w:t>
      </w:r>
    </w:p>
    <w:p w14:paraId="0B3623AF">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（6）采购人有权对项目进行成本核算。</w:t>
      </w:r>
    </w:p>
    <w:p w14:paraId="37039F55">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（7）采购人免费提供中标供应商工作期间的正常用餐，但不提供员工住宿、交通等条件。</w:t>
      </w:r>
    </w:p>
    <w:p w14:paraId="2104408B">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（8）采购人有权对中标供应商每天菜品的分量、质量、品质色味进行监督、验收。</w:t>
      </w:r>
    </w:p>
    <w:p w14:paraId="3B2CE4F8">
      <w:pPr>
        <w:tabs>
          <w:tab w:val="left" w:pos="3144"/>
        </w:tabs>
        <w:spacing w:line="360" w:lineRule="auto"/>
        <w:ind w:firstLine="480" w:firstLineChars="200"/>
        <w:rPr>
          <w:rFonts w:ascii="宋体" w:hAnsi="宋体" w:cs="宋体"/>
          <w:color w:val="auto"/>
          <w:sz w:val="24"/>
          <w:szCs w:val="24"/>
          <w:highlight w:val="none"/>
        </w:rPr>
      </w:pPr>
      <w:r>
        <w:rPr>
          <w:rFonts w:hint="eastAsia" w:ascii="宋体" w:hAnsi="宋体" w:cs="宋体"/>
          <w:color w:val="auto"/>
          <w:kern w:val="2"/>
          <w:sz w:val="24"/>
          <w:szCs w:val="24"/>
          <w:highlight w:val="none"/>
        </w:rPr>
        <w:t>（9）</w:t>
      </w:r>
      <w:r>
        <w:rPr>
          <w:rFonts w:hint="eastAsia" w:ascii="宋体" w:hAnsi="宋体" w:cs="宋体"/>
          <w:bCs/>
          <w:color w:val="auto"/>
          <w:kern w:val="2"/>
          <w:sz w:val="24"/>
          <w:szCs w:val="24"/>
          <w:highlight w:val="none"/>
        </w:rPr>
        <w:t>采购人有权对中标供应商提供的服务进行考核，费用根据考核情况按月度结算并支付。</w:t>
      </w:r>
    </w:p>
    <w:p w14:paraId="4458DB14">
      <w:pPr>
        <w:spacing w:line="360" w:lineRule="auto"/>
        <w:ind w:firstLine="482" w:firstLineChars="200"/>
        <w:rPr>
          <w:rFonts w:ascii="宋体" w:hAnsi="宋体" w:cs="宋体"/>
          <w:b/>
          <w:bCs/>
          <w:color w:val="auto"/>
          <w:kern w:val="2"/>
          <w:sz w:val="24"/>
          <w:szCs w:val="24"/>
          <w:highlight w:val="none"/>
        </w:rPr>
      </w:pPr>
      <w:r>
        <w:rPr>
          <w:rFonts w:hint="eastAsia" w:hAnsi="宋体" w:cs="宋体"/>
          <w:b/>
          <w:bCs/>
          <w:color w:val="auto"/>
          <w:kern w:val="2"/>
          <w:sz w:val="24"/>
          <w:szCs w:val="24"/>
          <w:highlight w:val="none"/>
        </w:rPr>
        <w:t>5</w:t>
      </w:r>
      <w:r>
        <w:rPr>
          <w:rFonts w:hint="eastAsia" w:ascii="宋体" w:hAnsi="宋体" w:cs="宋体"/>
          <w:b/>
          <w:bCs/>
          <w:color w:val="auto"/>
          <w:kern w:val="2"/>
          <w:sz w:val="24"/>
          <w:szCs w:val="24"/>
          <w:highlight w:val="none"/>
        </w:rPr>
        <w:t>、中标供应商责任与义务:</w:t>
      </w:r>
    </w:p>
    <w:p w14:paraId="1FD97811">
      <w:pPr>
        <w:spacing w:line="360" w:lineRule="auto"/>
        <w:ind w:firstLine="480" w:firstLineChars="200"/>
        <w:rPr>
          <w:rFonts w:ascii="宋体" w:hAnsi="宋体" w:cs="宋体"/>
          <w:bCs/>
          <w:color w:val="auto"/>
          <w:kern w:val="2"/>
          <w:sz w:val="24"/>
          <w:szCs w:val="24"/>
          <w:highlight w:val="none"/>
        </w:rPr>
      </w:pPr>
      <w:r>
        <w:rPr>
          <w:rFonts w:hint="eastAsia" w:ascii="宋体" w:hAnsi="宋体" w:cs="宋体"/>
          <w:color w:val="auto"/>
          <w:kern w:val="2"/>
          <w:sz w:val="24"/>
          <w:szCs w:val="24"/>
          <w:highlight w:val="none"/>
        </w:rPr>
        <w:t>（1）</w:t>
      </w:r>
      <w:r>
        <w:rPr>
          <w:rFonts w:hint="eastAsia" w:ascii="宋体" w:hAnsi="宋体" w:cs="宋体"/>
          <w:bCs/>
          <w:color w:val="auto"/>
          <w:kern w:val="2"/>
          <w:sz w:val="24"/>
          <w:szCs w:val="24"/>
          <w:highlight w:val="none"/>
        </w:rPr>
        <w:t>中标供应商负责将泔水、废油放置到指定地点</w:t>
      </w:r>
      <w:r>
        <w:rPr>
          <w:rFonts w:hint="eastAsia" w:ascii="宋体" w:hAnsi="宋体" w:cs="宋体"/>
          <w:color w:val="auto"/>
          <w:kern w:val="2"/>
          <w:sz w:val="24"/>
          <w:szCs w:val="24"/>
          <w:highlight w:val="none"/>
        </w:rPr>
        <w:t>并配合采购人寻找有资质的公司进行泔水，废油的处理</w:t>
      </w:r>
      <w:r>
        <w:rPr>
          <w:rFonts w:hint="eastAsia" w:ascii="宋体" w:hAnsi="宋体" w:cs="宋体"/>
          <w:bCs/>
          <w:color w:val="auto"/>
          <w:kern w:val="2"/>
          <w:sz w:val="24"/>
          <w:szCs w:val="24"/>
          <w:highlight w:val="none"/>
        </w:rPr>
        <w:t>，以及食物加工制作、销售、管理团队、厨房和餐厅清洁。</w:t>
      </w:r>
    </w:p>
    <w:p w14:paraId="74DFE9EE">
      <w:pPr>
        <w:tabs>
          <w:tab w:val="left" w:pos="3144"/>
        </w:tabs>
        <w:spacing w:line="360" w:lineRule="auto"/>
        <w:ind w:firstLine="480" w:firstLineChars="200"/>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（2）中标供应商负责食品原材料运输、搬运等配送工作，并配合采购人验收。</w:t>
      </w:r>
    </w:p>
    <w:p w14:paraId="4D1E53C9">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（3）中标供应商开具的采购食料和辅料清单必须经采购人审核通过后，方可进行采购。</w:t>
      </w:r>
    </w:p>
    <w:p w14:paraId="1F811778">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（4）中标供应商是食堂安全、消防第一责任人，日常加强消防演练和安全检查，并做好相关记录，杜绝消防安全隐患。</w:t>
      </w:r>
    </w:p>
    <w:p w14:paraId="366E1B14">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（5）中标供应商必须健全食堂逐日消耗、食品留样制度、索证登记制度，并积极协助配合采购人搞好成本核算和膳食管理。</w:t>
      </w:r>
    </w:p>
    <w:p w14:paraId="3911A8DB">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（6）中标供应商须全力协助并配合提供一年至少4次的厨房油烟灶管道清洗，烟灶清洗，隔油池的清洗，厨余垃圾的处理，厨房灭火器及灭火毯等消防器材的采购和更换等杂项服务，费用由采购人承担。</w:t>
      </w:r>
    </w:p>
    <w:p w14:paraId="7587A42F">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（7）中标供应商对其工作人员负有政治思想、日常表现、业务技术、健康状况的审核责任，工作人员必须政审合格，身体健康，形体无明显缺陷，外貌端正，并经过岗前专业培训，</w:t>
      </w:r>
      <w:r>
        <w:rPr>
          <w:rFonts w:hint="eastAsia" w:ascii="宋体" w:hAnsi="宋体" w:cs="宋体"/>
          <w:bCs/>
          <w:color w:val="auto"/>
          <w:kern w:val="2"/>
          <w:sz w:val="24"/>
          <w:szCs w:val="24"/>
          <w:highlight w:val="none"/>
        </w:rPr>
        <w:t>合同签订前，</w:t>
      </w:r>
      <w:r>
        <w:rPr>
          <w:rFonts w:hint="eastAsia" w:ascii="宋体" w:hAnsi="宋体" w:cs="宋体"/>
          <w:color w:val="auto"/>
          <w:kern w:val="2"/>
          <w:sz w:val="24"/>
          <w:szCs w:val="24"/>
          <w:highlight w:val="none"/>
        </w:rPr>
        <w:t>并经采购人审核通过；如有后续</w:t>
      </w:r>
      <w:r>
        <w:rPr>
          <w:rFonts w:hint="eastAsia" w:ascii="宋体" w:hAnsi="宋体" w:cs="宋体"/>
          <w:bCs/>
          <w:color w:val="auto"/>
          <w:kern w:val="2"/>
          <w:sz w:val="24"/>
          <w:szCs w:val="24"/>
          <w:highlight w:val="none"/>
        </w:rPr>
        <w:t>更新人员，也应征得采购人同意</w:t>
      </w:r>
      <w:r>
        <w:rPr>
          <w:rFonts w:hint="eastAsia" w:ascii="宋体" w:hAnsi="宋体" w:cs="宋体"/>
          <w:color w:val="auto"/>
          <w:kern w:val="2"/>
          <w:sz w:val="24"/>
          <w:szCs w:val="24"/>
          <w:highlight w:val="none"/>
        </w:rPr>
        <w:t>。</w:t>
      </w:r>
      <w:r>
        <w:rPr>
          <w:rFonts w:hint="eastAsia" w:ascii="宋体" w:hAnsi="宋体" w:cs="宋体"/>
          <w:bCs/>
          <w:color w:val="auto"/>
          <w:kern w:val="2"/>
          <w:sz w:val="24"/>
          <w:szCs w:val="24"/>
          <w:highlight w:val="none"/>
        </w:rPr>
        <w:t>如采购人对服务人员不满意，中标供应商应在一周内更换到位。</w:t>
      </w:r>
    </w:p>
    <w:p w14:paraId="6FB29BFA">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（8）中标供应商负责服务人员的组织、分配、使用和操作管理，为采购人的餐饮做好加工制作、就餐供应和服务保障。</w:t>
      </w:r>
    </w:p>
    <w:p w14:paraId="3216BE3B">
      <w:pPr>
        <w:tabs>
          <w:tab w:val="left" w:pos="3144"/>
        </w:tabs>
        <w:spacing w:line="360" w:lineRule="auto"/>
        <w:ind w:firstLine="480" w:firstLineChars="200"/>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（9）中标供应商每周四必须按采购人所提供的用餐人数、标准、菜肴品种、规格等方面的要求向采购人上报下周菜谱并对食品原材料的用量进行下单。</w:t>
      </w:r>
    </w:p>
    <w:p w14:paraId="2D8CB361">
      <w:pPr>
        <w:tabs>
          <w:tab w:val="left" w:pos="3144"/>
        </w:tabs>
        <w:spacing w:line="360" w:lineRule="auto"/>
        <w:ind w:firstLine="480" w:firstLineChars="200"/>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（10）中标供应商未经采购人同意，不得在食堂内进行食品外加工，一经发现将作违约处理。</w:t>
      </w:r>
    </w:p>
    <w:p w14:paraId="09CA50D5">
      <w:pPr>
        <w:tabs>
          <w:tab w:val="left" w:pos="3144"/>
        </w:tabs>
        <w:spacing w:line="360" w:lineRule="auto"/>
        <w:ind w:firstLine="480" w:firstLineChars="200"/>
        <w:rPr>
          <w:rFonts w:ascii="宋体" w:hAnsi="宋体" w:cs="宋体"/>
          <w:bCs/>
          <w:color w:val="auto"/>
          <w:kern w:val="2"/>
          <w:sz w:val="24"/>
          <w:szCs w:val="24"/>
          <w:highlight w:val="none"/>
        </w:rPr>
      </w:pPr>
      <w:r>
        <w:rPr>
          <w:rFonts w:hint="eastAsia" w:ascii="宋体" w:hAnsi="宋体" w:cs="宋体"/>
          <w:bCs/>
          <w:color w:val="auto"/>
          <w:kern w:val="2"/>
          <w:sz w:val="24"/>
          <w:szCs w:val="24"/>
          <w:highlight w:val="none"/>
        </w:rPr>
        <w:t>（11）在中标供应商经营过程中，因中标供应商管理、工艺流程不到位，引起病原性传播或食物中毒，一切责任由中标供应商负责，并承担相应的法律和经济责任。</w:t>
      </w:r>
    </w:p>
    <w:p w14:paraId="318B9E86">
      <w:pPr>
        <w:tabs>
          <w:tab w:val="left" w:pos="3144"/>
        </w:tabs>
        <w:spacing w:line="360" w:lineRule="auto"/>
        <w:ind w:firstLine="480" w:firstLineChars="200"/>
        <w:rPr>
          <w:rFonts w:ascii="宋体" w:hAnsi="宋体" w:cs="宋体"/>
          <w:color w:val="auto"/>
          <w:sz w:val="24"/>
          <w:szCs w:val="24"/>
          <w:highlight w:val="none"/>
        </w:rPr>
      </w:pPr>
      <w:r>
        <w:rPr>
          <w:rFonts w:hint="eastAsia" w:ascii="宋体" w:hAnsi="宋体" w:cs="宋体"/>
          <w:bCs/>
          <w:color w:val="auto"/>
          <w:kern w:val="2"/>
          <w:sz w:val="24"/>
          <w:szCs w:val="24"/>
          <w:highlight w:val="none"/>
        </w:rPr>
        <w:t>（12）中标供应商必须保护好食堂所有财产。对采购人提供的场地、厨具设备、各类设施做好保护工作。中标供应商不得将食堂私自转让或委托他人经营，更不得利用采购人资产搞不法经营或加工经营与本项目无关的食品、食物等。一经发现，采购人有权按法律程序取消其服务资格，并给予经济处罚或诉讼。</w:t>
      </w:r>
    </w:p>
    <w:p w14:paraId="544D356C">
      <w:pPr>
        <w:spacing w:line="360" w:lineRule="auto"/>
        <w:ind w:firstLine="482" w:firstLineChars="200"/>
        <w:rPr>
          <w:rFonts w:ascii="宋体" w:hAnsi="宋体" w:cs="宋体"/>
          <w:b/>
          <w:bCs/>
          <w:color w:val="auto"/>
          <w:kern w:val="2"/>
          <w:sz w:val="24"/>
          <w:szCs w:val="24"/>
          <w:highlight w:val="none"/>
        </w:rPr>
      </w:pPr>
      <w:r>
        <w:rPr>
          <w:rFonts w:hint="eastAsia" w:hAnsi="宋体" w:cs="宋体"/>
          <w:b/>
          <w:bCs/>
          <w:color w:val="auto"/>
          <w:kern w:val="2"/>
          <w:sz w:val="24"/>
          <w:szCs w:val="24"/>
          <w:highlight w:val="none"/>
        </w:rPr>
        <w:t>6</w:t>
      </w:r>
      <w:r>
        <w:rPr>
          <w:rFonts w:hint="eastAsia" w:ascii="宋体" w:hAnsi="宋体" w:cs="宋体"/>
          <w:b/>
          <w:bCs/>
          <w:color w:val="auto"/>
          <w:kern w:val="2"/>
          <w:sz w:val="24"/>
          <w:szCs w:val="24"/>
          <w:highlight w:val="none"/>
        </w:rPr>
        <w:t>、食堂运营、管理服务要求：</w:t>
      </w:r>
    </w:p>
    <w:p w14:paraId="310759A9">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1）中标供应商委派本项目的团队应是一支精干、高效、专业、敬业、健康有品牌的餐饮服务团队，有能力为用餐人员提供安全、优质、高效、满意的餐饮服务。企业内设机构必须齐全，有严谨的人事、财务、销售、业务及服务管理体系,注重企业文化。</w:t>
      </w:r>
    </w:p>
    <w:p w14:paraId="020771AE">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（2）严格执行《中华人民共和国食品安全法》的各项规定，所有人员必须持健康证上岗，每年不少于1次健康体检，严格执行清洁消毒规定，不得提供变质、变味的饭菜。</w:t>
      </w:r>
    </w:p>
    <w:p w14:paraId="72A0C60C">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3）所有员工进入岗位前必须穿戴统一工作服，使用一次性卫生手套、口罩，所有人员在工作时间内必须穿防滑鞋，所有人员不得自带任何食物进出工作区域，无关人员不得进入工作区域，工作时不得会客、吸烟、吃食品、大声喧哗和聊天。</w:t>
      </w:r>
    </w:p>
    <w:p w14:paraId="1CDAB027">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（4）严格遵守采购人的用餐时间，保证—日三餐按时正点开餐，在开餐前15分钟确保所有饭菜品全部摆放到位，开餐前5分钟所有服务人员站立到指定岗位等待开餐。</w:t>
      </w:r>
    </w:p>
    <w:p w14:paraId="0CA4810B">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（5）用餐期间应保证食品菜肴不断档，就餐人员离开后及时擦拭干净备第二餐次人员使用，用餐时段结束后彻底清洁用餐区域，余留食品按规定处理。</w:t>
      </w:r>
    </w:p>
    <w:p w14:paraId="1DF7314E">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（6）做好日常保洁工作，要求地面清洁，下水道通畅，无积水，工作场所整洁，无积灰，墙壁无霉斑，各种餐具用品做到卫生、洁净、消毒；餐室（厨房）无蝇、无虫，排油烟设施罩清洁不滴油。</w:t>
      </w:r>
    </w:p>
    <w:p w14:paraId="2F2B3A8E">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（7）中标供应商管理人员每天应到所服务的区域巡视，每周发放服务周检评价表，听取意见，及时整改。</w:t>
      </w:r>
    </w:p>
    <w:p w14:paraId="28721C6C">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（8）中标供应商合同期满后，在采购人后续单位到位前，中标供应商须保证提供不超过1个月期限的服务，期内按采购人要求按时撤走人员并与新单位办理交接。</w:t>
      </w:r>
    </w:p>
    <w:p w14:paraId="3CB935F9">
      <w:pPr>
        <w:spacing w:line="360" w:lineRule="auto"/>
        <w:ind w:firstLine="482" w:firstLineChars="200"/>
        <w:rPr>
          <w:rFonts w:ascii="宋体" w:hAnsi="宋体" w:cs="宋体"/>
          <w:b/>
          <w:bCs/>
          <w:color w:val="auto"/>
          <w:kern w:val="2"/>
          <w:sz w:val="24"/>
          <w:szCs w:val="24"/>
          <w:highlight w:val="none"/>
        </w:rPr>
      </w:pPr>
      <w:r>
        <w:rPr>
          <w:rFonts w:hint="eastAsia" w:hAnsi="宋体" w:cs="宋体"/>
          <w:b/>
          <w:bCs/>
          <w:color w:val="auto"/>
          <w:kern w:val="2"/>
          <w:sz w:val="24"/>
          <w:szCs w:val="24"/>
          <w:highlight w:val="none"/>
        </w:rPr>
        <w:t>7</w:t>
      </w:r>
      <w:r>
        <w:rPr>
          <w:rFonts w:hint="eastAsia" w:ascii="宋体" w:hAnsi="宋体" w:cs="宋体"/>
          <w:b/>
          <w:bCs/>
          <w:color w:val="auto"/>
          <w:kern w:val="2"/>
          <w:sz w:val="24"/>
          <w:szCs w:val="24"/>
          <w:highlight w:val="none"/>
        </w:rPr>
        <w:t>、食品安全责任</w:t>
      </w:r>
    </w:p>
    <w:p w14:paraId="28586A0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中标供应商应严格遵守《中华人民共和国食品安全法》和《中华人民共和国动物防疫法》等相关规定，一经发现供应以下食品，除全部退货外，将取消其供货资格,并由其承担因此造成的经济责任和法律责任： 　　</w:t>
      </w:r>
    </w:p>
    <w:p w14:paraId="62E8367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（1）腐败变质、油脂酸败、霉变、生虫、污秽不洁、混有异物或者其他感官性状异常，对人体健康有害的； 　　</w:t>
      </w:r>
    </w:p>
    <w:p w14:paraId="017EDF69">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（2）含有毒、有害物质或者被有害物质污染，对人体健康有害的； 　　</w:t>
      </w:r>
    </w:p>
    <w:p w14:paraId="7B4D60A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（3）含有致病性寄生虫、微生物或者微生物含量超过国家限定标准的； 　　</w:t>
      </w:r>
    </w:p>
    <w:p w14:paraId="62812E79">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（4）未经动物检疫部门检疫、检验或者检疫、检验不合格的肉类及其制品； 　　</w:t>
      </w:r>
    </w:p>
    <w:p w14:paraId="10E0B47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（5）病死、毒死或者死因不明的禽、畜、兽、水产动物等及其制品； 　　</w:t>
      </w:r>
    </w:p>
    <w:p w14:paraId="17792C21">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（6）掺假、掺杂、伪造，影响营养、卫生的； 　　</w:t>
      </w:r>
    </w:p>
    <w:p w14:paraId="1E9EA61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（7）用非食品原料加工的，加入非食品用化学物质或者将非食品当作食品的；　　</w:t>
      </w:r>
    </w:p>
    <w:p w14:paraId="47575BE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（8）超过保质期限的。</w:t>
      </w:r>
    </w:p>
    <w:p w14:paraId="7D6CD386">
      <w:pPr>
        <w:spacing w:line="360" w:lineRule="auto"/>
        <w:ind w:firstLine="482" w:firstLineChars="200"/>
        <w:rPr>
          <w:rFonts w:ascii="宋体" w:hAnsi="宋体" w:cs="宋体"/>
          <w:b/>
          <w:bCs/>
          <w:color w:val="auto"/>
          <w:kern w:val="2"/>
          <w:sz w:val="24"/>
          <w:szCs w:val="24"/>
          <w:highlight w:val="none"/>
        </w:rPr>
      </w:pPr>
      <w:r>
        <w:rPr>
          <w:rFonts w:hint="eastAsia" w:hAnsi="宋体" w:cs="宋体"/>
          <w:b/>
          <w:bCs/>
          <w:color w:val="auto"/>
          <w:kern w:val="2"/>
          <w:sz w:val="24"/>
          <w:szCs w:val="24"/>
          <w:highlight w:val="none"/>
        </w:rPr>
        <w:t>8</w:t>
      </w:r>
      <w:r>
        <w:rPr>
          <w:rFonts w:hint="eastAsia" w:ascii="宋体" w:hAnsi="宋体" w:cs="宋体"/>
          <w:b/>
          <w:bCs/>
          <w:color w:val="auto"/>
          <w:kern w:val="2"/>
          <w:sz w:val="24"/>
          <w:szCs w:val="24"/>
          <w:highlight w:val="none"/>
        </w:rPr>
        <w:t>、监督考评方面：</w:t>
      </w:r>
    </w:p>
    <w:p w14:paraId="52FBC77F">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（1）采购人有权对中标供应商履约情况实行监督考核，餐务涉及的所有区域（包括食堂卫生）和操作过程都属于监管范围。</w:t>
      </w:r>
    </w:p>
    <w:p w14:paraId="20212AE1">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2）采购人从供餐质量、服务质量、卫生标准、设备使用、成本管控、安全生产、日常管理、先进荣誉等方面定期对供应商进行检查和突击抽查，并根据检查、测评情况对中标供应商进行相应的奖励、处罚甚至中止托管合同。</w:t>
      </w:r>
    </w:p>
    <w:p w14:paraId="3376C81D">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（3）中标供应商须根据行业规范抓好日常管理，确保采购人食堂原有荣誉续存，争创行业新荣誉。</w:t>
      </w:r>
    </w:p>
    <w:p w14:paraId="6EE7DA39">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4）中标供应商不得以任何形式转租、转让、抵押承包区域，在承包区域只从事采购人认可的服务工作。在承包期间，中标供应商的任何股份配置变动应通知采购人。未经采购人书面批准，任何占有支配地位的股份转让者将视为中标供应商出租、转让的行为。一经发现，采购人有权取消其受托资格，并给予经济处罚或诉讼法律。</w:t>
      </w:r>
    </w:p>
    <w:p w14:paraId="4FABA6CE">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（5）中标供应商未经允许不得经营餐饮之外的任何业务。</w:t>
      </w:r>
    </w:p>
    <w:p w14:paraId="072B0E79">
      <w:pPr>
        <w:spacing w:line="360" w:lineRule="auto"/>
        <w:ind w:firstLine="482" w:firstLineChars="200"/>
        <w:rPr>
          <w:rFonts w:ascii="宋体" w:hAnsi="宋体" w:cs="宋体"/>
          <w:b/>
          <w:bCs/>
          <w:color w:val="auto"/>
          <w:kern w:val="2"/>
          <w:sz w:val="24"/>
          <w:szCs w:val="24"/>
          <w:highlight w:val="none"/>
        </w:rPr>
      </w:pPr>
      <w:r>
        <w:rPr>
          <w:rFonts w:hint="eastAsia" w:hAnsi="宋体" w:cs="宋体"/>
          <w:b/>
          <w:bCs/>
          <w:color w:val="auto"/>
          <w:kern w:val="2"/>
          <w:sz w:val="24"/>
          <w:szCs w:val="24"/>
          <w:highlight w:val="none"/>
        </w:rPr>
        <w:t>9</w:t>
      </w:r>
      <w:r>
        <w:rPr>
          <w:rFonts w:hint="eastAsia" w:ascii="宋体" w:hAnsi="宋体" w:cs="宋体"/>
          <w:b/>
          <w:bCs/>
          <w:color w:val="auto"/>
          <w:kern w:val="2"/>
          <w:sz w:val="24"/>
          <w:szCs w:val="24"/>
          <w:highlight w:val="none"/>
        </w:rPr>
        <w:t>、其他需要说明的事项：</w:t>
      </w:r>
    </w:p>
    <w:p w14:paraId="19D6DF12">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（1）中标供应商员工在合同期内发生的工伤、生病住院、意外伤（亡）害、劳资纠纷等情况，由中标供应商自行负责并承担。</w:t>
      </w:r>
    </w:p>
    <w:p w14:paraId="63388855">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（2）食堂如有需要维修、维护和添置的设备、设施，应由中标供应商书面上报，费用由采购人承担；如因中标供应商操作不当造成设备设施损坏，由此产生的影响用餐、维修费、误餐费等由中标供应商承担。</w:t>
      </w:r>
    </w:p>
    <w:p w14:paraId="0AD31A12">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（3）厨杂、餐具等厨杂用品的损耗由中标供应商承担。</w:t>
      </w:r>
    </w:p>
    <w:p w14:paraId="5F9BDB4F">
      <w:pPr>
        <w:spacing w:line="360" w:lineRule="auto"/>
        <w:ind w:firstLine="482" w:firstLineChars="200"/>
        <w:rPr>
          <w:rFonts w:ascii="宋体" w:hAnsi="宋体" w:cs="宋体"/>
          <w:b/>
          <w:bCs/>
          <w:color w:val="auto"/>
          <w:kern w:val="2"/>
          <w:sz w:val="24"/>
          <w:szCs w:val="24"/>
          <w:highlight w:val="none"/>
        </w:rPr>
      </w:pPr>
      <w:r>
        <w:rPr>
          <w:rFonts w:hint="eastAsia" w:hAnsi="宋体" w:cs="宋体"/>
          <w:b/>
          <w:bCs/>
          <w:color w:val="auto"/>
          <w:kern w:val="2"/>
          <w:sz w:val="24"/>
          <w:szCs w:val="24"/>
          <w:highlight w:val="none"/>
        </w:rPr>
        <w:t>10</w:t>
      </w:r>
      <w:r>
        <w:rPr>
          <w:rFonts w:hint="eastAsia" w:ascii="宋体" w:hAnsi="宋体" w:cs="宋体"/>
          <w:b/>
          <w:bCs/>
          <w:color w:val="auto"/>
          <w:kern w:val="2"/>
          <w:sz w:val="24"/>
          <w:szCs w:val="24"/>
          <w:highlight w:val="none"/>
        </w:rPr>
        <w:t>、报价要求：</w:t>
      </w:r>
    </w:p>
    <w:p w14:paraId="79395D6E">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（1）投标供应商的投标报价应是投标供应商在报价文件中提出的各项支付金额的总和，也应是完成招标文件所列采购需求的全部费用。</w:t>
      </w:r>
    </w:p>
    <w:p w14:paraId="28C24F35">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2）投标供应商的投标报价应包括但不限于人员费用（工资、福利、培训、社会保险、人身意外伤害险、劳保用品费、伙食补贴等）、服务所用设备工具购置及维修费用、水电费、服务所用材料消耗费用、突击费用（包括日常法定假日（含周六日）加班）、食材采购、存储、成本、运输（须运输至采购人指定地点）、装卸、管理费用、利润、税金、政策性文件规定及合同包含的所有风险（包括但不限于最低工资调整、物价上涨、重大活动、检查、突发情况、税费调整、统计误差等）、责任等各项应有费用。服务期间，服务人员因工伤、生病住院、意外伤（亡）害等造成的任何费用均由中标供应商自行承担。如遇特殊情况，应采购人需求，中标供应商务必配备相应数量及专业的服务人员以满足食堂运行的正常需要，期间产生的加班费用，采购人另行按实结算，具体加班人员数量和人员名单须经采购人审核同意，加班费按如下要求进行结算：以中标供应商加班人员当年月工资标准÷176小时作为计算基数，该费用不包含在本次合同金额内。</w:t>
      </w:r>
    </w:p>
    <w:p w14:paraId="41655CAD">
      <w:pPr>
        <w:spacing w:line="360" w:lineRule="auto"/>
        <w:ind w:firstLine="482" w:firstLineChars="200"/>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3）本次投标报价包含食堂运营及管理费用和食材采购及配送费用两部分，其中：食堂运营及管理费用最高限价为2819184.00元/两年，后期除服务范围调整、特殊情况下的加班等采购人认可的情形外，此部分价格后期不作调整；食材采购及配送费用为5076960.00元/两年，该部分为不可竞争费用，采用固定金额及对应固定折扣率，即食材采购及配送费用为5076960.00元/两年，对应固定折扣率为85%，中标折扣率后期不作调整，具体按以下方式进行结算：1）定价方法：无锡市发展和改革委员会官网民生价费专栏当日或近期最新食材价（如发改委网站上没有的货品，可参考政府采购网上商城价格或者无锡市天惠或欧尚商城官网、无锡市朝阳农产品大市场等的价格）；2）结算单价依据为：按照无锡市发展和改革委员会官网民生价费专栏当月的算术平均价为基准价（如发改委网站上没有的货品也可以参考政府采购网上商城价格或者无锡市天惠商城官网、无锡市朝阳农产品大市场等的价格），在基准价基础上乘以中标供应商的中标折扣率后作为结算单价，结算数量按采购人实际验收数量为准（中标供应商应每日做好统计及计算工作）。公示栏中未列明但临时需要供货的特殊品种，中标供应商须到超市（天惠、欧尚等）采购，供货价不得高于超市价格，以采购发票为准。</w:t>
      </w:r>
    </w:p>
    <w:p w14:paraId="68A12A11">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（4）一项投标内容只允许一个报价，采购人不接受任何有选择性的投标报价。</w:t>
      </w:r>
    </w:p>
    <w:p w14:paraId="09D7CA7C">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（5）投标供应商报价一律以人民币为投标结算货币，结算单位为“元”。</w:t>
      </w:r>
    </w:p>
    <w:p w14:paraId="367FB7A3">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6）经评标委员会认定投标供应商的投标报价明显低于其他通过符合性审查投标供应商的报价，有可能影响产品质量或者不能诚信履约，投标供应商必须在30分钟内提供书面说明，必要时提交相关证明材料以证明其报价合理性。投标供应商不能证明其报价合理性的，评标委员会应当将其作为无效投标处理。</w:t>
      </w:r>
    </w:p>
    <w:p w14:paraId="5CB4B1B8">
      <w:pPr>
        <w:widowControl/>
        <w:shd w:val="clear" w:color="auto" w:fill="FFFFFF"/>
        <w:spacing w:before="90" w:after="90" w:line="360" w:lineRule="auto"/>
        <w:ind w:firstLine="241" w:firstLineChars="100"/>
        <w:jc w:val="left"/>
        <w:rPr>
          <w:rFonts w:ascii="宋体" w:hAnsi="宋体" w:cs="宋体"/>
          <w:b/>
          <w:color w:val="auto"/>
          <w:sz w:val="24"/>
          <w:szCs w:val="24"/>
          <w:highlight w:val="none"/>
        </w:rPr>
      </w:pPr>
      <w:r>
        <w:rPr>
          <w:rFonts w:hint="eastAsia" w:ascii="宋体" w:hAnsi="宋体" w:cs="宋体"/>
          <w:b/>
          <w:color w:val="auto"/>
          <w:sz w:val="24"/>
          <w:szCs w:val="24"/>
          <w:highlight w:val="none"/>
        </w:rPr>
        <w:t>11、综合说明及其他要求：</w:t>
      </w:r>
    </w:p>
    <w:p w14:paraId="1B12C0F4">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（1）中标供应商成交后有下列情形之一</w:t>
      </w:r>
      <w:r>
        <w:rPr>
          <w:rFonts w:hint="eastAsia" w:ascii="宋体" w:hAnsi="宋体" w:cs="宋体"/>
          <w:bCs/>
          <w:color w:val="auto"/>
          <w:sz w:val="24"/>
          <w:szCs w:val="24"/>
          <w:highlight w:val="none"/>
        </w:rPr>
        <w:t>的，采购人有权取消其中标资格，并由第二中标候选人顺序替补为中标供应商，并与采购人签订合同。采购人也可以重新招标。给采购人造成的损失，原中标供应商还应当予以赔偿：</w:t>
      </w:r>
    </w:p>
    <w:p w14:paraId="398113B4">
      <w:pPr>
        <w:spacing w:line="360" w:lineRule="auto"/>
        <w:ind w:firstLine="787" w:firstLineChars="328"/>
        <w:rPr>
          <w:rFonts w:ascii="宋体" w:hAnsi="宋体" w:cs="宋体"/>
          <w:color w:val="auto"/>
          <w:sz w:val="24"/>
          <w:szCs w:val="24"/>
          <w:highlight w:val="none"/>
        </w:rPr>
      </w:pPr>
      <w:r>
        <w:rPr>
          <w:rFonts w:hint="eastAsia" w:ascii="宋体" w:hAnsi="宋体" w:cs="宋体"/>
          <w:color w:val="auto"/>
          <w:sz w:val="24"/>
          <w:szCs w:val="24"/>
          <w:highlight w:val="none"/>
        </w:rPr>
        <w:t>1）放弃</w:t>
      </w:r>
      <w:r>
        <w:rPr>
          <w:rFonts w:hint="eastAsia" w:ascii="宋体" w:hAnsi="宋体" w:cs="宋体"/>
          <w:bCs/>
          <w:color w:val="auto"/>
          <w:sz w:val="24"/>
          <w:szCs w:val="24"/>
          <w:highlight w:val="none"/>
        </w:rPr>
        <w:t>中标</w:t>
      </w:r>
      <w:r>
        <w:rPr>
          <w:rFonts w:hint="eastAsia" w:ascii="宋体" w:hAnsi="宋体" w:cs="宋体"/>
          <w:color w:val="auto"/>
          <w:sz w:val="24"/>
          <w:szCs w:val="24"/>
          <w:highlight w:val="none"/>
        </w:rPr>
        <w:t>项目；</w:t>
      </w:r>
    </w:p>
    <w:p w14:paraId="27DDA9AC">
      <w:pPr>
        <w:spacing w:line="360" w:lineRule="auto"/>
        <w:ind w:firstLine="787" w:firstLineChars="328"/>
        <w:rPr>
          <w:rFonts w:ascii="宋体" w:hAnsi="宋体" w:cs="宋体"/>
          <w:color w:val="auto"/>
          <w:sz w:val="24"/>
          <w:szCs w:val="24"/>
          <w:highlight w:val="none"/>
        </w:rPr>
      </w:pPr>
      <w:r>
        <w:rPr>
          <w:rFonts w:hint="eastAsia" w:ascii="宋体" w:hAnsi="宋体" w:cs="宋体"/>
          <w:color w:val="auto"/>
          <w:sz w:val="24"/>
          <w:szCs w:val="24"/>
          <w:highlight w:val="none"/>
        </w:rPr>
        <w:t>2）无正当理由不与采购人签订合同或者不缴纳履约保证金的；</w:t>
      </w:r>
    </w:p>
    <w:p w14:paraId="7DC2F7AF">
      <w:pPr>
        <w:spacing w:line="360" w:lineRule="auto"/>
        <w:ind w:firstLine="787" w:firstLineChars="328"/>
        <w:rPr>
          <w:rFonts w:ascii="宋体" w:hAnsi="宋体" w:cs="宋体"/>
          <w:color w:val="auto"/>
          <w:sz w:val="24"/>
          <w:szCs w:val="24"/>
          <w:highlight w:val="none"/>
        </w:rPr>
      </w:pPr>
      <w:r>
        <w:rPr>
          <w:rFonts w:hint="eastAsia" w:ascii="宋体" w:hAnsi="宋体" w:cs="宋体"/>
          <w:color w:val="auto"/>
          <w:sz w:val="24"/>
          <w:szCs w:val="24"/>
          <w:highlight w:val="none"/>
        </w:rPr>
        <w:t>3）在签订合同时向采购人提出附加条件或者更改合同实质性内容的。</w:t>
      </w:r>
    </w:p>
    <w:p w14:paraId="3BA4EA5D">
      <w:pPr>
        <w:spacing w:line="360" w:lineRule="auto"/>
        <w:ind w:firstLine="480"/>
        <w:rPr>
          <w:rFonts w:ascii="宋体" w:hAnsi="宋体" w:cs="宋体"/>
          <w:color w:val="auto"/>
          <w:sz w:val="24"/>
          <w:szCs w:val="24"/>
          <w:highlight w:val="none"/>
        </w:rPr>
      </w:pPr>
      <w:r>
        <w:rPr>
          <w:rFonts w:hint="eastAsia" w:ascii="宋体" w:hAnsi="宋体" w:cs="宋体"/>
          <w:bCs/>
          <w:color w:val="auto"/>
          <w:sz w:val="24"/>
          <w:szCs w:val="24"/>
          <w:highlight w:val="none"/>
        </w:rPr>
        <w:t>（2）招标文件中所提要求为项目实施的基本技术要求，投标供应商应根据采购需求，提供满足本技术规范和所列标准要求的服务，对国家有关安全和环保等强制性标准，必须予以说明并满足</w:t>
      </w:r>
      <w:r>
        <w:rPr>
          <w:rFonts w:hint="eastAsia" w:ascii="宋体" w:hAnsi="宋体" w:cs="宋体"/>
          <w:color w:val="auto"/>
          <w:sz w:val="24"/>
          <w:szCs w:val="24"/>
          <w:highlight w:val="none"/>
        </w:rPr>
        <w:t>。</w:t>
      </w:r>
    </w:p>
    <w:p w14:paraId="40BFB9F1">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（3）中标供应商按管理要求严格落实人员数量配备齐全，做到专岗专人；作业期间作业人员或管理人员的变动必须在3个工作日内书面报告采购人。</w:t>
      </w:r>
    </w:p>
    <w:p w14:paraId="164D2952">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4）根据《中华人民共和国民法典》、《中华人民共和国劳动法》、《中华人民共和国劳动合同法》、《中华人民共和国社会保险法》、《住房公积金管理条例》，中标供应商必须依法规范用工，符合规定条件的人员须签订劳动合同，依法参加社会保险，未退休人员工资应不低于最新公布的中标供应商所在地最低工资标准。</w:t>
      </w:r>
    </w:p>
    <w:p w14:paraId="2936EF4E">
      <w:pPr>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5）投标供应商须按规定为所有配备人员缴纳社会保险、提供相关福利等，现场所有人员工资、社保及福利等必须符合国家及地方相关政策最低要求，不享受特殊社保政策；不符合相关要求的，作无效投标文件处理。</w:t>
      </w:r>
    </w:p>
    <w:p w14:paraId="3B8745DF">
      <w:pPr>
        <w:spacing w:line="360" w:lineRule="auto"/>
        <w:ind w:firstLine="480"/>
        <w:rPr>
          <w:rFonts w:ascii="宋体" w:hAnsi="宋体" w:cs="宋体"/>
          <w:color w:val="auto"/>
          <w:sz w:val="24"/>
          <w:szCs w:val="24"/>
          <w:highlight w:val="none"/>
        </w:rPr>
      </w:pPr>
      <w:r>
        <w:rPr>
          <w:rFonts w:hint="eastAsia" w:ascii="宋体" w:hAnsi="宋体" w:cs="宋体"/>
          <w:bCs/>
          <w:color w:val="auto"/>
          <w:sz w:val="24"/>
          <w:szCs w:val="24"/>
          <w:highlight w:val="none"/>
        </w:rPr>
        <w:t>（6）中标供应商须为全部服务人员购买人身意外伤害险，并须报给采购人备案管理，服务期满根据实际上交情况做考核处理，如果没有达到要求比例的则相应扣除费用。</w:t>
      </w:r>
    </w:p>
    <w:p w14:paraId="4F90613D">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（7）中标供应商服务人员在服务期间因正常服务或采购人派遣的委托项目任务内造成的任何人员伤亡事故，均由中标供应商全权承担一切责任及经济赔偿、损失，采购人不承担任何责任及经济赔偿、损失。</w:t>
      </w:r>
    </w:p>
    <w:p w14:paraId="70EF4A35">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8）中标供应商应遵守安全生产的有关管理规定，严格按照安全标准开展服务工作，采取必要的安全防护措施，消除隐患。由于中标供应商管理或安全措施不力造成周边环境破坏或事故的责任和因此发生的费用，由中标供应商承担。</w:t>
      </w:r>
    </w:p>
    <w:p w14:paraId="26FEC66C">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9）中标供应商应按照采购人的要求，及时更换不能胜任工作的工作人员，应在接到书面通知之日起10天内予以调换合格人员；负责处理合同服务期内所有劳资纠纷和调解管理纠纷；落实采购人根据规章制度和工作需要提出的其他管理要求，并向采购人提供相关证明材料备案。</w:t>
      </w:r>
    </w:p>
    <w:p w14:paraId="170ED7C2">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10）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均由中标供应商负责处理，由中标供应商承担一切责任及经济赔偿、损失，采购人不承担任何责任及经济赔偿、损失。</w:t>
      </w:r>
    </w:p>
    <w:p w14:paraId="2F77DBA2">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11）投标文件必须如实进行实质性响应，量化指标必须列明具体数值，同时供应商必须根据提供的货物及服务，明确其必须说明的相关情况。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p>
    <w:p w14:paraId="2431AB7F">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（12）验收标准：采购人根据国家有关规定、招标文件、中标供应商的响应文件以及合同约定的内容和考核标准进行验收，验收情况作为支付服务费用的依据。</w:t>
      </w:r>
    </w:p>
    <w:p w14:paraId="208CF238">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（13）知识产权：中标供应商保证采购人在使用过程中不受到第三方关于侵犯专利权等知识产权的指控。任何第三方如果提出指控，中标供应商须与第三方交涉并承担可能发生的一切法律责任和费用。</w:t>
      </w:r>
    </w:p>
    <w:p w14:paraId="5A3501F8">
      <w:pPr>
        <w:spacing w:line="360" w:lineRule="auto"/>
        <w:ind w:firstLine="480"/>
        <w:rPr>
          <w:rFonts w:ascii="宋体" w:hAnsi="宋体" w:cs="宋体"/>
          <w:color w:val="auto"/>
          <w:sz w:val="24"/>
          <w:szCs w:val="24"/>
          <w:highlight w:val="none"/>
        </w:rPr>
      </w:pPr>
      <w:bookmarkStart w:id="896" w:name="_Hlk62691437"/>
      <w:r>
        <w:rPr>
          <w:rFonts w:hint="eastAsia" w:ascii="宋体" w:hAnsi="宋体" w:cs="宋体"/>
          <w:color w:val="auto"/>
          <w:sz w:val="24"/>
          <w:szCs w:val="24"/>
          <w:highlight w:val="none"/>
        </w:rPr>
        <w:t>（14）根据国家扶持中小企业的有关政策，本项目中标供应商，如需要政府采购合同融资，请按</w:t>
      </w:r>
      <w:r>
        <w:rPr>
          <w:rFonts w:hint="eastAsia" w:ascii="宋体" w:hAnsi="宋体" w:cs="宋体"/>
          <w:bCs/>
          <w:color w:val="auto"/>
          <w:sz w:val="24"/>
          <w:szCs w:val="24"/>
          <w:highlight w:val="none"/>
        </w:rPr>
        <w:t>《关于开展政府采购合同融资工作的通知》（锡财购 〔2020〕17号）、《关于进一步推进政府采购合同融资工作的通知》（ 锡财购〔2022〕7号）文件执行</w:t>
      </w:r>
      <w:r>
        <w:rPr>
          <w:rFonts w:hint="eastAsia" w:ascii="宋体" w:hAnsi="宋体" w:cs="宋体"/>
          <w:color w:val="auto"/>
          <w:sz w:val="24"/>
          <w:szCs w:val="24"/>
          <w:highlight w:val="none"/>
        </w:rPr>
        <w:t>。</w:t>
      </w:r>
    </w:p>
    <w:p w14:paraId="3E9966B4">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（15）中标供应商为</w:t>
      </w:r>
      <w:r>
        <w:rPr>
          <w:rFonts w:hint="eastAsia" w:ascii="宋体" w:hAnsi="宋体" w:cs="宋体"/>
          <w:bCs/>
          <w:color w:val="auto"/>
          <w:sz w:val="24"/>
          <w:szCs w:val="24"/>
          <w:highlight w:val="none"/>
        </w:rPr>
        <w:t>中小微企业或监狱企业或残疾人福</w:t>
      </w:r>
      <w:r>
        <w:rPr>
          <w:rFonts w:hint="eastAsia" w:ascii="宋体" w:hAnsi="宋体" w:cs="宋体"/>
          <w:color w:val="auto"/>
          <w:sz w:val="24"/>
          <w:szCs w:val="24"/>
          <w:highlight w:val="none"/>
        </w:rPr>
        <w:t>利性单位的，其《中小企业声明函》、由省级以上监狱管理局、戒毒管理局（含新疆生产建设兵团）出具的属于监狱企业的证明文件、《残疾人福利性单位声明函》将随成交公告同时发布，接受社会监督。供应商提供的《中小企业声明函》、由省级以上监狱管理局、戒毒管理局（含新疆生产建设兵团）出具的属于监狱企业的证明文件、《残疾人福利性单位声明函》与事实不符的，依照《中华人民共和国政府采购法》第七十七条第一款的规定追究法律责任。</w:t>
      </w:r>
    </w:p>
    <w:p w14:paraId="1E05D88A">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（16）依据《政府采购促进中小企业发展管理办法》规定享受扶持政策获得政府采购合同的，小微企业不得将合同分包给大中型企业，中型企业不得将合同分包给大型企业。</w:t>
      </w:r>
    </w:p>
    <w:p w14:paraId="6150F51B">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（17）中标供应商不得将项目整体或部分进行转包或分包，且不得让第三方公司采用挂靠中标供应商的方式承担服务工作。</w:t>
      </w:r>
      <w:bookmarkEnd w:id="896"/>
    </w:p>
    <w:p w14:paraId="79D7F7E1">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（18）凡涉及招标文件的补充说明和修改，均以江苏长卓项目管理咨询有限公司书面通知为准。</w:t>
      </w:r>
    </w:p>
    <w:p w14:paraId="6D4D623B">
      <w:pPr>
        <w:rPr>
          <w:rFonts w:ascii="Cambria" w:hAnsi="Cambria"/>
          <w:b/>
          <w:bCs/>
          <w:color w:val="auto"/>
          <w:sz w:val="32"/>
          <w:szCs w:val="32"/>
          <w:highlight w:val="none"/>
          <w:lang w:val="zh-CN"/>
        </w:rPr>
        <w:sectPr>
          <w:headerReference r:id="rId9" w:type="default"/>
          <w:footerReference r:id="rId10" w:type="default"/>
          <w:pgSz w:w="11906" w:h="16838"/>
          <w:pgMar w:top="1304" w:right="1304" w:bottom="1304" w:left="1304" w:header="680" w:footer="794" w:gutter="0"/>
          <w:pgBorders>
            <w:top w:val="none" w:sz="0" w:space="0"/>
            <w:left w:val="none" w:sz="0" w:space="0"/>
            <w:bottom w:val="none" w:sz="0" w:space="0"/>
            <w:right w:val="none" w:sz="0" w:space="0"/>
          </w:pgBorders>
          <w:pgNumType w:fmt="decimal"/>
          <w:cols w:space="720" w:num="1"/>
          <w:titlePg/>
          <w:docGrid w:linePitch="360" w:charSpace="0"/>
        </w:sectPr>
      </w:pPr>
    </w:p>
    <w:p w14:paraId="4CBE5610">
      <w:pPr>
        <w:spacing w:line="360" w:lineRule="auto"/>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附件1：</w:t>
      </w:r>
    </w:p>
    <w:p w14:paraId="3CF87B8E">
      <w:pPr>
        <w:spacing w:line="380" w:lineRule="exact"/>
        <w:ind w:firstLine="482"/>
        <w:jc w:val="center"/>
        <w:rPr>
          <w:rFonts w:ascii="宋体" w:hAnsi="宋体" w:cs="宋体"/>
          <w:b/>
          <w:color w:val="auto"/>
          <w:sz w:val="24"/>
          <w:szCs w:val="24"/>
          <w:highlight w:val="none"/>
        </w:rPr>
      </w:pPr>
      <w:r>
        <w:rPr>
          <w:rFonts w:hint="eastAsia" w:ascii="宋体" w:hAnsi="宋体" w:cs="宋体"/>
          <w:b/>
          <w:color w:val="auto"/>
          <w:sz w:val="24"/>
          <w:szCs w:val="24"/>
          <w:highlight w:val="none"/>
        </w:rPr>
        <w:t>食材采购及配送考核方案表</w:t>
      </w:r>
    </w:p>
    <w:tbl>
      <w:tblPr>
        <w:tblStyle w:val="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4"/>
        <w:gridCol w:w="1064"/>
        <w:gridCol w:w="6686"/>
        <w:gridCol w:w="746"/>
        <w:gridCol w:w="716"/>
      </w:tblGrid>
      <w:tr w14:paraId="6BACF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jc w:val="center"/>
        </w:trPr>
        <w:tc>
          <w:tcPr>
            <w:tcW w:w="704" w:type="dxa"/>
            <w:vAlign w:val="center"/>
          </w:tcPr>
          <w:p w14:paraId="23A8C4F7">
            <w:pPr>
              <w:spacing w:line="38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1064" w:type="dxa"/>
            <w:vAlign w:val="center"/>
          </w:tcPr>
          <w:p w14:paraId="1C98EB0F">
            <w:pPr>
              <w:spacing w:line="38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项目名称</w:t>
            </w:r>
          </w:p>
        </w:tc>
        <w:tc>
          <w:tcPr>
            <w:tcW w:w="6686" w:type="dxa"/>
            <w:vAlign w:val="center"/>
          </w:tcPr>
          <w:p w14:paraId="317E6230">
            <w:pPr>
              <w:spacing w:line="38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考核内容</w:t>
            </w:r>
          </w:p>
        </w:tc>
        <w:tc>
          <w:tcPr>
            <w:tcW w:w="746" w:type="dxa"/>
            <w:vAlign w:val="center"/>
          </w:tcPr>
          <w:p w14:paraId="588986B4">
            <w:pPr>
              <w:spacing w:line="38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分值</w:t>
            </w:r>
          </w:p>
        </w:tc>
        <w:tc>
          <w:tcPr>
            <w:tcW w:w="716" w:type="dxa"/>
            <w:vAlign w:val="center"/>
          </w:tcPr>
          <w:p w14:paraId="2F019B3B">
            <w:pPr>
              <w:spacing w:line="38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得分</w:t>
            </w:r>
          </w:p>
        </w:tc>
      </w:tr>
      <w:tr w14:paraId="1BBA7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77" w:hRule="atLeast"/>
          <w:jc w:val="center"/>
        </w:trPr>
        <w:tc>
          <w:tcPr>
            <w:tcW w:w="704" w:type="dxa"/>
            <w:vAlign w:val="center"/>
          </w:tcPr>
          <w:p w14:paraId="65E21B42">
            <w:pPr>
              <w:spacing w:line="38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064" w:type="dxa"/>
            <w:vAlign w:val="center"/>
          </w:tcPr>
          <w:p w14:paraId="2E3C901D">
            <w:pPr>
              <w:spacing w:line="38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交货率</w:t>
            </w:r>
          </w:p>
        </w:tc>
        <w:tc>
          <w:tcPr>
            <w:tcW w:w="6686" w:type="dxa"/>
            <w:vAlign w:val="center"/>
          </w:tcPr>
          <w:p w14:paraId="647179E8">
            <w:pP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按采购人规定时间配送产品至指定地点。</w:t>
            </w:r>
          </w:p>
          <w:p w14:paraId="705E9D28">
            <w:pP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每延误一批次，扣分如下：</w:t>
            </w:r>
          </w:p>
          <w:p w14:paraId="78C00C9A">
            <w:pP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1）迟到30分钟以内，扣2分。</w:t>
            </w:r>
          </w:p>
          <w:p w14:paraId="7AB0608F">
            <w:pP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2）迟到1小时以内，扣3分。</w:t>
            </w:r>
          </w:p>
          <w:p w14:paraId="5B754E73">
            <w:pP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3）迟到超过1小时，扣5分。</w:t>
            </w:r>
          </w:p>
          <w:p w14:paraId="3E4F7F66">
            <w:pP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4）因恶劣天气供货方未做好预案，或由于供货方自身原因，未在规定时间前将产品配送到指定地点，严重影响食堂开餐，则一次性扣10分。</w:t>
            </w:r>
          </w:p>
        </w:tc>
        <w:tc>
          <w:tcPr>
            <w:tcW w:w="746" w:type="dxa"/>
            <w:vAlign w:val="center"/>
          </w:tcPr>
          <w:p w14:paraId="0AD73BEF">
            <w:pPr>
              <w:spacing w:line="38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25</w:t>
            </w:r>
          </w:p>
        </w:tc>
        <w:tc>
          <w:tcPr>
            <w:tcW w:w="716" w:type="dxa"/>
            <w:vAlign w:val="center"/>
          </w:tcPr>
          <w:p w14:paraId="7E22E50F">
            <w:pPr>
              <w:spacing w:line="380" w:lineRule="exact"/>
              <w:rPr>
                <w:rFonts w:ascii="宋体" w:hAnsi="宋体" w:cs="宋体"/>
                <w:color w:val="auto"/>
                <w:sz w:val="24"/>
                <w:szCs w:val="24"/>
                <w:highlight w:val="none"/>
              </w:rPr>
            </w:pPr>
          </w:p>
        </w:tc>
      </w:tr>
      <w:tr w14:paraId="171AE1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3" w:hRule="atLeast"/>
          <w:jc w:val="center"/>
        </w:trPr>
        <w:tc>
          <w:tcPr>
            <w:tcW w:w="704" w:type="dxa"/>
            <w:vAlign w:val="center"/>
          </w:tcPr>
          <w:p w14:paraId="5C15D61A">
            <w:pPr>
              <w:spacing w:line="38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064" w:type="dxa"/>
            <w:vAlign w:val="center"/>
          </w:tcPr>
          <w:p w14:paraId="4CC39D94">
            <w:pPr>
              <w:spacing w:line="38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产品质量</w:t>
            </w:r>
          </w:p>
        </w:tc>
        <w:tc>
          <w:tcPr>
            <w:tcW w:w="6686" w:type="dxa"/>
            <w:vAlign w:val="center"/>
          </w:tcPr>
          <w:p w14:paraId="07811375">
            <w:pP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除产品质量不符合食材配送清单中对各类产品的具体要求外，诸如出现牛奶类产品涨包、有沉淀物；粮油类产品封装不完好、有沉淀物；果蔬类产品带有泥沙、腐叶；畜禽类产品以次充好；或食材新鲜度不达标、有机械伤、有病虫害、成熟度不达标、包装破损严重、食材污染等情况。</w:t>
            </w:r>
          </w:p>
          <w:p w14:paraId="7DD41710">
            <w:pP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每出现一次，扣分如下：</w:t>
            </w:r>
          </w:p>
          <w:p w14:paraId="4C85BD6B">
            <w:pP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1）在30分钟内，调换合格的，扣2分；</w:t>
            </w:r>
          </w:p>
          <w:p w14:paraId="41C08E68">
            <w:pP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2）在30分钟至60分钟，调换合格的，扣3分；</w:t>
            </w:r>
          </w:p>
          <w:p w14:paraId="13241223">
            <w:pP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3）若在60分钟内无法更换合格的，扣10分。</w:t>
            </w:r>
          </w:p>
        </w:tc>
        <w:tc>
          <w:tcPr>
            <w:tcW w:w="746" w:type="dxa"/>
            <w:vAlign w:val="center"/>
          </w:tcPr>
          <w:p w14:paraId="69D880D5">
            <w:pPr>
              <w:spacing w:line="38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25</w:t>
            </w:r>
          </w:p>
        </w:tc>
        <w:tc>
          <w:tcPr>
            <w:tcW w:w="716" w:type="dxa"/>
            <w:vAlign w:val="center"/>
          </w:tcPr>
          <w:p w14:paraId="31D36D75">
            <w:pPr>
              <w:spacing w:line="380" w:lineRule="exact"/>
              <w:rPr>
                <w:rFonts w:ascii="宋体" w:hAnsi="宋体" w:cs="宋体"/>
                <w:color w:val="auto"/>
                <w:sz w:val="24"/>
                <w:szCs w:val="24"/>
                <w:highlight w:val="none"/>
              </w:rPr>
            </w:pPr>
          </w:p>
        </w:tc>
      </w:tr>
      <w:tr w14:paraId="0393B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0" w:hRule="atLeast"/>
          <w:jc w:val="center"/>
        </w:trPr>
        <w:tc>
          <w:tcPr>
            <w:tcW w:w="704" w:type="dxa"/>
            <w:vAlign w:val="center"/>
          </w:tcPr>
          <w:p w14:paraId="7D4C5D20">
            <w:pPr>
              <w:spacing w:line="38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1064" w:type="dxa"/>
            <w:vAlign w:val="center"/>
          </w:tcPr>
          <w:p w14:paraId="759D9294">
            <w:pPr>
              <w:spacing w:line="38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服务质量</w:t>
            </w:r>
          </w:p>
        </w:tc>
        <w:tc>
          <w:tcPr>
            <w:tcW w:w="6686" w:type="dxa"/>
            <w:vAlign w:val="center"/>
          </w:tcPr>
          <w:p w14:paraId="390D1EA5">
            <w:pP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严格遵守本标书中对供货方的要求，认真履行其服务承诺。能够及时有效的应对临时增加供货量、按要求更换菜品等突发情况，且保证临时采购菜品的质量、送达时间以及价格的合理性；对于采购人提出的改进意见，应及时整改落实。</w:t>
            </w:r>
          </w:p>
          <w:p w14:paraId="475D628D">
            <w:pP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每出现1次不满意，扣5分。</w:t>
            </w:r>
          </w:p>
        </w:tc>
        <w:tc>
          <w:tcPr>
            <w:tcW w:w="746" w:type="dxa"/>
            <w:vAlign w:val="center"/>
          </w:tcPr>
          <w:p w14:paraId="649AA76B">
            <w:pPr>
              <w:spacing w:line="38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15</w:t>
            </w:r>
          </w:p>
        </w:tc>
        <w:tc>
          <w:tcPr>
            <w:tcW w:w="716" w:type="dxa"/>
            <w:vAlign w:val="center"/>
          </w:tcPr>
          <w:p w14:paraId="1C1598CD">
            <w:pPr>
              <w:spacing w:line="380" w:lineRule="exact"/>
              <w:rPr>
                <w:rFonts w:ascii="宋体" w:hAnsi="宋体" w:cs="宋体"/>
                <w:color w:val="auto"/>
                <w:sz w:val="24"/>
                <w:szCs w:val="24"/>
                <w:highlight w:val="none"/>
              </w:rPr>
            </w:pPr>
          </w:p>
        </w:tc>
      </w:tr>
      <w:tr w14:paraId="22C659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7" w:hRule="atLeast"/>
          <w:jc w:val="center"/>
        </w:trPr>
        <w:tc>
          <w:tcPr>
            <w:tcW w:w="704" w:type="dxa"/>
            <w:vAlign w:val="center"/>
          </w:tcPr>
          <w:p w14:paraId="55DF6697">
            <w:pPr>
              <w:spacing w:line="38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1064" w:type="dxa"/>
            <w:vAlign w:val="center"/>
          </w:tcPr>
          <w:p w14:paraId="766F8E29">
            <w:pPr>
              <w:spacing w:line="38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产品供货价格</w:t>
            </w:r>
          </w:p>
        </w:tc>
        <w:tc>
          <w:tcPr>
            <w:tcW w:w="6686" w:type="dxa"/>
            <w:vAlign w:val="center"/>
          </w:tcPr>
          <w:p w14:paraId="30ADBCE5">
            <w:pP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如发生供货价高于投标文件承诺的优惠价，或高于市场一般价格的情况，每出现1次扣5分。超出价部分由乙方自行承担，拒绝承担的扣10分。</w:t>
            </w:r>
          </w:p>
        </w:tc>
        <w:tc>
          <w:tcPr>
            <w:tcW w:w="746" w:type="dxa"/>
            <w:vAlign w:val="center"/>
          </w:tcPr>
          <w:p w14:paraId="14347CBA">
            <w:pPr>
              <w:spacing w:line="38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25</w:t>
            </w:r>
          </w:p>
        </w:tc>
        <w:tc>
          <w:tcPr>
            <w:tcW w:w="716" w:type="dxa"/>
            <w:vAlign w:val="center"/>
          </w:tcPr>
          <w:p w14:paraId="3CA1B5C0">
            <w:pPr>
              <w:spacing w:line="380" w:lineRule="exact"/>
              <w:rPr>
                <w:rFonts w:ascii="宋体" w:hAnsi="宋体" w:cs="宋体"/>
                <w:color w:val="auto"/>
                <w:sz w:val="24"/>
                <w:szCs w:val="24"/>
                <w:highlight w:val="none"/>
              </w:rPr>
            </w:pPr>
          </w:p>
        </w:tc>
      </w:tr>
      <w:tr w14:paraId="7CD49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jc w:val="center"/>
        </w:trPr>
        <w:tc>
          <w:tcPr>
            <w:tcW w:w="704" w:type="dxa"/>
            <w:vAlign w:val="center"/>
          </w:tcPr>
          <w:p w14:paraId="2E719E2B">
            <w:pPr>
              <w:spacing w:line="38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1064" w:type="dxa"/>
            <w:vAlign w:val="center"/>
          </w:tcPr>
          <w:p w14:paraId="57CDA446">
            <w:pPr>
              <w:spacing w:line="38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诚信与廉政</w:t>
            </w:r>
          </w:p>
        </w:tc>
        <w:tc>
          <w:tcPr>
            <w:tcW w:w="6686" w:type="dxa"/>
            <w:vAlign w:val="center"/>
          </w:tcPr>
          <w:p w14:paraId="0723E44E">
            <w:pPr>
              <w:spacing w:line="380" w:lineRule="exact"/>
              <w:rPr>
                <w:rFonts w:ascii="宋体" w:hAnsi="宋体" w:cs="宋体"/>
                <w:color w:val="auto"/>
                <w:sz w:val="24"/>
                <w:szCs w:val="24"/>
                <w:highlight w:val="none"/>
              </w:rPr>
            </w:pPr>
            <w:r>
              <w:rPr>
                <w:rFonts w:hint="eastAsia" w:ascii="宋体" w:hAnsi="宋体" w:cs="宋体"/>
                <w:color w:val="auto"/>
                <w:sz w:val="24"/>
                <w:szCs w:val="24"/>
                <w:highlight w:val="none"/>
              </w:rPr>
              <w:t>建立完善的供货、对账制度，供货数量、重量以采购人验收为准，严格遵守廉政相关规定。虚报数量、重量扣2分，违反廉政规定扣3分。</w:t>
            </w:r>
          </w:p>
        </w:tc>
        <w:tc>
          <w:tcPr>
            <w:tcW w:w="746" w:type="dxa"/>
            <w:vAlign w:val="center"/>
          </w:tcPr>
          <w:p w14:paraId="06FA33C5">
            <w:pPr>
              <w:spacing w:line="38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10</w:t>
            </w:r>
          </w:p>
        </w:tc>
        <w:tc>
          <w:tcPr>
            <w:tcW w:w="716" w:type="dxa"/>
            <w:vAlign w:val="center"/>
          </w:tcPr>
          <w:p w14:paraId="47A0BF38">
            <w:pPr>
              <w:spacing w:line="380" w:lineRule="exact"/>
              <w:rPr>
                <w:rFonts w:ascii="宋体" w:hAnsi="宋体" w:cs="宋体"/>
                <w:color w:val="auto"/>
                <w:sz w:val="24"/>
                <w:szCs w:val="24"/>
                <w:highlight w:val="none"/>
              </w:rPr>
            </w:pPr>
          </w:p>
        </w:tc>
      </w:tr>
      <w:tr w14:paraId="4CD7DE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7" w:hRule="atLeast"/>
          <w:jc w:val="center"/>
        </w:trPr>
        <w:tc>
          <w:tcPr>
            <w:tcW w:w="8454" w:type="dxa"/>
            <w:gridSpan w:val="3"/>
            <w:vAlign w:val="center"/>
          </w:tcPr>
          <w:p w14:paraId="0301E7B8">
            <w:pPr>
              <w:spacing w:line="38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总分</w:t>
            </w:r>
          </w:p>
        </w:tc>
        <w:tc>
          <w:tcPr>
            <w:tcW w:w="746" w:type="dxa"/>
            <w:vAlign w:val="center"/>
          </w:tcPr>
          <w:p w14:paraId="7B2321BB">
            <w:pPr>
              <w:spacing w:line="38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100</w:t>
            </w:r>
          </w:p>
        </w:tc>
        <w:tc>
          <w:tcPr>
            <w:tcW w:w="716" w:type="dxa"/>
            <w:vAlign w:val="center"/>
          </w:tcPr>
          <w:p w14:paraId="0DD2035E">
            <w:pPr>
              <w:spacing w:line="380" w:lineRule="exact"/>
              <w:rPr>
                <w:rFonts w:ascii="宋体" w:hAnsi="宋体" w:cs="宋体"/>
                <w:color w:val="auto"/>
                <w:sz w:val="24"/>
                <w:szCs w:val="24"/>
                <w:highlight w:val="none"/>
              </w:rPr>
            </w:pPr>
          </w:p>
        </w:tc>
      </w:tr>
    </w:tbl>
    <w:p w14:paraId="106F7032">
      <w:pPr>
        <w:spacing w:line="400" w:lineRule="exact"/>
        <w:rPr>
          <w:rFonts w:ascii="宋体" w:hAnsi="宋体" w:cs="宋体"/>
          <w:b/>
          <w:bCs/>
          <w:color w:val="auto"/>
          <w:sz w:val="24"/>
          <w:szCs w:val="24"/>
          <w:highlight w:val="none"/>
        </w:rPr>
      </w:pPr>
    </w:p>
    <w:p w14:paraId="1E2FFA38">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319EF7D5">
      <w:pPr>
        <w:spacing w:line="360" w:lineRule="auto"/>
        <w:rPr>
          <w:rFonts w:ascii="宋体" w:hAnsi="宋体" w:cs="宋体"/>
          <w:b/>
          <w:bCs/>
          <w:color w:val="auto"/>
          <w:sz w:val="24"/>
          <w:szCs w:val="24"/>
          <w:highlight w:val="none"/>
        </w:rPr>
      </w:pPr>
      <w:r>
        <w:rPr>
          <w:rFonts w:hint="eastAsia" w:ascii="宋体" w:hAnsi="宋体" w:cs="宋体"/>
          <w:b/>
          <w:bCs/>
          <w:color w:val="auto"/>
          <w:kern w:val="2"/>
          <w:sz w:val="24"/>
          <w:szCs w:val="24"/>
          <w:highlight w:val="none"/>
        </w:rPr>
        <w:t>附件2：</w:t>
      </w:r>
    </w:p>
    <w:p w14:paraId="3A9676C7">
      <w:pPr>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食堂运营及管理考核方案表</w:t>
      </w:r>
    </w:p>
    <w:tbl>
      <w:tblPr>
        <w:tblStyle w:val="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3"/>
        <w:gridCol w:w="7060"/>
        <w:gridCol w:w="994"/>
        <w:gridCol w:w="1199"/>
      </w:tblGrid>
      <w:tr w14:paraId="5C9A9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7" w:hRule="atLeast"/>
          <w:jc w:val="center"/>
        </w:trPr>
        <w:tc>
          <w:tcPr>
            <w:tcW w:w="703" w:type="dxa"/>
            <w:vAlign w:val="center"/>
          </w:tcPr>
          <w:p w14:paraId="39578650">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7060" w:type="dxa"/>
            <w:vAlign w:val="center"/>
          </w:tcPr>
          <w:p w14:paraId="6DC8729E">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考核内容</w:t>
            </w:r>
          </w:p>
        </w:tc>
        <w:tc>
          <w:tcPr>
            <w:tcW w:w="994" w:type="dxa"/>
            <w:vAlign w:val="center"/>
          </w:tcPr>
          <w:p w14:paraId="3DE20325">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分值</w:t>
            </w:r>
          </w:p>
        </w:tc>
        <w:tc>
          <w:tcPr>
            <w:tcW w:w="1199" w:type="dxa"/>
            <w:vAlign w:val="center"/>
          </w:tcPr>
          <w:p w14:paraId="229F8413">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得分</w:t>
            </w:r>
          </w:p>
        </w:tc>
      </w:tr>
      <w:tr w14:paraId="1436B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703" w:type="dxa"/>
            <w:vAlign w:val="center"/>
          </w:tcPr>
          <w:p w14:paraId="32214E09">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7060" w:type="dxa"/>
            <w:vAlign w:val="center"/>
          </w:tcPr>
          <w:p w14:paraId="42BB7E18">
            <w:pPr>
              <w:spacing w:line="216" w:lineRule="auto"/>
              <w:rPr>
                <w:rFonts w:ascii="宋体" w:hAnsi="宋体" w:cs="宋体"/>
                <w:color w:val="auto"/>
                <w:sz w:val="24"/>
                <w:szCs w:val="24"/>
                <w:highlight w:val="none"/>
              </w:rPr>
            </w:pPr>
            <w:r>
              <w:rPr>
                <w:rFonts w:hint="eastAsia" w:ascii="宋体" w:hAnsi="宋体" w:cs="宋体"/>
                <w:color w:val="auto"/>
                <w:sz w:val="24"/>
                <w:szCs w:val="24"/>
                <w:highlight w:val="none"/>
              </w:rPr>
              <w:t>未按规定穿戴上岗或工作服明显不洁，扣1分/人次</w:t>
            </w:r>
          </w:p>
        </w:tc>
        <w:tc>
          <w:tcPr>
            <w:tcW w:w="994" w:type="dxa"/>
            <w:vAlign w:val="center"/>
          </w:tcPr>
          <w:p w14:paraId="2DE13BDB">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1199" w:type="dxa"/>
            <w:vAlign w:val="center"/>
          </w:tcPr>
          <w:p w14:paraId="34C211EF">
            <w:pPr>
              <w:spacing w:line="216" w:lineRule="auto"/>
              <w:jc w:val="center"/>
              <w:rPr>
                <w:rFonts w:ascii="宋体" w:hAnsi="宋体" w:cs="宋体"/>
                <w:color w:val="auto"/>
                <w:sz w:val="24"/>
                <w:szCs w:val="24"/>
                <w:highlight w:val="none"/>
              </w:rPr>
            </w:pPr>
          </w:p>
        </w:tc>
      </w:tr>
      <w:tr w14:paraId="330FA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jc w:val="center"/>
        </w:trPr>
        <w:tc>
          <w:tcPr>
            <w:tcW w:w="703" w:type="dxa"/>
            <w:vAlign w:val="center"/>
          </w:tcPr>
          <w:p w14:paraId="12BDD751">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7060" w:type="dxa"/>
            <w:vAlign w:val="center"/>
          </w:tcPr>
          <w:p w14:paraId="17FA08AF">
            <w:pPr>
              <w:spacing w:line="216" w:lineRule="auto"/>
              <w:rPr>
                <w:rFonts w:ascii="宋体" w:hAnsi="宋体" w:cs="宋体"/>
                <w:color w:val="auto"/>
                <w:sz w:val="24"/>
                <w:szCs w:val="24"/>
                <w:highlight w:val="none"/>
              </w:rPr>
            </w:pPr>
            <w:r>
              <w:rPr>
                <w:rFonts w:hint="eastAsia" w:ascii="宋体" w:hAnsi="宋体" w:cs="宋体"/>
                <w:color w:val="auto"/>
                <w:sz w:val="24"/>
                <w:szCs w:val="24"/>
                <w:highlight w:val="none"/>
              </w:rPr>
              <w:t>工作人员及非工作人员在食堂区域内吸烟，在休息场所打牌，扣2分/人次</w:t>
            </w:r>
          </w:p>
        </w:tc>
        <w:tc>
          <w:tcPr>
            <w:tcW w:w="994" w:type="dxa"/>
            <w:vAlign w:val="center"/>
          </w:tcPr>
          <w:p w14:paraId="6E2BD546">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1199" w:type="dxa"/>
            <w:vAlign w:val="center"/>
          </w:tcPr>
          <w:p w14:paraId="22A1C502">
            <w:pPr>
              <w:spacing w:line="216" w:lineRule="auto"/>
              <w:jc w:val="center"/>
              <w:rPr>
                <w:rFonts w:ascii="宋体" w:hAnsi="宋体" w:cs="宋体"/>
                <w:color w:val="auto"/>
                <w:sz w:val="24"/>
                <w:szCs w:val="24"/>
                <w:highlight w:val="none"/>
              </w:rPr>
            </w:pPr>
          </w:p>
        </w:tc>
      </w:tr>
      <w:tr w14:paraId="1DA35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6" w:hRule="atLeast"/>
          <w:jc w:val="center"/>
        </w:trPr>
        <w:tc>
          <w:tcPr>
            <w:tcW w:w="703" w:type="dxa"/>
            <w:vAlign w:val="center"/>
          </w:tcPr>
          <w:p w14:paraId="7B195D54">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7060" w:type="dxa"/>
            <w:vAlign w:val="center"/>
          </w:tcPr>
          <w:p w14:paraId="171E6950">
            <w:pPr>
              <w:spacing w:line="216" w:lineRule="auto"/>
              <w:rPr>
                <w:rFonts w:ascii="宋体" w:hAnsi="宋体" w:cs="宋体"/>
                <w:color w:val="auto"/>
                <w:sz w:val="24"/>
                <w:szCs w:val="24"/>
                <w:highlight w:val="none"/>
              </w:rPr>
            </w:pPr>
            <w:r>
              <w:rPr>
                <w:rFonts w:hint="eastAsia" w:ascii="宋体" w:hAnsi="宋体" w:cs="宋体"/>
                <w:color w:val="auto"/>
                <w:sz w:val="24"/>
                <w:szCs w:val="24"/>
                <w:highlight w:val="none"/>
              </w:rPr>
              <w:t>下班后没有及时关灯，离开岗位没有关煤气、水龙头且未造成其他影响，扣2分/次</w:t>
            </w:r>
          </w:p>
        </w:tc>
        <w:tc>
          <w:tcPr>
            <w:tcW w:w="994" w:type="dxa"/>
            <w:vAlign w:val="center"/>
          </w:tcPr>
          <w:p w14:paraId="04BAD70A">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1199" w:type="dxa"/>
            <w:vAlign w:val="center"/>
          </w:tcPr>
          <w:p w14:paraId="0ED85E39">
            <w:pPr>
              <w:spacing w:line="216" w:lineRule="auto"/>
              <w:jc w:val="center"/>
              <w:rPr>
                <w:rFonts w:ascii="宋体" w:hAnsi="宋体" w:cs="宋体"/>
                <w:color w:val="auto"/>
                <w:sz w:val="24"/>
                <w:szCs w:val="24"/>
                <w:highlight w:val="none"/>
              </w:rPr>
            </w:pPr>
          </w:p>
        </w:tc>
      </w:tr>
      <w:tr w14:paraId="2162C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jc w:val="center"/>
        </w:trPr>
        <w:tc>
          <w:tcPr>
            <w:tcW w:w="703" w:type="dxa"/>
            <w:vAlign w:val="center"/>
          </w:tcPr>
          <w:p w14:paraId="1F5B7B5A">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7060" w:type="dxa"/>
            <w:vAlign w:val="center"/>
          </w:tcPr>
          <w:p w14:paraId="1397FDBF">
            <w:pPr>
              <w:spacing w:line="216" w:lineRule="auto"/>
              <w:rPr>
                <w:rFonts w:ascii="宋体" w:hAnsi="宋体" w:cs="宋体"/>
                <w:color w:val="auto"/>
                <w:sz w:val="24"/>
                <w:szCs w:val="24"/>
                <w:highlight w:val="none"/>
              </w:rPr>
            </w:pPr>
            <w:r>
              <w:rPr>
                <w:rFonts w:hint="eastAsia" w:ascii="宋体" w:hAnsi="宋体" w:cs="宋体"/>
                <w:color w:val="auto"/>
                <w:sz w:val="24"/>
                <w:szCs w:val="24"/>
                <w:highlight w:val="none"/>
              </w:rPr>
              <w:t>碗、筷、盘等餐具留有食物残渣或不洁，扣2分/次</w:t>
            </w:r>
          </w:p>
        </w:tc>
        <w:tc>
          <w:tcPr>
            <w:tcW w:w="994" w:type="dxa"/>
            <w:vAlign w:val="center"/>
          </w:tcPr>
          <w:p w14:paraId="48EE37E4">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1199" w:type="dxa"/>
            <w:vAlign w:val="center"/>
          </w:tcPr>
          <w:p w14:paraId="75E305CF">
            <w:pPr>
              <w:spacing w:line="216" w:lineRule="auto"/>
              <w:jc w:val="center"/>
              <w:rPr>
                <w:rFonts w:ascii="宋体" w:hAnsi="宋体" w:cs="宋体"/>
                <w:color w:val="auto"/>
                <w:sz w:val="24"/>
                <w:szCs w:val="24"/>
                <w:highlight w:val="none"/>
              </w:rPr>
            </w:pPr>
          </w:p>
        </w:tc>
      </w:tr>
      <w:tr w14:paraId="23357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03" w:type="dxa"/>
            <w:vAlign w:val="center"/>
          </w:tcPr>
          <w:p w14:paraId="65F3742B">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7060" w:type="dxa"/>
            <w:vAlign w:val="center"/>
          </w:tcPr>
          <w:p w14:paraId="47BC8291">
            <w:pPr>
              <w:spacing w:line="216" w:lineRule="auto"/>
              <w:rPr>
                <w:rFonts w:ascii="宋体" w:hAnsi="宋体" w:cs="宋体"/>
                <w:color w:val="auto"/>
                <w:sz w:val="24"/>
                <w:szCs w:val="24"/>
                <w:highlight w:val="none"/>
              </w:rPr>
            </w:pPr>
            <w:r>
              <w:rPr>
                <w:rFonts w:hint="eastAsia" w:ascii="宋体" w:hAnsi="宋体" w:cs="宋体"/>
                <w:color w:val="auto"/>
                <w:sz w:val="24"/>
                <w:szCs w:val="24"/>
                <w:highlight w:val="none"/>
              </w:rPr>
              <w:t>没有及时清理餐桌与地面卫生，操作间乱堆乱放、地面积水较重，区域卫生没有及时打扫，扣1分/次</w:t>
            </w:r>
          </w:p>
        </w:tc>
        <w:tc>
          <w:tcPr>
            <w:tcW w:w="994" w:type="dxa"/>
            <w:vAlign w:val="center"/>
          </w:tcPr>
          <w:p w14:paraId="25E9D290">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199" w:type="dxa"/>
            <w:vAlign w:val="center"/>
          </w:tcPr>
          <w:p w14:paraId="163FA8A5">
            <w:pPr>
              <w:spacing w:line="216" w:lineRule="auto"/>
              <w:jc w:val="center"/>
              <w:rPr>
                <w:rFonts w:ascii="宋体" w:hAnsi="宋体" w:cs="宋体"/>
                <w:color w:val="auto"/>
                <w:sz w:val="24"/>
                <w:szCs w:val="24"/>
                <w:highlight w:val="none"/>
              </w:rPr>
            </w:pPr>
          </w:p>
        </w:tc>
      </w:tr>
      <w:tr w14:paraId="582754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jc w:val="center"/>
        </w:trPr>
        <w:tc>
          <w:tcPr>
            <w:tcW w:w="703" w:type="dxa"/>
            <w:vAlign w:val="center"/>
          </w:tcPr>
          <w:p w14:paraId="55FA4F20">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7060" w:type="dxa"/>
            <w:vAlign w:val="center"/>
          </w:tcPr>
          <w:p w14:paraId="7EBA7263">
            <w:pPr>
              <w:spacing w:line="216" w:lineRule="auto"/>
              <w:rPr>
                <w:rFonts w:ascii="宋体" w:hAnsi="宋体" w:cs="宋体"/>
                <w:color w:val="auto"/>
                <w:sz w:val="24"/>
                <w:szCs w:val="24"/>
                <w:highlight w:val="none"/>
              </w:rPr>
            </w:pPr>
            <w:r>
              <w:rPr>
                <w:rFonts w:hint="eastAsia" w:ascii="宋体" w:hAnsi="宋体" w:cs="宋体"/>
                <w:color w:val="auto"/>
                <w:sz w:val="24"/>
                <w:szCs w:val="24"/>
                <w:highlight w:val="none"/>
              </w:rPr>
              <w:t>不按要求留样，扣1分/次</w:t>
            </w:r>
          </w:p>
        </w:tc>
        <w:tc>
          <w:tcPr>
            <w:tcW w:w="994" w:type="dxa"/>
            <w:vAlign w:val="center"/>
          </w:tcPr>
          <w:p w14:paraId="51C33228">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199" w:type="dxa"/>
            <w:vAlign w:val="center"/>
          </w:tcPr>
          <w:p w14:paraId="4867FB7A">
            <w:pPr>
              <w:spacing w:line="216" w:lineRule="auto"/>
              <w:jc w:val="center"/>
              <w:rPr>
                <w:rFonts w:ascii="宋体" w:hAnsi="宋体" w:cs="宋体"/>
                <w:color w:val="auto"/>
                <w:sz w:val="24"/>
                <w:szCs w:val="24"/>
                <w:highlight w:val="none"/>
              </w:rPr>
            </w:pPr>
          </w:p>
        </w:tc>
      </w:tr>
      <w:tr w14:paraId="73CE6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jc w:val="center"/>
        </w:trPr>
        <w:tc>
          <w:tcPr>
            <w:tcW w:w="703" w:type="dxa"/>
            <w:vAlign w:val="center"/>
          </w:tcPr>
          <w:p w14:paraId="77D17E85">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7</w:t>
            </w:r>
          </w:p>
        </w:tc>
        <w:tc>
          <w:tcPr>
            <w:tcW w:w="7060" w:type="dxa"/>
            <w:vAlign w:val="center"/>
          </w:tcPr>
          <w:p w14:paraId="3AEFACCD">
            <w:pPr>
              <w:spacing w:line="216" w:lineRule="auto"/>
              <w:rPr>
                <w:rFonts w:ascii="宋体" w:hAnsi="宋体" w:cs="宋体"/>
                <w:color w:val="auto"/>
                <w:sz w:val="24"/>
                <w:szCs w:val="24"/>
                <w:highlight w:val="none"/>
              </w:rPr>
            </w:pPr>
            <w:r>
              <w:rPr>
                <w:rFonts w:hint="eastAsia" w:ascii="宋体" w:hAnsi="宋体" w:cs="宋体"/>
                <w:color w:val="auto"/>
                <w:sz w:val="24"/>
                <w:szCs w:val="24"/>
                <w:highlight w:val="none"/>
              </w:rPr>
              <w:t>隔餐饭菜未按规定处理方法上柜供应且未造成其他影响，工作日晚餐蔬菜与中餐重复，双休出现隔夜菜，扣2分/次</w:t>
            </w:r>
          </w:p>
        </w:tc>
        <w:tc>
          <w:tcPr>
            <w:tcW w:w="994" w:type="dxa"/>
            <w:vAlign w:val="center"/>
          </w:tcPr>
          <w:p w14:paraId="17C51150">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1199" w:type="dxa"/>
            <w:vAlign w:val="center"/>
          </w:tcPr>
          <w:p w14:paraId="7E35DF8F">
            <w:pPr>
              <w:spacing w:line="216" w:lineRule="auto"/>
              <w:jc w:val="center"/>
              <w:rPr>
                <w:rFonts w:ascii="宋体" w:hAnsi="宋体" w:cs="宋体"/>
                <w:color w:val="auto"/>
                <w:sz w:val="24"/>
                <w:szCs w:val="24"/>
                <w:highlight w:val="none"/>
              </w:rPr>
            </w:pPr>
          </w:p>
        </w:tc>
      </w:tr>
      <w:tr w14:paraId="58E53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03" w:type="dxa"/>
            <w:vAlign w:val="center"/>
          </w:tcPr>
          <w:p w14:paraId="50118B59">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8</w:t>
            </w:r>
          </w:p>
        </w:tc>
        <w:tc>
          <w:tcPr>
            <w:tcW w:w="7060" w:type="dxa"/>
            <w:vAlign w:val="center"/>
          </w:tcPr>
          <w:p w14:paraId="4C1BB4B7">
            <w:pPr>
              <w:spacing w:line="216" w:lineRule="auto"/>
              <w:rPr>
                <w:rFonts w:ascii="宋体" w:hAnsi="宋体" w:cs="宋体"/>
                <w:color w:val="auto"/>
                <w:sz w:val="24"/>
                <w:szCs w:val="24"/>
                <w:highlight w:val="none"/>
              </w:rPr>
            </w:pPr>
            <w:r>
              <w:rPr>
                <w:rFonts w:hint="eastAsia" w:ascii="宋体" w:hAnsi="宋体" w:cs="宋体"/>
                <w:color w:val="auto"/>
                <w:sz w:val="24"/>
                <w:szCs w:val="24"/>
                <w:highlight w:val="none"/>
              </w:rPr>
              <w:t>餐具、炊具未按程序清洗、消毒、存放，扣1分/次</w:t>
            </w:r>
          </w:p>
        </w:tc>
        <w:tc>
          <w:tcPr>
            <w:tcW w:w="994" w:type="dxa"/>
            <w:vAlign w:val="center"/>
          </w:tcPr>
          <w:p w14:paraId="5DF0B316">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199" w:type="dxa"/>
            <w:vAlign w:val="center"/>
          </w:tcPr>
          <w:p w14:paraId="76132E54">
            <w:pPr>
              <w:spacing w:line="216" w:lineRule="auto"/>
              <w:jc w:val="center"/>
              <w:rPr>
                <w:rFonts w:ascii="宋体" w:hAnsi="宋体" w:cs="宋体"/>
                <w:color w:val="auto"/>
                <w:sz w:val="24"/>
                <w:szCs w:val="24"/>
                <w:highlight w:val="none"/>
              </w:rPr>
            </w:pPr>
          </w:p>
        </w:tc>
      </w:tr>
      <w:tr w14:paraId="5635F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03" w:type="dxa"/>
            <w:vAlign w:val="center"/>
          </w:tcPr>
          <w:p w14:paraId="6C674713">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9</w:t>
            </w:r>
          </w:p>
        </w:tc>
        <w:tc>
          <w:tcPr>
            <w:tcW w:w="7060" w:type="dxa"/>
            <w:vAlign w:val="center"/>
          </w:tcPr>
          <w:p w14:paraId="511E878E">
            <w:pPr>
              <w:spacing w:line="216" w:lineRule="auto"/>
              <w:rPr>
                <w:rFonts w:ascii="宋体" w:hAnsi="宋体" w:cs="宋体"/>
                <w:color w:val="auto"/>
                <w:sz w:val="24"/>
                <w:szCs w:val="24"/>
                <w:highlight w:val="none"/>
              </w:rPr>
            </w:pPr>
            <w:r>
              <w:rPr>
                <w:rFonts w:hint="eastAsia" w:ascii="宋体" w:hAnsi="宋体" w:cs="宋体"/>
                <w:color w:val="auto"/>
                <w:sz w:val="24"/>
                <w:szCs w:val="24"/>
                <w:highlight w:val="none"/>
              </w:rPr>
              <w:t>与就餐人员、同事等发生争吵，扣1分/次</w:t>
            </w:r>
          </w:p>
        </w:tc>
        <w:tc>
          <w:tcPr>
            <w:tcW w:w="994" w:type="dxa"/>
            <w:vAlign w:val="center"/>
          </w:tcPr>
          <w:p w14:paraId="1B4342E8">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199" w:type="dxa"/>
            <w:vAlign w:val="center"/>
          </w:tcPr>
          <w:p w14:paraId="7E6A7C78">
            <w:pPr>
              <w:spacing w:line="216" w:lineRule="auto"/>
              <w:jc w:val="center"/>
              <w:rPr>
                <w:rFonts w:ascii="宋体" w:hAnsi="宋体" w:cs="宋体"/>
                <w:color w:val="auto"/>
                <w:sz w:val="24"/>
                <w:szCs w:val="24"/>
                <w:highlight w:val="none"/>
              </w:rPr>
            </w:pPr>
          </w:p>
        </w:tc>
      </w:tr>
      <w:tr w14:paraId="79A7F1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03" w:type="dxa"/>
            <w:vAlign w:val="center"/>
          </w:tcPr>
          <w:p w14:paraId="70773EA2">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10</w:t>
            </w:r>
          </w:p>
        </w:tc>
        <w:tc>
          <w:tcPr>
            <w:tcW w:w="7060" w:type="dxa"/>
            <w:vAlign w:val="center"/>
          </w:tcPr>
          <w:p w14:paraId="29AAB142">
            <w:pPr>
              <w:spacing w:line="216" w:lineRule="auto"/>
              <w:rPr>
                <w:rFonts w:ascii="宋体" w:hAnsi="宋体" w:cs="宋体"/>
                <w:color w:val="auto"/>
                <w:sz w:val="24"/>
                <w:szCs w:val="24"/>
                <w:highlight w:val="none"/>
              </w:rPr>
            </w:pPr>
            <w:r>
              <w:rPr>
                <w:rFonts w:hint="eastAsia" w:ascii="宋体" w:hAnsi="宋体" w:cs="宋体"/>
                <w:color w:val="auto"/>
                <w:sz w:val="24"/>
                <w:szCs w:val="24"/>
                <w:highlight w:val="none"/>
              </w:rPr>
              <w:t>不按时烹调，影响色泽口味，人为贻误开饭时间10分钟以上，扣5分/次</w:t>
            </w:r>
          </w:p>
        </w:tc>
        <w:tc>
          <w:tcPr>
            <w:tcW w:w="994" w:type="dxa"/>
            <w:vAlign w:val="center"/>
          </w:tcPr>
          <w:p w14:paraId="145EF3BE">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10</w:t>
            </w:r>
          </w:p>
        </w:tc>
        <w:tc>
          <w:tcPr>
            <w:tcW w:w="1199" w:type="dxa"/>
            <w:vAlign w:val="center"/>
          </w:tcPr>
          <w:p w14:paraId="19B96D6F">
            <w:pPr>
              <w:spacing w:line="216" w:lineRule="auto"/>
              <w:jc w:val="center"/>
              <w:rPr>
                <w:rFonts w:ascii="宋体" w:hAnsi="宋体" w:cs="宋体"/>
                <w:color w:val="auto"/>
                <w:sz w:val="24"/>
                <w:szCs w:val="24"/>
                <w:highlight w:val="none"/>
              </w:rPr>
            </w:pPr>
          </w:p>
        </w:tc>
      </w:tr>
      <w:tr w14:paraId="6CB68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03" w:type="dxa"/>
            <w:vAlign w:val="center"/>
          </w:tcPr>
          <w:p w14:paraId="3AEE3B3B">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11</w:t>
            </w:r>
          </w:p>
        </w:tc>
        <w:tc>
          <w:tcPr>
            <w:tcW w:w="7060" w:type="dxa"/>
            <w:vAlign w:val="center"/>
          </w:tcPr>
          <w:p w14:paraId="60631CAD">
            <w:pPr>
              <w:spacing w:line="216" w:lineRule="auto"/>
              <w:rPr>
                <w:rFonts w:ascii="宋体" w:hAnsi="宋体" w:cs="宋体"/>
                <w:color w:val="auto"/>
                <w:sz w:val="24"/>
                <w:szCs w:val="24"/>
                <w:highlight w:val="none"/>
              </w:rPr>
            </w:pPr>
            <w:r>
              <w:rPr>
                <w:rFonts w:hint="eastAsia" w:ascii="宋体" w:hAnsi="宋体" w:cs="宋体"/>
                <w:color w:val="auto"/>
                <w:sz w:val="24"/>
                <w:szCs w:val="24"/>
                <w:highlight w:val="none"/>
              </w:rPr>
              <w:t>擅离工作岗位，工作失职造成一定影响，扣5分</w:t>
            </w:r>
          </w:p>
        </w:tc>
        <w:tc>
          <w:tcPr>
            <w:tcW w:w="994" w:type="dxa"/>
            <w:vAlign w:val="center"/>
          </w:tcPr>
          <w:p w14:paraId="554FF54F">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1199" w:type="dxa"/>
            <w:vAlign w:val="center"/>
          </w:tcPr>
          <w:p w14:paraId="7782B714">
            <w:pPr>
              <w:spacing w:line="216" w:lineRule="auto"/>
              <w:jc w:val="center"/>
              <w:rPr>
                <w:rFonts w:ascii="宋体" w:hAnsi="宋体" w:cs="宋体"/>
                <w:color w:val="auto"/>
                <w:sz w:val="24"/>
                <w:szCs w:val="24"/>
                <w:highlight w:val="none"/>
              </w:rPr>
            </w:pPr>
          </w:p>
        </w:tc>
      </w:tr>
      <w:tr w14:paraId="53D45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03" w:type="dxa"/>
            <w:vAlign w:val="center"/>
          </w:tcPr>
          <w:p w14:paraId="30D57023">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12</w:t>
            </w:r>
          </w:p>
        </w:tc>
        <w:tc>
          <w:tcPr>
            <w:tcW w:w="7060" w:type="dxa"/>
            <w:vAlign w:val="center"/>
          </w:tcPr>
          <w:p w14:paraId="073BB261">
            <w:pPr>
              <w:spacing w:line="216" w:lineRule="auto"/>
              <w:rPr>
                <w:rFonts w:ascii="宋体" w:hAnsi="宋体" w:cs="宋体"/>
                <w:color w:val="auto"/>
                <w:sz w:val="24"/>
                <w:szCs w:val="24"/>
                <w:highlight w:val="none"/>
              </w:rPr>
            </w:pPr>
            <w:r>
              <w:rPr>
                <w:rFonts w:hint="eastAsia" w:ascii="宋体" w:hAnsi="宋体" w:cs="宋体"/>
                <w:color w:val="auto"/>
                <w:sz w:val="24"/>
                <w:szCs w:val="24"/>
                <w:highlight w:val="none"/>
              </w:rPr>
              <w:t>无正当理由不服从甲方人员监督管理，造成一定影响，扣5分</w:t>
            </w:r>
          </w:p>
        </w:tc>
        <w:tc>
          <w:tcPr>
            <w:tcW w:w="994" w:type="dxa"/>
            <w:vAlign w:val="center"/>
          </w:tcPr>
          <w:p w14:paraId="1836E78A">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1199" w:type="dxa"/>
            <w:vAlign w:val="center"/>
          </w:tcPr>
          <w:p w14:paraId="0D5D6ABC">
            <w:pPr>
              <w:spacing w:line="216" w:lineRule="auto"/>
              <w:jc w:val="center"/>
              <w:rPr>
                <w:rFonts w:ascii="宋体" w:hAnsi="宋体" w:cs="宋体"/>
                <w:color w:val="auto"/>
                <w:sz w:val="24"/>
                <w:szCs w:val="24"/>
                <w:highlight w:val="none"/>
              </w:rPr>
            </w:pPr>
          </w:p>
        </w:tc>
      </w:tr>
      <w:tr w14:paraId="2BD00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03" w:type="dxa"/>
            <w:vAlign w:val="center"/>
          </w:tcPr>
          <w:p w14:paraId="149B2768">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13</w:t>
            </w:r>
          </w:p>
        </w:tc>
        <w:tc>
          <w:tcPr>
            <w:tcW w:w="7060" w:type="dxa"/>
            <w:vAlign w:val="center"/>
          </w:tcPr>
          <w:p w14:paraId="1F438C29">
            <w:pPr>
              <w:spacing w:line="216" w:lineRule="auto"/>
              <w:rPr>
                <w:rFonts w:ascii="宋体" w:hAnsi="宋体" w:cs="宋体"/>
                <w:color w:val="auto"/>
                <w:sz w:val="24"/>
                <w:szCs w:val="24"/>
                <w:highlight w:val="none"/>
              </w:rPr>
            </w:pPr>
            <w:r>
              <w:rPr>
                <w:rFonts w:hint="eastAsia" w:ascii="宋体" w:hAnsi="宋体" w:cs="宋体"/>
                <w:color w:val="auto"/>
                <w:sz w:val="24"/>
                <w:szCs w:val="24"/>
                <w:highlight w:val="none"/>
              </w:rPr>
              <w:t>食材、货物未按规定时间、规定人员验收，扣2分/次</w:t>
            </w:r>
          </w:p>
        </w:tc>
        <w:tc>
          <w:tcPr>
            <w:tcW w:w="994" w:type="dxa"/>
            <w:vAlign w:val="center"/>
          </w:tcPr>
          <w:p w14:paraId="7D64D064">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1199" w:type="dxa"/>
            <w:vAlign w:val="center"/>
          </w:tcPr>
          <w:p w14:paraId="1F9B81D1">
            <w:pPr>
              <w:spacing w:line="216" w:lineRule="auto"/>
              <w:jc w:val="center"/>
              <w:rPr>
                <w:rFonts w:ascii="宋体" w:hAnsi="宋体" w:cs="宋体"/>
                <w:color w:val="auto"/>
                <w:sz w:val="24"/>
                <w:szCs w:val="24"/>
                <w:highlight w:val="none"/>
              </w:rPr>
            </w:pPr>
          </w:p>
        </w:tc>
      </w:tr>
      <w:tr w14:paraId="4642E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03" w:type="dxa"/>
            <w:vAlign w:val="center"/>
          </w:tcPr>
          <w:p w14:paraId="65D9254A">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14</w:t>
            </w:r>
          </w:p>
        </w:tc>
        <w:tc>
          <w:tcPr>
            <w:tcW w:w="7060" w:type="dxa"/>
            <w:vAlign w:val="center"/>
          </w:tcPr>
          <w:p w14:paraId="56786D42">
            <w:pPr>
              <w:spacing w:line="216" w:lineRule="auto"/>
              <w:rPr>
                <w:rFonts w:ascii="宋体" w:hAnsi="宋体" w:cs="宋体"/>
                <w:color w:val="auto"/>
                <w:sz w:val="24"/>
                <w:szCs w:val="24"/>
                <w:highlight w:val="none"/>
              </w:rPr>
            </w:pPr>
            <w:r>
              <w:rPr>
                <w:rFonts w:hint="eastAsia" w:ascii="宋体" w:hAnsi="宋体" w:cs="宋体"/>
                <w:color w:val="auto"/>
                <w:sz w:val="24"/>
                <w:szCs w:val="24"/>
                <w:highlight w:val="none"/>
              </w:rPr>
              <w:t>工作人员接受供货商礼品、回扣的，扣10分</w:t>
            </w:r>
          </w:p>
        </w:tc>
        <w:tc>
          <w:tcPr>
            <w:tcW w:w="994" w:type="dxa"/>
            <w:vAlign w:val="center"/>
          </w:tcPr>
          <w:p w14:paraId="650473F6">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10</w:t>
            </w:r>
          </w:p>
        </w:tc>
        <w:tc>
          <w:tcPr>
            <w:tcW w:w="1199" w:type="dxa"/>
            <w:vAlign w:val="center"/>
          </w:tcPr>
          <w:p w14:paraId="76E18F49">
            <w:pPr>
              <w:spacing w:line="216" w:lineRule="auto"/>
              <w:jc w:val="center"/>
              <w:rPr>
                <w:rFonts w:ascii="宋体" w:hAnsi="宋体" w:cs="宋体"/>
                <w:color w:val="auto"/>
                <w:sz w:val="24"/>
                <w:szCs w:val="24"/>
                <w:highlight w:val="none"/>
              </w:rPr>
            </w:pPr>
          </w:p>
        </w:tc>
      </w:tr>
      <w:tr w14:paraId="77A93D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03" w:type="dxa"/>
            <w:vAlign w:val="center"/>
          </w:tcPr>
          <w:p w14:paraId="104F14B6">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15</w:t>
            </w:r>
          </w:p>
        </w:tc>
        <w:tc>
          <w:tcPr>
            <w:tcW w:w="7060" w:type="dxa"/>
            <w:vAlign w:val="center"/>
          </w:tcPr>
          <w:p w14:paraId="44DA489B">
            <w:pPr>
              <w:spacing w:line="216" w:lineRule="auto"/>
              <w:rPr>
                <w:rFonts w:ascii="宋体" w:hAnsi="宋体" w:cs="宋体"/>
                <w:color w:val="auto"/>
                <w:sz w:val="24"/>
                <w:szCs w:val="24"/>
                <w:highlight w:val="none"/>
              </w:rPr>
            </w:pPr>
            <w:r>
              <w:rPr>
                <w:rFonts w:hint="eastAsia" w:ascii="宋体" w:hAnsi="宋体" w:cs="宋体"/>
                <w:color w:val="auto"/>
                <w:sz w:val="24"/>
                <w:szCs w:val="24"/>
                <w:highlight w:val="none"/>
              </w:rPr>
              <w:t>人为故意造成原材料浪费，扣5分</w:t>
            </w:r>
          </w:p>
        </w:tc>
        <w:tc>
          <w:tcPr>
            <w:tcW w:w="994" w:type="dxa"/>
            <w:vAlign w:val="center"/>
          </w:tcPr>
          <w:p w14:paraId="05204EE2">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1199" w:type="dxa"/>
            <w:vAlign w:val="center"/>
          </w:tcPr>
          <w:p w14:paraId="437EEF25">
            <w:pPr>
              <w:spacing w:line="216" w:lineRule="auto"/>
              <w:jc w:val="center"/>
              <w:rPr>
                <w:rFonts w:ascii="宋体" w:hAnsi="宋体" w:cs="宋体"/>
                <w:color w:val="auto"/>
                <w:sz w:val="24"/>
                <w:szCs w:val="24"/>
                <w:highlight w:val="none"/>
              </w:rPr>
            </w:pPr>
          </w:p>
        </w:tc>
      </w:tr>
      <w:tr w14:paraId="350C55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03" w:type="dxa"/>
            <w:vAlign w:val="center"/>
          </w:tcPr>
          <w:p w14:paraId="32A46B09">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16</w:t>
            </w:r>
          </w:p>
        </w:tc>
        <w:tc>
          <w:tcPr>
            <w:tcW w:w="7060" w:type="dxa"/>
            <w:vAlign w:val="center"/>
          </w:tcPr>
          <w:p w14:paraId="68AB061E">
            <w:pPr>
              <w:spacing w:line="216" w:lineRule="auto"/>
              <w:rPr>
                <w:rFonts w:ascii="宋体" w:hAnsi="宋体" w:cs="宋体"/>
                <w:color w:val="auto"/>
                <w:sz w:val="24"/>
                <w:szCs w:val="24"/>
                <w:highlight w:val="none"/>
              </w:rPr>
            </w:pPr>
            <w:r>
              <w:rPr>
                <w:rFonts w:hint="eastAsia" w:ascii="宋体" w:hAnsi="宋体" w:cs="宋体"/>
                <w:color w:val="auto"/>
                <w:sz w:val="24"/>
                <w:szCs w:val="24"/>
                <w:highlight w:val="none"/>
              </w:rPr>
              <w:t>有私自拿食品原材料（含熟食）与其他物品，或做人情，扣10分</w:t>
            </w:r>
          </w:p>
        </w:tc>
        <w:tc>
          <w:tcPr>
            <w:tcW w:w="994" w:type="dxa"/>
            <w:vAlign w:val="center"/>
          </w:tcPr>
          <w:p w14:paraId="0416A28A">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10</w:t>
            </w:r>
          </w:p>
        </w:tc>
        <w:tc>
          <w:tcPr>
            <w:tcW w:w="1199" w:type="dxa"/>
            <w:vAlign w:val="center"/>
          </w:tcPr>
          <w:p w14:paraId="73664259">
            <w:pPr>
              <w:spacing w:line="216" w:lineRule="auto"/>
              <w:jc w:val="center"/>
              <w:rPr>
                <w:rFonts w:ascii="宋体" w:hAnsi="宋体" w:cs="宋体"/>
                <w:color w:val="auto"/>
                <w:sz w:val="24"/>
                <w:szCs w:val="24"/>
                <w:highlight w:val="none"/>
              </w:rPr>
            </w:pPr>
          </w:p>
        </w:tc>
      </w:tr>
      <w:tr w14:paraId="0E9528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03" w:type="dxa"/>
            <w:vAlign w:val="center"/>
          </w:tcPr>
          <w:p w14:paraId="3540C085">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17</w:t>
            </w:r>
          </w:p>
        </w:tc>
        <w:tc>
          <w:tcPr>
            <w:tcW w:w="7060" w:type="dxa"/>
            <w:vAlign w:val="center"/>
          </w:tcPr>
          <w:p w14:paraId="102677E6">
            <w:pPr>
              <w:spacing w:line="216" w:lineRule="auto"/>
              <w:rPr>
                <w:rFonts w:ascii="宋体" w:hAnsi="宋体" w:cs="宋体"/>
                <w:color w:val="auto"/>
                <w:sz w:val="24"/>
                <w:szCs w:val="24"/>
                <w:highlight w:val="none"/>
              </w:rPr>
            </w:pPr>
            <w:r>
              <w:rPr>
                <w:rFonts w:hint="eastAsia" w:ascii="宋体" w:hAnsi="宋体" w:cs="宋体"/>
                <w:color w:val="auto"/>
                <w:sz w:val="24"/>
                <w:szCs w:val="24"/>
                <w:highlight w:val="none"/>
              </w:rPr>
              <w:t>没有做好保温措施，扣1分/次</w:t>
            </w:r>
          </w:p>
        </w:tc>
        <w:tc>
          <w:tcPr>
            <w:tcW w:w="994" w:type="dxa"/>
            <w:vAlign w:val="center"/>
          </w:tcPr>
          <w:p w14:paraId="2ED27445">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199" w:type="dxa"/>
            <w:vAlign w:val="center"/>
          </w:tcPr>
          <w:p w14:paraId="5AC33A01">
            <w:pPr>
              <w:spacing w:line="216" w:lineRule="auto"/>
              <w:jc w:val="center"/>
              <w:rPr>
                <w:rFonts w:ascii="宋体" w:hAnsi="宋体" w:cs="宋体"/>
                <w:color w:val="auto"/>
                <w:sz w:val="24"/>
                <w:szCs w:val="24"/>
                <w:highlight w:val="none"/>
              </w:rPr>
            </w:pPr>
          </w:p>
        </w:tc>
      </w:tr>
      <w:tr w14:paraId="20515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jc w:val="center"/>
        </w:trPr>
        <w:tc>
          <w:tcPr>
            <w:tcW w:w="703" w:type="dxa"/>
            <w:vAlign w:val="center"/>
          </w:tcPr>
          <w:p w14:paraId="0B3B0049">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18</w:t>
            </w:r>
          </w:p>
        </w:tc>
        <w:tc>
          <w:tcPr>
            <w:tcW w:w="7060" w:type="dxa"/>
            <w:vAlign w:val="center"/>
          </w:tcPr>
          <w:p w14:paraId="7186AB56">
            <w:pPr>
              <w:spacing w:line="216" w:lineRule="auto"/>
              <w:rPr>
                <w:rFonts w:ascii="宋体" w:hAnsi="宋体" w:cs="宋体"/>
                <w:color w:val="auto"/>
                <w:sz w:val="24"/>
                <w:szCs w:val="24"/>
                <w:highlight w:val="none"/>
              </w:rPr>
            </w:pPr>
            <w:r>
              <w:rPr>
                <w:rFonts w:hint="eastAsia" w:ascii="宋体" w:hAnsi="宋体" w:cs="宋体"/>
                <w:color w:val="auto"/>
                <w:sz w:val="24"/>
                <w:szCs w:val="24"/>
                <w:highlight w:val="none"/>
              </w:rPr>
              <w:t>没有足量供餐，扣1分/次</w:t>
            </w:r>
          </w:p>
        </w:tc>
        <w:tc>
          <w:tcPr>
            <w:tcW w:w="994" w:type="dxa"/>
            <w:vAlign w:val="center"/>
          </w:tcPr>
          <w:p w14:paraId="5667F2A2">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199" w:type="dxa"/>
            <w:vAlign w:val="center"/>
          </w:tcPr>
          <w:p w14:paraId="6CD41C5F">
            <w:pPr>
              <w:spacing w:line="216" w:lineRule="auto"/>
              <w:jc w:val="center"/>
              <w:rPr>
                <w:rFonts w:ascii="宋体" w:hAnsi="宋体" w:cs="宋体"/>
                <w:color w:val="auto"/>
                <w:sz w:val="24"/>
                <w:szCs w:val="24"/>
                <w:highlight w:val="none"/>
              </w:rPr>
            </w:pPr>
          </w:p>
        </w:tc>
      </w:tr>
      <w:tr w14:paraId="101C8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03" w:type="dxa"/>
            <w:vAlign w:val="center"/>
          </w:tcPr>
          <w:p w14:paraId="6C2E3D31">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19</w:t>
            </w:r>
          </w:p>
        </w:tc>
        <w:tc>
          <w:tcPr>
            <w:tcW w:w="7060" w:type="dxa"/>
            <w:vAlign w:val="center"/>
          </w:tcPr>
          <w:p w14:paraId="44EE68A7">
            <w:pPr>
              <w:spacing w:line="216" w:lineRule="auto"/>
              <w:rPr>
                <w:rFonts w:ascii="宋体" w:hAnsi="宋体" w:cs="宋体"/>
                <w:color w:val="auto"/>
                <w:sz w:val="24"/>
                <w:szCs w:val="24"/>
                <w:highlight w:val="none"/>
              </w:rPr>
            </w:pPr>
            <w:r>
              <w:rPr>
                <w:rFonts w:hint="eastAsia" w:ascii="宋体" w:hAnsi="宋体" w:cs="宋体"/>
                <w:color w:val="auto"/>
                <w:sz w:val="24"/>
                <w:szCs w:val="24"/>
                <w:highlight w:val="none"/>
              </w:rPr>
              <w:t>食物中发现各类虫子（苍蝇、蟑螂）、头发丝、清洁球等，扣3分</w:t>
            </w:r>
          </w:p>
        </w:tc>
        <w:tc>
          <w:tcPr>
            <w:tcW w:w="994" w:type="dxa"/>
            <w:vAlign w:val="center"/>
          </w:tcPr>
          <w:p w14:paraId="09319F38">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1199" w:type="dxa"/>
            <w:vAlign w:val="center"/>
          </w:tcPr>
          <w:p w14:paraId="4FB5E4EF">
            <w:pPr>
              <w:spacing w:line="216" w:lineRule="auto"/>
              <w:jc w:val="center"/>
              <w:rPr>
                <w:rFonts w:ascii="宋体" w:hAnsi="宋体" w:cs="宋体"/>
                <w:color w:val="auto"/>
                <w:sz w:val="24"/>
                <w:szCs w:val="24"/>
                <w:highlight w:val="none"/>
              </w:rPr>
            </w:pPr>
          </w:p>
        </w:tc>
      </w:tr>
      <w:tr w14:paraId="256B5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03" w:type="dxa"/>
            <w:vAlign w:val="center"/>
          </w:tcPr>
          <w:p w14:paraId="31FA3CFF">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20</w:t>
            </w:r>
          </w:p>
        </w:tc>
        <w:tc>
          <w:tcPr>
            <w:tcW w:w="7060" w:type="dxa"/>
            <w:vAlign w:val="center"/>
          </w:tcPr>
          <w:p w14:paraId="6802DD13">
            <w:pPr>
              <w:spacing w:line="216" w:lineRule="auto"/>
              <w:rPr>
                <w:rFonts w:ascii="宋体" w:hAnsi="宋体" w:cs="宋体"/>
                <w:color w:val="auto"/>
                <w:sz w:val="24"/>
                <w:szCs w:val="24"/>
                <w:highlight w:val="none"/>
              </w:rPr>
            </w:pPr>
            <w:r>
              <w:rPr>
                <w:rFonts w:hint="eastAsia" w:ascii="宋体" w:hAnsi="宋体" w:cs="宋体"/>
                <w:color w:val="auto"/>
                <w:sz w:val="24"/>
                <w:szCs w:val="24"/>
                <w:highlight w:val="none"/>
              </w:rPr>
              <w:t>地毯未按时清洗、晾晒（每月至少一次），扣2分</w:t>
            </w:r>
          </w:p>
        </w:tc>
        <w:tc>
          <w:tcPr>
            <w:tcW w:w="994" w:type="dxa"/>
            <w:vAlign w:val="center"/>
          </w:tcPr>
          <w:p w14:paraId="50E804F5">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199" w:type="dxa"/>
            <w:vAlign w:val="center"/>
          </w:tcPr>
          <w:p w14:paraId="701309C9">
            <w:pPr>
              <w:spacing w:line="216" w:lineRule="auto"/>
              <w:jc w:val="center"/>
              <w:rPr>
                <w:rFonts w:ascii="宋体" w:hAnsi="宋体" w:cs="宋体"/>
                <w:color w:val="auto"/>
                <w:sz w:val="24"/>
                <w:szCs w:val="24"/>
                <w:highlight w:val="none"/>
              </w:rPr>
            </w:pPr>
          </w:p>
        </w:tc>
      </w:tr>
      <w:tr w14:paraId="712F8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03" w:type="dxa"/>
            <w:vAlign w:val="center"/>
          </w:tcPr>
          <w:p w14:paraId="22A61F41">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21</w:t>
            </w:r>
          </w:p>
        </w:tc>
        <w:tc>
          <w:tcPr>
            <w:tcW w:w="7060" w:type="dxa"/>
            <w:vAlign w:val="center"/>
          </w:tcPr>
          <w:p w14:paraId="5A09C133">
            <w:pPr>
              <w:spacing w:line="216" w:lineRule="auto"/>
              <w:rPr>
                <w:rFonts w:ascii="宋体" w:hAnsi="宋体" w:cs="宋体"/>
                <w:color w:val="auto"/>
                <w:sz w:val="24"/>
                <w:szCs w:val="24"/>
                <w:highlight w:val="none"/>
              </w:rPr>
            </w:pPr>
            <w:r>
              <w:rPr>
                <w:rFonts w:hint="eastAsia" w:ascii="宋体" w:hAnsi="宋体" w:cs="宋体"/>
                <w:color w:val="auto"/>
                <w:sz w:val="24"/>
                <w:szCs w:val="24"/>
                <w:highlight w:val="none"/>
              </w:rPr>
              <w:t>屡次违反规定的，扣10分</w:t>
            </w:r>
          </w:p>
        </w:tc>
        <w:tc>
          <w:tcPr>
            <w:tcW w:w="994" w:type="dxa"/>
            <w:vAlign w:val="center"/>
          </w:tcPr>
          <w:p w14:paraId="4345B165">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10</w:t>
            </w:r>
          </w:p>
        </w:tc>
        <w:tc>
          <w:tcPr>
            <w:tcW w:w="1199" w:type="dxa"/>
            <w:vAlign w:val="center"/>
          </w:tcPr>
          <w:p w14:paraId="63B350CC">
            <w:pPr>
              <w:spacing w:line="216" w:lineRule="auto"/>
              <w:jc w:val="center"/>
              <w:rPr>
                <w:rFonts w:ascii="宋体" w:hAnsi="宋体" w:cs="宋体"/>
                <w:color w:val="auto"/>
                <w:sz w:val="24"/>
                <w:szCs w:val="24"/>
                <w:highlight w:val="none"/>
              </w:rPr>
            </w:pPr>
          </w:p>
        </w:tc>
      </w:tr>
      <w:tr w14:paraId="22131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763" w:type="dxa"/>
            <w:gridSpan w:val="2"/>
            <w:vAlign w:val="center"/>
          </w:tcPr>
          <w:p w14:paraId="4808D00D">
            <w:pPr>
              <w:spacing w:line="216"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总分</w:t>
            </w:r>
          </w:p>
        </w:tc>
        <w:tc>
          <w:tcPr>
            <w:tcW w:w="994" w:type="dxa"/>
            <w:vAlign w:val="center"/>
          </w:tcPr>
          <w:p w14:paraId="15224F14">
            <w:pPr>
              <w:spacing w:line="216"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100</w:t>
            </w:r>
          </w:p>
        </w:tc>
        <w:tc>
          <w:tcPr>
            <w:tcW w:w="1199" w:type="dxa"/>
            <w:vAlign w:val="center"/>
          </w:tcPr>
          <w:p w14:paraId="60406943">
            <w:pPr>
              <w:spacing w:line="216" w:lineRule="auto"/>
              <w:jc w:val="center"/>
              <w:rPr>
                <w:rFonts w:ascii="宋体" w:hAnsi="宋体" w:cs="宋体"/>
                <w:color w:val="auto"/>
                <w:sz w:val="24"/>
                <w:szCs w:val="24"/>
                <w:highlight w:val="none"/>
              </w:rPr>
            </w:pPr>
          </w:p>
        </w:tc>
      </w:tr>
      <w:tr w14:paraId="414C9F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03" w:type="dxa"/>
            <w:vAlign w:val="center"/>
          </w:tcPr>
          <w:p w14:paraId="513125EA">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7060" w:type="dxa"/>
            <w:vAlign w:val="center"/>
          </w:tcPr>
          <w:p w14:paraId="658861D7">
            <w:pPr>
              <w:spacing w:line="216" w:lineRule="auto"/>
              <w:rPr>
                <w:rFonts w:ascii="宋体" w:hAnsi="宋体" w:cs="宋体"/>
                <w:color w:val="auto"/>
                <w:sz w:val="24"/>
                <w:szCs w:val="24"/>
                <w:highlight w:val="none"/>
              </w:rPr>
            </w:pPr>
            <w:r>
              <w:rPr>
                <w:rFonts w:hint="eastAsia" w:ascii="宋体" w:hAnsi="宋体" w:cs="宋体"/>
                <w:color w:val="auto"/>
                <w:sz w:val="24"/>
                <w:szCs w:val="24"/>
                <w:highlight w:val="none"/>
              </w:rPr>
              <w:t>拾金不昧（钱包、手机等贵重物品），加2分</w:t>
            </w:r>
          </w:p>
        </w:tc>
        <w:tc>
          <w:tcPr>
            <w:tcW w:w="994" w:type="dxa"/>
            <w:vAlign w:val="center"/>
          </w:tcPr>
          <w:p w14:paraId="3C1E5B29">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199" w:type="dxa"/>
            <w:vAlign w:val="center"/>
          </w:tcPr>
          <w:p w14:paraId="739BF681">
            <w:pPr>
              <w:spacing w:line="216" w:lineRule="auto"/>
              <w:jc w:val="center"/>
              <w:rPr>
                <w:rFonts w:ascii="宋体" w:hAnsi="宋体" w:cs="宋体"/>
                <w:color w:val="auto"/>
                <w:sz w:val="24"/>
                <w:szCs w:val="24"/>
                <w:highlight w:val="none"/>
              </w:rPr>
            </w:pPr>
          </w:p>
        </w:tc>
      </w:tr>
      <w:tr w14:paraId="28C46F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03" w:type="dxa"/>
            <w:vAlign w:val="center"/>
          </w:tcPr>
          <w:p w14:paraId="337EE761">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7060" w:type="dxa"/>
            <w:vAlign w:val="center"/>
          </w:tcPr>
          <w:p w14:paraId="267F416B">
            <w:pPr>
              <w:spacing w:line="216" w:lineRule="auto"/>
              <w:rPr>
                <w:rFonts w:ascii="宋体" w:hAnsi="宋体" w:cs="宋体"/>
                <w:color w:val="auto"/>
                <w:sz w:val="24"/>
                <w:szCs w:val="24"/>
                <w:highlight w:val="none"/>
              </w:rPr>
            </w:pPr>
            <w:r>
              <w:rPr>
                <w:rFonts w:hint="eastAsia" w:ascii="宋体" w:hAnsi="宋体" w:cs="宋体"/>
                <w:color w:val="auto"/>
                <w:sz w:val="24"/>
                <w:szCs w:val="24"/>
                <w:highlight w:val="none"/>
              </w:rPr>
              <w:t>向食堂提供合理化建议而被采纳，加2分</w:t>
            </w:r>
          </w:p>
        </w:tc>
        <w:tc>
          <w:tcPr>
            <w:tcW w:w="994" w:type="dxa"/>
            <w:vAlign w:val="center"/>
          </w:tcPr>
          <w:p w14:paraId="7AFD5CCA">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199" w:type="dxa"/>
            <w:vAlign w:val="center"/>
          </w:tcPr>
          <w:p w14:paraId="64DDB70E">
            <w:pPr>
              <w:spacing w:line="216" w:lineRule="auto"/>
              <w:jc w:val="center"/>
              <w:rPr>
                <w:rFonts w:ascii="宋体" w:hAnsi="宋体" w:cs="宋体"/>
                <w:color w:val="auto"/>
                <w:sz w:val="24"/>
                <w:szCs w:val="24"/>
                <w:highlight w:val="none"/>
              </w:rPr>
            </w:pPr>
          </w:p>
        </w:tc>
      </w:tr>
      <w:tr w14:paraId="099C0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03" w:type="dxa"/>
            <w:vAlign w:val="center"/>
          </w:tcPr>
          <w:p w14:paraId="12FEEBAB">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7060" w:type="dxa"/>
            <w:vAlign w:val="center"/>
          </w:tcPr>
          <w:p w14:paraId="58A3C255">
            <w:pPr>
              <w:spacing w:line="216" w:lineRule="auto"/>
              <w:rPr>
                <w:rFonts w:ascii="宋体" w:hAnsi="宋体" w:cs="宋体"/>
                <w:color w:val="auto"/>
                <w:sz w:val="24"/>
                <w:szCs w:val="24"/>
                <w:highlight w:val="none"/>
              </w:rPr>
            </w:pPr>
            <w:r>
              <w:rPr>
                <w:rFonts w:hint="eastAsia" w:ascii="宋体" w:hAnsi="宋体" w:cs="宋体"/>
                <w:color w:val="auto"/>
                <w:sz w:val="24"/>
                <w:szCs w:val="24"/>
                <w:highlight w:val="none"/>
              </w:rPr>
              <w:t>厉行节约，成效明显，加2分</w:t>
            </w:r>
          </w:p>
        </w:tc>
        <w:tc>
          <w:tcPr>
            <w:tcW w:w="994" w:type="dxa"/>
            <w:vAlign w:val="center"/>
          </w:tcPr>
          <w:p w14:paraId="1D630E19">
            <w:pPr>
              <w:spacing w:line="216"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199" w:type="dxa"/>
            <w:vAlign w:val="center"/>
          </w:tcPr>
          <w:p w14:paraId="7C20990A">
            <w:pPr>
              <w:spacing w:line="216" w:lineRule="auto"/>
              <w:jc w:val="center"/>
              <w:rPr>
                <w:rFonts w:ascii="宋体" w:hAnsi="宋体" w:cs="宋体"/>
                <w:color w:val="auto"/>
                <w:sz w:val="24"/>
                <w:szCs w:val="24"/>
                <w:highlight w:val="none"/>
              </w:rPr>
            </w:pPr>
          </w:p>
        </w:tc>
      </w:tr>
      <w:tr w14:paraId="0A6F8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763" w:type="dxa"/>
            <w:gridSpan w:val="2"/>
            <w:vAlign w:val="center"/>
          </w:tcPr>
          <w:p w14:paraId="4265583F">
            <w:pPr>
              <w:spacing w:line="216"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总加分</w:t>
            </w:r>
          </w:p>
        </w:tc>
        <w:tc>
          <w:tcPr>
            <w:tcW w:w="994" w:type="dxa"/>
            <w:vAlign w:val="center"/>
          </w:tcPr>
          <w:p w14:paraId="44F74ABE">
            <w:pPr>
              <w:spacing w:line="216"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6</w:t>
            </w:r>
          </w:p>
        </w:tc>
        <w:tc>
          <w:tcPr>
            <w:tcW w:w="1199" w:type="dxa"/>
            <w:vAlign w:val="center"/>
          </w:tcPr>
          <w:p w14:paraId="5DFB3D67">
            <w:pPr>
              <w:spacing w:line="216" w:lineRule="auto"/>
              <w:jc w:val="center"/>
              <w:rPr>
                <w:rFonts w:ascii="宋体" w:hAnsi="宋体" w:cs="宋体"/>
                <w:color w:val="auto"/>
                <w:sz w:val="24"/>
                <w:szCs w:val="24"/>
                <w:highlight w:val="none"/>
              </w:rPr>
            </w:pPr>
          </w:p>
        </w:tc>
      </w:tr>
    </w:tbl>
    <w:p w14:paraId="73565EED">
      <w:pPr>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注：1.主观原因造成食物中毒、人员伤害等安全事故，合同终止并依法追究相关责任。</w:t>
      </w:r>
    </w:p>
    <w:p w14:paraId="5384A308">
      <w:pPr>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2.违反食堂与其他规定的，按有关规定处理。</w:t>
      </w:r>
    </w:p>
    <w:p w14:paraId="226F4A57">
      <w:pPr>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3.未经允许经营餐饮之外的任何业务将食堂私自转让或委托他人经营利用采购人资产搞不法经营或加工经营与本项目无关的食品、食物等，合同终止并依法追究相关责任。</w:t>
      </w:r>
    </w:p>
    <w:p w14:paraId="2283BCAE">
      <w:pPr>
        <w:spacing w:line="410" w:lineRule="exact"/>
        <w:rPr>
          <w:rFonts w:ascii="宋体" w:hAnsi="宋体" w:cs="宋体"/>
          <w:color w:val="auto"/>
          <w:sz w:val="24"/>
          <w:szCs w:val="24"/>
          <w:highlight w:val="none"/>
        </w:rPr>
      </w:pPr>
      <w:r>
        <w:rPr>
          <w:rFonts w:hint="eastAsia" w:ascii="宋体" w:hAnsi="宋体" w:cs="宋体"/>
          <w:b/>
          <w:bCs/>
          <w:color w:val="auto"/>
          <w:sz w:val="24"/>
          <w:szCs w:val="24"/>
          <w:highlight w:val="none"/>
        </w:rPr>
        <w:t>附件3：</w:t>
      </w:r>
    </w:p>
    <w:p w14:paraId="32EA2738">
      <w:pPr>
        <w:spacing w:line="41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食堂卫生考核方案表</w:t>
      </w:r>
    </w:p>
    <w:tbl>
      <w:tblPr>
        <w:tblStyle w:val="67"/>
        <w:tblW w:w="0" w:type="auto"/>
        <w:jc w:val="center"/>
        <w:tblLayout w:type="fixed"/>
        <w:tblCellMar>
          <w:top w:w="0" w:type="dxa"/>
          <w:left w:w="108" w:type="dxa"/>
          <w:bottom w:w="0" w:type="dxa"/>
          <w:right w:w="108" w:type="dxa"/>
        </w:tblCellMar>
      </w:tblPr>
      <w:tblGrid>
        <w:gridCol w:w="498"/>
        <w:gridCol w:w="1295"/>
        <w:gridCol w:w="6299"/>
        <w:gridCol w:w="932"/>
        <w:gridCol w:w="932"/>
      </w:tblGrid>
      <w:tr w14:paraId="058385C2">
        <w:tblPrEx>
          <w:tblCellMar>
            <w:top w:w="0" w:type="dxa"/>
            <w:left w:w="108" w:type="dxa"/>
            <w:bottom w:w="0" w:type="dxa"/>
            <w:right w:w="108" w:type="dxa"/>
          </w:tblCellMar>
        </w:tblPrEx>
        <w:trPr>
          <w:trHeight w:val="420" w:hRule="atLeast"/>
          <w:tblHeader/>
          <w:jc w:val="center"/>
        </w:trPr>
        <w:tc>
          <w:tcPr>
            <w:tcW w:w="498" w:type="dxa"/>
            <w:tcBorders>
              <w:top w:val="single" w:color="000000" w:sz="4" w:space="0"/>
              <w:left w:val="single" w:color="000000" w:sz="4" w:space="0"/>
              <w:bottom w:val="single" w:color="000000" w:sz="4" w:space="0"/>
              <w:right w:val="single" w:color="000000" w:sz="4" w:space="0"/>
            </w:tcBorders>
            <w:vAlign w:val="center"/>
          </w:tcPr>
          <w:p w14:paraId="5BEF582C">
            <w:pPr>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1295" w:type="dxa"/>
            <w:tcBorders>
              <w:top w:val="single" w:color="000000" w:sz="4" w:space="0"/>
              <w:left w:val="single" w:color="000000" w:sz="4" w:space="0"/>
              <w:bottom w:val="single" w:color="000000" w:sz="4" w:space="0"/>
              <w:right w:val="single" w:color="000000" w:sz="4" w:space="0"/>
            </w:tcBorders>
            <w:vAlign w:val="center"/>
          </w:tcPr>
          <w:p w14:paraId="08167F1B">
            <w:pPr>
              <w:jc w:val="center"/>
              <w:rPr>
                <w:rFonts w:ascii="宋体" w:hAnsi="宋体" w:cs="宋体"/>
                <w:color w:val="auto"/>
                <w:sz w:val="24"/>
                <w:szCs w:val="24"/>
                <w:highlight w:val="none"/>
              </w:rPr>
            </w:pPr>
            <w:r>
              <w:rPr>
                <w:rFonts w:hint="eastAsia" w:ascii="宋体" w:hAnsi="宋体" w:cs="宋体"/>
                <w:color w:val="auto"/>
                <w:sz w:val="24"/>
                <w:szCs w:val="24"/>
                <w:highlight w:val="none"/>
              </w:rPr>
              <w:t>项目名称</w:t>
            </w:r>
          </w:p>
        </w:tc>
        <w:tc>
          <w:tcPr>
            <w:tcW w:w="6299" w:type="dxa"/>
            <w:tcBorders>
              <w:top w:val="single" w:color="000000" w:sz="4" w:space="0"/>
              <w:left w:val="nil"/>
              <w:bottom w:val="single" w:color="000000" w:sz="4" w:space="0"/>
              <w:right w:val="single" w:color="000000" w:sz="4" w:space="0"/>
            </w:tcBorders>
            <w:vAlign w:val="center"/>
          </w:tcPr>
          <w:p w14:paraId="6216F098">
            <w:pPr>
              <w:jc w:val="center"/>
              <w:rPr>
                <w:rFonts w:ascii="宋体" w:hAnsi="宋体" w:cs="宋体"/>
                <w:color w:val="auto"/>
                <w:sz w:val="24"/>
                <w:szCs w:val="24"/>
                <w:highlight w:val="none"/>
              </w:rPr>
            </w:pPr>
            <w:r>
              <w:rPr>
                <w:rFonts w:hint="eastAsia" w:ascii="宋体" w:hAnsi="宋体" w:cs="宋体"/>
                <w:color w:val="auto"/>
                <w:sz w:val="24"/>
                <w:szCs w:val="24"/>
                <w:highlight w:val="none"/>
              </w:rPr>
              <w:t>考核内容</w:t>
            </w:r>
          </w:p>
        </w:tc>
        <w:tc>
          <w:tcPr>
            <w:tcW w:w="932" w:type="dxa"/>
            <w:tcBorders>
              <w:top w:val="single" w:color="000000" w:sz="4" w:space="0"/>
              <w:left w:val="nil"/>
              <w:bottom w:val="single" w:color="000000" w:sz="4" w:space="0"/>
              <w:right w:val="single" w:color="000000" w:sz="4" w:space="0"/>
            </w:tcBorders>
            <w:vAlign w:val="center"/>
          </w:tcPr>
          <w:p w14:paraId="2518E37E">
            <w:pPr>
              <w:jc w:val="center"/>
              <w:rPr>
                <w:rFonts w:ascii="宋体" w:hAnsi="宋体" w:cs="宋体"/>
                <w:color w:val="auto"/>
                <w:sz w:val="24"/>
                <w:szCs w:val="24"/>
                <w:highlight w:val="none"/>
              </w:rPr>
            </w:pPr>
            <w:r>
              <w:rPr>
                <w:rFonts w:hint="eastAsia" w:ascii="宋体" w:hAnsi="宋体" w:cs="宋体"/>
                <w:color w:val="auto"/>
                <w:sz w:val="24"/>
                <w:szCs w:val="24"/>
                <w:highlight w:val="none"/>
              </w:rPr>
              <w:t>分值</w:t>
            </w:r>
          </w:p>
        </w:tc>
        <w:tc>
          <w:tcPr>
            <w:tcW w:w="932" w:type="dxa"/>
            <w:tcBorders>
              <w:top w:val="single" w:color="000000" w:sz="4" w:space="0"/>
              <w:left w:val="nil"/>
              <w:bottom w:val="single" w:color="000000" w:sz="4" w:space="0"/>
              <w:right w:val="single" w:color="000000" w:sz="4" w:space="0"/>
            </w:tcBorders>
            <w:vAlign w:val="center"/>
          </w:tcPr>
          <w:p w14:paraId="46DC1E4F">
            <w:pPr>
              <w:jc w:val="center"/>
              <w:rPr>
                <w:rFonts w:ascii="宋体" w:hAnsi="宋体" w:cs="宋体"/>
                <w:color w:val="auto"/>
                <w:sz w:val="24"/>
                <w:szCs w:val="24"/>
                <w:highlight w:val="none"/>
              </w:rPr>
            </w:pPr>
            <w:r>
              <w:rPr>
                <w:rFonts w:hint="eastAsia" w:ascii="宋体" w:hAnsi="宋体" w:cs="宋体"/>
                <w:color w:val="auto"/>
                <w:sz w:val="24"/>
                <w:szCs w:val="24"/>
                <w:highlight w:val="none"/>
              </w:rPr>
              <w:t>得分</w:t>
            </w:r>
          </w:p>
        </w:tc>
      </w:tr>
      <w:tr w14:paraId="1B86B920">
        <w:tblPrEx>
          <w:tblCellMar>
            <w:top w:w="0" w:type="dxa"/>
            <w:left w:w="108" w:type="dxa"/>
            <w:bottom w:w="0" w:type="dxa"/>
            <w:right w:w="108" w:type="dxa"/>
          </w:tblCellMar>
        </w:tblPrEx>
        <w:trPr>
          <w:trHeight w:val="729" w:hRule="atLeast"/>
          <w:jc w:val="center"/>
        </w:trPr>
        <w:tc>
          <w:tcPr>
            <w:tcW w:w="498" w:type="dxa"/>
            <w:vMerge w:val="restart"/>
            <w:tcBorders>
              <w:top w:val="nil"/>
              <w:left w:val="single" w:color="000000" w:sz="4" w:space="0"/>
              <w:bottom w:val="nil"/>
              <w:right w:val="single" w:color="000000" w:sz="4" w:space="0"/>
            </w:tcBorders>
            <w:vAlign w:val="center"/>
          </w:tcPr>
          <w:p w14:paraId="21AF1AC7">
            <w:pPr>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295" w:type="dxa"/>
            <w:vMerge w:val="restart"/>
            <w:tcBorders>
              <w:top w:val="nil"/>
              <w:left w:val="single" w:color="000000" w:sz="4" w:space="0"/>
              <w:bottom w:val="nil"/>
              <w:right w:val="single" w:color="000000" w:sz="4" w:space="0"/>
            </w:tcBorders>
            <w:vAlign w:val="center"/>
          </w:tcPr>
          <w:p w14:paraId="55A2F9B7">
            <w:pPr>
              <w:jc w:val="center"/>
              <w:rPr>
                <w:rFonts w:ascii="宋体" w:hAnsi="宋体" w:cs="宋体"/>
                <w:color w:val="auto"/>
                <w:sz w:val="24"/>
                <w:szCs w:val="24"/>
                <w:highlight w:val="none"/>
              </w:rPr>
            </w:pPr>
            <w:r>
              <w:rPr>
                <w:rFonts w:hint="eastAsia" w:ascii="宋体" w:hAnsi="宋体" w:cs="宋体"/>
                <w:color w:val="auto"/>
                <w:sz w:val="24"/>
                <w:szCs w:val="24"/>
                <w:highlight w:val="none"/>
              </w:rPr>
              <w:t>台  账</w:t>
            </w:r>
          </w:p>
        </w:tc>
        <w:tc>
          <w:tcPr>
            <w:tcW w:w="6299" w:type="dxa"/>
            <w:tcBorders>
              <w:top w:val="nil"/>
              <w:left w:val="nil"/>
              <w:bottom w:val="single" w:color="000000" w:sz="4" w:space="0"/>
              <w:right w:val="single" w:color="000000" w:sz="4" w:space="0"/>
            </w:tcBorders>
            <w:vAlign w:val="center"/>
          </w:tcPr>
          <w:p w14:paraId="6852CEE0">
            <w:pPr>
              <w:rPr>
                <w:rFonts w:ascii="宋体" w:hAnsi="宋体" w:cs="宋体"/>
                <w:color w:val="auto"/>
                <w:sz w:val="24"/>
                <w:szCs w:val="24"/>
                <w:highlight w:val="none"/>
              </w:rPr>
            </w:pPr>
            <w:r>
              <w:rPr>
                <w:rFonts w:hint="eastAsia" w:ascii="宋体" w:hAnsi="宋体" w:cs="宋体"/>
                <w:color w:val="auto"/>
                <w:sz w:val="24"/>
                <w:szCs w:val="24"/>
                <w:highlight w:val="none"/>
              </w:rPr>
              <w:t>1.按要求完成月度餐具损耗、蔬菜、肉类、调味料、粮油、米、冻品、每日留样台账等。</w:t>
            </w:r>
          </w:p>
        </w:tc>
        <w:tc>
          <w:tcPr>
            <w:tcW w:w="932" w:type="dxa"/>
            <w:tcBorders>
              <w:top w:val="nil"/>
              <w:left w:val="nil"/>
              <w:bottom w:val="single" w:color="000000" w:sz="4" w:space="0"/>
              <w:right w:val="single" w:color="000000" w:sz="4" w:space="0"/>
            </w:tcBorders>
            <w:vAlign w:val="center"/>
          </w:tcPr>
          <w:p w14:paraId="4BD748B5">
            <w:pPr>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932" w:type="dxa"/>
            <w:tcBorders>
              <w:top w:val="nil"/>
              <w:left w:val="nil"/>
              <w:bottom w:val="single" w:color="000000" w:sz="4" w:space="0"/>
              <w:right w:val="single" w:color="000000" w:sz="4" w:space="0"/>
            </w:tcBorders>
            <w:vAlign w:val="center"/>
          </w:tcPr>
          <w:p w14:paraId="1D0D1FB9">
            <w:pPr>
              <w:jc w:val="center"/>
              <w:rPr>
                <w:rFonts w:ascii="宋体" w:hAnsi="宋体" w:cs="宋体"/>
                <w:color w:val="auto"/>
                <w:sz w:val="24"/>
                <w:szCs w:val="24"/>
                <w:highlight w:val="none"/>
              </w:rPr>
            </w:pPr>
          </w:p>
        </w:tc>
      </w:tr>
      <w:tr w14:paraId="18D9F3CD">
        <w:tblPrEx>
          <w:tblCellMar>
            <w:top w:w="0" w:type="dxa"/>
            <w:left w:w="108" w:type="dxa"/>
            <w:bottom w:w="0" w:type="dxa"/>
            <w:right w:w="108" w:type="dxa"/>
          </w:tblCellMar>
        </w:tblPrEx>
        <w:trPr>
          <w:trHeight w:val="494" w:hRule="atLeast"/>
          <w:jc w:val="center"/>
        </w:trPr>
        <w:tc>
          <w:tcPr>
            <w:tcW w:w="498" w:type="dxa"/>
            <w:vMerge w:val="continue"/>
            <w:tcBorders>
              <w:top w:val="nil"/>
              <w:left w:val="single" w:color="000000" w:sz="4" w:space="0"/>
              <w:bottom w:val="nil"/>
              <w:right w:val="single" w:color="000000" w:sz="4" w:space="0"/>
            </w:tcBorders>
            <w:vAlign w:val="center"/>
          </w:tcPr>
          <w:p w14:paraId="1A78CDF4">
            <w:pPr>
              <w:jc w:val="center"/>
              <w:rPr>
                <w:rFonts w:ascii="宋体" w:hAnsi="宋体" w:cs="宋体"/>
                <w:color w:val="auto"/>
                <w:sz w:val="24"/>
                <w:szCs w:val="24"/>
                <w:highlight w:val="none"/>
              </w:rPr>
            </w:pPr>
          </w:p>
        </w:tc>
        <w:tc>
          <w:tcPr>
            <w:tcW w:w="1295" w:type="dxa"/>
            <w:vMerge w:val="continue"/>
            <w:tcBorders>
              <w:top w:val="nil"/>
              <w:left w:val="single" w:color="000000" w:sz="4" w:space="0"/>
              <w:bottom w:val="nil"/>
              <w:right w:val="single" w:color="000000" w:sz="4" w:space="0"/>
            </w:tcBorders>
            <w:vAlign w:val="center"/>
          </w:tcPr>
          <w:p w14:paraId="2781CE80">
            <w:pPr>
              <w:jc w:val="center"/>
              <w:rPr>
                <w:rFonts w:ascii="宋体" w:hAnsi="宋体" w:cs="宋体"/>
                <w:color w:val="auto"/>
                <w:sz w:val="24"/>
                <w:szCs w:val="24"/>
                <w:highlight w:val="none"/>
              </w:rPr>
            </w:pPr>
          </w:p>
        </w:tc>
        <w:tc>
          <w:tcPr>
            <w:tcW w:w="6299" w:type="dxa"/>
            <w:tcBorders>
              <w:top w:val="nil"/>
              <w:left w:val="nil"/>
              <w:bottom w:val="single" w:color="000000" w:sz="4" w:space="0"/>
              <w:right w:val="single" w:color="000000" w:sz="4" w:space="0"/>
            </w:tcBorders>
            <w:vAlign w:val="center"/>
          </w:tcPr>
          <w:p w14:paraId="39DBDB91">
            <w:pPr>
              <w:rPr>
                <w:rFonts w:ascii="宋体" w:hAnsi="宋体" w:cs="宋体"/>
                <w:color w:val="auto"/>
                <w:sz w:val="24"/>
                <w:szCs w:val="24"/>
                <w:highlight w:val="none"/>
              </w:rPr>
            </w:pPr>
            <w:r>
              <w:rPr>
                <w:rFonts w:hint="eastAsia" w:ascii="宋体" w:hAnsi="宋体" w:cs="宋体"/>
                <w:color w:val="auto"/>
                <w:sz w:val="24"/>
                <w:szCs w:val="24"/>
                <w:highlight w:val="none"/>
              </w:rPr>
              <w:t>2.按要求完成每日员工检测体温台账。</w:t>
            </w:r>
          </w:p>
        </w:tc>
        <w:tc>
          <w:tcPr>
            <w:tcW w:w="932" w:type="dxa"/>
            <w:tcBorders>
              <w:top w:val="nil"/>
              <w:left w:val="nil"/>
              <w:bottom w:val="single" w:color="000000" w:sz="4" w:space="0"/>
              <w:right w:val="single" w:color="000000" w:sz="4" w:space="0"/>
            </w:tcBorders>
            <w:vAlign w:val="center"/>
          </w:tcPr>
          <w:p w14:paraId="42832610">
            <w:pPr>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932" w:type="dxa"/>
            <w:tcBorders>
              <w:top w:val="nil"/>
              <w:left w:val="nil"/>
              <w:bottom w:val="single" w:color="000000" w:sz="4" w:space="0"/>
              <w:right w:val="single" w:color="000000" w:sz="4" w:space="0"/>
            </w:tcBorders>
            <w:vAlign w:val="center"/>
          </w:tcPr>
          <w:p w14:paraId="3C580C3A">
            <w:pPr>
              <w:jc w:val="center"/>
              <w:rPr>
                <w:rFonts w:ascii="宋体" w:hAnsi="宋体" w:cs="宋体"/>
                <w:color w:val="auto"/>
                <w:sz w:val="24"/>
                <w:szCs w:val="24"/>
                <w:highlight w:val="none"/>
              </w:rPr>
            </w:pPr>
          </w:p>
        </w:tc>
      </w:tr>
      <w:tr w14:paraId="7D024FC4">
        <w:tblPrEx>
          <w:tblCellMar>
            <w:top w:w="0" w:type="dxa"/>
            <w:left w:w="108" w:type="dxa"/>
            <w:bottom w:w="0" w:type="dxa"/>
            <w:right w:w="108" w:type="dxa"/>
          </w:tblCellMar>
        </w:tblPrEx>
        <w:trPr>
          <w:trHeight w:val="494" w:hRule="atLeast"/>
          <w:jc w:val="center"/>
        </w:trPr>
        <w:tc>
          <w:tcPr>
            <w:tcW w:w="498" w:type="dxa"/>
            <w:vMerge w:val="continue"/>
            <w:tcBorders>
              <w:top w:val="nil"/>
              <w:left w:val="single" w:color="000000" w:sz="4" w:space="0"/>
              <w:bottom w:val="nil"/>
              <w:right w:val="single" w:color="000000" w:sz="4" w:space="0"/>
            </w:tcBorders>
            <w:vAlign w:val="center"/>
          </w:tcPr>
          <w:p w14:paraId="7C6AB412">
            <w:pPr>
              <w:jc w:val="center"/>
              <w:rPr>
                <w:rFonts w:ascii="宋体" w:hAnsi="宋体" w:cs="宋体"/>
                <w:color w:val="auto"/>
                <w:sz w:val="24"/>
                <w:szCs w:val="24"/>
                <w:highlight w:val="none"/>
              </w:rPr>
            </w:pPr>
          </w:p>
        </w:tc>
        <w:tc>
          <w:tcPr>
            <w:tcW w:w="1295" w:type="dxa"/>
            <w:vMerge w:val="continue"/>
            <w:tcBorders>
              <w:top w:val="nil"/>
              <w:left w:val="single" w:color="000000" w:sz="4" w:space="0"/>
              <w:bottom w:val="nil"/>
              <w:right w:val="single" w:color="000000" w:sz="4" w:space="0"/>
            </w:tcBorders>
            <w:vAlign w:val="center"/>
          </w:tcPr>
          <w:p w14:paraId="248B0403">
            <w:pPr>
              <w:jc w:val="center"/>
              <w:rPr>
                <w:rFonts w:ascii="宋体" w:hAnsi="宋体" w:cs="宋体"/>
                <w:color w:val="auto"/>
                <w:sz w:val="24"/>
                <w:szCs w:val="24"/>
                <w:highlight w:val="none"/>
              </w:rPr>
            </w:pPr>
          </w:p>
        </w:tc>
        <w:tc>
          <w:tcPr>
            <w:tcW w:w="6299" w:type="dxa"/>
            <w:tcBorders>
              <w:top w:val="nil"/>
              <w:left w:val="nil"/>
              <w:bottom w:val="single" w:color="000000" w:sz="4" w:space="0"/>
              <w:right w:val="single" w:color="000000" w:sz="4" w:space="0"/>
            </w:tcBorders>
            <w:vAlign w:val="center"/>
          </w:tcPr>
          <w:p w14:paraId="0425A91B">
            <w:pPr>
              <w:rPr>
                <w:rFonts w:ascii="宋体" w:hAnsi="宋体" w:cs="宋体"/>
                <w:color w:val="auto"/>
                <w:sz w:val="24"/>
                <w:szCs w:val="24"/>
                <w:highlight w:val="none"/>
              </w:rPr>
            </w:pPr>
            <w:r>
              <w:rPr>
                <w:rFonts w:hint="eastAsia" w:ascii="宋体" w:hAnsi="宋体" w:cs="宋体"/>
                <w:color w:val="auto"/>
                <w:sz w:val="24"/>
                <w:szCs w:val="24"/>
                <w:highlight w:val="none"/>
              </w:rPr>
              <w:t>3.按要求完成餐具消毒、餐厅消毒、通风台账等。</w:t>
            </w:r>
          </w:p>
        </w:tc>
        <w:tc>
          <w:tcPr>
            <w:tcW w:w="932" w:type="dxa"/>
            <w:tcBorders>
              <w:top w:val="nil"/>
              <w:left w:val="nil"/>
              <w:bottom w:val="single" w:color="000000" w:sz="4" w:space="0"/>
              <w:right w:val="single" w:color="000000" w:sz="4" w:space="0"/>
            </w:tcBorders>
            <w:vAlign w:val="center"/>
          </w:tcPr>
          <w:p w14:paraId="33D52542">
            <w:pPr>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932" w:type="dxa"/>
            <w:tcBorders>
              <w:top w:val="nil"/>
              <w:left w:val="nil"/>
              <w:bottom w:val="single" w:color="000000" w:sz="4" w:space="0"/>
              <w:right w:val="single" w:color="000000" w:sz="4" w:space="0"/>
            </w:tcBorders>
            <w:vAlign w:val="center"/>
          </w:tcPr>
          <w:p w14:paraId="13033483">
            <w:pPr>
              <w:jc w:val="center"/>
              <w:rPr>
                <w:rFonts w:ascii="宋体" w:hAnsi="宋体" w:cs="宋体"/>
                <w:color w:val="auto"/>
                <w:sz w:val="24"/>
                <w:szCs w:val="24"/>
                <w:highlight w:val="none"/>
              </w:rPr>
            </w:pPr>
          </w:p>
        </w:tc>
      </w:tr>
      <w:tr w14:paraId="156DB114">
        <w:tblPrEx>
          <w:tblCellMar>
            <w:top w:w="0" w:type="dxa"/>
            <w:left w:w="108" w:type="dxa"/>
            <w:bottom w:w="0" w:type="dxa"/>
            <w:right w:w="108" w:type="dxa"/>
          </w:tblCellMar>
        </w:tblPrEx>
        <w:trPr>
          <w:trHeight w:val="494" w:hRule="atLeast"/>
          <w:jc w:val="center"/>
        </w:trPr>
        <w:tc>
          <w:tcPr>
            <w:tcW w:w="498" w:type="dxa"/>
            <w:vMerge w:val="continue"/>
            <w:tcBorders>
              <w:top w:val="nil"/>
              <w:left w:val="single" w:color="000000" w:sz="4" w:space="0"/>
              <w:bottom w:val="nil"/>
              <w:right w:val="single" w:color="000000" w:sz="4" w:space="0"/>
            </w:tcBorders>
            <w:vAlign w:val="center"/>
          </w:tcPr>
          <w:p w14:paraId="5CBB0BA9">
            <w:pPr>
              <w:jc w:val="center"/>
              <w:rPr>
                <w:rFonts w:ascii="宋体" w:hAnsi="宋体" w:cs="宋体"/>
                <w:color w:val="auto"/>
                <w:sz w:val="24"/>
                <w:szCs w:val="24"/>
                <w:highlight w:val="none"/>
              </w:rPr>
            </w:pPr>
          </w:p>
        </w:tc>
        <w:tc>
          <w:tcPr>
            <w:tcW w:w="1295" w:type="dxa"/>
            <w:vMerge w:val="continue"/>
            <w:tcBorders>
              <w:top w:val="nil"/>
              <w:left w:val="single" w:color="000000" w:sz="4" w:space="0"/>
              <w:bottom w:val="nil"/>
              <w:right w:val="single" w:color="000000" w:sz="4" w:space="0"/>
            </w:tcBorders>
            <w:vAlign w:val="center"/>
          </w:tcPr>
          <w:p w14:paraId="0EBB3D2C">
            <w:pPr>
              <w:jc w:val="center"/>
              <w:rPr>
                <w:rFonts w:ascii="宋体" w:hAnsi="宋体" w:cs="宋体"/>
                <w:color w:val="auto"/>
                <w:sz w:val="24"/>
                <w:szCs w:val="24"/>
                <w:highlight w:val="none"/>
              </w:rPr>
            </w:pPr>
          </w:p>
        </w:tc>
        <w:tc>
          <w:tcPr>
            <w:tcW w:w="6299" w:type="dxa"/>
            <w:tcBorders>
              <w:top w:val="nil"/>
              <w:left w:val="nil"/>
              <w:bottom w:val="single" w:color="000000" w:sz="4" w:space="0"/>
              <w:right w:val="single" w:color="000000" w:sz="4" w:space="0"/>
            </w:tcBorders>
            <w:vAlign w:val="center"/>
          </w:tcPr>
          <w:p w14:paraId="40266E3E">
            <w:pPr>
              <w:rPr>
                <w:rFonts w:ascii="宋体" w:hAnsi="宋体" w:cs="宋体"/>
                <w:color w:val="auto"/>
                <w:sz w:val="24"/>
                <w:szCs w:val="24"/>
                <w:highlight w:val="none"/>
              </w:rPr>
            </w:pPr>
            <w:r>
              <w:rPr>
                <w:rFonts w:hint="eastAsia" w:ascii="宋体" w:hAnsi="宋体" w:cs="宋体"/>
                <w:color w:val="auto"/>
                <w:sz w:val="24"/>
                <w:szCs w:val="24"/>
                <w:highlight w:val="none"/>
              </w:rPr>
              <w:t>4.按要求完成安全培训台账。</w:t>
            </w:r>
          </w:p>
        </w:tc>
        <w:tc>
          <w:tcPr>
            <w:tcW w:w="932" w:type="dxa"/>
            <w:tcBorders>
              <w:top w:val="nil"/>
              <w:left w:val="nil"/>
              <w:bottom w:val="single" w:color="000000" w:sz="4" w:space="0"/>
              <w:right w:val="single" w:color="000000" w:sz="4" w:space="0"/>
            </w:tcBorders>
            <w:vAlign w:val="center"/>
          </w:tcPr>
          <w:p w14:paraId="1D600F47">
            <w:pPr>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932" w:type="dxa"/>
            <w:tcBorders>
              <w:top w:val="nil"/>
              <w:left w:val="nil"/>
              <w:bottom w:val="single" w:color="000000" w:sz="4" w:space="0"/>
              <w:right w:val="single" w:color="000000" w:sz="4" w:space="0"/>
            </w:tcBorders>
            <w:vAlign w:val="center"/>
          </w:tcPr>
          <w:p w14:paraId="0936C69A">
            <w:pPr>
              <w:jc w:val="center"/>
              <w:rPr>
                <w:rFonts w:ascii="宋体" w:hAnsi="宋体" w:cs="宋体"/>
                <w:color w:val="auto"/>
                <w:sz w:val="24"/>
                <w:szCs w:val="24"/>
                <w:highlight w:val="none"/>
              </w:rPr>
            </w:pPr>
          </w:p>
        </w:tc>
      </w:tr>
      <w:tr w14:paraId="5559F6D5">
        <w:tblPrEx>
          <w:tblCellMar>
            <w:top w:w="0" w:type="dxa"/>
            <w:left w:w="108" w:type="dxa"/>
            <w:bottom w:w="0" w:type="dxa"/>
            <w:right w:w="108" w:type="dxa"/>
          </w:tblCellMar>
        </w:tblPrEx>
        <w:trPr>
          <w:trHeight w:val="494" w:hRule="atLeast"/>
          <w:jc w:val="center"/>
        </w:trPr>
        <w:tc>
          <w:tcPr>
            <w:tcW w:w="498" w:type="dxa"/>
            <w:vMerge w:val="continue"/>
            <w:tcBorders>
              <w:top w:val="nil"/>
              <w:left w:val="single" w:color="000000" w:sz="4" w:space="0"/>
              <w:bottom w:val="single" w:color="000000" w:sz="4" w:space="0"/>
              <w:right w:val="single" w:color="000000" w:sz="4" w:space="0"/>
            </w:tcBorders>
            <w:vAlign w:val="center"/>
          </w:tcPr>
          <w:p w14:paraId="2C2F0969">
            <w:pPr>
              <w:jc w:val="center"/>
              <w:rPr>
                <w:rFonts w:ascii="宋体" w:hAnsi="宋体" w:cs="宋体"/>
                <w:color w:val="auto"/>
                <w:sz w:val="24"/>
                <w:szCs w:val="24"/>
                <w:highlight w:val="none"/>
              </w:rPr>
            </w:pPr>
          </w:p>
        </w:tc>
        <w:tc>
          <w:tcPr>
            <w:tcW w:w="1295" w:type="dxa"/>
            <w:vMerge w:val="continue"/>
            <w:tcBorders>
              <w:top w:val="nil"/>
              <w:left w:val="single" w:color="000000" w:sz="4" w:space="0"/>
              <w:bottom w:val="single" w:color="000000" w:sz="4" w:space="0"/>
              <w:right w:val="single" w:color="000000" w:sz="4" w:space="0"/>
            </w:tcBorders>
            <w:vAlign w:val="center"/>
          </w:tcPr>
          <w:p w14:paraId="2388BD04">
            <w:pPr>
              <w:jc w:val="center"/>
              <w:rPr>
                <w:rFonts w:ascii="宋体" w:hAnsi="宋体" w:cs="宋体"/>
                <w:color w:val="auto"/>
                <w:sz w:val="24"/>
                <w:szCs w:val="24"/>
                <w:highlight w:val="none"/>
              </w:rPr>
            </w:pPr>
          </w:p>
        </w:tc>
        <w:tc>
          <w:tcPr>
            <w:tcW w:w="6299" w:type="dxa"/>
            <w:tcBorders>
              <w:top w:val="nil"/>
              <w:left w:val="nil"/>
              <w:bottom w:val="single" w:color="000000" w:sz="4" w:space="0"/>
              <w:right w:val="single" w:color="000000" w:sz="4" w:space="0"/>
            </w:tcBorders>
            <w:vAlign w:val="center"/>
          </w:tcPr>
          <w:p w14:paraId="4FC7FAF3">
            <w:pPr>
              <w:rPr>
                <w:rFonts w:ascii="宋体" w:hAnsi="宋体" w:cs="宋体"/>
                <w:color w:val="auto"/>
                <w:sz w:val="24"/>
                <w:szCs w:val="24"/>
                <w:highlight w:val="none"/>
              </w:rPr>
            </w:pPr>
            <w:r>
              <w:rPr>
                <w:rFonts w:hint="eastAsia" w:ascii="宋体" w:hAnsi="宋体" w:cs="宋体"/>
                <w:color w:val="auto"/>
                <w:sz w:val="24"/>
                <w:szCs w:val="24"/>
                <w:highlight w:val="none"/>
              </w:rPr>
              <w:t>5.按要求完成上下班打卡记录。</w:t>
            </w:r>
          </w:p>
        </w:tc>
        <w:tc>
          <w:tcPr>
            <w:tcW w:w="932" w:type="dxa"/>
            <w:tcBorders>
              <w:top w:val="nil"/>
              <w:left w:val="nil"/>
              <w:bottom w:val="single" w:color="000000" w:sz="4" w:space="0"/>
              <w:right w:val="single" w:color="000000" w:sz="4" w:space="0"/>
            </w:tcBorders>
            <w:vAlign w:val="center"/>
          </w:tcPr>
          <w:p w14:paraId="45F31478">
            <w:pPr>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932" w:type="dxa"/>
            <w:tcBorders>
              <w:top w:val="nil"/>
              <w:left w:val="nil"/>
              <w:bottom w:val="single" w:color="000000" w:sz="4" w:space="0"/>
              <w:right w:val="single" w:color="000000" w:sz="4" w:space="0"/>
            </w:tcBorders>
            <w:vAlign w:val="center"/>
          </w:tcPr>
          <w:p w14:paraId="1965116B">
            <w:pPr>
              <w:jc w:val="center"/>
              <w:rPr>
                <w:rFonts w:ascii="宋体" w:hAnsi="宋体" w:cs="宋体"/>
                <w:color w:val="auto"/>
                <w:sz w:val="24"/>
                <w:szCs w:val="24"/>
                <w:highlight w:val="none"/>
              </w:rPr>
            </w:pPr>
          </w:p>
        </w:tc>
      </w:tr>
      <w:tr w14:paraId="44538DF1">
        <w:tblPrEx>
          <w:tblCellMar>
            <w:top w:w="0" w:type="dxa"/>
            <w:left w:w="108" w:type="dxa"/>
            <w:bottom w:w="0" w:type="dxa"/>
            <w:right w:w="108" w:type="dxa"/>
          </w:tblCellMar>
        </w:tblPrEx>
        <w:trPr>
          <w:trHeight w:val="494" w:hRule="atLeast"/>
          <w:jc w:val="center"/>
        </w:trPr>
        <w:tc>
          <w:tcPr>
            <w:tcW w:w="498" w:type="dxa"/>
            <w:tcBorders>
              <w:top w:val="nil"/>
              <w:left w:val="single" w:color="000000" w:sz="4" w:space="0"/>
              <w:bottom w:val="single" w:color="000000" w:sz="4" w:space="0"/>
              <w:right w:val="single" w:color="000000" w:sz="4" w:space="0"/>
            </w:tcBorders>
            <w:vAlign w:val="center"/>
          </w:tcPr>
          <w:p w14:paraId="775F35B9">
            <w:pPr>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295" w:type="dxa"/>
            <w:tcBorders>
              <w:top w:val="nil"/>
              <w:left w:val="single" w:color="000000" w:sz="4" w:space="0"/>
              <w:bottom w:val="single" w:color="000000" w:sz="4" w:space="0"/>
              <w:right w:val="single" w:color="000000" w:sz="4" w:space="0"/>
            </w:tcBorders>
            <w:vAlign w:val="center"/>
          </w:tcPr>
          <w:p w14:paraId="1A9CED13">
            <w:pPr>
              <w:jc w:val="center"/>
              <w:rPr>
                <w:rFonts w:ascii="宋体" w:hAnsi="宋体" w:cs="宋体"/>
                <w:color w:val="auto"/>
                <w:sz w:val="24"/>
                <w:szCs w:val="24"/>
                <w:highlight w:val="none"/>
              </w:rPr>
            </w:pPr>
            <w:r>
              <w:rPr>
                <w:rFonts w:hint="eastAsia" w:ascii="宋体" w:hAnsi="宋体" w:cs="宋体"/>
                <w:color w:val="auto"/>
                <w:sz w:val="24"/>
                <w:szCs w:val="24"/>
                <w:highlight w:val="none"/>
              </w:rPr>
              <w:t>菜品质量</w:t>
            </w:r>
          </w:p>
        </w:tc>
        <w:tc>
          <w:tcPr>
            <w:tcW w:w="6299" w:type="dxa"/>
            <w:tcBorders>
              <w:top w:val="nil"/>
              <w:left w:val="nil"/>
              <w:bottom w:val="single" w:color="000000" w:sz="4" w:space="0"/>
              <w:right w:val="single" w:color="000000" w:sz="4" w:space="0"/>
            </w:tcBorders>
            <w:vAlign w:val="center"/>
          </w:tcPr>
          <w:p w14:paraId="113FB6EA">
            <w:pPr>
              <w:rPr>
                <w:rFonts w:ascii="宋体" w:hAnsi="宋体" w:cs="宋体"/>
                <w:color w:val="auto"/>
                <w:sz w:val="24"/>
                <w:szCs w:val="24"/>
                <w:highlight w:val="none"/>
              </w:rPr>
            </w:pPr>
            <w:r>
              <w:rPr>
                <w:rFonts w:hint="eastAsia" w:ascii="宋体" w:hAnsi="宋体" w:cs="宋体"/>
                <w:color w:val="auto"/>
                <w:sz w:val="24"/>
                <w:szCs w:val="24"/>
                <w:highlight w:val="none"/>
              </w:rPr>
              <w:t>原则上按照菜单出菜，不随意更改菜品。</w:t>
            </w:r>
          </w:p>
        </w:tc>
        <w:tc>
          <w:tcPr>
            <w:tcW w:w="932" w:type="dxa"/>
            <w:tcBorders>
              <w:top w:val="nil"/>
              <w:left w:val="nil"/>
              <w:bottom w:val="single" w:color="000000" w:sz="4" w:space="0"/>
              <w:right w:val="single" w:color="000000" w:sz="4" w:space="0"/>
            </w:tcBorders>
            <w:vAlign w:val="center"/>
          </w:tcPr>
          <w:p w14:paraId="5458EDA6">
            <w:pPr>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932" w:type="dxa"/>
            <w:tcBorders>
              <w:top w:val="nil"/>
              <w:left w:val="nil"/>
              <w:bottom w:val="single" w:color="000000" w:sz="4" w:space="0"/>
              <w:right w:val="single" w:color="000000" w:sz="4" w:space="0"/>
            </w:tcBorders>
            <w:vAlign w:val="center"/>
          </w:tcPr>
          <w:p w14:paraId="72A1CD72">
            <w:pPr>
              <w:jc w:val="center"/>
              <w:rPr>
                <w:rFonts w:ascii="宋体" w:hAnsi="宋体" w:cs="宋体"/>
                <w:color w:val="auto"/>
                <w:sz w:val="24"/>
                <w:szCs w:val="24"/>
                <w:highlight w:val="none"/>
              </w:rPr>
            </w:pPr>
          </w:p>
        </w:tc>
      </w:tr>
      <w:tr w14:paraId="79041A18">
        <w:tblPrEx>
          <w:tblCellMar>
            <w:top w:w="0" w:type="dxa"/>
            <w:left w:w="108" w:type="dxa"/>
            <w:bottom w:w="0" w:type="dxa"/>
            <w:right w:w="108" w:type="dxa"/>
          </w:tblCellMar>
        </w:tblPrEx>
        <w:trPr>
          <w:trHeight w:val="494" w:hRule="atLeast"/>
          <w:jc w:val="center"/>
        </w:trPr>
        <w:tc>
          <w:tcPr>
            <w:tcW w:w="498" w:type="dxa"/>
            <w:vMerge w:val="restart"/>
            <w:tcBorders>
              <w:top w:val="nil"/>
              <w:left w:val="single" w:color="000000" w:sz="4" w:space="0"/>
              <w:bottom w:val="nil"/>
              <w:right w:val="single" w:color="000000" w:sz="4" w:space="0"/>
            </w:tcBorders>
            <w:vAlign w:val="center"/>
          </w:tcPr>
          <w:p w14:paraId="54793662">
            <w:pPr>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1295" w:type="dxa"/>
            <w:vMerge w:val="restart"/>
            <w:tcBorders>
              <w:top w:val="nil"/>
              <w:left w:val="single" w:color="000000" w:sz="4" w:space="0"/>
              <w:bottom w:val="nil"/>
              <w:right w:val="single" w:color="000000" w:sz="4" w:space="0"/>
            </w:tcBorders>
            <w:vAlign w:val="center"/>
          </w:tcPr>
          <w:p w14:paraId="492833A7">
            <w:pPr>
              <w:rPr>
                <w:rFonts w:ascii="宋体" w:hAnsi="宋体" w:cs="宋体"/>
                <w:color w:val="auto"/>
                <w:sz w:val="24"/>
                <w:szCs w:val="24"/>
                <w:highlight w:val="none"/>
              </w:rPr>
            </w:pPr>
            <w:r>
              <w:rPr>
                <w:rFonts w:hint="eastAsia" w:ascii="宋体" w:hAnsi="宋体" w:cs="宋体"/>
                <w:color w:val="auto"/>
                <w:sz w:val="24"/>
                <w:szCs w:val="24"/>
                <w:highlight w:val="none"/>
              </w:rPr>
              <w:t>员工个人清洁卫生</w:t>
            </w:r>
          </w:p>
        </w:tc>
        <w:tc>
          <w:tcPr>
            <w:tcW w:w="6299" w:type="dxa"/>
            <w:tcBorders>
              <w:top w:val="nil"/>
              <w:left w:val="nil"/>
              <w:bottom w:val="single" w:color="000000" w:sz="4" w:space="0"/>
              <w:right w:val="single" w:color="000000" w:sz="4" w:space="0"/>
            </w:tcBorders>
            <w:vAlign w:val="center"/>
          </w:tcPr>
          <w:p w14:paraId="265276A5">
            <w:pPr>
              <w:rPr>
                <w:rFonts w:ascii="宋体" w:hAnsi="宋体" w:cs="宋体"/>
                <w:color w:val="auto"/>
                <w:sz w:val="24"/>
                <w:szCs w:val="24"/>
                <w:highlight w:val="none"/>
              </w:rPr>
            </w:pPr>
            <w:r>
              <w:rPr>
                <w:rFonts w:hint="eastAsia" w:ascii="宋体" w:hAnsi="宋体" w:cs="宋体"/>
                <w:color w:val="auto"/>
                <w:sz w:val="24"/>
                <w:szCs w:val="24"/>
                <w:highlight w:val="none"/>
              </w:rPr>
              <w:t>1.员工不得留长指甲、不得涂指甲油，上班期间不得戴首饰。</w:t>
            </w:r>
          </w:p>
        </w:tc>
        <w:tc>
          <w:tcPr>
            <w:tcW w:w="932" w:type="dxa"/>
            <w:tcBorders>
              <w:top w:val="nil"/>
              <w:left w:val="nil"/>
              <w:bottom w:val="single" w:color="000000" w:sz="4" w:space="0"/>
              <w:right w:val="single" w:color="000000" w:sz="4" w:space="0"/>
            </w:tcBorders>
            <w:vAlign w:val="center"/>
          </w:tcPr>
          <w:p w14:paraId="449E5DC6">
            <w:pPr>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932" w:type="dxa"/>
            <w:tcBorders>
              <w:top w:val="nil"/>
              <w:left w:val="nil"/>
              <w:bottom w:val="single" w:color="000000" w:sz="4" w:space="0"/>
              <w:right w:val="single" w:color="000000" w:sz="4" w:space="0"/>
            </w:tcBorders>
            <w:vAlign w:val="center"/>
          </w:tcPr>
          <w:p w14:paraId="0A8059DD">
            <w:pPr>
              <w:jc w:val="center"/>
              <w:rPr>
                <w:rFonts w:ascii="宋体" w:hAnsi="宋体" w:cs="宋体"/>
                <w:color w:val="auto"/>
                <w:sz w:val="24"/>
                <w:szCs w:val="24"/>
                <w:highlight w:val="none"/>
              </w:rPr>
            </w:pPr>
          </w:p>
        </w:tc>
      </w:tr>
      <w:tr w14:paraId="29F63E8E">
        <w:tblPrEx>
          <w:tblCellMar>
            <w:top w:w="0" w:type="dxa"/>
            <w:left w:w="108" w:type="dxa"/>
            <w:bottom w:w="0" w:type="dxa"/>
            <w:right w:w="108" w:type="dxa"/>
          </w:tblCellMar>
        </w:tblPrEx>
        <w:trPr>
          <w:trHeight w:val="494" w:hRule="atLeast"/>
          <w:jc w:val="center"/>
        </w:trPr>
        <w:tc>
          <w:tcPr>
            <w:tcW w:w="498" w:type="dxa"/>
            <w:vMerge w:val="continue"/>
            <w:tcBorders>
              <w:top w:val="nil"/>
              <w:left w:val="single" w:color="000000" w:sz="4" w:space="0"/>
              <w:bottom w:val="nil"/>
              <w:right w:val="single" w:color="000000" w:sz="4" w:space="0"/>
            </w:tcBorders>
            <w:vAlign w:val="center"/>
          </w:tcPr>
          <w:p w14:paraId="2D6A0E5F">
            <w:pPr>
              <w:jc w:val="center"/>
              <w:rPr>
                <w:rFonts w:ascii="宋体" w:hAnsi="宋体" w:cs="宋体"/>
                <w:color w:val="auto"/>
                <w:sz w:val="24"/>
                <w:szCs w:val="24"/>
                <w:highlight w:val="none"/>
              </w:rPr>
            </w:pPr>
          </w:p>
        </w:tc>
        <w:tc>
          <w:tcPr>
            <w:tcW w:w="1295" w:type="dxa"/>
            <w:vMerge w:val="continue"/>
            <w:tcBorders>
              <w:top w:val="nil"/>
              <w:left w:val="single" w:color="000000" w:sz="4" w:space="0"/>
              <w:bottom w:val="nil"/>
              <w:right w:val="single" w:color="000000" w:sz="4" w:space="0"/>
            </w:tcBorders>
            <w:vAlign w:val="center"/>
          </w:tcPr>
          <w:p w14:paraId="58B60B88">
            <w:pPr>
              <w:jc w:val="center"/>
              <w:rPr>
                <w:rFonts w:ascii="宋体" w:hAnsi="宋体" w:cs="宋体"/>
                <w:color w:val="auto"/>
                <w:sz w:val="24"/>
                <w:szCs w:val="24"/>
                <w:highlight w:val="none"/>
              </w:rPr>
            </w:pPr>
          </w:p>
        </w:tc>
        <w:tc>
          <w:tcPr>
            <w:tcW w:w="6299" w:type="dxa"/>
            <w:tcBorders>
              <w:top w:val="nil"/>
              <w:left w:val="nil"/>
              <w:bottom w:val="single" w:color="000000" w:sz="4" w:space="0"/>
              <w:right w:val="single" w:color="000000" w:sz="4" w:space="0"/>
            </w:tcBorders>
            <w:vAlign w:val="center"/>
          </w:tcPr>
          <w:p w14:paraId="5AE54303">
            <w:pPr>
              <w:rPr>
                <w:rFonts w:ascii="宋体" w:hAnsi="宋体" w:cs="宋体"/>
                <w:color w:val="auto"/>
                <w:sz w:val="24"/>
                <w:szCs w:val="24"/>
                <w:highlight w:val="none"/>
              </w:rPr>
            </w:pPr>
            <w:r>
              <w:rPr>
                <w:rFonts w:hint="eastAsia" w:ascii="宋体" w:hAnsi="宋体" w:cs="宋体"/>
                <w:color w:val="auto"/>
                <w:sz w:val="24"/>
                <w:szCs w:val="24"/>
                <w:highlight w:val="none"/>
              </w:rPr>
              <w:t>2.工作时要统一穿工作服，工作服要保持清洁平整。</w:t>
            </w:r>
          </w:p>
        </w:tc>
        <w:tc>
          <w:tcPr>
            <w:tcW w:w="932" w:type="dxa"/>
            <w:tcBorders>
              <w:top w:val="nil"/>
              <w:left w:val="nil"/>
              <w:bottom w:val="single" w:color="000000" w:sz="4" w:space="0"/>
              <w:right w:val="single" w:color="000000" w:sz="4" w:space="0"/>
            </w:tcBorders>
            <w:vAlign w:val="center"/>
          </w:tcPr>
          <w:p w14:paraId="2848A56E">
            <w:pPr>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932" w:type="dxa"/>
            <w:tcBorders>
              <w:top w:val="nil"/>
              <w:left w:val="nil"/>
              <w:bottom w:val="single" w:color="000000" w:sz="4" w:space="0"/>
              <w:right w:val="single" w:color="000000" w:sz="4" w:space="0"/>
            </w:tcBorders>
            <w:vAlign w:val="center"/>
          </w:tcPr>
          <w:p w14:paraId="05FF308D">
            <w:pPr>
              <w:jc w:val="center"/>
              <w:rPr>
                <w:rFonts w:ascii="宋体" w:hAnsi="宋体" w:cs="宋体"/>
                <w:color w:val="auto"/>
                <w:sz w:val="24"/>
                <w:szCs w:val="24"/>
                <w:highlight w:val="none"/>
              </w:rPr>
            </w:pPr>
          </w:p>
        </w:tc>
      </w:tr>
      <w:tr w14:paraId="450AB810">
        <w:tblPrEx>
          <w:tblCellMar>
            <w:top w:w="0" w:type="dxa"/>
            <w:left w:w="108" w:type="dxa"/>
            <w:bottom w:w="0" w:type="dxa"/>
            <w:right w:w="108" w:type="dxa"/>
          </w:tblCellMar>
        </w:tblPrEx>
        <w:trPr>
          <w:trHeight w:val="494" w:hRule="atLeast"/>
          <w:jc w:val="center"/>
        </w:trPr>
        <w:tc>
          <w:tcPr>
            <w:tcW w:w="498" w:type="dxa"/>
            <w:vMerge w:val="continue"/>
            <w:tcBorders>
              <w:top w:val="nil"/>
              <w:left w:val="single" w:color="000000" w:sz="4" w:space="0"/>
              <w:bottom w:val="single" w:color="000000" w:sz="4" w:space="0"/>
              <w:right w:val="single" w:color="000000" w:sz="4" w:space="0"/>
            </w:tcBorders>
            <w:vAlign w:val="center"/>
          </w:tcPr>
          <w:p w14:paraId="66CAA34D">
            <w:pPr>
              <w:jc w:val="center"/>
              <w:rPr>
                <w:rFonts w:ascii="宋体" w:hAnsi="宋体" w:cs="宋体"/>
                <w:color w:val="auto"/>
                <w:sz w:val="24"/>
                <w:szCs w:val="24"/>
                <w:highlight w:val="none"/>
              </w:rPr>
            </w:pPr>
          </w:p>
        </w:tc>
        <w:tc>
          <w:tcPr>
            <w:tcW w:w="1295" w:type="dxa"/>
            <w:vMerge w:val="continue"/>
            <w:tcBorders>
              <w:top w:val="nil"/>
              <w:left w:val="single" w:color="000000" w:sz="4" w:space="0"/>
              <w:bottom w:val="single" w:color="000000" w:sz="4" w:space="0"/>
              <w:right w:val="single" w:color="000000" w:sz="4" w:space="0"/>
            </w:tcBorders>
            <w:vAlign w:val="center"/>
          </w:tcPr>
          <w:p w14:paraId="06E7B963">
            <w:pPr>
              <w:jc w:val="center"/>
              <w:rPr>
                <w:rFonts w:ascii="宋体" w:hAnsi="宋体" w:cs="宋体"/>
                <w:color w:val="auto"/>
                <w:sz w:val="24"/>
                <w:szCs w:val="24"/>
                <w:highlight w:val="none"/>
              </w:rPr>
            </w:pPr>
          </w:p>
        </w:tc>
        <w:tc>
          <w:tcPr>
            <w:tcW w:w="6299" w:type="dxa"/>
            <w:tcBorders>
              <w:top w:val="nil"/>
              <w:left w:val="nil"/>
              <w:bottom w:val="single" w:color="000000" w:sz="4" w:space="0"/>
              <w:right w:val="single" w:color="000000" w:sz="4" w:space="0"/>
            </w:tcBorders>
            <w:vAlign w:val="center"/>
          </w:tcPr>
          <w:p w14:paraId="02BFBA79">
            <w:pPr>
              <w:rPr>
                <w:rFonts w:ascii="宋体" w:hAnsi="宋体" w:cs="宋体"/>
                <w:color w:val="auto"/>
                <w:sz w:val="24"/>
                <w:szCs w:val="24"/>
                <w:highlight w:val="none"/>
              </w:rPr>
            </w:pPr>
            <w:r>
              <w:rPr>
                <w:rFonts w:hint="eastAsia" w:ascii="宋体" w:hAnsi="宋体" w:cs="宋体"/>
                <w:color w:val="auto"/>
                <w:sz w:val="24"/>
                <w:szCs w:val="24"/>
                <w:highlight w:val="none"/>
              </w:rPr>
              <w:t>3.员工每天使用一次性手套、口罩。上班期间戴工作帽、穿安全防滑鞋。</w:t>
            </w:r>
          </w:p>
        </w:tc>
        <w:tc>
          <w:tcPr>
            <w:tcW w:w="932" w:type="dxa"/>
            <w:tcBorders>
              <w:top w:val="nil"/>
              <w:left w:val="nil"/>
              <w:bottom w:val="single" w:color="000000" w:sz="4" w:space="0"/>
              <w:right w:val="single" w:color="000000" w:sz="4" w:space="0"/>
            </w:tcBorders>
            <w:vAlign w:val="center"/>
          </w:tcPr>
          <w:p w14:paraId="10616D95">
            <w:pPr>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932" w:type="dxa"/>
            <w:tcBorders>
              <w:top w:val="nil"/>
              <w:left w:val="nil"/>
              <w:bottom w:val="single" w:color="000000" w:sz="4" w:space="0"/>
              <w:right w:val="single" w:color="000000" w:sz="4" w:space="0"/>
            </w:tcBorders>
            <w:vAlign w:val="center"/>
          </w:tcPr>
          <w:p w14:paraId="04B59466">
            <w:pPr>
              <w:jc w:val="center"/>
              <w:rPr>
                <w:rFonts w:ascii="宋体" w:hAnsi="宋体" w:cs="宋体"/>
                <w:color w:val="auto"/>
                <w:sz w:val="24"/>
                <w:szCs w:val="24"/>
                <w:highlight w:val="none"/>
              </w:rPr>
            </w:pPr>
          </w:p>
        </w:tc>
      </w:tr>
      <w:tr w14:paraId="3F537C1F">
        <w:tblPrEx>
          <w:tblCellMar>
            <w:top w:w="0" w:type="dxa"/>
            <w:left w:w="108" w:type="dxa"/>
            <w:bottom w:w="0" w:type="dxa"/>
            <w:right w:w="108" w:type="dxa"/>
          </w:tblCellMar>
        </w:tblPrEx>
        <w:trPr>
          <w:trHeight w:val="489" w:hRule="atLeast"/>
          <w:jc w:val="center"/>
        </w:trPr>
        <w:tc>
          <w:tcPr>
            <w:tcW w:w="498" w:type="dxa"/>
            <w:vMerge w:val="restart"/>
            <w:tcBorders>
              <w:top w:val="nil"/>
              <w:left w:val="single" w:color="000000" w:sz="4" w:space="0"/>
              <w:bottom w:val="nil"/>
              <w:right w:val="single" w:color="000000" w:sz="4" w:space="0"/>
            </w:tcBorders>
            <w:vAlign w:val="center"/>
          </w:tcPr>
          <w:p w14:paraId="474421B1">
            <w:pPr>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1295" w:type="dxa"/>
            <w:vMerge w:val="restart"/>
            <w:tcBorders>
              <w:top w:val="nil"/>
              <w:left w:val="single" w:color="000000" w:sz="4" w:space="0"/>
              <w:bottom w:val="nil"/>
              <w:right w:val="single" w:color="000000" w:sz="4" w:space="0"/>
            </w:tcBorders>
            <w:vAlign w:val="center"/>
          </w:tcPr>
          <w:p w14:paraId="1BCD6203">
            <w:pPr>
              <w:jc w:val="center"/>
              <w:rPr>
                <w:rFonts w:ascii="宋体" w:hAnsi="宋体" w:cs="宋体"/>
                <w:color w:val="auto"/>
                <w:sz w:val="24"/>
                <w:szCs w:val="24"/>
                <w:highlight w:val="none"/>
              </w:rPr>
            </w:pPr>
            <w:r>
              <w:rPr>
                <w:rFonts w:hint="eastAsia" w:ascii="宋体" w:hAnsi="宋体" w:cs="宋体"/>
                <w:color w:val="auto"/>
                <w:sz w:val="24"/>
                <w:szCs w:val="24"/>
                <w:highlight w:val="none"/>
              </w:rPr>
              <w:t>饭堂</w:t>
            </w:r>
          </w:p>
          <w:p w14:paraId="3135D758">
            <w:pPr>
              <w:jc w:val="center"/>
              <w:rPr>
                <w:rFonts w:ascii="宋体" w:hAnsi="宋体" w:cs="宋体"/>
                <w:color w:val="auto"/>
                <w:sz w:val="24"/>
                <w:szCs w:val="24"/>
                <w:highlight w:val="none"/>
              </w:rPr>
            </w:pPr>
            <w:r>
              <w:rPr>
                <w:rFonts w:hint="eastAsia" w:ascii="宋体" w:hAnsi="宋体" w:cs="宋体"/>
                <w:color w:val="auto"/>
                <w:sz w:val="24"/>
                <w:szCs w:val="24"/>
                <w:highlight w:val="none"/>
              </w:rPr>
              <w:t>后厨间</w:t>
            </w:r>
          </w:p>
        </w:tc>
        <w:tc>
          <w:tcPr>
            <w:tcW w:w="6299" w:type="dxa"/>
            <w:tcBorders>
              <w:top w:val="nil"/>
              <w:left w:val="nil"/>
              <w:bottom w:val="single" w:color="000000" w:sz="4" w:space="0"/>
              <w:right w:val="single" w:color="000000" w:sz="4" w:space="0"/>
            </w:tcBorders>
            <w:vAlign w:val="center"/>
          </w:tcPr>
          <w:p w14:paraId="79932508">
            <w:pPr>
              <w:rPr>
                <w:rFonts w:ascii="宋体" w:hAnsi="宋体" w:cs="宋体"/>
                <w:color w:val="auto"/>
                <w:sz w:val="24"/>
                <w:szCs w:val="24"/>
                <w:highlight w:val="none"/>
              </w:rPr>
            </w:pPr>
            <w:r>
              <w:rPr>
                <w:rFonts w:hint="eastAsia" w:ascii="宋体" w:hAnsi="宋体" w:cs="宋体"/>
                <w:color w:val="auto"/>
                <w:sz w:val="24"/>
                <w:szCs w:val="24"/>
                <w:highlight w:val="none"/>
              </w:rPr>
              <w:t>1.地板干净卫生、无油垢、食物残渣、水渍，菜品不在地上摆放。</w:t>
            </w:r>
          </w:p>
        </w:tc>
        <w:tc>
          <w:tcPr>
            <w:tcW w:w="932" w:type="dxa"/>
            <w:tcBorders>
              <w:top w:val="nil"/>
              <w:left w:val="nil"/>
              <w:bottom w:val="single" w:color="000000" w:sz="4" w:space="0"/>
              <w:right w:val="single" w:color="000000" w:sz="4" w:space="0"/>
            </w:tcBorders>
            <w:vAlign w:val="center"/>
          </w:tcPr>
          <w:p w14:paraId="1D008A7C">
            <w:pPr>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932" w:type="dxa"/>
            <w:tcBorders>
              <w:top w:val="nil"/>
              <w:left w:val="nil"/>
              <w:bottom w:val="single" w:color="000000" w:sz="4" w:space="0"/>
              <w:right w:val="single" w:color="000000" w:sz="4" w:space="0"/>
            </w:tcBorders>
            <w:vAlign w:val="center"/>
          </w:tcPr>
          <w:p w14:paraId="38CD8426">
            <w:pPr>
              <w:jc w:val="center"/>
              <w:rPr>
                <w:rFonts w:ascii="宋体" w:hAnsi="宋体" w:cs="宋体"/>
                <w:color w:val="auto"/>
                <w:sz w:val="24"/>
                <w:szCs w:val="24"/>
                <w:highlight w:val="none"/>
              </w:rPr>
            </w:pPr>
          </w:p>
        </w:tc>
      </w:tr>
      <w:tr w14:paraId="4EAF915F">
        <w:tblPrEx>
          <w:tblCellMar>
            <w:top w:w="0" w:type="dxa"/>
            <w:left w:w="108" w:type="dxa"/>
            <w:bottom w:w="0" w:type="dxa"/>
            <w:right w:w="108" w:type="dxa"/>
          </w:tblCellMar>
        </w:tblPrEx>
        <w:trPr>
          <w:trHeight w:val="494" w:hRule="atLeast"/>
          <w:jc w:val="center"/>
        </w:trPr>
        <w:tc>
          <w:tcPr>
            <w:tcW w:w="498" w:type="dxa"/>
            <w:vMerge w:val="continue"/>
            <w:tcBorders>
              <w:top w:val="nil"/>
              <w:left w:val="single" w:color="000000" w:sz="4" w:space="0"/>
              <w:bottom w:val="nil"/>
              <w:right w:val="single" w:color="000000" w:sz="4" w:space="0"/>
            </w:tcBorders>
            <w:vAlign w:val="center"/>
          </w:tcPr>
          <w:p w14:paraId="00CD94B2">
            <w:pPr>
              <w:jc w:val="center"/>
              <w:rPr>
                <w:rFonts w:ascii="宋体" w:hAnsi="宋体" w:cs="宋体"/>
                <w:color w:val="auto"/>
                <w:sz w:val="24"/>
                <w:szCs w:val="24"/>
                <w:highlight w:val="none"/>
              </w:rPr>
            </w:pPr>
          </w:p>
        </w:tc>
        <w:tc>
          <w:tcPr>
            <w:tcW w:w="1295" w:type="dxa"/>
            <w:vMerge w:val="continue"/>
            <w:tcBorders>
              <w:top w:val="nil"/>
              <w:left w:val="single" w:color="000000" w:sz="4" w:space="0"/>
              <w:bottom w:val="nil"/>
              <w:right w:val="single" w:color="000000" w:sz="4" w:space="0"/>
            </w:tcBorders>
            <w:vAlign w:val="center"/>
          </w:tcPr>
          <w:p w14:paraId="69CE2590">
            <w:pPr>
              <w:jc w:val="center"/>
              <w:rPr>
                <w:rFonts w:ascii="宋体" w:hAnsi="宋体" w:cs="宋体"/>
                <w:color w:val="auto"/>
                <w:sz w:val="24"/>
                <w:szCs w:val="24"/>
                <w:highlight w:val="none"/>
              </w:rPr>
            </w:pPr>
          </w:p>
        </w:tc>
        <w:tc>
          <w:tcPr>
            <w:tcW w:w="6299" w:type="dxa"/>
            <w:tcBorders>
              <w:top w:val="nil"/>
              <w:left w:val="nil"/>
              <w:bottom w:val="single" w:color="000000" w:sz="4" w:space="0"/>
              <w:right w:val="single" w:color="000000" w:sz="4" w:space="0"/>
            </w:tcBorders>
            <w:vAlign w:val="center"/>
          </w:tcPr>
          <w:p w14:paraId="2483E84C">
            <w:pPr>
              <w:rPr>
                <w:rFonts w:ascii="宋体" w:hAnsi="宋体" w:cs="宋体"/>
                <w:color w:val="auto"/>
                <w:sz w:val="24"/>
                <w:szCs w:val="24"/>
                <w:highlight w:val="none"/>
              </w:rPr>
            </w:pPr>
            <w:r>
              <w:rPr>
                <w:rFonts w:hint="eastAsia" w:ascii="宋体" w:hAnsi="宋体" w:cs="宋体"/>
                <w:color w:val="auto"/>
                <w:sz w:val="24"/>
                <w:szCs w:val="24"/>
                <w:highlight w:val="none"/>
              </w:rPr>
              <w:t>2.灭蝇灯正常使用，周围区域无死蝇虫。</w:t>
            </w:r>
          </w:p>
        </w:tc>
        <w:tc>
          <w:tcPr>
            <w:tcW w:w="932" w:type="dxa"/>
            <w:tcBorders>
              <w:top w:val="nil"/>
              <w:left w:val="nil"/>
              <w:bottom w:val="single" w:color="000000" w:sz="4" w:space="0"/>
              <w:right w:val="single" w:color="000000" w:sz="4" w:space="0"/>
            </w:tcBorders>
            <w:vAlign w:val="center"/>
          </w:tcPr>
          <w:p w14:paraId="73736886">
            <w:pPr>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932" w:type="dxa"/>
            <w:tcBorders>
              <w:top w:val="nil"/>
              <w:left w:val="nil"/>
              <w:bottom w:val="single" w:color="000000" w:sz="4" w:space="0"/>
              <w:right w:val="single" w:color="000000" w:sz="4" w:space="0"/>
            </w:tcBorders>
            <w:vAlign w:val="center"/>
          </w:tcPr>
          <w:p w14:paraId="2D7DD05F">
            <w:pPr>
              <w:jc w:val="center"/>
              <w:rPr>
                <w:rFonts w:ascii="宋体" w:hAnsi="宋体" w:cs="宋体"/>
                <w:color w:val="auto"/>
                <w:sz w:val="24"/>
                <w:szCs w:val="24"/>
                <w:highlight w:val="none"/>
              </w:rPr>
            </w:pPr>
          </w:p>
        </w:tc>
      </w:tr>
      <w:tr w14:paraId="18333BCA">
        <w:tblPrEx>
          <w:tblCellMar>
            <w:top w:w="0" w:type="dxa"/>
            <w:left w:w="108" w:type="dxa"/>
            <w:bottom w:w="0" w:type="dxa"/>
            <w:right w:w="108" w:type="dxa"/>
          </w:tblCellMar>
        </w:tblPrEx>
        <w:trPr>
          <w:trHeight w:val="366" w:hRule="atLeast"/>
          <w:jc w:val="center"/>
        </w:trPr>
        <w:tc>
          <w:tcPr>
            <w:tcW w:w="498" w:type="dxa"/>
            <w:vMerge w:val="continue"/>
            <w:tcBorders>
              <w:top w:val="nil"/>
              <w:left w:val="single" w:color="000000" w:sz="4" w:space="0"/>
              <w:bottom w:val="nil"/>
              <w:right w:val="single" w:color="000000" w:sz="4" w:space="0"/>
            </w:tcBorders>
            <w:vAlign w:val="center"/>
          </w:tcPr>
          <w:p w14:paraId="4068C094">
            <w:pPr>
              <w:jc w:val="center"/>
              <w:rPr>
                <w:rFonts w:ascii="宋体" w:hAnsi="宋体" w:cs="宋体"/>
                <w:color w:val="auto"/>
                <w:sz w:val="24"/>
                <w:szCs w:val="24"/>
                <w:highlight w:val="none"/>
              </w:rPr>
            </w:pPr>
          </w:p>
        </w:tc>
        <w:tc>
          <w:tcPr>
            <w:tcW w:w="1295" w:type="dxa"/>
            <w:vMerge w:val="continue"/>
            <w:tcBorders>
              <w:top w:val="nil"/>
              <w:left w:val="single" w:color="000000" w:sz="4" w:space="0"/>
              <w:bottom w:val="nil"/>
              <w:right w:val="single" w:color="000000" w:sz="4" w:space="0"/>
            </w:tcBorders>
            <w:vAlign w:val="center"/>
          </w:tcPr>
          <w:p w14:paraId="0DB0CA28">
            <w:pPr>
              <w:jc w:val="center"/>
              <w:rPr>
                <w:rFonts w:ascii="宋体" w:hAnsi="宋体" w:cs="宋体"/>
                <w:color w:val="auto"/>
                <w:sz w:val="24"/>
                <w:szCs w:val="24"/>
                <w:highlight w:val="none"/>
              </w:rPr>
            </w:pPr>
          </w:p>
        </w:tc>
        <w:tc>
          <w:tcPr>
            <w:tcW w:w="6299" w:type="dxa"/>
            <w:tcBorders>
              <w:top w:val="nil"/>
              <w:left w:val="nil"/>
              <w:bottom w:val="single" w:color="000000" w:sz="4" w:space="0"/>
              <w:right w:val="single" w:color="000000" w:sz="4" w:space="0"/>
            </w:tcBorders>
            <w:vAlign w:val="center"/>
          </w:tcPr>
          <w:p w14:paraId="52481295">
            <w:pPr>
              <w:rPr>
                <w:rFonts w:ascii="宋体" w:hAnsi="宋体" w:cs="宋体"/>
                <w:color w:val="auto"/>
                <w:sz w:val="24"/>
                <w:szCs w:val="24"/>
                <w:highlight w:val="none"/>
              </w:rPr>
            </w:pPr>
            <w:r>
              <w:rPr>
                <w:rFonts w:hint="eastAsia" w:ascii="宋体" w:hAnsi="宋体" w:cs="宋体"/>
                <w:color w:val="auto"/>
                <w:sz w:val="24"/>
                <w:szCs w:val="24"/>
                <w:highlight w:val="none"/>
              </w:rPr>
              <w:t>3.墙面、天花板不得积尘、长霉，不得有蜘蛛网。</w:t>
            </w:r>
          </w:p>
        </w:tc>
        <w:tc>
          <w:tcPr>
            <w:tcW w:w="932" w:type="dxa"/>
            <w:tcBorders>
              <w:top w:val="nil"/>
              <w:left w:val="nil"/>
              <w:bottom w:val="single" w:color="000000" w:sz="4" w:space="0"/>
              <w:right w:val="single" w:color="000000" w:sz="4" w:space="0"/>
            </w:tcBorders>
            <w:vAlign w:val="center"/>
          </w:tcPr>
          <w:p w14:paraId="31FDC4DB">
            <w:pPr>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932" w:type="dxa"/>
            <w:tcBorders>
              <w:top w:val="nil"/>
              <w:left w:val="nil"/>
              <w:bottom w:val="single" w:color="000000" w:sz="4" w:space="0"/>
              <w:right w:val="single" w:color="000000" w:sz="4" w:space="0"/>
            </w:tcBorders>
            <w:vAlign w:val="center"/>
          </w:tcPr>
          <w:p w14:paraId="6F75E085">
            <w:pPr>
              <w:jc w:val="center"/>
              <w:rPr>
                <w:rFonts w:ascii="宋体" w:hAnsi="宋体" w:cs="宋体"/>
                <w:color w:val="auto"/>
                <w:sz w:val="24"/>
                <w:szCs w:val="24"/>
                <w:highlight w:val="none"/>
              </w:rPr>
            </w:pPr>
          </w:p>
        </w:tc>
      </w:tr>
      <w:tr w14:paraId="3515DDBE">
        <w:tblPrEx>
          <w:tblCellMar>
            <w:top w:w="0" w:type="dxa"/>
            <w:left w:w="108" w:type="dxa"/>
            <w:bottom w:w="0" w:type="dxa"/>
            <w:right w:w="108" w:type="dxa"/>
          </w:tblCellMar>
        </w:tblPrEx>
        <w:trPr>
          <w:trHeight w:val="494" w:hRule="atLeast"/>
          <w:jc w:val="center"/>
        </w:trPr>
        <w:tc>
          <w:tcPr>
            <w:tcW w:w="498" w:type="dxa"/>
            <w:vMerge w:val="continue"/>
            <w:tcBorders>
              <w:top w:val="nil"/>
              <w:left w:val="single" w:color="000000" w:sz="4" w:space="0"/>
              <w:bottom w:val="nil"/>
              <w:right w:val="single" w:color="000000" w:sz="4" w:space="0"/>
            </w:tcBorders>
            <w:vAlign w:val="center"/>
          </w:tcPr>
          <w:p w14:paraId="00897666">
            <w:pPr>
              <w:jc w:val="center"/>
              <w:rPr>
                <w:rFonts w:ascii="宋体" w:hAnsi="宋体" w:cs="宋体"/>
                <w:color w:val="auto"/>
                <w:sz w:val="24"/>
                <w:szCs w:val="24"/>
                <w:highlight w:val="none"/>
              </w:rPr>
            </w:pPr>
          </w:p>
        </w:tc>
        <w:tc>
          <w:tcPr>
            <w:tcW w:w="1295" w:type="dxa"/>
            <w:vMerge w:val="continue"/>
            <w:tcBorders>
              <w:top w:val="nil"/>
              <w:left w:val="single" w:color="000000" w:sz="4" w:space="0"/>
              <w:bottom w:val="nil"/>
              <w:right w:val="single" w:color="000000" w:sz="4" w:space="0"/>
            </w:tcBorders>
            <w:vAlign w:val="center"/>
          </w:tcPr>
          <w:p w14:paraId="348FDB81">
            <w:pPr>
              <w:jc w:val="center"/>
              <w:rPr>
                <w:rFonts w:ascii="宋体" w:hAnsi="宋体" w:cs="宋体"/>
                <w:color w:val="auto"/>
                <w:sz w:val="24"/>
                <w:szCs w:val="24"/>
                <w:highlight w:val="none"/>
              </w:rPr>
            </w:pPr>
          </w:p>
        </w:tc>
        <w:tc>
          <w:tcPr>
            <w:tcW w:w="6299" w:type="dxa"/>
            <w:tcBorders>
              <w:top w:val="nil"/>
              <w:left w:val="nil"/>
              <w:bottom w:val="single" w:color="000000" w:sz="4" w:space="0"/>
              <w:right w:val="single" w:color="000000" w:sz="4" w:space="0"/>
            </w:tcBorders>
            <w:vAlign w:val="center"/>
          </w:tcPr>
          <w:p w14:paraId="0DE4C367">
            <w:pPr>
              <w:rPr>
                <w:rFonts w:ascii="宋体" w:hAnsi="宋体" w:cs="宋体"/>
                <w:color w:val="auto"/>
                <w:sz w:val="24"/>
                <w:szCs w:val="24"/>
                <w:highlight w:val="none"/>
              </w:rPr>
            </w:pPr>
            <w:r>
              <w:rPr>
                <w:rFonts w:hint="eastAsia" w:ascii="宋体" w:hAnsi="宋体" w:cs="宋体"/>
                <w:color w:val="auto"/>
                <w:sz w:val="24"/>
                <w:szCs w:val="24"/>
                <w:highlight w:val="none"/>
              </w:rPr>
              <w:t>4.空调定期擦拭不得有灰尘、污渍和蜘蛛网。所有开关干净无油渍。</w:t>
            </w:r>
          </w:p>
        </w:tc>
        <w:tc>
          <w:tcPr>
            <w:tcW w:w="932" w:type="dxa"/>
            <w:tcBorders>
              <w:top w:val="nil"/>
              <w:left w:val="nil"/>
              <w:bottom w:val="single" w:color="000000" w:sz="4" w:space="0"/>
              <w:right w:val="single" w:color="000000" w:sz="4" w:space="0"/>
            </w:tcBorders>
            <w:vAlign w:val="center"/>
          </w:tcPr>
          <w:p w14:paraId="1C28F5BD">
            <w:pPr>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932" w:type="dxa"/>
            <w:tcBorders>
              <w:top w:val="nil"/>
              <w:left w:val="nil"/>
              <w:bottom w:val="single" w:color="000000" w:sz="4" w:space="0"/>
              <w:right w:val="single" w:color="000000" w:sz="4" w:space="0"/>
            </w:tcBorders>
            <w:vAlign w:val="center"/>
          </w:tcPr>
          <w:p w14:paraId="6A680F0A">
            <w:pPr>
              <w:jc w:val="center"/>
              <w:rPr>
                <w:rFonts w:ascii="宋体" w:hAnsi="宋体" w:cs="宋体"/>
                <w:color w:val="auto"/>
                <w:sz w:val="24"/>
                <w:szCs w:val="24"/>
                <w:highlight w:val="none"/>
              </w:rPr>
            </w:pPr>
          </w:p>
        </w:tc>
      </w:tr>
      <w:tr w14:paraId="65EF3236">
        <w:tblPrEx>
          <w:tblCellMar>
            <w:top w:w="0" w:type="dxa"/>
            <w:left w:w="108" w:type="dxa"/>
            <w:bottom w:w="0" w:type="dxa"/>
            <w:right w:w="108" w:type="dxa"/>
          </w:tblCellMar>
        </w:tblPrEx>
        <w:trPr>
          <w:trHeight w:val="494" w:hRule="atLeast"/>
          <w:jc w:val="center"/>
        </w:trPr>
        <w:tc>
          <w:tcPr>
            <w:tcW w:w="498" w:type="dxa"/>
            <w:vMerge w:val="continue"/>
            <w:tcBorders>
              <w:top w:val="nil"/>
              <w:left w:val="single" w:color="000000" w:sz="4" w:space="0"/>
              <w:bottom w:val="single" w:color="000000" w:sz="4" w:space="0"/>
              <w:right w:val="single" w:color="000000" w:sz="4" w:space="0"/>
            </w:tcBorders>
            <w:vAlign w:val="center"/>
          </w:tcPr>
          <w:p w14:paraId="22E8A1C9">
            <w:pPr>
              <w:jc w:val="center"/>
              <w:rPr>
                <w:rFonts w:ascii="宋体" w:hAnsi="宋体" w:cs="宋体"/>
                <w:color w:val="auto"/>
                <w:sz w:val="24"/>
                <w:szCs w:val="24"/>
                <w:highlight w:val="none"/>
              </w:rPr>
            </w:pPr>
          </w:p>
        </w:tc>
        <w:tc>
          <w:tcPr>
            <w:tcW w:w="1295" w:type="dxa"/>
            <w:vMerge w:val="continue"/>
            <w:tcBorders>
              <w:top w:val="nil"/>
              <w:left w:val="single" w:color="000000" w:sz="4" w:space="0"/>
              <w:bottom w:val="single" w:color="000000" w:sz="4" w:space="0"/>
              <w:right w:val="single" w:color="000000" w:sz="4" w:space="0"/>
            </w:tcBorders>
            <w:vAlign w:val="center"/>
          </w:tcPr>
          <w:p w14:paraId="519354BD">
            <w:pPr>
              <w:jc w:val="center"/>
              <w:rPr>
                <w:rFonts w:ascii="宋体" w:hAnsi="宋体" w:cs="宋体"/>
                <w:color w:val="auto"/>
                <w:sz w:val="24"/>
                <w:szCs w:val="24"/>
                <w:highlight w:val="none"/>
              </w:rPr>
            </w:pPr>
          </w:p>
        </w:tc>
        <w:tc>
          <w:tcPr>
            <w:tcW w:w="6299" w:type="dxa"/>
            <w:tcBorders>
              <w:top w:val="nil"/>
              <w:left w:val="nil"/>
              <w:bottom w:val="single" w:color="000000" w:sz="4" w:space="0"/>
              <w:right w:val="single" w:color="000000" w:sz="4" w:space="0"/>
            </w:tcBorders>
            <w:vAlign w:val="center"/>
          </w:tcPr>
          <w:p w14:paraId="1C26C3C2">
            <w:pPr>
              <w:rPr>
                <w:rFonts w:ascii="宋体" w:hAnsi="宋体" w:cs="宋体"/>
                <w:color w:val="auto"/>
                <w:sz w:val="24"/>
                <w:szCs w:val="24"/>
                <w:highlight w:val="none"/>
              </w:rPr>
            </w:pPr>
            <w:r>
              <w:rPr>
                <w:rFonts w:hint="eastAsia" w:ascii="宋体" w:hAnsi="宋体" w:cs="宋体"/>
                <w:color w:val="auto"/>
                <w:sz w:val="24"/>
                <w:szCs w:val="24"/>
                <w:highlight w:val="none"/>
              </w:rPr>
              <w:t>5.食堂内所有的桌椅、案台、售饭窗口等必须保持干净无积垢。</w:t>
            </w:r>
          </w:p>
        </w:tc>
        <w:tc>
          <w:tcPr>
            <w:tcW w:w="932" w:type="dxa"/>
            <w:tcBorders>
              <w:top w:val="nil"/>
              <w:left w:val="nil"/>
              <w:bottom w:val="single" w:color="000000" w:sz="4" w:space="0"/>
              <w:right w:val="single" w:color="000000" w:sz="4" w:space="0"/>
            </w:tcBorders>
            <w:vAlign w:val="center"/>
          </w:tcPr>
          <w:p w14:paraId="1630AEF0">
            <w:pPr>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932" w:type="dxa"/>
            <w:tcBorders>
              <w:top w:val="nil"/>
              <w:left w:val="nil"/>
              <w:bottom w:val="single" w:color="000000" w:sz="4" w:space="0"/>
              <w:right w:val="single" w:color="000000" w:sz="4" w:space="0"/>
            </w:tcBorders>
            <w:vAlign w:val="center"/>
          </w:tcPr>
          <w:p w14:paraId="64B3EF46">
            <w:pPr>
              <w:jc w:val="center"/>
              <w:rPr>
                <w:rFonts w:ascii="宋体" w:hAnsi="宋体" w:cs="宋体"/>
                <w:color w:val="auto"/>
                <w:sz w:val="24"/>
                <w:szCs w:val="24"/>
                <w:highlight w:val="none"/>
              </w:rPr>
            </w:pPr>
          </w:p>
        </w:tc>
      </w:tr>
      <w:tr w14:paraId="37839D23">
        <w:tblPrEx>
          <w:tblCellMar>
            <w:top w:w="0" w:type="dxa"/>
            <w:left w:w="108" w:type="dxa"/>
            <w:bottom w:w="0" w:type="dxa"/>
            <w:right w:w="108" w:type="dxa"/>
          </w:tblCellMar>
        </w:tblPrEx>
        <w:trPr>
          <w:trHeight w:val="494" w:hRule="atLeast"/>
          <w:jc w:val="center"/>
        </w:trPr>
        <w:tc>
          <w:tcPr>
            <w:tcW w:w="498" w:type="dxa"/>
            <w:vMerge w:val="restart"/>
            <w:tcBorders>
              <w:top w:val="nil"/>
              <w:left w:val="single" w:color="000000" w:sz="4" w:space="0"/>
              <w:bottom w:val="nil"/>
              <w:right w:val="single" w:color="000000" w:sz="4" w:space="0"/>
            </w:tcBorders>
            <w:vAlign w:val="center"/>
          </w:tcPr>
          <w:p w14:paraId="24661D08">
            <w:pPr>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1295" w:type="dxa"/>
            <w:vMerge w:val="restart"/>
            <w:tcBorders>
              <w:top w:val="nil"/>
              <w:left w:val="single" w:color="000000" w:sz="4" w:space="0"/>
              <w:bottom w:val="nil"/>
              <w:right w:val="single" w:color="000000" w:sz="4" w:space="0"/>
            </w:tcBorders>
            <w:vAlign w:val="center"/>
          </w:tcPr>
          <w:p w14:paraId="7C748675">
            <w:pPr>
              <w:jc w:val="center"/>
              <w:rPr>
                <w:rFonts w:ascii="宋体" w:hAnsi="宋体" w:cs="宋体"/>
                <w:color w:val="auto"/>
                <w:sz w:val="24"/>
                <w:szCs w:val="24"/>
                <w:highlight w:val="none"/>
              </w:rPr>
            </w:pPr>
            <w:r>
              <w:rPr>
                <w:rFonts w:hint="eastAsia" w:ascii="宋体" w:hAnsi="宋体" w:cs="宋体"/>
                <w:color w:val="auto"/>
                <w:sz w:val="24"/>
                <w:szCs w:val="24"/>
                <w:highlight w:val="none"/>
              </w:rPr>
              <w:t>备餐间</w:t>
            </w:r>
          </w:p>
        </w:tc>
        <w:tc>
          <w:tcPr>
            <w:tcW w:w="6299" w:type="dxa"/>
            <w:tcBorders>
              <w:top w:val="nil"/>
              <w:left w:val="nil"/>
              <w:bottom w:val="single" w:color="000000" w:sz="4" w:space="0"/>
              <w:right w:val="single" w:color="000000" w:sz="4" w:space="0"/>
            </w:tcBorders>
            <w:vAlign w:val="center"/>
          </w:tcPr>
          <w:p w14:paraId="1D572C72">
            <w:pPr>
              <w:rPr>
                <w:rFonts w:ascii="宋体" w:hAnsi="宋体" w:cs="宋体"/>
                <w:color w:val="auto"/>
                <w:sz w:val="24"/>
                <w:szCs w:val="24"/>
                <w:highlight w:val="none"/>
              </w:rPr>
            </w:pPr>
            <w:r>
              <w:rPr>
                <w:rFonts w:hint="eastAsia" w:ascii="宋体" w:hAnsi="宋体" w:cs="宋体"/>
                <w:color w:val="auto"/>
                <w:sz w:val="24"/>
                <w:szCs w:val="24"/>
                <w:highlight w:val="none"/>
              </w:rPr>
              <w:t>1.备餐间不能放置任何杂物，桌面、地面应保持干净清洁。</w:t>
            </w:r>
          </w:p>
        </w:tc>
        <w:tc>
          <w:tcPr>
            <w:tcW w:w="932" w:type="dxa"/>
            <w:tcBorders>
              <w:top w:val="nil"/>
              <w:left w:val="nil"/>
              <w:bottom w:val="single" w:color="000000" w:sz="4" w:space="0"/>
              <w:right w:val="single" w:color="000000" w:sz="4" w:space="0"/>
            </w:tcBorders>
            <w:vAlign w:val="center"/>
          </w:tcPr>
          <w:p w14:paraId="3450C14B">
            <w:pPr>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932" w:type="dxa"/>
            <w:tcBorders>
              <w:top w:val="nil"/>
              <w:left w:val="nil"/>
              <w:bottom w:val="single" w:color="000000" w:sz="4" w:space="0"/>
              <w:right w:val="single" w:color="000000" w:sz="4" w:space="0"/>
            </w:tcBorders>
            <w:vAlign w:val="center"/>
          </w:tcPr>
          <w:p w14:paraId="191436B6">
            <w:pPr>
              <w:jc w:val="center"/>
              <w:rPr>
                <w:rFonts w:ascii="宋体" w:hAnsi="宋体" w:cs="宋体"/>
                <w:color w:val="auto"/>
                <w:sz w:val="24"/>
                <w:szCs w:val="24"/>
                <w:highlight w:val="none"/>
              </w:rPr>
            </w:pPr>
          </w:p>
        </w:tc>
      </w:tr>
      <w:tr w14:paraId="78CFE184">
        <w:tblPrEx>
          <w:tblCellMar>
            <w:top w:w="0" w:type="dxa"/>
            <w:left w:w="108" w:type="dxa"/>
            <w:bottom w:w="0" w:type="dxa"/>
            <w:right w:w="108" w:type="dxa"/>
          </w:tblCellMar>
        </w:tblPrEx>
        <w:trPr>
          <w:trHeight w:val="494" w:hRule="atLeast"/>
          <w:jc w:val="center"/>
        </w:trPr>
        <w:tc>
          <w:tcPr>
            <w:tcW w:w="498" w:type="dxa"/>
            <w:vMerge w:val="continue"/>
            <w:tcBorders>
              <w:top w:val="nil"/>
              <w:left w:val="single" w:color="000000" w:sz="4" w:space="0"/>
              <w:bottom w:val="nil"/>
              <w:right w:val="single" w:color="000000" w:sz="4" w:space="0"/>
            </w:tcBorders>
            <w:vAlign w:val="center"/>
          </w:tcPr>
          <w:p w14:paraId="4F302A52">
            <w:pPr>
              <w:jc w:val="center"/>
              <w:rPr>
                <w:rFonts w:ascii="宋体" w:hAnsi="宋体" w:cs="宋体"/>
                <w:color w:val="auto"/>
                <w:sz w:val="24"/>
                <w:szCs w:val="24"/>
                <w:highlight w:val="none"/>
              </w:rPr>
            </w:pPr>
          </w:p>
        </w:tc>
        <w:tc>
          <w:tcPr>
            <w:tcW w:w="1295" w:type="dxa"/>
            <w:vMerge w:val="continue"/>
            <w:tcBorders>
              <w:top w:val="nil"/>
              <w:left w:val="single" w:color="000000" w:sz="4" w:space="0"/>
              <w:bottom w:val="nil"/>
              <w:right w:val="single" w:color="000000" w:sz="4" w:space="0"/>
            </w:tcBorders>
            <w:vAlign w:val="center"/>
          </w:tcPr>
          <w:p w14:paraId="05D46721">
            <w:pPr>
              <w:jc w:val="center"/>
              <w:rPr>
                <w:rFonts w:ascii="宋体" w:hAnsi="宋体" w:cs="宋体"/>
                <w:color w:val="auto"/>
                <w:sz w:val="24"/>
                <w:szCs w:val="24"/>
                <w:highlight w:val="none"/>
              </w:rPr>
            </w:pPr>
          </w:p>
        </w:tc>
        <w:tc>
          <w:tcPr>
            <w:tcW w:w="6299" w:type="dxa"/>
            <w:tcBorders>
              <w:top w:val="nil"/>
              <w:left w:val="nil"/>
              <w:bottom w:val="single" w:color="000000" w:sz="4" w:space="0"/>
              <w:right w:val="single" w:color="000000" w:sz="4" w:space="0"/>
            </w:tcBorders>
            <w:vAlign w:val="center"/>
          </w:tcPr>
          <w:p w14:paraId="40852093">
            <w:pPr>
              <w:rPr>
                <w:rFonts w:ascii="宋体" w:hAnsi="宋体" w:cs="宋体"/>
                <w:color w:val="auto"/>
                <w:sz w:val="24"/>
                <w:szCs w:val="24"/>
                <w:highlight w:val="none"/>
              </w:rPr>
            </w:pPr>
            <w:r>
              <w:rPr>
                <w:rFonts w:hint="eastAsia" w:ascii="宋体" w:hAnsi="宋体" w:cs="宋体"/>
                <w:color w:val="auto"/>
                <w:sz w:val="24"/>
                <w:szCs w:val="24"/>
                <w:highlight w:val="none"/>
              </w:rPr>
              <w:t>2.进入备餐间工作时要先对手部进行清洁消毒，二次更衣并佩戴一次性手套等。</w:t>
            </w:r>
          </w:p>
        </w:tc>
        <w:tc>
          <w:tcPr>
            <w:tcW w:w="932" w:type="dxa"/>
            <w:tcBorders>
              <w:top w:val="nil"/>
              <w:left w:val="nil"/>
              <w:bottom w:val="single" w:color="000000" w:sz="4" w:space="0"/>
              <w:right w:val="single" w:color="000000" w:sz="4" w:space="0"/>
            </w:tcBorders>
            <w:vAlign w:val="center"/>
          </w:tcPr>
          <w:p w14:paraId="4E3F7B19">
            <w:pPr>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932" w:type="dxa"/>
            <w:tcBorders>
              <w:top w:val="nil"/>
              <w:left w:val="nil"/>
              <w:bottom w:val="single" w:color="000000" w:sz="4" w:space="0"/>
              <w:right w:val="single" w:color="000000" w:sz="4" w:space="0"/>
            </w:tcBorders>
            <w:vAlign w:val="center"/>
          </w:tcPr>
          <w:p w14:paraId="746243CC">
            <w:pPr>
              <w:jc w:val="center"/>
              <w:rPr>
                <w:rFonts w:ascii="宋体" w:hAnsi="宋体" w:cs="宋体"/>
                <w:color w:val="auto"/>
                <w:sz w:val="24"/>
                <w:szCs w:val="24"/>
                <w:highlight w:val="none"/>
              </w:rPr>
            </w:pPr>
          </w:p>
        </w:tc>
      </w:tr>
      <w:tr w14:paraId="2ADADB46">
        <w:tblPrEx>
          <w:tblCellMar>
            <w:top w:w="0" w:type="dxa"/>
            <w:left w:w="108" w:type="dxa"/>
            <w:bottom w:w="0" w:type="dxa"/>
            <w:right w:w="108" w:type="dxa"/>
          </w:tblCellMar>
        </w:tblPrEx>
        <w:trPr>
          <w:trHeight w:val="552" w:hRule="atLeast"/>
          <w:jc w:val="center"/>
        </w:trPr>
        <w:tc>
          <w:tcPr>
            <w:tcW w:w="498" w:type="dxa"/>
            <w:vMerge w:val="continue"/>
            <w:tcBorders>
              <w:top w:val="nil"/>
              <w:left w:val="single" w:color="000000" w:sz="4" w:space="0"/>
              <w:bottom w:val="nil"/>
              <w:right w:val="single" w:color="000000" w:sz="4" w:space="0"/>
            </w:tcBorders>
            <w:vAlign w:val="center"/>
          </w:tcPr>
          <w:p w14:paraId="5A0B8142">
            <w:pPr>
              <w:jc w:val="center"/>
              <w:rPr>
                <w:rFonts w:ascii="宋体" w:hAnsi="宋体" w:cs="宋体"/>
                <w:color w:val="auto"/>
                <w:sz w:val="24"/>
                <w:szCs w:val="24"/>
                <w:highlight w:val="none"/>
              </w:rPr>
            </w:pPr>
          </w:p>
        </w:tc>
        <w:tc>
          <w:tcPr>
            <w:tcW w:w="1295" w:type="dxa"/>
            <w:vMerge w:val="continue"/>
            <w:tcBorders>
              <w:top w:val="nil"/>
              <w:left w:val="single" w:color="000000" w:sz="4" w:space="0"/>
              <w:bottom w:val="nil"/>
              <w:right w:val="single" w:color="000000" w:sz="4" w:space="0"/>
            </w:tcBorders>
            <w:vAlign w:val="center"/>
          </w:tcPr>
          <w:p w14:paraId="066AA802">
            <w:pPr>
              <w:jc w:val="center"/>
              <w:rPr>
                <w:rFonts w:ascii="宋体" w:hAnsi="宋体" w:cs="宋体"/>
                <w:color w:val="auto"/>
                <w:sz w:val="24"/>
                <w:szCs w:val="24"/>
                <w:highlight w:val="none"/>
              </w:rPr>
            </w:pPr>
          </w:p>
        </w:tc>
        <w:tc>
          <w:tcPr>
            <w:tcW w:w="6299" w:type="dxa"/>
            <w:tcBorders>
              <w:top w:val="nil"/>
              <w:left w:val="nil"/>
              <w:bottom w:val="single" w:color="000000" w:sz="4" w:space="0"/>
              <w:right w:val="single" w:color="000000" w:sz="4" w:space="0"/>
            </w:tcBorders>
            <w:vAlign w:val="center"/>
          </w:tcPr>
          <w:p w14:paraId="44BBFED6">
            <w:pPr>
              <w:rPr>
                <w:rFonts w:ascii="宋体" w:hAnsi="宋体" w:cs="宋体"/>
                <w:color w:val="auto"/>
                <w:sz w:val="24"/>
                <w:szCs w:val="24"/>
                <w:highlight w:val="none"/>
              </w:rPr>
            </w:pPr>
            <w:r>
              <w:rPr>
                <w:rFonts w:hint="eastAsia" w:ascii="宋体" w:hAnsi="宋体" w:cs="宋体"/>
                <w:color w:val="auto"/>
                <w:sz w:val="24"/>
                <w:szCs w:val="24"/>
                <w:highlight w:val="none"/>
              </w:rPr>
              <w:t>3.售饭时备餐间应配备专用抹布和专用消毒水，以用于售饭过程中擦手和浸泡抹布。</w:t>
            </w:r>
          </w:p>
        </w:tc>
        <w:tc>
          <w:tcPr>
            <w:tcW w:w="932" w:type="dxa"/>
            <w:tcBorders>
              <w:top w:val="nil"/>
              <w:left w:val="nil"/>
              <w:bottom w:val="single" w:color="000000" w:sz="4" w:space="0"/>
              <w:right w:val="single" w:color="000000" w:sz="4" w:space="0"/>
            </w:tcBorders>
            <w:vAlign w:val="center"/>
          </w:tcPr>
          <w:p w14:paraId="7B2C34BA">
            <w:pPr>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932" w:type="dxa"/>
            <w:tcBorders>
              <w:top w:val="nil"/>
              <w:left w:val="nil"/>
              <w:bottom w:val="single" w:color="000000" w:sz="4" w:space="0"/>
              <w:right w:val="single" w:color="000000" w:sz="4" w:space="0"/>
            </w:tcBorders>
            <w:vAlign w:val="center"/>
          </w:tcPr>
          <w:p w14:paraId="69EFAD5E">
            <w:pPr>
              <w:jc w:val="center"/>
              <w:rPr>
                <w:rFonts w:ascii="宋体" w:hAnsi="宋体" w:cs="宋体"/>
                <w:color w:val="auto"/>
                <w:sz w:val="24"/>
                <w:szCs w:val="24"/>
                <w:highlight w:val="none"/>
              </w:rPr>
            </w:pPr>
          </w:p>
        </w:tc>
      </w:tr>
      <w:tr w14:paraId="7928D6EF">
        <w:tblPrEx>
          <w:tblCellMar>
            <w:top w:w="0" w:type="dxa"/>
            <w:left w:w="108" w:type="dxa"/>
            <w:bottom w:w="0" w:type="dxa"/>
            <w:right w:w="108" w:type="dxa"/>
          </w:tblCellMar>
        </w:tblPrEx>
        <w:trPr>
          <w:trHeight w:val="391" w:hRule="atLeast"/>
          <w:jc w:val="center"/>
        </w:trPr>
        <w:tc>
          <w:tcPr>
            <w:tcW w:w="498" w:type="dxa"/>
            <w:vMerge w:val="continue"/>
            <w:tcBorders>
              <w:top w:val="nil"/>
              <w:left w:val="single" w:color="000000" w:sz="4" w:space="0"/>
              <w:bottom w:val="single" w:color="000000" w:sz="4" w:space="0"/>
              <w:right w:val="single" w:color="000000" w:sz="4" w:space="0"/>
            </w:tcBorders>
            <w:vAlign w:val="center"/>
          </w:tcPr>
          <w:p w14:paraId="291AC407">
            <w:pPr>
              <w:jc w:val="center"/>
              <w:rPr>
                <w:rFonts w:ascii="宋体" w:hAnsi="宋体" w:cs="宋体"/>
                <w:color w:val="auto"/>
                <w:sz w:val="24"/>
                <w:szCs w:val="24"/>
                <w:highlight w:val="none"/>
              </w:rPr>
            </w:pPr>
          </w:p>
        </w:tc>
        <w:tc>
          <w:tcPr>
            <w:tcW w:w="1295" w:type="dxa"/>
            <w:vMerge w:val="continue"/>
            <w:tcBorders>
              <w:top w:val="nil"/>
              <w:left w:val="single" w:color="000000" w:sz="4" w:space="0"/>
              <w:bottom w:val="single" w:color="000000" w:sz="4" w:space="0"/>
              <w:right w:val="single" w:color="000000" w:sz="4" w:space="0"/>
            </w:tcBorders>
            <w:vAlign w:val="center"/>
          </w:tcPr>
          <w:p w14:paraId="02DF11D8">
            <w:pPr>
              <w:jc w:val="center"/>
              <w:rPr>
                <w:rFonts w:ascii="宋体" w:hAnsi="宋体" w:cs="宋体"/>
                <w:color w:val="auto"/>
                <w:sz w:val="24"/>
                <w:szCs w:val="24"/>
                <w:highlight w:val="none"/>
              </w:rPr>
            </w:pPr>
          </w:p>
        </w:tc>
        <w:tc>
          <w:tcPr>
            <w:tcW w:w="6299" w:type="dxa"/>
            <w:tcBorders>
              <w:top w:val="nil"/>
              <w:left w:val="nil"/>
              <w:bottom w:val="single" w:color="000000" w:sz="4" w:space="0"/>
              <w:right w:val="single" w:color="000000" w:sz="4" w:space="0"/>
            </w:tcBorders>
            <w:vAlign w:val="center"/>
          </w:tcPr>
          <w:p w14:paraId="42BC4204">
            <w:pPr>
              <w:rPr>
                <w:rFonts w:ascii="宋体" w:hAnsi="宋体" w:cs="宋体"/>
                <w:color w:val="auto"/>
                <w:sz w:val="24"/>
                <w:szCs w:val="24"/>
                <w:highlight w:val="none"/>
              </w:rPr>
            </w:pPr>
            <w:r>
              <w:rPr>
                <w:rFonts w:hint="eastAsia" w:ascii="宋体" w:hAnsi="宋体" w:cs="宋体"/>
                <w:color w:val="auto"/>
                <w:sz w:val="24"/>
                <w:szCs w:val="24"/>
                <w:highlight w:val="none"/>
              </w:rPr>
              <w:t>4.售饭时保持玻璃门关闭，不开启。</w:t>
            </w:r>
          </w:p>
        </w:tc>
        <w:tc>
          <w:tcPr>
            <w:tcW w:w="932" w:type="dxa"/>
            <w:tcBorders>
              <w:top w:val="nil"/>
              <w:left w:val="nil"/>
              <w:bottom w:val="single" w:color="000000" w:sz="4" w:space="0"/>
              <w:right w:val="single" w:color="000000" w:sz="4" w:space="0"/>
            </w:tcBorders>
            <w:vAlign w:val="center"/>
          </w:tcPr>
          <w:p w14:paraId="4B3D7649">
            <w:pPr>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932" w:type="dxa"/>
            <w:tcBorders>
              <w:top w:val="nil"/>
              <w:left w:val="nil"/>
              <w:bottom w:val="single" w:color="000000" w:sz="4" w:space="0"/>
              <w:right w:val="single" w:color="000000" w:sz="4" w:space="0"/>
            </w:tcBorders>
            <w:vAlign w:val="center"/>
          </w:tcPr>
          <w:p w14:paraId="0FEFAF68">
            <w:pPr>
              <w:jc w:val="center"/>
              <w:rPr>
                <w:rFonts w:ascii="宋体" w:hAnsi="宋体" w:cs="宋体"/>
                <w:color w:val="auto"/>
                <w:sz w:val="24"/>
                <w:szCs w:val="24"/>
                <w:highlight w:val="none"/>
              </w:rPr>
            </w:pPr>
          </w:p>
        </w:tc>
      </w:tr>
      <w:tr w14:paraId="1DEFB719">
        <w:tblPrEx>
          <w:tblCellMar>
            <w:top w:w="0" w:type="dxa"/>
            <w:left w:w="108" w:type="dxa"/>
            <w:bottom w:w="0" w:type="dxa"/>
            <w:right w:w="108" w:type="dxa"/>
          </w:tblCellMar>
        </w:tblPrEx>
        <w:trPr>
          <w:trHeight w:val="435" w:hRule="atLeast"/>
          <w:jc w:val="center"/>
        </w:trPr>
        <w:tc>
          <w:tcPr>
            <w:tcW w:w="498" w:type="dxa"/>
            <w:vMerge w:val="restart"/>
            <w:tcBorders>
              <w:top w:val="nil"/>
              <w:left w:val="single" w:color="000000" w:sz="4" w:space="0"/>
              <w:bottom w:val="nil"/>
              <w:right w:val="single" w:color="000000" w:sz="4" w:space="0"/>
            </w:tcBorders>
            <w:vAlign w:val="center"/>
          </w:tcPr>
          <w:p w14:paraId="2ECA8AD5">
            <w:pPr>
              <w:jc w:val="center"/>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1295" w:type="dxa"/>
            <w:vMerge w:val="restart"/>
            <w:tcBorders>
              <w:top w:val="nil"/>
              <w:left w:val="single" w:color="000000" w:sz="4" w:space="0"/>
              <w:bottom w:val="single" w:color="000000" w:sz="4" w:space="0"/>
              <w:right w:val="single" w:color="000000" w:sz="4" w:space="0"/>
            </w:tcBorders>
            <w:vAlign w:val="center"/>
          </w:tcPr>
          <w:p w14:paraId="2B3CD889">
            <w:pPr>
              <w:jc w:val="center"/>
              <w:rPr>
                <w:rFonts w:ascii="宋体" w:hAnsi="宋体" w:cs="宋体"/>
                <w:color w:val="auto"/>
                <w:sz w:val="24"/>
                <w:szCs w:val="24"/>
                <w:highlight w:val="none"/>
              </w:rPr>
            </w:pPr>
            <w:r>
              <w:rPr>
                <w:rFonts w:hint="eastAsia" w:ascii="宋体" w:hAnsi="宋体" w:cs="宋体"/>
                <w:color w:val="auto"/>
                <w:sz w:val="24"/>
                <w:szCs w:val="24"/>
                <w:highlight w:val="none"/>
              </w:rPr>
              <w:t>器具卫生</w:t>
            </w:r>
          </w:p>
        </w:tc>
        <w:tc>
          <w:tcPr>
            <w:tcW w:w="6299" w:type="dxa"/>
            <w:tcBorders>
              <w:top w:val="nil"/>
              <w:left w:val="nil"/>
              <w:bottom w:val="single" w:color="000000" w:sz="4" w:space="0"/>
              <w:right w:val="single" w:color="000000" w:sz="4" w:space="0"/>
            </w:tcBorders>
            <w:vAlign w:val="center"/>
          </w:tcPr>
          <w:p w14:paraId="584BBA5D">
            <w:pPr>
              <w:rPr>
                <w:rFonts w:ascii="宋体" w:hAnsi="宋体" w:cs="宋体"/>
                <w:color w:val="auto"/>
                <w:sz w:val="24"/>
                <w:szCs w:val="24"/>
                <w:highlight w:val="none"/>
              </w:rPr>
            </w:pPr>
            <w:r>
              <w:rPr>
                <w:rFonts w:hint="eastAsia" w:ascii="宋体" w:hAnsi="宋体" w:cs="宋体"/>
                <w:color w:val="auto"/>
                <w:sz w:val="24"/>
                <w:szCs w:val="24"/>
                <w:highlight w:val="none"/>
              </w:rPr>
              <w:t>1.蒸饭箱定期清洁，内板无食物残渣。蒸饭水定期更换，保证干净。</w:t>
            </w:r>
          </w:p>
        </w:tc>
        <w:tc>
          <w:tcPr>
            <w:tcW w:w="932" w:type="dxa"/>
            <w:tcBorders>
              <w:top w:val="nil"/>
              <w:left w:val="nil"/>
              <w:bottom w:val="single" w:color="000000" w:sz="4" w:space="0"/>
              <w:right w:val="single" w:color="000000" w:sz="4" w:space="0"/>
            </w:tcBorders>
            <w:vAlign w:val="center"/>
          </w:tcPr>
          <w:p w14:paraId="6C395D45">
            <w:pPr>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932" w:type="dxa"/>
            <w:tcBorders>
              <w:top w:val="nil"/>
              <w:left w:val="nil"/>
              <w:bottom w:val="single" w:color="000000" w:sz="4" w:space="0"/>
              <w:right w:val="single" w:color="000000" w:sz="4" w:space="0"/>
            </w:tcBorders>
            <w:vAlign w:val="center"/>
          </w:tcPr>
          <w:p w14:paraId="6FBC17F3">
            <w:pPr>
              <w:jc w:val="center"/>
              <w:rPr>
                <w:rFonts w:ascii="宋体" w:hAnsi="宋体" w:cs="宋体"/>
                <w:color w:val="auto"/>
                <w:sz w:val="24"/>
                <w:szCs w:val="24"/>
                <w:highlight w:val="none"/>
              </w:rPr>
            </w:pPr>
          </w:p>
        </w:tc>
      </w:tr>
      <w:tr w14:paraId="7E6E6681">
        <w:tblPrEx>
          <w:tblCellMar>
            <w:top w:w="0" w:type="dxa"/>
            <w:left w:w="108" w:type="dxa"/>
            <w:bottom w:w="0" w:type="dxa"/>
            <w:right w:w="108" w:type="dxa"/>
          </w:tblCellMar>
        </w:tblPrEx>
        <w:trPr>
          <w:trHeight w:val="495" w:hRule="atLeast"/>
          <w:jc w:val="center"/>
        </w:trPr>
        <w:tc>
          <w:tcPr>
            <w:tcW w:w="498" w:type="dxa"/>
            <w:vMerge w:val="continue"/>
            <w:tcBorders>
              <w:top w:val="nil"/>
              <w:left w:val="single" w:color="000000" w:sz="4" w:space="0"/>
              <w:bottom w:val="nil"/>
              <w:right w:val="single" w:color="000000" w:sz="4" w:space="0"/>
            </w:tcBorders>
            <w:vAlign w:val="center"/>
          </w:tcPr>
          <w:p w14:paraId="104FEA44">
            <w:pPr>
              <w:jc w:val="center"/>
              <w:rPr>
                <w:rFonts w:ascii="宋体" w:hAnsi="宋体" w:cs="宋体"/>
                <w:color w:val="auto"/>
                <w:sz w:val="24"/>
                <w:szCs w:val="24"/>
                <w:highlight w:val="none"/>
              </w:rPr>
            </w:pPr>
          </w:p>
        </w:tc>
        <w:tc>
          <w:tcPr>
            <w:tcW w:w="1295" w:type="dxa"/>
            <w:vMerge w:val="continue"/>
            <w:tcBorders>
              <w:top w:val="nil"/>
              <w:left w:val="single" w:color="000000" w:sz="4" w:space="0"/>
              <w:bottom w:val="single" w:color="000000" w:sz="4" w:space="0"/>
              <w:right w:val="single" w:color="000000" w:sz="4" w:space="0"/>
            </w:tcBorders>
            <w:vAlign w:val="center"/>
          </w:tcPr>
          <w:p w14:paraId="64DADE4F">
            <w:pPr>
              <w:jc w:val="center"/>
              <w:rPr>
                <w:rFonts w:ascii="宋体" w:hAnsi="宋体" w:cs="宋体"/>
                <w:color w:val="auto"/>
                <w:sz w:val="24"/>
                <w:szCs w:val="24"/>
                <w:highlight w:val="none"/>
              </w:rPr>
            </w:pPr>
          </w:p>
        </w:tc>
        <w:tc>
          <w:tcPr>
            <w:tcW w:w="6299" w:type="dxa"/>
            <w:tcBorders>
              <w:top w:val="nil"/>
              <w:left w:val="nil"/>
              <w:bottom w:val="single" w:color="000000" w:sz="4" w:space="0"/>
              <w:right w:val="single" w:color="000000" w:sz="4" w:space="0"/>
            </w:tcBorders>
            <w:vAlign w:val="center"/>
          </w:tcPr>
          <w:p w14:paraId="3B8F71F6">
            <w:pPr>
              <w:rPr>
                <w:rFonts w:ascii="宋体" w:hAnsi="宋体" w:cs="宋体"/>
                <w:color w:val="auto"/>
                <w:sz w:val="24"/>
                <w:szCs w:val="24"/>
                <w:highlight w:val="none"/>
              </w:rPr>
            </w:pPr>
            <w:r>
              <w:rPr>
                <w:rFonts w:hint="eastAsia" w:ascii="宋体" w:hAnsi="宋体" w:cs="宋体"/>
                <w:color w:val="auto"/>
                <w:sz w:val="24"/>
                <w:szCs w:val="24"/>
                <w:highlight w:val="none"/>
              </w:rPr>
              <w:t>2.油、调料盒必须定期保洁。</w:t>
            </w:r>
          </w:p>
        </w:tc>
        <w:tc>
          <w:tcPr>
            <w:tcW w:w="932" w:type="dxa"/>
            <w:tcBorders>
              <w:top w:val="nil"/>
              <w:left w:val="nil"/>
              <w:bottom w:val="single" w:color="000000" w:sz="4" w:space="0"/>
              <w:right w:val="single" w:color="000000" w:sz="4" w:space="0"/>
            </w:tcBorders>
            <w:vAlign w:val="center"/>
          </w:tcPr>
          <w:p w14:paraId="0913CE7A">
            <w:pPr>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932" w:type="dxa"/>
            <w:tcBorders>
              <w:top w:val="nil"/>
              <w:left w:val="nil"/>
              <w:bottom w:val="single" w:color="000000" w:sz="4" w:space="0"/>
              <w:right w:val="single" w:color="000000" w:sz="4" w:space="0"/>
            </w:tcBorders>
            <w:vAlign w:val="center"/>
          </w:tcPr>
          <w:p w14:paraId="57E4C535">
            <w:pPr>
              <w:jc w:val="center"/>
              <w:rPr>
                <w:rFonts w:ascii="宋体" w:hAnsi="宋体" w:cs="宋体"/>
                <w:color w:val="auto"/>
                <w:sz w:val="24"/>
                <w:szCs w:val="24"/>
                <w:highlight w:val="none"/>
              </w:rPr>
            </w:pPr>
          </w:p>
        </w:tc>
      </w:tr>
      <w:tr w14:paraId="061703A2">
        <w:tblPrEx>
          <w:tblCellMar>
            <w:top w:w="0" w:type="dxa"/>
            <w:left w:w="108" w:type="dxa"/>
            <w:bottom w:w="0" w:type="dxa"/>
            <w:right w:w="108" w:type="dxa"/>
          </w:tblCellMar>
        </w:tblPrEx>
        <w:trPr>
          <w:trHeight w:val="493" w:hRule="atLeast"/>
          <w:jc w:val="center"/>
        </w:trPr>
        <w:tc>
          <w:tcPr>
            <w:tcW w:w="498" w:type="dxa"/>
            <w:vMerge w:val="continue"/>
            <w:tcBorders>
              <w:top w:val="nil"/>
              <w:left w:val="single" w:color="000000" w:sz="4" w:space="0"/>
              <w:bottom w:val="nil"/>
              <w:right w:val="single" w:color="000000" w:sz="4" w:space="0"/>
            </w:tcBorders>
            <w:vAlign w:val="center"/>
          </w:tcPr>
          <w:p w14:paraId="6C5F6469">
            <w:pPr>
              <w:jc w:val="center"/>
              <w:rPr>
                <w:rFonts w:ascii="宋体" w:hAnsi="宋体" w:cs="宋体"/>
                <w:color w:val="auto"/>
                <w:sz w:val="24"/>
                <w:szCs w:val="24"/>
                <w:highlight w:val="none"/>
              </w:rPr>
            </w:pPr>
          </w:p>
        </w:tc>
        <w:tc>
          <w:tcPr>
            <w:tcW w:w="1295" w:type="dxa"/>
            <w:vMerge w:val="continue"/>
            <w:tcBorders>
              <w:top w:val="nil"/>
              <w:left w:val="single" w:color="000000" w:sz="4" w:space="0"/>
              <w:bottom w:val="single" w:color="000000" w:sz="4" w:space="0"/>
              <w:right w:val="single" w:color="000000" w:sz="4" w:space="0"/>
            </w:tcBorders>
            <w:vAlign w:val="center"/>
          </w:tcPr>
          <w:p w14:paraId="229C1299">
            <w:pPr>
              <w:jc w:val="center"/>
              <w:rPr>
                <w:rFonts w:ascii="宋体" w:hAnsi="宋体" w:cs="宋体"/>
                <w:color w:val="auto"/>
                <w:sz w:val="24"/>
                <w:szCs w:val="24"/>
                <w:highlight w:val="none"/>
              </w:rPr>
            </w:pPr>
          </w:p>
        </w:tc>
        <w:tc>
          <w:tcPr>
            <w:tcW w:w="6299" w:type="dxa"/>
            <w:tcBorders>
              <w:top w:val="nil"/>
              <w:left w:val="nil"/>
              <w:bottom w:val="single" w:color="000000" w:sz="4" w:space="0"/>
              <w:right w:val="single" w:color="000000" w:sz="4" w:space="0"/>
            </w:tcBorders>
            <w:vAlign w:val="center"/>
          </w:tcPr>
          <w:p w14:paraId="58823433">
            <w:pPr>
              <w:rPr>
                <w:rFonts w:ascii="宋体" w:hAnsi="宋体" w:cs="宋体"/>
                <w:color w:val="auto"/>
                <w:sz w:val="24"/>
                <w:szCs w:val="24"/>
                <w:highlight w:val="none"/>
              </w:rPr>
            </w:pPr>
            <w:r>
              <w:rPr>
                <w:rFonts w:hint="eastAsia" w:ascii="宋体" w:hAnsi="宋体" w:cs="宋体"/>
                <w:color w:val="auto"/>
                <w:sz w:val="24"/>
                <w:szCs w:val="24"/>
                <w:highlight w:val="none"/>
              </w:rPr>
              <w:t>3.由专业公司清洗油烟管道，厨房员工负责柜台表面的清洁。</w:t>
            </w:r>
          </w:p>
        </w:tc>
        <w:tc>
          <w:tcPr>
            <w:tcW w:w="932" w:type="dxa"/>
            <w:tcBorders>
              <w:top w:val="nil"/>
              <w:left w:val="nil"/>
              <w:bottom w:val="single" w:color="000000" w:sz="4" w:space="0"/>
              <w:right w:val="single" w:color="000000" w:sz="4" w:space="0"/>
            </w:tcBorders>
            <w:vAlign w:val="center"/>
          </w:tcPr>
          <w:p w14:paraId="16196059">
            <w:pPr>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932" w:type="dxa"/>
            <w:tcBorders>
              <w:top w:val="nil"/>
              <w:left w:val="nil"/>
              <w:bottom w:val="single" w:color="000000" w:sz="4" w:space="0"/>
              <w:right w:val="single" w:color="000000" w:sz="4" w:space="0"/>
            </w:tcBorders>
            <w:vAlign w:val="center"/>
          </w:tcPr>
          <w:p w14:paraId="6691E54F">
            <w:pPr>
              <w:jc w:val="center"/>
              <w:rPr>
                <w:rFonts w:ascii="宋体" w:hAnsi="宋体" w:cs="宋体"/>
                <w:color w:val="auto"/>
                <w:sz w:val="24"/>
                <w:szCs w:val="24"/>
                <w:highlight w:val="none"/>
              </w:rPr>
            </w:pPr>
          </w:p>
        </w:tc>
      </w:tr>
      <w:tr w14:paraId="30291F0B">
        <w:tblPrEx>
          <w:tblCellMar>
            <w:top w:w="0" w:type="dxa"/>
            <w:left w:w="108" w:type="dxa"/>
            <w:bottom w:w="0" w:type="dxa"/>
            <w:right w:w="108" w:type="dxa"/>
          </w:tblCellMar>
        </w:tblPrEx>
        <w:trPr>
          <w:trHeight w:val="1097" w:hRule="atLeast"/>
          <w:jc w:val="center"/>
        </w:trPr>
        <w:tc>
          <w:tcPr>
            <w:tcW w:w="498" w:type="dxa"/>
            <w:vMerge w:val="continue"/>
            <w:tcBorders>
              <w:top w:val="nil"/>
              <w:left w:val="single" w:color="000000" w:sz="4" w:space="0"/>
              <w:bottom w:val="nil"/>
              <w:right w:val="single" w:color="000000" w:sz="4" w:space="0"/>
            </w:tcBorders>
            <w:vAlign w:val="center"/>
          </w:tcPr>
          <w:p w14:paraId="3BF321F6">
            <w:pPr>
              <w:jc w:val="center"/>
              <w:rPr>
                <w:rFonts w:ascii="宋体" w:hAnsi="宋体" w:cs="宋体"/>
                <w:color w:val="auto"/>
                <w:sz w:val="24"/>
                <w:szCs w:val="24"/>
                <w:highlight w:val="none"/>
              </w:rPr>
            </w:pPr>
          </w:p>
        </w:tc>
        <w:tc>
          <w:tcPr>
            <w:tcW w:w="1295" w:type="dxa"/>
            <w:vMerge w:val="continue"/>
            <w:tcBorders>
              <w:top w:val="nil"/>
              <w:left w:val="single" w:color="000000" w:sz="4" w:space="0"/>
              <w:bottom w:val="single" w:color="000000" w:sz="4" w:space="0"/>
              <w:right w:val="single" w:color="000000" w:sz="4" w:space="0"/>
            </w:tcBorders>
            <w:vAlign w:val="center"/>
          </w:tcPr>
          <w:p w14:paraId="796AB879">
            <w:pPr>
              <w:jc w:val="center"/>
              <w:rPr>
                <w:rFonts w:ascii="宋体" w:hAnsi="宋体" w:cs="宋体"/>
                <w:color w:val="auto"/>
                <w:sz w:val="24"/>
                <w:szCs w:val="24"/>
                <w:highlight w:val="none"/>
              </w:rPr>
            </w:pPr>
          </w:p>
        </w:tc>
        <w:tc>
          <w:tcPr>
            <w:tcW w:w="6299" w:type="dxa"/>
            <w:tcBorders>
              <w:top w:val="nil"/>
              <w:left w:val="nil"/>
              <w:bottom w:val="single" w:color="000000" w:sz="4" w:space="0"/>
              <w:right w:val="single" w:color="000000" w:sz="4" w:space="0"/>
            </w:tcBorders>
            <w:vAlign w:val="center"/>
          </w:tcPr>
          <w:p w14:paraId="0E33FF8F">
            <w:pPr>
              <w:rPr>
                <w:rFonts w:ascii="宋体" w:hAnsi="宋体" w:cs="宋体"/>
                <w:color w:val="auto"/>
                <w:sz w:val="24"/>
                <w:szCs w:val="24"/>
                <w:highlight w:val="none"/>
              </w:rPr>
            </w:pPr>
            <w:r>
              <w:rPr>
                <w:rFonts w:hint="eastAsia" w:ascii="宋体" w:hAnsi="宋体" w:cs="宋体"/>
                <w:color w:val="auto"/>
                <w:sz w:val="24"/>
                <w:szCs w:val="24"/>
                <w:highlight w:val="none"/>
              </w:rPr>
              <w:t>4.服务柜台保持清洁、光亮。保温池和汤桶，定期于饭市结束后排空水并进行清洁；再次饭市前30分钟内加入干净的水，并开保温池加热。食品盘盖需保持清洁，保温池内有食物的需在员工到来前加盖，非服务时间也应加盖。</w:t>
            </w:r>
          </w:p>
        </w:tc>
        <w:tc>
          <w:tcPr>
            <w:tcW w:w="932" w:type="dxa"/>
            <w:tcBorders>
              <w:top w:val="nil"/>
              <w:left w:val="nil"/>
              <w:bottom w:val="single" w:color="000000" w:sz="4" w:space="0"/>
              <w:right w:val="single" w:color="000000" w:sz="4" w:space="0"/>
            </w:tcBorders>
            <w:vAlign w:val="center"/>
          </w:tcPr>
          <w:p w14:paraId="7BDFBF54">
            <w:pPr>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932" w:type="dxa"/>
            <w:tcBorders>
              <w:top w:val="nil"/>
              <w:left w:val="nil"/>
              <w:bottom w:val="single" w:color="000000" w:sz="4" w:space="0"/>
              <w:right w:val="single" w:color="000000" w:sz="4" w:space="0"/>
            </w:tcBorders>
            <w:vAlign w:val="center"/>
          </w:tcPr>
          <w:p w14:paraId="51BBE410">
            <w:pPr>
              <w:jc w:val="center"/>
              <w:rPr>
                <w:rFonts w:ascii="宋体" w:hAnsi="宋体" w:cs="宋体"/>
                <w:color w:val="auto"/>
                <w:sz w:val="24"/>
                <w:szCs w:val="24"/>
                <w:highlight w:val="none"/>
              </w:rPr>
            </w:pPr>
          </w:p>
        </w:tc>
      </w:tr>
      <w:tr w14:paraId="1DE2BB09">
        <w:tblPrEx>
          <w:tblCellMar>
            <w:top w:w="0" w:type="dxa"/>
            <w:left w:w="108" w:type="dxa"/>
            <w:bottom w:w="0" w:type="dxa"/>
            <w:right w:w="108" w:type="dxa"/>
          </w:tblCellMar>
        </w:tblPrEx>
        <w:trPr>
          <w:trHeight w:val="579" w:hRule="atLeast"/>
          <w:jc w:val="center"/>
        </w:trPr>
        <w:tc>
          <w:tcPr>
            <w:tcW w:w="498" w:type="dxa"/>
            <w:vMerge w:val="continue"/>
            <w:tcBorders>
              <w:top w:val="nil"/>
              <w:left w:val="single" w:color="000000" w:sz="4" w:space="0"/>
              <w:bottom w:val="nil"/>
              <w:right w:val="single" w:color="000000" w:sz="4" w:space="0"/>
            </w:tcBorders>
            <w:vAlign w:val="center"/>
          </w:tcPr>
          <w:p w14:paraId="3498ABAF">
            <w:pPr>
              <w:jc w:val="center"/>
              <w:rPr>
                <w:rFonts w:ascii="宋体" w:hAnsi="宋体" w:cs="宋体"/>
                <w:color w:val="auto"/>
                <w:sz w:val="24"/>
                <w:szCs w:val="24"/>
                <w:highlight w:val="none"/>
              </w:rPr>
            </w:pPr>
          </w:p>
        </w:tc>
        <w:tc>
          <w:tcPr>
            <w:tcW w:w="1295" w:type="dxa"/>
            <w:vMerge w:val="continue"/>
            <w:tcBorders>
              <w:top w:val="nil"/>
              <w:left w:val="single" w:color="000000" w:sz="4" w:space="0"/>
              <w:bottom w:val="single" w:color="000000" w:sz="4" w:space="0"/>
              <w:right w:val="single" w:color="000000" w:sz="4" w:space="0"/>
            </w:tcBorders>
            <w:vAlign w:val="center"/>
          </w:tcPr>
          <w:p w14:paraId="5FFF2560">
            <w:pPr>
              <w:jc w:val="center"/>
              <w:rPr>
                <w:rFonts w:ascii="宋体" w:hAnsi="宋体" w:cs="宋体"/>
                <w:color w:val="auto"/>
                <w:sz w:val="24"/>
                <w:szCs w:val="24"/>
                <w:highlight w:val="none"/>
              </w:rPr>
            </w:pPr>
          </w:p>
        </w:tc>
        <w:tc>
          <w:tcPr>
            <w:tcW w:w="6299" w:type="dxa"/>
            <w:tcBorders>
              <w:top w:val="nil"/>
              <w:left w:val="nil"/>
              <w:bottom w:val="single" w:color="000000" w:sz="4" w:space="0"/>
              <w:right w:val="single" w:color="000000" w:sz="4" w:space="0"/>
            </w:tcBorders>
            <w:vAlign w:val="center"/>
          </w:tcPr>
          <w:p w14:paraId="5A49B4AE">
            <w:pPr>
              <w:rPr>
                <w:rFonts w:ascii="宋体" w:hAnsi="宋体" w:cs="宋体"/>
                <w:color w:val="auto"/>
                <w:sz w:val="24"/>
                <w:szCs w:val="24"/>
                <w:highlight w:val="none"/>
              </w:rPr>
            </w:pPr>
            <w:r>
              <w:rPr>
                <w:rFonts w:hint="eastAsia" w:ascii="宋体" w:hAnsi="宋体" w:cs="宋体"/>
                <w:color w:val="auto"/>
                <w:sz w:val="24"/>
                <w:szCs w:val="24"/>
                <w:highlight w:val="none"/>
              </w:rPr>
              <w:t>5.餐盘、碗、器皿、筷子保持清洁、干燥无水迹。 每日开饭前消毒柜消毒或蒸饭箱高温消毒20分钟。</w:t>
            </w:r>
          </w:p>
        </w:tc>
        <w:tc>
          <w:tcPr>
            <w:tcW w:w="932" w:type="dxa"/>
            <w:tcBorders>
              <w:top w:val="nil"/>
              <w:left w:val="nil"/>
              <w:bottom w:val="single" w:color="000000" w:sz="4" w:space="0"/>
              <w:right w:val="single" w:color="000000" w:sz="4" w:space="0"/>
            </w:tcBorders>
            <w:vAlign w:val="center"/>
          </w:tcPr>
          <w:p w14:paraId="58A56B20">
            <w:pPr>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932" w:type="dxa"/>
            <w:tcBorders>
              <w:top w:val="nil"/>
              <w:left w:val="nil"/>
              <w:bottom w:val="single" w:color="000000" w:sz="4" w:space="0"/>
              <w:right w:val="single" w:color="000000" w:sz="4" w:space="0"/>
            </w:tcBorders>
            <w:vAlign w:val="center"/>
          </w:tcPr>
          <w:p w14:paraId="5D0B8463">
            <w:pPr>
              <w:jc w:val="center"/>
              <w:rPr>
                <w:rFonts w:ascii="宋体" w:hAnsi="宋体" w:cs="宋体"/>
                <w:color w:val="auto"/>
                <w:sz w:val="24"/>
                <w:szCs w:val="24"/>
                <w:highlight w:val="none"/>
              </w:rPr>
            </w:pPr>
          </w:p>
        </w:tc>
      </w:tr>
      <w:tr w14:paraId="09331740">
        <w:tblPrEx>
          <w:tblCellMar>
            <w:top w:w="0" w:type="dxa"/>
            <w:left w:w="108" w:type="dxa"/>
            <w:bottom w:w="0" w:type="dxa"/>
            <w:right w:w="108" w:type="dxa"/>
          </w:tblCellMar>
        </w:tblPrEx>
        <w:trPr>
          <w:trHeight w:val="617" w:hRule="atLeast"/>
          <w:jc w:val="center"/>
        </w:trPr>
        <w:tc>
          <w:tcPr>
            <w:tcW w:w="498" w:type="dxa"/>
            <w:vMerge w:val="continue"/>
            <w:tcBorders>
              <w:top w:val="nil"/>
              <w:left w:val="single" w:color="000000" w:sz="4" w:space="0"/>
              <w:bottom w:val="nil"/>
              <w:right w:val="single" w:color="000000" w:sz="4" w:space="0"/>
            </w:tcBorders>
            <w:vAlign w:val="center"/>
          </w:tcPr>
          <w:p w14:paraId="1E2DFF6B">
            <w:pPr>
              <w:jc w:val="center"/>
              <w:rPr>
                <w:rFonts w:ascii="宋体" w:hAnsi="宋体" w:cs="宋体"/>
                <w:color w:val="auto"/>
                <w:sz w:val="24"/>
                <w:szCs w:val="24"/>
                <w:highlight w:val="none"/>
              </w:rPr>
            </w:pPr>
          </w:p>
        </w:tc>
        <w:tc>
          <w:tcPr>
            <w:tcW w:w="1295" w:type="dxa"/>
            <w:vMerge w:val="continue"/>
            <w:tcBorders>
              <w:top w:val="nil"/>
              <w:left w:val="single" w:color="000000" w:sz="4" w:space="0"/>
              <w:bottom w:val="single" w:color="000000" w:sz="4" w:space="0"/>
              <w:right w:val="single" w:color="000000" w:sz="4" w:space="0"/>
            </w:tcBorders>
            <w:vAlign w:val="center"/>
          </w:tcPr>
          <w:p w14:paraId="65AC79B8">
            <w:pPr>
              <w:jc w:val="center"/>
              <w:rPr>
                <w:rFonts w:ascii="宋体" w:hAnsi="宋体" w:cs="宋体"/>
                <w:color w:val="auto"/>
                <w:sz w:val="24"/>
                <w:szCs w:val="24"/>
                <w:highlight w:val="none"/>
              </w:rPr>
            </w:pPr>
          </w:p>
        </w:tc>
        <w:tc>
          <w:tcPr>
            <w:tcW w:w="6299" w:type="dxa"/>
            <w:tcBorders>
              <w:top w:val="nil"/>
              <w:left w:val="nil"/>
              <w:bottom w:val="single" w:color="000000" w:sz="4" w:space="0"/>
              <w:right w:val="single" w:color="000000" w:sz="4" w:space="0"/>
            </w:tcBorders>
            <w:vAlign w:val="center"/>
          </w:tcPr>
          <w:p w14:paraId="24C67D7C">
            <w:pPr>
              <w:rPr>
                <w:rFonts w:ascii="宋体" w:hAnsi="宋体" w:cs="宋体"/>
                <w:color w:val="auto"/>
                <w:sz w:val="24"/>
                <w:szCs w:val="24"/>
                <w:highlight w:val="none"/>
              </w:rPr>
            </w:pPr>
            <w:r>
              <w:rPr>
                <w:rFonts w:hint="eastAsia" w:ascii="宋体" w:hAnsi="宋体" w:cs="宋体"/>
                <w:color w:val="auto"/>
                <w:sz w:val="24"/>
                <w:szCs w:val="24"/>
                <w:highlight w:val="none"/>
              </w:rPr>
              <w:t xml:space="preserve">6.切片机和搅拌机每次使用后需进行清洗消毒。切片机及搅拌机在不使用时应刀片拆开，拔下插头。 </w:t>
            </w:r>
          </w:p>
        </w:tc>
        <w:tc>
          <w:tcPr>
            <w:tcW w:w="932" w:type="dxa"/>
            <w:tcBorders>
              <w:top w:val="nil"/>
              <w:left w:val="nil"/>
              <w:bottom w:val="single" w:color="000000" w:sz="4" w:space="0"/>
              <w:right w:val="single" w:color="000000" w:sz="4" w:space="0"/>
            </w:tcBorders>
            <w:vAlign w:val="center"/>
          </w:tcPr>
          <w:p w14:paraId="6DC8B844">
            <w:pPr>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932" w:type="dxa"/>
            <w:tcBorders>
              <w:top w:val="nil"/>
              <w:left w:val="nil"/>
              <w:bottom w:val="single" w:color="000000" w:sz="4" w:space="0"/>
              <w:right w:val="single" w:color="000000" w:sz="4" w:space="0"/>
            </w:tcBorders>
            <w:vAlign w:val="center"/>
          </w:tcPr>
          <w:p w14:paraId="4851E7B6">
            <w:pPr>
              <w:jc w:val="center"/>
              <w:rPr>
                <w:rFonts w:ascii="宋体" w:hAnsi="宋体" w:cs="宋体"/>
                <w:color w:val="auto"/>
                <w:sz w:val="24"/>
                <w:szCs w:val="24"/>
                <w:highlight w:val="none"/>
              </w:rPr>
            </w:pPr>
          </w:p>
        </w:tc>
      </w:tr>
      <w:tr w14:paraId="514A4380">
        <w:tblPrEx>
          <w:tblCellMar>
            <w:top w:w="0" w:type="dxa"/>
            <w:left w:w="108" w:type="dxa"/>
            <w:bottom w:w="0" w:type="dxa"/>
            <w:right w:w="108" w:type="dxa"/>
          </w:tblCellMar>
        </w:tblPrEx>
        <w:trPr>
          <w:trHeight w:val="729" w:hRule="atLeast"/>
          <w:jc w:val="center"/>
        </w:trPr>
        <w:tc>
          <w:tcPr>
            <w:tcW w:w="498" w:type="dxa"/>
            <w:vMerge w:val="continue"/>
            <w:tcBorders>
              <w:top w:val="nil"/>
              <w:left w:val="single" w:color="000000" w:sz="4" w:space="0"/>
              <w:bottom w:val="nil"/>
              <w:right w:val="single" w:color="000000" w:sz="4" w:space="0"/>
            </w:tcBorders>
            <w:vAlign w:val="center"/>
          </w:tcPr>
          <w:p w14:paraId="080F9578">
            <w:pPr>
              <w:jc w:val="center"/>
              <w:rPr>
                <w:rFonts w:ascii="宋体" w:hAnsi="宋体" w:cs="宋体"/>
                <w:color w:val="auto"/>
                <w:sz w:val="24"/>
                <w:szCs w:val="24"/>
                <w:highlight w:val="none"/>
              </w:rPr>
            </w:pPr>
          </w:p>
        </w:tc>
        <w:tc>
          <w:tcPr>
            <w:tcW w:w="1295" w:type="dxa"/>
            <w:vMerge w:val="continue"/>
            <w:tcBorders>
              <w:top w:val="nil"/>
              <w:left w:val="single" w:color="000000" w:sz="4" w:space="0"/>
              <w:bottom w:val="single" w:color="000000" w:sz="4" w:space="0"/>
              <w:right w:val="single" w:color="000000" w:sz="4" w:space="0"/>
            </w:tcBorders>
            <w:vAlign w:val="center"/>
          </w:tcPr>
          <w:p w14:paraId="58E5DE4E">
            <w:pPr>
              <w:jc w:val="center"/>
              <w:rPr>
                <w:rFonts w:ascii="宋体" w:hAnsi="宋体" w:cs="宋体"/>
                <w:color w:val="auto"/>
                <w:sz w:val="24"/>
                <w:szCs w:val="24"/>
                <w:highlight w:val="none"/>
              </w:rPr>
            </w:pPr>
          </w:p>
        </w:tc>
        <w:tc>
          <w:tcPr>
            <w:tcW w:w="6299" w:type="dxa"/>
            <w:tcBorders>
              <w:top w:val="nil"/>
              <w:left w:val="nil"/>
              <w:bottom w:val="single" w:color="000000" w:sz="4" w:space="0"/>
              <w:right w:val="single" w:color="000000" w:sz="4" w:space="0"/>
            </w:tcBorders>
            <w:vAlign w:val="center"/>
          </w:tcPr>
          <w:p w14:paraId="058E3BA5">
            <w:pPr>
              <w:rPr>
                <w:rFonts w:ascii="宋体" w:hAnsi="宋体" w:cs="宋体"/>
                <w:color w:val="auto"/>
                <w:sz w:val="24"/>
                <w:szCs w:val="24"/>
                <w:highlight w:val="none"/>
              </w:rPr>
            </w:pPr>
            <w:r>
              <w:rPr>
                <w:rFonts w:hint="eastAsia" w:ascii="宋体" w:hAnsi="宋体" w:cs="宋体"/>
                <w:color w:val="auto"/>
                <w:sz w:val="24"/>
                <w:szCs w:val="24"/>
                <w:highlight w:val="none"/>
              </w:rPr>
              <w:t>7.水池和工作台每次使用后清洁，刀具不得插在工作台或水管背后。 洗碗池与下水道保持通畅无赃污。定期清洁推车及垃圾桶，保持干净卫生。</w:t>
            </w:r>
          </w:p>
        </w:tc>
        <w:tc>
          <w:tcPr>
            <w:tcW w:w="932" w:type="dxa"/>
            <w:tcBorders>
              <w:top w:val="nil"/>
              <w:left w:val="nil"/>
              <w:bottom w:val="single" w:color="000000" w:sz="4" w:space="0"/>
              <w:right w:val="single" w:color="000000" w:sz="4" w:space="0"/>
            </w:tcBorders>
            <w:vAlign w:val="center"/>
          </w:tcPr>
          <w:p w14:paraId="3C92CC3C">
            <w:pPr>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932" w:type="dxa"/>
            <w:tcBorders>
              <w:top w:val="nil"/>
              <w:left w:val="nil"/>
              <w:bottom w:val="single" w:color="000000" w:sz="4" w:space="0"/>
              <w:right w:val="single" w:color="000000" w:sz="4" w:space="0"/>
            </w:tcBorders>
            <w:vAlign w:val="center"/>
          </w:tcPr>
          <w:p w14:paraId="66B1E27A">
            <w:pPr>
              <w:jc w:val="center"/>
              <w:rPr>
                <w:rFonts w:ascii="宋体" w:hAnsi="宋体" w:cs="宋体"/>
                <w:color w:val="auto"/>
                <w:sz w:val="24"/>
                <w:szCs w:val="24"/>
                <w:highlight w:val="none"/>
              </w:rPr>
            </w:pPr>
          </w:p>
        </w:tc>
      </w:tr>
      <w:tr w14:paraId="7832C762">
        <w:tblPrEx>
          <w:tblCellMar>
            <w:top w:w="0" w:type="dxa"/>
            <w:left w:w="108" w:type="dxa"/>
            <w:bottom w:w="0" w:type="dxa"/>
            <w:right w:w="108" w:type="dxa"/>
          </w:tblCellMar>
        </w:tblPrEx>
        <w:trPr>
          <w:trHeight w:val="544" w:hRule="atLeast"/>
          <w:jc w:val="center"/>
        </w:trPr>
        <w:tc>
          <w:tcPr>
            <w:tcW w:w="498" w:type="dxa"/>
            <w:vMerge w:val="continue"/>
            <w:tcBorders>
              <w:top w:val="nil"/>
              <w:left w:val="single" w:color="000000" w:sz="4" w:space="0"/>
              <w:bottom w:val="nil"/>
              <w:right w:val="single" w:color="000000" w:sz="4" w:space="0"/>
            </w:tcBorders>
            <w:vAlign w:val="center"/>
          </w:tcPr>
          <w:p w14:paraId="290C75E5">
            <w:pPr>
              <w:jc w:val="center"/>
              <w:rPr>
                <w:rFonts w:ascii="宋体" w:hAnsi="宋体" w:cs="宋体"/>
                <w:color w:val="auto"/>
                <w:sz w:val="24"/>
                <w:szCs w:val="24"/>
                <w:highlight w:val="none"/>
              </w:rPr>
            </w:pPr>
          </w:p>
        </w:tc>
        <w:tc>
          <w:tcPr>
            <w:tcW w:w="1295" w:type="dxa"/>
            <w:vMerge w:val="continue"/>
            <w:tcBorders>
              <w:top w:val="nil"/>
              <w:left w:val="single" w:color="000000" w:sz="4" w:space="0"/>
              <w:bottom w:val="single" w:color="000000" w:sz="4" w:space="0"/>
              <w:right w:val="single" w:color="000000" w:sz="4" w:space="0"/>
            </w:tcBorders>
            <w:vAlign w:val="center"/>
          </w:tcPr>
          <w:p w14:paraId="5E139759">
            <w:pPr>
              <w:jc w:val="center"/>
              <w:rPr>
                <w:rFonts w:ascii="宋体" w:hAnsi="宋体" w:cs="宋体"/>
                <w:color w:val="auto"/>
                <w:sz w:val="24"/>
                <w:szCs w:val="24"/>
                <w:highlight w:val="none"/>
              </w:rPr>
            </w:pPr>
          </w:p>
        </w:tc>
        <w:tc>
          <w:tcPr>
            <w:tcW w:w="6299" w:type="dxa"/>
            <w:tcBorders>
              <w:top w:val="nil"/>
              <w:left w:val="nil"/>
              <w:bottom w:val="single" w:color="000000" w:sz="4" w:space="0"/>
              <w:right w:val="single" w:color="000000" w:sz="4" w:space="0"/>
            </w:tcBorders>
            <w:vAlign w:val="center"/>
          </w:tcPr>
          <w:p w14:paraId="30A22446">
            <w:pPr>
              <w:rPr>
                <w:rFonts w:ascii="宋体" w:hAnsi="宋体" w:cs="宋体"/>
                <w:color w:val="auto"/>
                <w:sz w:val="24"/>
                <w:szCs w:val="24"/>
                <w:highlight w:val="none"/>
              </w:rPr>
            </w:pPr>
            <w:r>
              <w:rPr>
                <w:rFonts w:hint="eastAsia" w:ascii="宋体" w:hAnsi="宋体" w:cs="宋体"/>
                <w:color w:val="auto"/>
                <w:sz w:val="24"/>
                <w:szCs w:val="24"/>
                <w:highlight w:val="none"/>
              </w:rPr>
              <w:t xml:space="preserve">8.货架保持干净、整洁。架层和墙壁之间无食物残渣。 </w:t>
            </w:r>
          </w:p>
        </w:tc>
        <w:tc>
          <w:tcPr>
            <w:tcW w:w="932" w:type="dxa"/>
            <w:tcBorders>
              <w:top w:val="nil"/>
              <w:left w:val="nil"/>
              <w:bottom w:val="single" w:color="000000" w:sz="4" w:space="0"/>
              <w:right w:val="single" w:color="000000" w:sz="4" w:space="0"/>
            </w:tcBorders>
            <w:vAlign w:val="center"/>
          </w:tcPr>
          <w:p w14:paraId="57565D55">
            <w:pPr>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932" w:type="dxa"/>
            <w:tcBorders>
              <w:top w:val="nil"/>
              <w:left w:val="nil"/>
              <w:bottom w:val="single" w:color="000000" w:sz="4" w:space="0"/>
              <w:right w:val="single" w:color="000000" w:sz="4" w:space="0"/>
            </w:tcBorders>
            <w:vAlign w:val="center"/>
          </w:tcPr>
          <w:p w14:paraId="27475FCB">
            <w:pPr>
              <w:jc w:val="center"/>
              <w:rPr>
                <w:rFonts w:ascii="宋体" w:hAnsi="宋体" w:cs="宋体"/>
                <w:color w:val="auto"/>
                <w:sz w:val="24"/>
                <w:szCs w:val="24"/>
                <w:highlight w:val="none"/>
              </w:rPr>
            </w:pPr>
          </w:p>
        </w:tc>
      </w:tr>
      <w:tr w14:paraId="45A6422A">
        <w:tblPrEx>
          <w:tblCellMar>
            <w:top w:w="0" w:type="dxa"/>
            <w:left w:w="108" w:type="dxa"/>
            <w:bottom w:w="0" w:type="dxa"/>
            <w:right w:w="108" w:type="dxa"/>
          </w:tblCellMar>
        </w:tblPrEx>
        <w:trPr>
          <w:trHeight w:val="729" w:hRule="atLeast"/>
          <w:jc w:val="center"/>
        </w:trPr>
        <w:tc>
          <w:tcPr>
            <w:tcW w:w="498" w:type="dxa"/>
            <w:vMerge w:val="continue"/>
            <w:tcBorders>
              <w:top w:val="nil"/>
              <w:left w:val="single" w:color="000000" w:sz="4" w:space="0"/>
              <w:bottom w:val="nil"/>
              <w:right w:val="single" w:color="000000" w:sz="4" w:space="0"/>
            </w:tcBorders>
            <w:vAlign w:val="center"/>
          </w:tcPr>
          <w:p w14:paraId="4F17F63C">
            <w:pPr>
              <w:jc w:val="center"/>
              <w:rPr>
                <w:rFonts w:ascii="宋体" w:hAnsi="宋体" w:cs="宋体"/>
                <w:color w:val="auto"/>
                <w:sz w:val="24"/>
                <w:szCs w:val="24"/>
                <w:highlight w:val="none"/>
              </w:rPr>
            </w:pPr>
          </w:p>
        </w:tc>
        <w:tc>
          <w:tcPr>
            <w:tcW w:w="1295" w:type="dxa"/>
            <w:vMerge w:val="continue"/>
            <w:tcBorders>
              <w:top w:val="nil"/>
              <w:left w:val="single" w:color="000000" w:sz="4" w:space="0"/>
              <w:bottom w:val="single" w:color="000000" w:sz="4" w:space="0"/>
              <w:right w:val="single" w:color="000000" w:sz="4" w:space="0"/>
            </w:tcBorders>
            <w:vAlign w:val="center"/>
          </w:tcPr>
          <w:p w14:paraId="654E2A8B">
            <w:pPr>
              <w:jc w:val="center"/>
              <w:rPr>
                <w:rFonts w:ascii="宋体" w:hAnsi="宋体" w:cs="宋体"/>
                <w:color w:val="auto"/>
                <w:sz w:val="24"/>
                <w:szCs w:val="24"/>
                <w:highlight w:val="none"/>
              </w:rPr>
            </w:pPr>
          </w:p>
        </w:tc>
        <w:tc>
          <w:tcPr>
            <w:tcW w:w="6299" w:type="dxa"/>
            <w:tcBorders>
              <w:top w:val="nil"/>
              <w:left w:val="nil"/>
              <w:bottom w:val="single" w:color="000000" w:sz="4" w:space="0"/>
              <w:right w:val="single" w:color="000000" w:sz="4" w:space="0"/>
            </w:tcBorders>
            <w:vAlign w:val="center"/>
          </w:tcPr>
          <w:p w14:paraId="02C31308">
            <w:pPr>
              <w:rPr>
                <w:rFonts w:ascii="宋体" w:hAnsi="宋体" w:cs="宋体"/>
                <w:color w:val="auto"/>
                <w:sz w:val="24"/>
                <w:szCs w:val="24"/>
                <w:highlight w:val="none"/>
              </w:rPr>
            </w:pPr>
            <w:r>
              <w:rPr>
                <w:rFonts w:hint="eastAsia" w:ascii="宋体" w:hAnsi="宋体" w:cs="宋体"/>
                <w:color w:val="auto"/>
                <w:sz w:val="24"/>
                <w:szCs w:val="24"/>
                <w:highlight w:val="none"/>
              </w:rPr>
              <w:t xml:space="preserve">9.砧板保持干净，每次切食品前清洗消毒。不同的食品使用不同的砧板。不用时竖立以便沥干。 </w:t>
            </w:r>
          </w:p>
        </w:tc>
        <w:tc>
          <w:tcPr>
            <w:tcW w:w="932" w:type="dxa"/>
            <w:tcBorders>
              <w:top w:val="nil"/>
              <w:left w:val="nil"/>
              <w:bottom w:val="single" w:color="000000" w:sz="4" w:space="0"/>
              <w:right w:val="single" w:color="000000" w:sz="4" w:space="0"/>
            </w:tcBorders>
            <w:vAlign w:val="center"/>
          </w:tcPr>
          <w:p w14:paraId="10BDC90A">
            <w:pPr>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932" w:type="dxa"/>
            <w:tcBorders>
              <w:top w:val="nil"/>
              <w:left w:val="nil"/>
              <w:bottom w:val="single" w:color="000000" w:sz="4" w:space="0"/>
              <w:right w:val="single" w:color="000000" w:sz="4" w:space="0"/>
            </w:tcBorders>
            <w:vAlign w:val="center"/>
          </w:tcPr>
          <w:p w14:paraId="5BD641C6">
            <w:pPr>
              <w:jc w:val="center"/>
              <w:rPr>
                <w:rFonts w:ascii="宋体" w:hAnsi="宋体" w:cs="宋体"/>
                <w:color w:val="auto"/>
                <w:sz w:val="24"/>
                <w:szCs w:val="24"/>
                <w:highlight w:val="none"/>
              </w:rPr>
            </w:pPr>
          </w:p>
        </w:tc>
      </w:tr>
      <w:tr w14:paraId="62E26817">
        <w:tblPrEx>
          <w:tblCellMar>
            <w:top w:w="0" w:type="dxa"/>
            <w:left w:w="108" w:type="dxa"/>
            <w:bottom w:w="0" w:type="dxa"/>
            <w:right w:w="108" w:type="dxa"/>
          </w:tblCellMar>
        </w:tblPrEx>
        <w:trPr>
          <w:trHeight w:val="720" w:hRule="atLeast"/>
          <w:jc w:val="center"/>
        </w:trPr>
        <w:tc>
          <w:tcPr>
            <w:tcW w:w="498" w:type="dxa"/>
            <w:vMerge w:val="continue"/>
            <w:tcBorders>
              <w:top w:val="nil"/>
              <w:left w:val="single" w:color="000000" w:sz="4" w:space="0"/>
              <w:bottom w:val="nil"/>
              <w:right w:val="single" w:color="000000" w:sz="4" w:space="0"/>
            </w:tcBorders>
            <w:vAlign w:val="center"/>
          </w:tcPr>
          <w:p w14:paraId="16451B0E">
            <w:pPr>
              <w:jc w:val="center"/>
              <w:rPr>
                <w:rFonts w:ascii="宋体" w:hAnsi="宋体" w:cs="宋体"/>
                <w:color w:val="auto"/>
                <w:sz w:val="24"/>
                <w:szCs w:val="24"/>
                <w:highlight w:val="none"/>
              </w:rPr>
            </w:pPr>
          </w:p>
        </w:tc>
        <w:tc>
          <w:tcPr>
            <w:tcW w:w="1295" w:type="dxa"/>
            <w:vMerge w:val="continue"/>
            <w:tcBorders>
              <w:top w:val="nil"/>
              <w:left w:val="single" w:color="000000" w:sz="4" w:space="0"/>
              <w:bottom w:val="single" w:color="000000" w:sz="4" w:space="0"/>
              <w:right w:val="single" w:color="000000" w:sz="4" w:space="0"/>
            </w:tcBorders>
            <w:vAlign w:val="center"/>
          </w:tcPr>
          <w:p w14:paraId="742B9ABC">
            <w:pPr>
              <w:jc w:val="center"/>
              <w:rPr>
                <w:rFonts w:ascii="宋体" w:hAnsi="宋体" w:cs="宋体"/>
                <w:color w:val="auto"/>
                <w:sz w:val="24"/>
                <w:szCs w:val="24"/>
                <w:highlight w:val="none"/>
              </w:rPr>
            </w:pPr>
          </w:p>
        </w:tc>
        <w:tc>
          <w:tcPr>
            <w:tcW w:w="6299" w:type="dxa"/>
            <w:tcBorders>
              <w:top w:val="nil"/>
              <w:left w:val="nil"/>
              <w:bottom w:val="single" w:color="000000" w:sz="4" w:space="0"/>
              <w:right w:val="single" w:color="000000" w:sz="4" w:space="0"/>
            </w:tcBorders>
            <w:vAlign w:val="center"/>
          </w:tcPr>
          <w:p w14:paraId="47DC1668">
            <w:pPr>
              <w:rPr>
                <w:rFonts w:ascii="宋体" w:hAnsi="宋体" w:cs="宋体"/>
                <w:color w:val="auto"/>
                <w:sz w:val="24"/>
                <w:szCs w:val="24"/>
                <w:highlight w:val="none"/>
              </w:rPr>
            </w:pPr>
            <w:r>
              <w:rPr>
                <w:rFonts w:hint="eastAsia" w:ascii="宋体" w:hAnsi="宋体" w:cs="宋体"/>
                <w:color w:val="auto"/>
                <w:sz w:val="24"/>
                <w:szCs w:val="24"/>
                <w:highlight w:val="none"/>
              </w:rPr>
              <w:t>10.冷库、冷藏柜内应保持干净清洁，有明显的温度标识，并在要求范围内，无污迹杂物。</w:t>
            </w:r>
          </w:p>
        </w:tc>
        <w:tc>
          <w:tcPr>
            <w:tcW w:w="932" w:type="dxa"/>
            <w:tcBorders>
              <w:top w:val="nil"/>
              <w:left w:val="nil"/>
              <w:bottom w:val="single" w:color="000000" w:sz="4" w:space="0"/>
              <w:right w:val="single" w:color="000000" w:sz="4" w:space="0"/>
            </w:tcBorders>
            <w:vAlign w:val="center"/>
          </w:tcPr>
          <w:p w14:paraId="61547436">
            <w:pPr>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932" w:type="dxa"/>
            <w:tcBorders>
              <w:top w:val="nil"/>
              <w:left w:val="nil"/>
              <w:bottom w:val="single" w:color="000000" w:sz="4" w:space="0"/>
              <w:right w:val="single" w:color="000000" w:sz="4" w:space="0"/>
            </w:tcBorders>
            <w:vAlign w:val="center"/>
          </w:tcPr>
          <w:p w14:paraId="7FFB330D">
            <w:pPr>
              <w:jc w:val="center"/>
              <w:rPr>
                <w:rFonts w:ascii="宋体" w:hAnsi="宋体" w:cs="宋体"/>
                <w:color w:val="auto"/>
                <w:sz w:val="24"/>
                <w:szCs w:val="24"/>
                <w:highlight w:val="none"/>
              </w:rPr>
            </w:pPr>
          </w:p>
        </w:tc>
      </w:tr>
      <w:tr w14:paraId="663E1E89">
        <w:tblPrEx>
          <w:tblCellMar>
            <w:top w:w="0" w:type="dxa"/>
            <w:left w:w="108" w:type="dxa"/>
            <w:bottom w:w="0" w:type="dxa"/>
            <w:right w:w="108" w:type="dxa"/>
          </w:tblCellMar>
        </w:tblPrEx>
        <w:trPr>
          <w:trHeight w:val="382" w:hRule="atLeast"/>
          <w:jc w:val="center"/>
        </w:trPr>
        <w:tc>
          <w:tcPr>
            <w:tcW w:w="498" w:type="dxa"/>
            <w:vMerge w:val="continue"/>
            <w:tcBorders>
              <w:top w:val="nil"/>
              <w:left w:val="single" w:color="000000" w:sz="4" w:space="0"/>
              <w:bottom w:val="single" w:color="000000" w:sz="4" w:space="0"/>
              <w:right w:val="single" w:color="000000" w:sz="4" w:space="0"/>
            </w:tcBorders>
            <w:vAlign w:val="center"/>
          </w:tcPr>
          <w:p w14:paraId="22C029A0">
            <w:pPr>
              <w:jc w:val="center"/>
              <w:rPr>
                <w:rFonts w:ascii="宋体" w:hAnsi="宋体" w:cs="宋体"/>
                <w:color w:val="auto"/>
                <w:sz w:val="24"/>
                <w:szCs w:val="24"/>
                <w:highlight w:val="none"/>
              </w:rPr>
            </w:pPr>
          </w:p>
        </w:tc>
        <w:tc>
          <w:tcPr>
            <w:tcW w:w="1295" w:type="dxa"/>
            <w:vMerge w:val="continue"/>
            <w:tcBorders>
              <w:top w:val="nil"/>
              <w:left w:val="single" w:color="000000" w:sz="4" w:space="0"/>
              <w:bottom w:val="single" w:color="000000" w:sz="4" w:space="0"/>
              <w:right w:val="single" w:color="000000" w:sz="4" w:space="0"/>
            </w:tcBorders>
            <w:vAlign w:val="center"/>
          </w:tcPr>
          <w:p w14:paraId="4109AED9">
            <w:pPr>
              <w:jc w:val="center"/>
              <w:rPr>
                <w:rFonts w:ascii="宋体" w:hAnsi="宋体" w:cs="宋体"/>
                <w:color w:val="auto"/>
                <w:sz w:val="24"/>
                <w:szCs w:val="24"/>
                <w:highlight w:val="none"/>
              </w:rPr>
            </w:pPr>
          </w:p>
        </w:tc>
        <w:tc>
          <w:tcPr>
            <w:tcW w:w="6299" w:type="dxa"/>
            <w:tcBorders>
              <w:top w:val="nil"/>
              <w:left w:val="nil"/>
              <w:bottom w:val="single" w:color="000000" w:sz="4" w:space="0"/>
              <w:right w:val="single" w:color="000000" w:sz="4" w:space="0"/>
            </w:tcBorders>
            <w:vAlign w:val="center"/>
          </w:tcPr>
          <w:p w14:paraId="2B859EDD">
            <w:pPr>
              <w:rPr>
                <w:rFonts w:ascii="宋体" w:hAnsi="宋体" w:cs="宋体"/>
                <w:color w:val="auto"/>
                <w:sz w:val="24"/>
                <w:szCs w:val="24"/>
                <w:highlight w:val="none"/>
              </w:rPr>
            </w:pPr>
            <w:r>
              <w:rPr>
                <w:rFonts w:hint="eastAsia" w:ascii="宋体" w:hAnsi="宋体" w:cs="宋体"/>
                <w:color w:val="auto"/>
                <w:sz w:val="24"/>
                <w:szCs w:val="24"/>
                <w:highlight w:val="none"/>
              </w:rPr>
              <w:t xml:space="preserve">11.生食品容器储存在架上或操作台下，远离熟食品。 </w:t>
            </w:r>
          </w:p>
        </w:tc>
        <w:tc>
          <w:tcPr>
            <w:tcW w:w="932" w:type="dxa"/>
            <w:tcBorders>
              <w:top w:val="nil"/>
              <w:left w:val="nil"/>
              <w:bottom w:val="single" w:color="000000" w:sz="4" w:space="0"/>
              <w:right w:val="single" w:color="000000" w:sz="4" w:space="0"/>
            </w:tcBorders>
            <w:vAlign w:val="center"/>
          </w:tcPr>
          <w:p w14:paraId="402C4A91">
            <w:pPr>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932" w:type="dxa"/>
            <w:tcBorders>
              <w:top w:val="nil"/>
              <w:left w:val="nil"/>
              <w:bottom w:val="single" w:color="000000" w:sz="4" w:space="0"/>
              <w:right w:val="single" w:color="000000" w:sz="4" w:space="0"/>
            </w:tcBorders>
            <w:vAlign w:val="center"/>
          </w:tcPr>
          <w:p w14:paraId="7E35850C">
            <w:pPr>
              <w:jc w:val="center"/>
              <w:rPr>
                <w:rFonts w:ascii="宋体" w:hAnsi="宋体" w:cs="宋体"/>
                <w:color w:val="auto"/>
                <w:sz w:val="24"/>
                <w:szCs w:val="24"/>
                <w:highlight w:val="none"/>
              </w:rPr>
            </w:pPr>
          </w:p>
        </w:tc>
      </w:tr>
      <w:tr w14:paraId="70A5B79C">
        <w:tblPrEx>
          <w:tblCellMar>
            <w:top w:w="0" w:type="dxa"/>
            <w:left w:w="108" w:type="dxa"/>
            <w:bottom w:w="0" w:type="dxa"/>
            <w:right w:w="108" w:type="dxa"/>
          </w:tblCellMar>
        </w:tblPrEx>
        <w:trPr>
          <w:trHeight w:val="1088" w:hRule="atLeast"/>
          <w:jc w:val="center"/>
        </w:trPr>
        <w:tc>
          <w:tcPr>
            <w:tcW w:w="498" w:type="dxa"/>
            <w:vMerge w:val="restart"/>
            <w:tcBorders>
              <w:top w:val="nil"/>
              <w:left w:val="single" w:color="000000" w:sz="4" w:space="0"/>
              <w:bottom w:val="nil"/>
              <w:right w:val="single" w:color="000000" w:sz="4" w:space="0"/>
            </w:tcBorders>
            <w:vAlign w:val="center"/>
          </w:tcPr>
          <w:p w14:paraId="78264D4D">
            <w:pPr>
              <w:jc w:val="center"/>
              <w:rPr>
                <w:rFonts w:ascii="宋体" w:hAnsi="宋体" w:cs="宋体"/>
                <w:color w:val="auto"/>
                <w:sz w:val="24"/>
                <w:szCs w:val="24"/>
                <w:highlight w:val="none"/>
              </w:rPr>
            </w:pPr>
            <w:r>
              <w:rPr>
                <w:rFonts w:hint="eastAsia" w:ascii="宋体" w:hAnsi="宋体" w:cs="宋体"/>
                <w:color w:val="auto"/>
                <w:sz w:val="24"/>
                <w:szCs w:val="24"/>
                <w:highlight w:val="none"/>
              </w:rPr>
              <w:t>7</w:t>
            </w:r>
          </w:p>
        </w:tc>
        <w:tc>
          <w:tcPr>
            <w:tcW w:w="1295" w:type="dxa"/>
            <w:vMerge w:val="restart"/>
            <w:tcBorders>
              <w:top w:val="nil"/>
              <w:left w:val="single" w:color="000000" w:sz="4" w:space="0"/>
              <w:bottom w:val="nil"/>
              <w:right w:val="single" w:color="000000" w:sz="4" w:space="0"/>
            </w:tcBorders>
            <w:vAlign w:val="center"/>
          </w:tcPr>
          <w:p w14:paraId="70707383">
            <w:pPr>
              <w:jc w:val="center"/>
              <w:rPr>
                <w:rFonts w:ascii="宋体" w:hAnsi="宋体" w:cs="宋体"/>
                <w:color w:val="auto"/>
                <w:sz w:val="24"/>
                <w:szCs w:val="24"/>
                <w:highlight w:val="none"/>
              </w:rPr>
            </w:pPr>
            <w:r>
              <w:rPr>
                <w:rFonts w:hint="eastAsia" w:ascii="宋体" w:hAnsi="宋体" w:cs="宋体"/>
                <w:color w:val="auto"/>
                <w:sz w:val="24"/>
                <w:szCs w:val="24"/>
                <w:highlight w:val="none"/>
              </w:rPr>
              <w:t>库  存</w:t>
            </w:r>
          </w:p>
        </w:tc>
        <w:tc>
          <w:tcPr>
            <w:tcW w:w="6299" w:type="dxa"/>
            <w:tcBorders>
              <w:top w:val="nil"/>
              <w:left w:val="nil"/>
              <w:bottom w:val="single" w:color="000000" w:sz="4" w:space="0"/>
              <w:right w:val="single" w:color="000000" w:sz="4" w:space="0"/>
            </w:tcBorders>
            <w:vAlign w:val="center"/>
          </w:tcPr>
          <w:p w14:paraId="250C6233">
            <w:pPr>
              <w:rPr>
                <w:rFonts w:ascii="宋体" w:hAnsi="宋体" w:cs="宋体"/>
                <w:color w:val="auto"/>
                <w:sz w:val="24"/>
                <w:szCs w:val="24"/>
                <w:highlight w:val="none"/>
              </w:rPr>
            </w:pPr>
            <w:r>
              <w:rPr>
                <w:rFonts w:hint="eastAsia" w:ascii="宋体" w:hAnsi="宋体" w:cs="宋体"/>
                <w:color w:val="auto"/>
                <w:sz w:val="24"/>
                <w:szCs w:val="24"/>
                <w:highlight w:val="none"/>
              </w:rPr>
              <w:t>1.贮存食品原料的场所、设备应当保持清洁，禁止存放有毒、有害物品及个人生活物品，应当分类、分架、隔墙、离地存放食品原料，并定期检查、处理变质或者超过保质期限的食品。冰箱生、熟食应分离储存。</w:t>
            </w:r>
          </w:p>
        </w:tc>
        <w:tc>
          <w:tcPr>
            <w:tcW w:w="932" w:type="dxa"/>
            <w:tcBorders>
              <w:top w:val="nil"/>
              <w:left w:val="nil"/>
              <w:bottom w:val="single" w:color="000000" w:sz="4" w:space="0"/>
              <w:right w:val="single" w:color="000000" w:sz="4" w:space="0"/>
            </w:tcBorders>
            <w:vAlign w:val="center"/>
          </w:tcPr>
          <w:p w14:paraId="672010DF">
            <w:pPr>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932" w:type="dxa"/>
            <w:tcBorders>
              <w:top w:val="nil"/>
              <w:left w:val="nil"/>
              <w:bottom w:val="single" w:color="000000" w:sz="4" w:space="0"/>
              <w:right w:val="single" w:color="000000" w:sz="4" w:space="0"/>
            </w:tcBorders>
            <w:vAlign w:val="center"/>
          </w:tcPr>
          <w:p w14:paraId="54342CC1">
            <w:pPr>
              <w:jc w:val="center"/>
              <w:rPr>
                <w:rFonts w:ascii="宋体" w:hAnsi="宋体" w:cs="宋体"/>
                <w:color w:val="auto"/>
                <w:sz w:val="24"/>
                <w:szCs w:val="24"/>
                <w:highlight w:val="none"/>
              </w:rPr>
            </w:pPr>
          </w:p>
        </w:tc>
      </w:tr>
      <w:tr w14:paraId="342DA3C2">
        <w:tblPrEx>
          <w:tblCellMar>
            <w:top w:w="0" w:type="dxa"/>
            <w:left w:w="108" w:type="dxa"/>
            <w:bottom w:w="0" w:type="dxa"/>
            <w:right w:w="108" w:type="dxa"/>
          </w:tblCellMar>
        </w:tblPrEx>
        <w:trPr>
          <w:trHeight w:val="965" w:hRule="atLeast"/>
          <w:jc w:val="center"/>
        </w:trPr>
        <w:tc>
          <w:tcPr>
            <w:tcW w:w="498" w:type="dxa"/>
            <w:vMerge w:val="continue"/>
            <w:tcBorders>
              <w:top w:val="nil"/>
              <w:left w:val="single" w:color="000000" w:sz="4" w:space="0"/>
              <w:bottom w:val="nil"/>
              <w:right w:val="single" w:color="000000" w:sz="4" w:space="0"/>
            </w:tcBorders>
            <w:vAlign w:val="center"/>
          </w:tcPr>
          <w:p w14:paraId="2081D129">
            <w:pPr>
              <w:jc w:val="center"/>
              <w:rPr>
                <w:rFonts w:ascii="宋体" w:hAnsi="宋体" w:cs="宋体"/>
                <w:color w:val="auto"/>
                <w:sz w:val="24"/>
                <w:szCs w:val="24"/>
                <w:highlight w:val="none"/>
              </w:rPr>
            </w:pPr>
          </w:p>
        </w:tc>
        <w:tc>
          <w:tcPr>
            <w:tcW w:w="1295" w:type="dxa"/>
            <w:vMerge w:val="continue"/>
            <w:tcBorders>
              <w:top w:val="nil"/>
              <w:left w:val="single" w:color="000000" w:sz="4" w:space="0"/>
              <w:bottom w:val="nil"/>
              <w:right w:val="single" w:color="000000" w:sz="4" w:space="0"/>
            </w:tcBorders>
            <w:vAlign w:val="center"/>
          </w:tcPr>
          <w:p w14:paraId="2F41E48B">
            <w:pPr>
              <w:jc w:val="center"/>
              <w:rPr>
                <w:rFonts w:ascii="宋体" w:hAnsi="宋体" w:cs="宋体"/>
                <w:color w:val="auto"/>
                <w:sz w:val="24"/>
                <w:szCs w:val="24"/>
                <w:highlight w:val="none"/>
              </w:rPr>
            </w:pPr>
          </w:p>
        </w:tc>
        <w:tc>
          <w:tcPr>
            <w:tcW w:w="6299" w:type="dxa"/>
            <w:tcBorders>
              <w:top w:val="nil"/>
              <w:left w:val="nil"/>
              <w:bottom w:val="single" w:color="000000" w:sz="4" w:space="0"/>
              <w:right w:val="single" w:color="000000" w:sz="4" w:space="0"/>
            </w:tcBorders>
            <w:vAlign w:val="center"/>
          </w:tcPr>
          <w:p w14:paraId="0DE96963">
            <w:pPr>
              <w:rPr>
                <w:rFonts w:ascii="宋体" w:hAnsi="宋体" w:cs="宋体"/>
                <w:color w:val="auto"/>
                <w:sz w:val="24"/>
                <w:szCs w:val="24"/>
                <w:highlight w:val="none"/>
              </w:rPr>
            </w:pPr>
            <w:r>
              <w:rPr>
                <w:rFonts w:hint="eastAsia" w:ascii="宋体" w:hAnsi="宋体" w:cs="宋体"/>
                <w:color w:val="auto"/>
                <w:sz w:val="24"/>
                <w:szCs w:val="24"/>
                <w:highlight w:val="none"/>
              </w:rPr>
              <w:t>2.定型包装物品按类别、品种上架堆放，挂牌标注食用质量及进货日期，生产日期、有效期。食盐、食糖等散装食品容器上应有明显的标记，防止拿错用错。</w:t>
            </w:r>
          </w:p>
        </w:tc>
        <w:tc>
          <w:tcPr>
            <w:tcW w:w="932" w:type="dxa"/>
            <w:tcBorders>
              <w:top w:val="nil"/>
              <w:left w:val="nil"/>
              <w:bottom w:val="single" w:color="000000" w:sz="4" w:space="0"/>
              <w:right w:val="single" w:color="000000" w:sz="4" w:space="0"/>
            </w:tcBorders>
            <w:vAlign w:val="center"/>
          </w:tcPr>
          <w:p w14:paraId="4E7CB9FB">
            <w:pPr>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932" w:type="dxa"/>
            <w:tcBorders>
              <w:top w:val="nil"/>
              <w:left w:val="nil"/>
              <w:bottom w:val="single" w:color="000000" w:sz="4" w:space="0"/>
              <w:right w:val="single" w:color="000000" w:sz="4" w:space="0"/>
            </w:tcBorders>
            <w:vAlign w:val="center"/>
          </w:tcPr>
          <w:p w14:paraId="21F7A2CF">
            <w:pPr>
              <w:jc w:val="center"/>
              <w:rPr>
                <w:rFonts w:ascii="宋体" w:hAnsi="宋体" w:cs="宋体"/>
                <w:color w:val="auto"/>
                <w:sz w:val="24"/>
                <w:szCs w:val="24"/>
                <w:highlight w:val="none"/>
              </w:rPr>
            </w:pPr>
          </w:p>
        </w:tc>
      </w:tr>
      <w:tr w14:paraId="79CF0E5A">
        <w:tblPrEx>
          <w:tblCellMar>
            <w:top w:w="0" w:type="dxa"/>
            <w:left w:w="108" w:type="dxa"/>
            <w:bottom w:w="0" w:type="dxa"/>
            <w:right w:w="108" w:type="dxa"/>
          </w:tblCellMar>
        </w:tblPrEx>
        <w:trPr>
          <w:trHeight w:val="758" w:hRule="atLeast"/>
          <w:jc w:val="center"/>
        </w:trPr>
        <w:tc>
          <w:tcPr>
            <w:tcW w:w="498" w:type="dxa"/>
            <w:vMerge w:val="continue"/>
            <w:tcBorders>
              <w:top w:val="nil"/>
              <w:left w:val="single" w:color="000000" w:sz="4" w:space="0"/>
              <w:bottom w:val="single" w:color="000000" w:sz="4" w:space="0"/>
              <w:right w:val="single" w:color="000000" w:sz="4" w:space="0"/>
            </w:tcBorders>
            <w:vAlign w:val="center"/>
          </w:tcPr>
          <w:p w14:paraId="55F02B08">
            <w:pPr>
              <w:jc w:val="center"/>
              <w:rPr>
                <w:rFonts w:ascii="宋体" w:hAnsi="宋体" w:cs="宋体"/>
                <w:color w:val="auto"/>
                <w:sz w:val="24"/>
                <w:szCs w:val="24"/>
                <w:highlight w:val="none"/>
              </w:rPr>
            </w:pPr>
          </w:p>
        </w:tc>
        <w:tc>
          <w:tcPr>
            <w:tcW w:w="1295" w:type="dxa"/>
            <w:vMerge w:val="continue"/>
            <w:tcBorders>
              <w:top w:val="nil"/>
              <w:left w:val="single" w:color="000000" w:sz="4" w:space="0"/>
              <w:bottom w:val="single" w:color="000000" w:sz="4" w:space="0"/>
              <w:right w:val="single" w:color="000000" w:sz="4" w:space="0"/>
            </w:tcBorders>
            <w:vAlign w:val="center"/>
          </w:tcPr>
          <w:p w14:paraId="79AFBEC6">
            <w:pPr>
              <w:jc w:val="center"/>
              <w:rPr>
                <w:rFonts w:ascii="宋体" w:hAnsi="宋体" w:cs="宋体"/>
                <w:color w:val="auto"/>
                <w:sz w:val="24"/>
                <w:szCs w:val="24"/>
                <w:highlight w:val="none"/>
              </w:rPr>
            </w:pPr>
          </w:p>
        </w:tc>
        <w:tc>
          <w:tcPr>
            <w:tcW w:w="6299" w:type="dxa"/>
            <w:tcBorders>
              <w:top w:val="nil"/>
              <w:left w:val="nil"/>
              <w:bottom w:val="single" w:color="000000" w:sz="4" w:space="0"/>
              <w:right w:val="single" w:color="000000" w:sz="4" w:space="0"/>
            </w:tcBorders>
            <w:vAlign w:val="center"/>
          </w:tcPr>
          <w:p w14:paraId="6636AF35">
            <w:pPr>
              <w:rPr>
                <w:rFonts w:ascii="宋体" w:hAnsi="宋体" w:cs="宋体"/>
                <w:color w:val="auto"/>
                <w:sz w:val="24"/>
                <w:szCs w:val="24"/>
                <w:highlight w:val="none"/>
              </w:rPr>
            </w:pPr>
            <w:r>
              <w:rPr>
                <w:rFonts w:hint="eastAsia" w:ascii="宋体" w:hAnsi="宋体" w:cs="宋体"/>
                <w:color w:val="auto"/>
                <w:sz w:val="24"/>
                <w:szCs w:val="24"/>
                <w:highlight w:val="none"/>
              </w:rPr>
              <w:t>3.冰箱内保存食品，需生食、熟食分开存放，并放进专用器皿保存，并标注了生产时间和报废时间</w:t>
            </w:r>
          </w:p>
        </w:tc>
        <w:tc>
          <w:tcPr>
            <w:tcW w:w="932" w:type="dxa"/>
            <w:tcBorders>
              <w:top w:val="nil"/>
              <w:left w:val="nil"/>
              <w:bottom w:val="single" w:color="000000" w:sz="4" w:space="0"/>
              <w:right w:val="single" w:color="000000" w:sz="4" w:space="0"/>
            </w:tcBorders>
            <w:vAlign w:val="center"/>
          </w:tcPr>
          <w:p w14:paraId="5AEC7911">
            <w:pPr>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932" w:type="dxa"/>
            <w:tcBorders>
              <w:top w:val="nil"/>
              <w:left w:val="nil"/>
              <w:bottom w:val="single" w:color="000000" w:sz="4" w:space="0"/>
              <w:right w:val="single" w:color="000000" w:sz="4" w:space="0"/>
            </w:tcBorders>
            <w:vAlign w:val="center"/>
          </w:tcPr>
          <w:p w14:paraId="3CED61D5">
            <w:pPr>
              <w:jc w:val="center"/>
              <w:rPr>
                <w:rFonts w:ascii="宋体" w:hAnsi="宋体" w:cs="宋体"/>
                <w:color w:val="auto"/>
                <w:sz w:val="24"/>
                <w:szCs w:val="24"/>
                <w:highlight w:val="none"/>
              </w:rPr>
            </w:pPr>
          </w:p>
        </w:tc>
      </w:tr>
      <w:tr w14:paraId="6D14389B">
        <w:tblPrEx>
          <w:tblCellMar>
            <w:top w:w="0" w:type="dxa"/>
            <w:left w:w="108" w:type="dxa"/>
            <w:bottom w:w="0" w:type="dxa"/>
            <w:right w:w="108" w:type="dxa"/>
          </w:tblCellMar>
        </w:tblPrEx>
        <w:trPr>
          <w:trHeight w:val="709" w:hRule="atLeast"/>
          <w:jc w:val="center"/>
        </w:trPr>
        <w:tc>
          <w:tcPr>
            <w:tcW w:w="498" w:type="dxa"/>
            <w:vMerge w:val="restart"/>
            <w:tcBorders>
              <w:top w:val="single" w:color="000000" w:sz="4" w:space="0"/>
              <w:left w:val="single" w:color="000000" w:sz="4" w:space="0"/>
              <w:bottom w:val="nil"/>
              <w:right w:val="single" w:color="000000" w:sz="4" w:space="0"/>
            </w:tcBorders>
            <w:vAlign w:val="center"/>
          </w:tcPr>
          <w:p w14:paraId="17669B11">
            <w:pPr>
              <w:jc w:val="center"/>
              <w:rPr>
                <w:rFonts w:ascii="宋体" w:hAnsi="宋体" w:cs="宋体"/>
                <w:color w:val="auto"/>
                <w:sz w:val="24"/>
                <w:szCs w:val="24"/>
                <w:highlight w:val="none"/>
              </w:rPr>
            </w:pPr>
            <w:r>
              <w:rPr>
                <w:rFonts w:hint="eastAsia" w:ascii="宋体" w:hAnsi="宋体" w:cs="宋体"/>
                <w:color w:val="auto"/>
                <w:sz w:val="24"/>
                <w:szCs w:val="24"/>
                <w:highlight w:val="none"/>
              </w:rPr>
              <w:t>8</w:t>
            </w:r>
          </w:p>
        </w:tc>
        <w:tc>
          <w:tcPr>
            <w:tcW w:w="1295" w:type="dxa"/>
            <w:vMerge w:val="restart"/>
            <w:tcBorders>
              <w:top w:val="single" w:color="000000" w:sz="4" w:space="0"/>
              <w:left w:val="single" w:color="000000" w:sz="4" w:space="0"/>
              <w:bottom w:val="single" w:color="000000" w:sz="4" w:space="0"/>
              <w:right w:val="single" w:color="000000" w:sz="4" w:space="0"/>
            </w:tcBorders>
            <w:vAlign w:val="center"/>
          </w:tcPr>
          <w:p w14:paraId="5657A521">
            <w:pPr>
              <w:jc w:val="center"/>
              <w:rPr>
                <w:rFonts w:ascii="宋体" w:hAnsi="宋体" w:cs="宋体"/>
                <w:color w:val="auto"/>
                <w:sz w:val="24"/>
                <w:szCs w:val="24"/>
                <w:highlight w:val="none"/>
              </w:rPr>
            </w:pPr>
            <w:r>
              <w:rPr>
                <w:rFonts w:hint="eastAsia" w:ascii="宋体" w:hAnsi="宋体" w:cs="宋体"/>
                <w:color w:val="auto"/>
                <w:sz w:val="24"/>
                <w:szCs w:val="24"/>
                <w:highlight w:val="none"/>
              </w:rPr>
              <w:t>餐饮卫生</w:t>
            </w:r>
          </w:p>
        </w:tc>
        <w:tc>
          <w:tcPr>
            <w:tcW w:w="6299" w:type="dxa"/>
            <w:tcBorders>
              <w:top w:val="nil"/>
              <w:left w:val="nil"/>
              <w:bottom w:val="single" w:color="000000" w:sz="4" w:space="0"/>
              <w:right w:val="single" w:color="000000" w:sz="4" w:space="0"/>
            </w:tcBorders>
            <w:vAlign w:val="center"/>
          </w:tcPr>
          <w:p w14:paraId="7B66C78A">
            <w:pPr>
              <w:rPr>
                <w:rFonts w:ascii="宋体" w:hAnsi="宋体" w:cs="宋体"/>
                <w:color w:val="auto"/>
                <w:sz w:val="24"/>
                <w:szCs w:val="24"/>
                <w:highlight w:val="none"/>
              </w:rPr>
            </w:pPr>
            <w:r>
              <w:rPr>
                <w:rFonts w:hint="eastAsia" w:ascii="宋体" w:hAnsi="宋体" w:cs="宋体"/>
                <w:color w:val="auto"/>
                <w:sz w:val="24"/>
                <w:szCs w:val="24"/>
                <w:highlight w:val="none"/>
              </w:rPr>
              <w:t>1.在制作加工过程中检查待加工的食品及食品原料，发现有腐败变质或者其他感官性状异常的，不得加工或使用。</w:t>
            </w:r>
          </w:p>
        </w:tc>
        <w:tc>
          <w:tcPr>
            <w:tcW w:w="932" w:type="dxa"/>
            <w:tcBorders>
              <w:top w:val="nil"/>
              <w:left w:val="nil"/>
              <w:bottom w:val="single" w:color="000000" w:sz="4" w:space="0"/>
              <w:right w:val="single" w:color="000000" w:sz="4" w:space="0"/>
            </w:tcBorders>
            <w:vAlign w:val="center"/>
          </w:tcPr>
          <w:p w14:paraId="3101F032">
            <w:pPr>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932" w:type="dxa"/>
            <w:tcBorders>
              <w:top w:val="nil"/>
              <w:left w:val="nil"/>
              <w:bottom w:val="single" w:color="000000" w:sz="4" w:space="0"/>
              <w:right w:val="single" w:color="000000" w:sz="4" w:space="0"/>
            </w:tcBorders>
            <w:vAlign w:val="center"/>
          </w:tcPr>
          <w:p w14:paraId="326879C5">
            <w:pPr>
              <w:jc w:val="center"/>
              <w:rPr>
                <w:rFonts w:ascii="宋体" w:hAnsi="宋体" w:cs="宋体"/>
                <w:color w:val="auto"/>
                <w:sz w:val="24"/>
                <w:szCs w:val="24"/>
                <w:highlight w:val="none"/>
              </w:rPr>
            </w:pPr>
          </w:p>
        </w:tc>
      </w:tr>
      <w:tr w14:paraId="38FA2478">
        <w:tblPrEx>
          <w:tblCellMar>
            <w:top w:w="0" w:type="dxa"/>
            <w:left w:w="108" w:type="dxa"/>
            <w:bottom w:w="0" w:type="dxa"/>
            <w:right w:w="108" w:type="dxa"/>
          </w:tblCellMar>
        </w:tblPrEx>
        <w:trPr>
          <w:trHeight w:val="632" w:hRule="atLeast"/>
          <w:jc w:val="center"/>
        </w:trPr>
        <w:tc>
          <w:tcPr>
            <w:tcW w:w="498" w:type="dxa"/>
            <w:vMerge w:val="continue"/>
            <w:tcBorders>
              <w:top w:val="nil"/>
              <w:left w:val="single" w:color="000000" w:sz="4" w:space="0"/>
              <w:bottom w:val="nil"/>
              <w:right w:val="single" w:color="000000" w:sz="4" w:space="0"/>
            </w:tcBorders>
            <w:vAlign w:val="center"/>
          </w:tcPr>
          <w:p w14:paraId="3BCC7B6F">
            <w:pPr>
              <w:jc w:val="center"/>
              <w:rPr>
                <w:rFonts w:ascii="宋体" w:hAnsi="宋体" w:cs="宋体"/>
                <w:color w:val="auto"/>
                <w:sz w:val="24"/>
                <w:szCs w:val="24"/>
                <w:highlight w:val="none"/>
              </w:rPr>
            </w:pPr>
          </w:p>
        </w:tc>
        <w:tc>
          <w:tcPr>
            <w:tcW w:w="1295" w:type="dxa"/>
            <w:vMerge w:val="continue"/>
            <w:tcBorders>
              <w:top w:val="single" w:color="000000" w:sz="4" w:space="0"/>
              <w:left w:val="single" w:color="000000" w:sz="4" w:space="0"/>
              <w:bottom w:val="single" w:color="000000" w:sz="4" w:space="0"/>
              <w:right w:val="single" w:color="000000" w:sz="4" w:space="0"/>
            </w:tcBorders>
            <w:vAlign w:val="center"/>
          </w:tcPr>
          <w:p w14:paraId="2EA8252C">
            <w:pPr>
              <w:jc w:val="center"/>
              <w:rPr>
                <w:rFonts w:ascii="宋体" w:hAnsi="宋体" w:cs="宋体"/>
                <w:color w:val="auto"/>
                <w:sz w:val="24"/>
                <w:szCs w:val="24"/>
                <w:highlight w:val="none"/>
              </w:rPr>
            </w:pPr>
          </w:p>
        </w:tc>
        <w:tc>
          <w:tcPr>
            <w:tcW w:w="6299" w:type="dxa"/>
            <w:tcBorders>
              <w:top w:val="nil"/>
              <w:left w:val="nil"/>
              <w:bottom w:val="single" w:color="000000" w:sz="4" w:space="0"/>
              <w:right w:val="single" w:color="000000" w:sz="4" w:space="0"/>
            </w:tcBorders>
            <w:vAlign w:val="center"/>
          </w:tcPr>
          <w:p w14:paraId="03A6C648">
            <w:pPr>
              <w:rPr>
                <w:rFonts w:ascii="宋体" w:hAnsi="宋体" w:cs="宋体"/>
                <w:color w:val="auto"/>
                <w:sz w:val="24"/>
                <w:szCs w:val="24"/>
                <w:highlight w:val="none"/>
              </w:rPr>
            </w:pPr>
            <w:r>
              <w:rPr>
                <w:rFonts w:hint="eastAsia" w:ascii="宋体" w:hAnsi="宋体" w:cs="宋体"/>
                <w:color w:val="auto"/>
                <w:sz w:val="24"/>
                <w:szCs w:val="24"/>
                <w:highlight w:val="none"/>
              </w:rPr>
              <w:t xml:space="preserve">2.解冻食品时应注意用多少解冻多少，不允许一次解冻过多用不完，再次复冻。 </w:t>
            </w:r>
          </w:p>
        </w:tc>
        <w:tc>
          <w:tcPr>
            <w:tcW w:w="932" w:type="dxa"/>
            <w:tcBorders>
              <w:top w:val="nil"/>
              <w:left w:val="nil"/>
              <w:bottom w:val="single" w:color="000000" w:sz="4" w:space="0"/>
              <w:right w:val="single" w:color="000000" w:sz="4" w:space="0"/>
            </w:tcBorders>
            <w:vAlign w:val="center"/>
          </w:tcPr>
          <w:p w14:paraId="30115B99">
            <w:pPr>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932" w:type="dxa"/>
            <w:tcBorders>
              <w:top w:val="nil"/>
              <w:left w:val="nil"/>
              <w:bottom w:val="single" w:color="000000" w:sz="4" w:space="0"/>
              <w:right w:val="single" w:color="000000" w:sz="4" w:space="0"/>
            </w:tcBorders>
            <w:vAlign w:val="center"/>
          </w:tcPr>
          <w:p w14:paraId="24F3D333">
            <w:pPr>
              <w:jc w:val="center"/>
              <w:rPr>
                <w:rFonts w:ascii="宋体" w:hAnsi="宋体" w:cs="宋体"/>
                <w:color w:val="auto"/>
                <w:sz w:val="24"/>
                <w:szCs w:val="24"/>
                <w:highlight w:val="none"/>
              </w:rPr>
            </w:pPr>
          </w:p>
        </w:tc>
      </w:tr>
      <w:tr w14:paraId="0AC65CC7">
        <w:tblPrEx>
          <w:tblCellMar>
            <w:top w:w="0" w:type="dxa"/>
            <w:left w:w="108" w:type="dxa"/>
            <w:bottom w:w="0" w:type="dxa"/>
            <w:right w:w="108" w:type="dxa"/>
          </w:tblCellMar>
        </w:tblPrEx>
        <w:trPr>
          <w:trHeight w:val="654" w:hRule="atLeast"/>
          <w:jc w:val="center"/>
        </w:trPr>
        <w:tc>
          <w:tcPr>
            <w:tcW w:w="498" w:type="dxa"/>
            <w:vMerge w:val="continue"/>
            <w:tcBorders>
              <w:top w:val="nil"/>
              <w:left w:val="single" w:color="000000" w:sz="4" w:space="0"/>
              <w:bottom w:val="nil"/>
              <w:right w:val="single" w:color="000000" w:sz="4" w:space="0"/>
            </w:tcBorders>
            <w:vAlign w:val="center"/>
          </w:tcPr>
          <w:p w14:paraId="6F55DA5F">
            <w:pPr>
              <w:jc w:val="center"/>
              <w:rPr>
                <w:rFonts w:ascii="宋体" w:hAnsi="宋体" w:cs="宋体"/>
                <w:color w:val="auto"/>
                <w:sz w:val="24"/>
                <w:szCs w:val="24"/>
                <w:highlight w:val="none"/>
              </w:rPr>
            </w:pPr>
          </w:p>
        </w:tc>
        <w:tc>
          <w:tcPr>
            <w:tcW w:w="1295" w:type="dxa"/>
            <w:vMerge w:val="continue"/>
            <w:tcBorders>
              <w:top w:val="single" w:color="000000" w:sz="4" w:space="0"/>
              <w:left w:val="single" w:color="000000" w:sz="4" w:space="0"/>
              <w:bottom w:val="single" w:color="000000" w:sz="4" w:space="0"/>
              <w:right w:val="single" w:color="000000" w:sz="4" w:space="0"/>
            </w:tcBorders>
            <w:vAlign w:val="center"/>
          </w:tcPr>
          <w:p w14:paraId="4BA752FD">
            <w:pPr>
              <w:jc w:val="center"/>
              <w:rPr>
                <w:rFonts w:ascii="宋体" w:hAnsi="宋体" w:cs="宋体"/>
                <w:color w:val="auto"/>
                <w:sz w:val="24"/>
                <w:szCs w:val="24"/>
                <w:highlight w:val="none"/>
              </w:rPr>
            </w:pPr>
          </w:p>
        </w:tc>
        <w:tc>
          <w:tcPr>
            <w:tcW w:w="6299" w:type="dxa"/>
            <w:tcBorders>
              <w:top w:val="nil"/>
              <w:left w:val="nil"/>
              <w:bottom w:val="single" w:color="000000" w:sz="4" w:space="0"/>
              <w:right w:val="single" w:color="000000" w:sz="4" w:space="0"/>
            </w:tcBorders>
            <w:vAlign w:val="center"/>
          </w:tcPr>
          <w:p w14:paraId="6D27A413">
            <w:pPr>
              <w:rPr>
                <w:rFonts w:ascii="宋体" w:hAnsi="宋体" w:cs="宋体"/>
                <w:color w:val="auto"/>
                <w:sz w:val="24"/>
                <w:szCs w:val="24"/>
                <w:highlight w:val="none"/>
              </w:rPr>
            </w:pPr>
            <w:r>
              <w:rPr>
                <w:rFonts w:hint="eastAsia" w:ascii="宋体" w:hAnsi="宋体" w:cs="宋体"/>
                <w:color w:val="auto"/>
                <w:sz w:val="24"/>
                <w:szCs w:val="24"/>
                <w:highlight w:val="none"/>
              </w:rPr>
              <w:t>3.食品粗加工场所，应有带盖的废物桶，垃圾桶随时加盖，加工下来的废弃物、污物应及时倒入废物桶或箱内，废弃物应当日清除。</w:t>
            </w:r>
          </w:p>
        </w:tc>
        <w:tc>
          <w:tcPr>
            <w:tcW w:w="932" w:type="dxa"/>
            <w:tcBorders>
              <w:top w:val="nil"/>
              <w:left w:val="nil"/>
              <w:bottom w:val="single" w:color="000000" w:sz="4" w:space="0"/>
              <w:right w:val="single" w:color="000000" w:sz="4" w:space="0"/>
            </w:tcBorders>
            <w:vAlign w:val="center"/>
          </w:tcPr>
          <w:p w14:paraId="24CE69E2">
            <w:pPr>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932" w:type="dxa"/>
            <w:tcBorders>
              <w:top w:val="nil"/>
              <w:left w:val="nil"/>
              <w:bottom w:val="single" w:color="000000" w:sz="4" w:space="0"/>
              <w:right w:val="single" w:color="000000" w:sz="4" w:space="0"/>
            </w:tcBorders>
            <w:vAlign w:val="center"/>
          </w:tcPr>
          <w:p w14:paraId="1DC0DC0B">
            <w:pPr>
              <w:jc w:val="center"/>
              <w:rPr>
                <w:rFonts w:ascii="宋体" w:hAnsi="宋体" w:cs="宋体"/>
                <w:color w:val="auto"/>
                <w:sz w:val="24"/>
                <w:szCs w:val="24"/>
                <w:highlight w:val="none"/>
              </w:rPr>
            </w:pPr>
          </w:p>
        </w:tc>
      </w:tr>
      <w:tr w14:paraId="5BB49119">
        <w:tblPrEx>
          <w:tblCellMar>
            <w:top w:w="0" w:type="dxa"/>
            <w:left w:w="108" w:type="dxa"/>
            <w:bottom w:w="0" w:type="dxa"/>
            <w:right w:w="108" w:type="dxa"/>
          </w:tblCellMar>
        </w:tblPrEx>
        <w:trPr>
          <w:trHeight w:val="490" w:hRule="atLeast"/>
          <w:jc w:val="center"/>
        </w:trPr>
        <w:tc>
          <w:tcPr>
            <w:tcW w:w="498" w:type="dxa"/>
            <w:vMerge w:val="continue"/>
            <w:tcBorders>
              <w:top w:val="nil"/>
              <w:left w:val="single" w:color="000000" w:sz="4" w:space="0"/>
              <w:bottom w:val="nil"/>
              <w:right w:val="single" w:color="000000" w:sz="4" w:space="0"/>
            </w:tcBorders>
            <w:vAlign w:val="center"/>
          </w:tcPr>
          <w:p w14:paraId="76E1FC68">
            <w:pPr>
              <w:jc w:val="center"/>
              <w:rPr>
                <w:rFonts w:ascii="宋体" w:hAnsi="宋体" w:cs="宋体"/>
                <w:color w:val="auto"/>
                <w:sz w:val="24"/>
                <w:szCs w:val="24"/>
                <w:highlight w:val="none"/>
              </w:rPr>
            </w:pPr>
          </w:p>
        </w:tc>
        <w:tc>
          <w:tcPr>
            <w:tcW w:w="1295" w:type="dxa"/>
            <w:vMerge w:val="continue"/>
            <w:tcBorders>
              <w:top w:val="single" w:color="000000" w:sz="4" w:space="0"/>
              <w:left w:val="single" w:color="000000" w:sz="4" w:space="0"/>
              <w:bottom w:val="single" w:color="000000" w:sz="4" w:space="0"/>
              <w:right w:val="single" w:color="000000" w:sz="4" w:space="0"/>
            </w:tcBorders>
            <w:vAlign w:val="center"/>
          </w:tcPr>
          <w:p w14:paraId="569D11DF">
            <w:pPr>
              <w:jc w:val="center"/>
              <w:rPr>
                <w:rFonts w:ascii="宋体" w:hAnsi="宋体" w:cs="宋体"/>
                <w:color w:val="auto"/>
                <w:sz w:val="24"/>
                <w:szCs w:val="24"/>
                <w:highlight w:val="none"/>
              </w:rPr>
            </w:pPr>
          </w:p>
        </w:tc>
        <w:tc>
          <w:tcPr>
            <w:tcW w:w="6299" w:type="dxa"/>
            <w:tcBorders>
              <w:top w:val="nil"/>
              <w:left w:val="nil"/>
              <w:bottom w:val="single" w:color="000000" w:sz="4" w:space="0"/>
              <w:right w:val="single" w:color="000000" w:sz="4" w:space="0"/>
            </w:tcBorders>
            <w:vAlign w:val="center"/>
          </w:tcPr>
          <w:p w14:paraId="62C38E06">
            <w:pPr>
              <w:rPr>
                <w:rFonts w:ascii="宋体" w:hAnsi="宋体" w:cs="宋体"/>
                <w:color w:val="auto"/>
                <w:sz w:val="24"/>
                <w:szCs w:val="24"/>
                <w:highlight w:val="none"/>
              </w:rPr>
            </w:pPr>
            <w:r>
              <w:rPr>
                <w:rFonts w:hint="eastAsia" w:ascii="宋体" w:hAnsi="宋体" w:cs="宋体"/>
                <w:color w:val="auto"/>
                <w:sz w:val="24"/>
                <w:szCs w:val="24"/>
                <w:highlight w:val="none"/>
              </w:rPr>
              <w:t>4.所有食材不得未洗干净、未处理干净使用。</w:t>
            </w:r>
          </w:p>
        </w:tc>
        <w:tc>
          <w:tcPr>
            <w:tcW w:w="932" w:type="dxa"/>
            <w:tcBorders>
              <w:top w:val="nil"/>
              <w:left w:val="nil"/>
              <w:bottom w:val="single" w:color="000000" w:sz="4" w:space="0"/>
              <w:right w:val="single" w:color="000000" w:sz="4" w:space="0"/>
            </w:tcBorders>
            <w:vAlign w:val="center"/>
          </w:tcPr>
          <w:p w14:paraId="032C593F">
            <w:pPr>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932" w:type="dxa"/>
            <w:tcBorders>
              <w:top w:val="nil"/>
              <w:left w:val="nil"/>
              <w:bottom w:val="single" w:color="000000" w:sz="4" w:space="0"/>
              <w:right w:val="single" w:color="000000" w:sz="4" w:space="0"/>
            </w:tcBorders>
            <w:vAlign w:val="center"/>
          </w:tcPr>
          <w:p w14:paraId="576869ED">
            <w:pPr>
              <w:jc w:val="center"/>
              <w:rPr>
                <w:rFonts w:ascii="宋体" w:hAnsi="宋体" w:cs="宋体"/>
                <w:color w:val="auto"/>
                <w:sz w:val="24"/>
                <w:szCs w:val="24"/>
                <w:highlight w:val="none"/>
              </w:rPr>
            </w:pPr>
          </w:p>
        </w:tc>
      </w:tr>
      <w:tr w14:paraId="427AF69E">
        <w:tblPrEx>
          <w:tblCellMar>
            <w:top w:w="0" w:type="dxa"/>
            <w:left w:w="108" w:type="dxa"/>
            <w:bottom w:w="0" w:type="dxa"/>
            <w:right w:w="108" w:type="dxa"/>
          </w:tblCellMar>
        </w:tblPrEx>
        <w:trPr>
          <w:trHeight w:val="494" w:hRule="atLeast"/>
          <w:jc w:val="center"/>
        </w:trPr>
        <w:tc>
          <w:tcPr>
            <w:tcW w:w="498" w:type="dxa"/>
            <w:vMerge w:val="continue"/>
            <w:tcBorders>
              <w:top w:val="nil"/>
              <w:left w:val="single" w:color="000000" w:sz="4" w:space="0"/>
              <w:bottom w:val="nil"/>
              <w:right w:val="single" w:color="000000" w:sz="4" w:space="0"/>
            </w:tcBorders>
            <w:vAlign w:val="center"/>
          </w:tcPr>
          <w:p w14:paraId="392F616C">
            <w:pPr>
              <w:jc w:val="center"/>
              <w:rPr>
                <w:rFonts w:ascii="宋体" w:hAnsi="宋体" w:cs="宋体"/>
                <w:color w:val="auto"/>
                <w:sz w:val="24"/>
                <w:szCs w:val="24"/>
                <w:highlight w:val="none"/>
              </w:rPr>
            </w:pPr>
          </w:p>
        </w:tc>
        <w:tc>
          <w:tcPr>
            <w:tcW w:w="1295" w:type="dxa"/>
            <w:vMerge w:val="continue"/>
            <w:tcBorders>
              <w:top w:val="single" w:color="000000" w:sz="4" w:space="0"/>
              <w:left w:val="single" w:color="000000" w:sz="4" w:space="0"/>
              <w:bottom w:val="single" w:color="000000" w:sz="4" w:space="0"/>
              <w:right w:val="single" w:color="000000" w:sz="4" w:space="0"/>
            </w:tcBorders>
            <w:vAlign w:val="center"/>
          </w:tcPr>
          <w:p w14:paraId="69B930F1">
            <w:pPr>
              <w:jc w:val="center"/>
              <w:rPr>
                <w:rFonts w:ascii="宋体" w:hAnsi="宋体" w:cs="宋体"/>
                <w:color w:val="auto"/>
                <w:sz w:val="24"/>
                <w:szCs w:val="24"/>
                <w:highlight w:val="none"/>
              </w:rPr>
            </w:pPr>
          </w:p>
        </w:tc>
        <w:tc>
          <w:tcPr>
            <w:tcW w:w="6299" w:type="dxa"/>
            <w:tcBorders>
              <w:top w:val="nil"/>
              <w:left w:val="nil"/>
              <w:bottom w:val="single" w:color="000000" w:sz="4" w:space="0"/>
              <w:right w:val="single" w:color="000000" w:sz="4" w:space="0"/>
            </w:tcBorders>
            <w:vAlign w:val="center"/>
          </w:tcPr>
          <w:p w14:paraId="00977D0C">
            <w:pPr>
              <w:rPr>
                <w:rFonts w:ascii="宋体" w:hAnsi="宋体" w:cs="宋体"/>
                <w:color w:val="auto"/>
                <w:sz w:val="24"/>
                <w:szCs w:val="24"/>
                <w:highlight w:val="none"/>
              </w:rPr>
            </w:pPr>
            <w:r>
              <w:rPr>
                <w:rFonts w:hint="eastAsia" w:ascii="宋体" w:hAnsi="宋体" w:cs="宋体"/>
                <w:color w:val="auto"/>
                <w:sz w:val="24"/>
                <w:szCs w:val="24"/>
                <w:highlight w:val="none"/>
              </w:rPr>
              <w:t>5.餐品不得有杂物（苍蝇、烟头、头发、清洁球丝等）或夹生。</w:t>
            </w:r>
          </w:p>
        </w:tc>
        <w:tc>
          <w:tcPr>
            <w:tcW w:w="932" w:type="dxa"/>
            <w:tcBorders>
              <w:top w:val="nil"/>
              <w:left w:val="nil"/>
              <w:bottom w:val="single" w:color="000000" w:sz="4" w:space="0"/>
              <w:right w:val="single" w:color="000000" w:sz="4" w:space="0"/>
            </w:tcBorders>
            <w:vAlign w:val="center"/>
          </w:tcPr>
          <w:p w14:paraId="4EA4F3A0">
            <w:pPr>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932" w:type="dxa"/>
            <w:tcBorders>
              <w:top w:val="nil"/>
              <w:left w:val="nil"/>
              <w:bottom w:val="single" w:color="000000" w:sz="4" w:space="0"/>
              <w:right w:val="single" w:color="000000" w:sz="4" w:space="0"/>
            </w:tcBorders>
            <w:vAlign w:val="center"/>
          </w:tcPr>
          <w:p w14:paraId="292318CB">
            <w:pPr>
              <w:jc w:val="center"/>
              <w:rPr>
                <w:rFonts w:ascii="宋体" w:hAnsi="宋体" w:cs="宋体"/>
                <w:color w:val="auto"/>
                <w:sz w:val="24"/>
                <w:szCs w:val="24"/>
                <w:highlight w:val="none"/>
              </w:rPr>
            </w:pPr>
          </w:p>
        </w:tc>
      </w:tr>
      <w:tr w14:paraId="66B4D9F6">
        <w:tblPrEx>
          <w:tblCellMar>
            <w:top w:w="0" w:type="dxa"/>
            <w:left w:w="108" w:type="dxa"/>
            <w:bottom w:w="0" w:type="dxa"/>
            <w:right w:w="108" w:type="dxa"/>
          </w:tblCellMar>
        </w:tblPrEx>
        <w:trPr>
          <w:trHeight w:val="488" w:hRule="atLeast"/>
          <w:jc w:val="center"/>
        </w:trPr>
        <w:tc>
          <w:tcPr>
            <w:tcW w:w="498" w:type="dxa"/>
            <w:vMerge w:val="continue"/>
            <w:tcBorders>
              <w:top w:val="nil"/>
              <w:left w:val="single" w:color="000000" w:sz="4" w:space="0"/>
              <w:bottom w:val="nil"/>
              <w:right w:val="single" w:color="000000" w:sz="4" w:space="0"/>
            </w:tcBorders>
            <w:vAlign w:val="center"/>
          </w:tcPr>
          <w:p w14:paraId="0253E132">
            <w:pPr>
              <w:widowControl/>
              <w:jc w:val="center"/>
              <w:rPr>
                <w:rFonts w:ascii="宋体" w:hAnsi="宋体" w:cs="宋体"/>
                <w:b/>
                <w:color w:val="auto"/>
                <w:sz w:val="24"/>
                <w:szCs w:val="24"/>
                <w:highlight w:val="none"/>
              </w:rPr>
            </w:pPr>
          </w:p>
        </w:tc>
        <w:tc>
          <w:tcPr>
            <w:tcW w:w="1295" w:type="dxa"/>
            <w:vMerge w:val="continue"/>
            <w:tcBorders>
              <w:top w:val="single" w:color="000000" w:sz="4" w:space="0"/>
              <w:left w:val="single" w:color="000000" w:sz="4" w:space="0"/>
              <w:bottom w:val="single" w:color="000000" w:sz="4" w:space="0"/>
              <w:right w:val="single" w:color="000000" w:sz="4" w:space="0"/>
            </w:tcBorders>
            <w:vAlign w:val="center"/>
          </w:tcPr>
          <w:p w14:paraId="66F2EDD0">
            <w:pPr>
              <w:widowControl/>
              <w:jc w:val="center"/>
              <w:rPr>
                <w:rFonts w:ascii="宋体" w:hAnsi="宋体" w:cs="宋体"/>
                <w:b/>
                <w:color w:val="auto"/>
                <w:sz w:val="24"/>
                <w:szCs w:val="24"/>
                <w:highlight w:val="none"/>
              </w:rPr>
            </w:pPr>
          </w:p>
        </w:tc>
        <w:tc>
          <w:tcPr>
            <w:tcW w:w="6299" w:type="dxa"/>
            <w:tcBorders>
              <w:top w:val="single" w:color="000000" w:sz="4" w:space="0"/>
              <w:left w:val="single" w:color="000000" w:sz="4" w:space="0"/>
              <w:bottom w:val="single" w:color="000000" w:sz="4" w:space="0"/>
              <w:right w:val="single" w:color="000000" w:sz="4" w:space="0"/>
            </w:tcBorders>
            <w:vAlign w:val="center"/>
          </w:tcPr>
          <w:p w14:paraId="109A3CAE">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6.每日做好定量、验收和退换货工作</w:t>
            </w:r>
          </w:p>
        </w:tc>
        <w:tc>
          <w:tcPr>
            <w:tcW w:w="932" w:type="dxa"/>
            <w:tcBorders>
              <w:top w:val="single" w:color="000000" w:sz="4" w:space="0"/>
              <w:left w:val="single" w:color="000000" w:sz="4" w:space="0"/>
              <w:bottom w:val="single" w:color="000000" w:sz="4" w:space="0"/>
              <w:right w:val="single" w:color="000000" w:sz="4" w:space="0"/>
            </w:tcBorders>
            <w:vAlign w:val="center"/>
          </w:tcPr>
          <w:p w14:paraId="081689D9">
            <w:pPr>
              <w:widowControl/>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932" w:type="dxa"/>
            <w:tcBorders>
              <w:top w:val="single" w:color="000000" w:sz="4" w:space="0"/>
              <w:left w:val="single" w:color="000000" w:sz="4" w:space="0"/>
              <w:bottom w:val="single" w:color="000000" w:sz="4" w:space="0"/>
              <w:right w:val="single" w:color="000000" w:sz="4" w:space="0"/>
            </w:tcBorders>
            <w:vAlign w:val="center"/>
          </w:tcPr>
          <w:p w14:paraId="63B30ADE">
            <w:pPr>
              <w:widowControl/>
              <w:jc w:val="center"/>
              <w:rPr>
                <w:rFonts w:ascii="宋体" w:hAnsi="宋体" w:cs="宋体"/>
                <w:color w:val="auto"/>
                <w:sz w:val="24"/>
                <w:szCs w:val="24"/>
                <w:highlight w:val="none"/>
              </w:rPr>
            </w:pPr>
          </w:p>
        </w:tc>
      </w:tr>
      <w:tr w14:paraId="246278D7">
        <w:tblPrEx>
          <w:tblCellMar>
            <w:top w:w="0" w:type="dxa"/>
            <w:left w:w="108" w:type="dxa"/>
            <w:bottom w:w="0" w:type="dxa"/>
            <w:right w:w="108" w:type="dxa"/>
          </w:tblCellMar>
        </w:tblPrEx>
        <w:trPr>
          <w:trHeight w:val="476" w:hRule="atLeast"/>
          <w:jc w:val="center"/>
        </w:trPr>
        <w:tc>
          <w:tcPr>
            <w:tcW w:w="498" w:type="dxa"/>
            <w:vMerge w:val="continue"/>
            <w:tcBorders>
              <w:top w:val="nil"/>
              <w:left w:val="single" w:color="000000" w:sz="4" w:space="0"/>
              <w:bottom w:val="single" w:color="000000" w:sz="4" w:space="0"/>
              <w:right w:val="single" w:color="000000" w:sz="4" w:space="0"/>
            </w:tcBorders>
            <w:vAlign w:val="center"/>
          </w:tcPr>
          <w:p w14:paraId="431AA11D">
            <w:pPr>
              <w:widowControl/>
              <w:jc w:val="center"/>
              <w:rPr>
                <w:rFonts w:ascii="宋体" w:hAnsi="宋体" w:cs="宋体"/>
                <w:b/>
                <w:color w:val="auto"/>
                <w:sz w:val="24"/>
                <w:szCs w:val="24"/>
                <w:highlight w:val="none"/>
              </w:rPr>
            </w:pPr>
          </w:p>
        </w:tc>
        <w:tc>
          <w:tcPr>
            <w:tcW w:w="1295" w:type="dxa"/>
            <w:vMerge w:val="continue"/>
            <w:tcBorders>
              <w:top w:val="single" w:color="000000" w:sz="4" w:space="0"/>
              <w:left w:val="single" w:color="000000" w:sz="4" w:space="0"/>
              <w:bottom w:val="single" w:color="000000" w:sz="4" w:space="0"/>
              <w:right w:val="single" w:color="000000" w:sz="4" w:space="0"/>
            </w:tcBorders>
            <w:vAlign w:val="center"/>
          </w:tcPr>
          <w:p w14:paraId="6FA39AD7">
            <w:pPr>
              <w:widowControl/>
              <w:jc w:val="center"/>
              <w:rPr>
                <w:rFonts w:ascii="宋体" w:hAnsi="宋体" w:cs="宋体"/>
                <w:b/>
                <w:color w:val="auto"/>
                <w:sz w:val="24"/>
                <w:szCs w:val="24"/>
                <w:highlight w:val="none"/>
              </w:rPr>
            </w:pPr>
          </w:p>
        </w:tc>
        <w:tc>
          <w:tcPr>
            <w:tcW w:w="6299" w:type="dxa"/>
            <w:tcBorders>
              <w:top w:val="single" w:color="000000" w:sz="4" w:space="0"/>
              <w:left w:val="single" w:color="000000" w:sz="4" w:space="0"/>
              <w:bottom w:val="single" w:color="000000" w:sz="4" w:space="0"/>
              <w:right w:val="single" w:color="000000" w:sz="4" w:space="0"/>
            </w:tcBorders>
            <w:vAlign w:val="center"/>
          </w:tcPr>
          <w:p w14:paraId="72782AFB">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7.每餐定量适量，不浪费</w:t>
            </w:r>
          </w:p>
        </w:tc>
        <w:tc>
          <w:tcPr>
            <w:tcW w:w="932" w:type="dxa"/>
            <w:tcBorders>
              <w:top w:val="single" w:color="000000" w:sz="4" w:space="0"/>
              <w:left w:val="single" w:color="000000" w:sz="4" w:space="0"/>
              <w:bottom w:val="single" w:color="000000" w:sz="4" w:space="0"/>
              <w:right w:val="single" w:color="000000" w:sz="4" w:space="0"/>
            </w:tcBorders>
            <w:vAlign w:val="center"/>
          </w:tcPr>
          <w:p w14:paraId="0715C936">
            <w:pPr>
              <w:widowControl/>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932" w:type="dxa"/>
            <w:tcBorders>
              <w:top w:val="single" w:color="000000" w:sz="4" w:space="0"/>
              <w:left w:val="single" w:color="000000" w:sz="4" w:space="0"/>
              <w:bottom w:val="single" w:color="000000" w:sz="4" w:space="0"/>
              <w:right w:val="single" w:color="000000" w:sz="4" w:space="0"/>
            </w:tcBorders>
            <w:vAlign w:val="center"/>
          </w:tcPr>
          <w:p w14:paraId="69D4D0FD">
            <w:pPr>
              <w:widowControl/>
              <w:jc w:val="center"/>
              <w:rPr>
                <w:rFonts w:ascii="宋体" w:hAnsi="宋体" w:cs="宋体"/>
                <w:color w:val="auto"/>
                <w:sz w:val="24"/>
                <w:szCs w:val="24"/>
                <w:highlight w:val="none"/>
              </w:rPr>
            </w:pPr>
          </w:p>
        </w:tc>
      </w:tr>
      <w:tr w14:paraId="0D4D5E2E">
        <w:tblPrEx>
          <w:tblCellMar>
            <w:top w:w="0" w:type="dxa"/>
            <w:left w:w="108" w:type="dxa"/>
            <w:bottom w:w="0" w:type="dxa"/>
            <w:right w:w="108" w:type="dxa"/>
          </w:tblCellMar>
        </w:tblPrEx>
        <w:trPr>
          <w:trHeight w:val="571" w:hRule="atLeast"/>
          <w:jc w:val="center"/>
        </w:trPr>
        <w:tc>
          <w:tcPr>
            <w:tcW w:w="8092" w:type="dxa"/>
            <w:gridSpan w:val="3"/>
            <w:tcBorders>
              <w:top w:val="single" w:color="000000" w:sz="4" w:space="0"/>
              <w:left w:val="single" w:color="000000" w:sz="4" w:space="0"/>
              <w:bottom w:val="single" w:color="000000" w:sz="4" w:space="0"/>
              <w:right w:val="single" w:color="000000" w:sz="4" w:space="0"/>
            </w:tcBorders>
            <w:vAlign w:val="center"/>
          </w:tcPr>
          <w:p w14:paraId="70C29E67">
            <w:pPr>
              <w:widowControl/>
              <w:jc w:val="center"/>
              <w:rPr>
                <w:rFonts w:ascii="宋体" w:hAnsi="宋体" w:cs="宋体"/>
                <w:b/>
                <w:color w:val="auto"/>
                <w:sz w:val="24"/>
                <w:szCs w:val="24"/>
                <w:highlight w:val="none"/>
              </w:rPr>
            </w:pPr>
            <w:r>
              <w:rPr>
                <w:rFonts w:hint="eastAsia" w:ascii="宋体" w:hAnsi="宋体" w:cs="宋体"/>
                <w:b/>
                <w:color w:val="auto"/>
                <w:sz w:val="24"/>
                <w:szCs w:val="24"/>
                <w:highlight w:val="none"/>
              </w:rPr>
              <w:t>总分</w:t>
            </w:r>
          </w:p>
        </w:tc>
        <w:tc>
          <w:tcPr>
            <w:tcW w:w="932" w:type="dxa"/>
            <w:tcBorders>
              <w:top w:val="single" w:color="000000" w:sz="4" w:space="0"/>
              <w:left w:val="nil"/>
              <w:bottom w:val="single" w:color="000000" w:sz="4" w:space="0"/>
              <w:right w:val="single" w:color="000000" w:sz="4" w:space="0"/>
            </w:tcBorders>
            <w:vAlign w:val="center"/>
          </w:tcPr>
          <w:p w14:paraId="7543CE80">
            <w:pPr>
              <w:widowControl/>
              <w:jc w:val="center"/>
              <w:rPr>
                <w:rFonts w:ascii="宋体" w:hAnsi="宋体" w:cs="宋体"/>
                <w:b/>
                <w:color w:val="auto"/>
                <w:sz w:val="24"/>
                <w:szCs w:val="24"/>
                <w:highlight w:val="none"/>
              </w:rPr>
            </w:pPr>
            <w:r>
              <w:rPr>
                <w:rFonts w:hint="eastAsia" w:ascii="宋体" w:hAnsi="宋体" w:cs="宋体"/>
                <w:b/>
                <w:color w:val="auto"/>
                <w:sz w:val="24"/>
                <w:szCs w:val="24"/>
                <w:highlight w:val="none"/>
              </w:rPr>
              <w:t>100</w:t>
            </w:r>
          </w:p>
        </w:tc>
        <w:tc>
          <w:tcPr>
            <w:tcW w:w="932" w:type="dxa"/>
            <w:tcBorders>
              <w:top w:val="single" w:color="000000" w:sz="4" w:space="0"/>
              <w:left w:val="nil"/>
              <w:bottom w:val="single" w:color="000000" w:sz="4" w:space="0"/>
              <w:right w:val="single" w:color="000000" w:sz="4" w:space="0"/>
            </w:tcBorders>
            <w:vAlign w:val="center"/>
          </w:tcPr>
          <w:p w14:paraId="4555F2B8">
            <w:pPr>
              <w:widowControl/>
              <w:jc w:val="center"/>
              <w:rPr>
                <w:rFonts w:ascii="宋体" w:hAnsi="宋体" w:cs="宋体"/>
                <w:b/>
                <w:color w:val="auto"/>
                <w:sz w:val="24"/>
                <w:szCs w:val="24"/>
                <w:highlight w:val="none"/>
              </w:rPr>
            </w:pPr>
          </w:p>
        </w:tc>
      </w:tr>
    </w:tbl>
    <w:p w14:paraId="6C22BC50">
      <w:pPr>
        <w:rPr>
          <w:rFonts w:ascii="Cambria" w:hAnsi="Cambria"/>
          <w:b/>
          <w:bCs/>
          <w:color w:val="auto"/>
          <w:sz w:val="32"/>
          <w:szCs w:val="32"/>
          <w:highlight w:val="none"/>
          <w:lang w:val="zh-CN"/>
        </w:rPr>
        <w:sectPr>
          <w:pgSz w:w="11906" w:h="16838"/>
          <w:pgMar w:top="1134" w:right="1077" w:bottom="1304" w:left="1077" w:header="680" w:footer="794" w:gutter="0"/>
          <w:pgBorders>
            <w:top w:val="none" w:sz="0" w:space="0"/>
            <w:left w:val="none" w:sz="0" w:space="0"/>
            <w:bottom w:val="none" w:sz="0" w:space="0"/>
            <w:right w:val="none" w:sz="0" w:space="0"/>
          </w:pgBorders>
          <w:pgNumType w:fmt="decimal"/>
          <w:cols w:space="720" w:num="1"/>
          <w:titlePg/>
          <w:docGrid w:linePitch="360" w:charSpace="0"/>
        </w:sectPr>
      </w:pPr>
    </w:p>
    <w:p w14:paraId="0B9F2C59">
      <w:pPr>
        <w:pStyle w:val="263"/>
        <w:ind w:firstLine="0"/>
        <w:jc w:val="center"/>
        <w:rPr>
          <w:rFonts w:ascii="宋体" w:hAnsi="宋体" w:cs="宋体"/>
          <w:b/>
          <w:bCs/>
          <w:color w:val="auto"/>
          <w:sz w:val="44"/>
          <w:szCs w:val="44"/>
          <w:highlight w:val="none"/>
        </w:rPr>
      </w:pPr>
    </w:p>
    <w:p w14:paraId="7474F95E">
      <w:pPr>
        <w:pStyle w:val="263"/>
        <w:ind w:firstLine="0"/>
        <w:jc w:val="center"/>
        <w:rPr>
          <w:rFonts w:ascii="宋体" w:hAnsi="宋体" w:cs="宋体"/>
          <w:b/>
          <w:bCs/>
          <w:color w:val="auto"/>
          <w:sz w:val="44"/>
          <w:szCs w:val="44"/>
          <w:highlight w:val="none"/>
        </w:rPr>
      </w:pPr>
    </w:p>
    <w:p w14:paraId="468F7D57">
      <w:pPr>
        <w:pStyle w:val="263"/>
        <w:ind w:firstLine="0"/>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2026-2027年度度假区(阳山镇)机关食堂外包</w:t>
      </w:r>
    </w:p>
    <w:p w14:paraId="09C8458E">
      <w:pPr>
        <w:pStyle w:val="263"/>
        <w:ind w:firstLine="0"/>
        <w:jc w:val="center"/>
        <w:rPr>
          <w:rFonts w:ascii="宋体" w:hAnsi="宋体" w:cs="宋体"/>
          <w:b/>
          <w:bCs/>
          <w:color w:val="auto"/>
          <w:sz w:val="44"/>
          <w:szCs w:val="44"/>
          <w:highlight w:val="none"/>
        </w:rPr>
      </w:pPr>
    </w:p>
    <w:p w14:paraId="63210EFB">
      <w:pPr>
        <w:pStyle w:val="263"/>
        <w:ind w:firstLine="0"/>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服务项目</w:t>
      </w:r>
    </w:p>
    <w:p w14:paraId="0648AE72">
      <w:pPr>
        <w:pStyle w:val="263"/>
        <w:rPr>
          <w:rFonts w:ascii="宋体" w:hAnsi="宋体" w:cs="宋体"/>
          <w:color w:val="auto"/>
          <w:sz w:val="44"/>
          <w:szCs w:val="44"/>
          <w:highlight w:val="none"/>
        </w:rPr>
      </w:pPr>
    </w:p>
    <w:p w14:paraId="2D58F72C">
      <w:pPr>
        <w:widowControl/>
        <w:rPr>
          <w:rFonts w:ascii="宋体" w:hAnsi="宋体" w:cs="宋体"/>
          <w:color w:val="auto"/>
          <w:sz w:val="44"/>
          <w:szCs w:val="44"/>
          <w:highlight w:val="none"/>
        </w:rPr>
      </w:pPr>
    </w:p>
    <w:p w14:paraId="490F2FD2">
      <w:pPr>
        <w:widowControl/>
        <w:rPr>
          <w:rFonts w:ascii="宋体" w:hAnsi="宋体" w:cs="宋体"/>
          <w:b/>
          <w:bCs/>
          <w:color w:val="auto"/>
          <w:sz w:val="72"/>
          <w:szCs w:val="72"/>
          <w:highlight w:val="none"/>
        </w:rPr>
      </w:pPr>
    </w:p>
    <w:p w14:paraId="66AA6726">
      <w:pPr>
        <w:pStyle w:val="79"/>
        <w:rPr>
          <w:color w:val="auto"/>
          <w:highlight w:val="none"/>
        </w:rPr>
      </w:pPr>
    </w:p>
    <w:p w14:paraId="3244112B">
      <w:pPr>
        <w:widowControl/>
        <w:jc w:val="center"/>
        <w:rPr>
          <w:rFonts w:ascii="宋体" w:hAnsi="宋体" w:cs="宋体"/>
          <w:b/>
          <w:bCs/>
          <w:color w:val="auto"/>
          <w:sz w:val="72"/>
          <w:szCs w:val="72"/>
          <w:highlight w:val="none"/>
        </w:rPr>
      </w:pPr>
      <w:r>
        <w:rPr>
          <w:rFonts w:hint="eastAsia" w:ascii="宋体" w:hAnsi="宋体" w:cs="宋体"/>
          <w:b/>
          <w:bCs/>
          <w:color w:val="auto"/>
          <w:sz w:val="72"/>
          <w:szCs w:val="72"/>
          <w:highlight w:val="none"/>
        </w:rPr>
        <w:t>合      同</w:t>
      </w:r>
    </w:p>
    <w:p w14:paraId="78537BD4">
      <w:pPr>
        <w:widowControl/>
        <w:jc w:val="center"/>
        <w:rPr>
          <w:rFonts w:ascii="宋体" w:hAnsi="宋体" w:cs="宋体"/>
          <w:b/>
          <w:bCs/>
          <w:color w:val="auto"/>
          <w:sz w:val="24"/>
          <w:szCs w:val="24"/>
          <w:highlight w:val="none"/>
        </w:rPr>
      </w:pPr>
    </w:p>
    <w:p w14:paraId="35C272B8">
      <w:pPr>
        <w:widowControl/>
        <w:jc w:val="left"/>
        <w:rPr>
          <w:rFonts w:ascii="宋体" w:hAnsi="宋体" w:eastAsia="Microsoft YaHei ΢ȭхڢ  ڌ墠 ˎ̥" w:cs="宋体"/>
          <w:color w:val="auto"/>
          <w:sz w:val="18"/>
          <w:szCs w:val="18"/>
          <w:highlight w:val="none"/>
        </w:rPr>
      </w:pPr>
    </w:p>
    <w:p w14:paraId="7FB7DCAC">
      <w:pPr>
        <w:widowControl/>
        <w:jc w:val="left"/>
        <w:rPr>
          <w:rFonts w:ascii="宋体" w:hAnsi="宋体" w:eastAsia="Microsoft YaHei ΢ȭхڢ  ڌ墠 ˎ̥" w:cs="宋体"/>
          <w:color w:val="auto"/>
          <w:sz w:val="18"/>
          <w:szCs w:val="18"/>
          <w:highlight w:val="none"/>
        </w:rPr>
      </w:pPr>
    </w:p>
    <w:p w14:paraId="4B99BEE6">
      <w:pPr>
        <w:widowControl/>
        <w:jc w:val="left"/>
        <w:rPr>
          <w:rFonts w:ascii="宋体" w:hAnsi="宋体" w:eastAsia="Microsoft YaHei ΢ȭхڢ  ڌ墠 ˎ̥" w:cs="宋体"/>
          <w:color w:val="auto"/>
          <w:sz w:val="18"/>
          <w:szCs w:val="18"/>
          <w:highlight w:val="none"/>
        </w:rPr>
      </w:pPr>
    </w:p>
    <w:p w14:paraId="643D66AD">
      <w:pPr>
        <w:widowControl/>
        <w:jc w:val="left"/>
        <w:rPr>
          <w:rFonts w:ascii="宋体" w:hAnsi="宋体" w:eastAsia="Microsoft YaHei ΢ȭхڢ  ڌ墠 ˎ̥" w:cs="宋体"/>
          <w:color w:val="auto"/>
          <w:sz w:val="18"/>
          <w:szCs w:val="18"/>
          <w:highlight w:val="none"/>
        </w:rPr>
      </w:pPr>
    </w:p>
    <w:p w14:paraId="2298F4FC">
      <w:pPr>
        <w:widowControl/>
        <w:jc w:val="left"/>
        <w:rPr>
          <w:rFonts w:ascii="宋体" w:hAnsi="宋体" w:eastAsia="Microsoft YaHei ΢ȭхڢ  ڌ墠 ˎ̥" w:cs="宋体"/>
          <w:color w:val="auto"/>
          <w:sz w:val="18"/>
          <w:szCs w:val="18"/>
          <w:highlight w:val="none"/>
        </w:rPr>
      </w:pPr>
    </w:p>
    <w:p w14:paraId="60FB1DDE">
      <w:pPr>
        <w:widowControl/>
        <w:jc w:val="left"/>
        <w:rPr>
          <w:rFonts w:ascii="宋体" w:hAnsi="宋体" w:eastAsia="Microsoft YaHei ΢ȭхڢ  ڌ墠 ˎ̥" w:cs="宋体"/>
          <w:color w:val="auto"/>
          <w:sz w:val="18"/>
          <w:szCs w:val="18"/>
          <w:highlight w:val="none"/>
        </w:rPr>
      </w:pPr>
    </w:p>
    <w:p w14:paraId="1CB5C1F1">
      <w:pPr>
        <w:pStyle w:val="263"/>
        <w:rPr>
          <w:rFonts w:ascii="宋体" w:hAnsi="宋体" w:eastAsia="Microsoft YaHei ΢ȭхڢ  ڌ墠 ˎ̥" w:cs="宋体"/>
          <w:color w:val="auto"/>
          <w:sz w:val="18"/>
          <w:szCs w:val="18"/>
          <w:highlight w:val="none"/>
        </w:rPr>
      </w:pPr>
    </w:p>
    <w:p w14:paraId="03DDEA6F">
      <w:pPr>
        <w:pStyle w:val="263"/>
        <w:rPr>
          <w:rFonts w:ascii="宋体" w:hAnsi="宋体" w:eastAsia="Microsoft YaHei ΢ȭхڢ  ڌ墠 ˎ̥" w:cs="宋体"/>
          <w:color w:val="auto"/>
          <w:sz w:val="18"/>
          <w:szCs w:val="18"/>
          <w:highlight w:val="none"/>
        </w:rPr>
      </w:pPr>
    </w:p>
    <w:p w14:paraId="73775A6B">
      <w:pPr>
        <w:pStyle w:val="263"/>
        <w:rPr>
          <w:rFonts w:ascii="宋体" w:hAnsi="宋体" w:eastAsia="Microsoft YaHei ΢ȭхڢ  ڌ墠 ˎ̥" w:cs="宋体"/>
          <w:color w:val="auto"/>
          <w:sz w:val="18"/>
          <w:szCs w:val="18"/>
          <w:highlight w:val="none"/>
        </w:rPr>
      </w:pPr>
    </w:p>
    <w:p w14:paraId="44D4C09E">
      <w:pPr>
        <w:pStyle w:val="263"/>
        <w:rPr>
          <w:rFonts w:ascii="宋体" w:hAnsi="宋体" w:eastAsia="Microsoft YaHei ΢ȭхڢ  ڌ墠 ˎ̥" w:cs="宋体"/>
          <w:color w:val="auto"/>
          <w:sz w:val="18"/>
          <w:szCs w:val="18"/>
          <w:highlight w:val="none"/>
        </w:rPr>
      </w:pPr>
    </w:p>
    <w:p w14:paraId="30EE5015">
      <w:pPr>
        <w:pStyle w:val="263"/>
        <w:ind w:firstLine="0"/>
        <w:rPr>
          <w:rFonts w:ascii="宋体" w:hAnsi="宋体" w:eastAsia="Microsoft YaHei ΢ȭхڢ  ڌ墠 ˎ̥" w:cs="宋体"/>
          <w:color w:val="auto"/>
          <w:sz w:val="18"/>
          <w:szCs w:val="18"/>
          <w:highlight w:val="none"/>
        </w:rPr>
      </w:pPr>
    </w:p>
    <w:p w14:paraId="4182F192">
      <w:pPr>
        <w:pStyle w:val="263"/>
        <w:rPr>
          <w:rFonts w:ascii="宋体" w:hAnsi="宋体" w:eastAsia="Microsoft YaHei ΢ȭхڢ  ڌ墠 ˎ̥" w:cs="宋体"/>
          <w:color w:val="auto"/>
          <w:sz w:val="18"/>
          <w:szCs w:val="18"/>
          <w:highlight w:val="none"/>
        </w:rPr>
      </w:pPr>
    </w:p>
    <w:p w14:paraId="577A53DE">
      <w:pPr>
        <w:pStyle w:val="263"/>
        <w:rPr>
          <w:rFonts w:ascii="宋体" w:hAnsi="宋体" w:eastAsia="Microsoft YaHei ΢ȭхڢ  ڌ墠 ˎ̥" w:cs="宋体"/>
          <w:color w:val="auto"/>
          <w:sz w:val="18"/>
          <w:szCs w:val="18"/>
          <w:highlight w:val="none"/>
        </w:rPr>
      </w:pPr>
    </w:p>
    <w:p w14:paraId="0AF03FB9">
      <w:pPr>
        <w:pStyle w:val="263"/>
        <w:rPr>
          <w:rFonts w:ascii="宋体" w:hAnsi="宋体" w:eastAsia="Microsoft YaHei ΢ȭхڢ  ڌ墠 ˎ̥" w:cs="宋体"/>
          <w:color w:val="auto"/>
          <w:sz w:val="18"/>
          <w:szCs w:val="18"/>
          <w:highlight w:val="none"/>
        </w:rPr>
      </w:pPr>
    </w:p>
    <w:p w14:paraId="3DC9480A">
      <w:pPr>
        <w:pStyle w:val="263"/>
        <w:rPr>
          <w:rFonts w:ascii="宋体" w:hAnsi="宋体" w:eastAsia="Microsoft YaHei ΢ȭхڢ  ڌ墠 ˎ̥" w:cs="宋体"/>
          <w:color w:val="auto"/>
          <w:sz w:val="18"/>
          <w:szCs w:val="18"/>
          <w:highlight w:val="none"/>
        </w:rPr>
      </w:pPr>
    </w:p>
    <w:p w14:paraId="6DDD8B6F">
      <w:pPr>
        <w:pStyle w:val="263"/>
        <w:rPr>
          <w:rFonts w:ascii="宋体" w:hAnsi="宋体" w:eastAsia="Microsoft YaHei ΢ȭхڢ  ڌ墠 ˎ̥" w:cs="宋体"/>
          <w:color w:val="auto"/>
          <w:sz w:val="18"/>
          <w:szCs w:val="18"/>
          <w:highlight w:val="none"/>
        </w:rPr>
      </w:pPr>
    </w:p>
    <w:p w14:paraId="673B1F6D">
      <w:pPr>
        <w:pStyle w:val="263"/>
        <w:rPr>
          <w:rFonts w:ascii="宋体" w:hAnsi="宋体" w:eastAsia="Microsoft YaHei ΢ȭхڢ  ڌ墠 ˎ̥" w:cs="宋体"/>
          <w:color w:val="auto"/>
          <w:sz w:val="18"/>
          <w:szCs w:val="18"/>
          <w:highlight w:val="none"/>
        </w:rPr>
      </w:pPr>
    </w:p>
    <w:p w14:paraId="62318D69">
      <w:pPr>
        <w:pStyle w:val="263"/>
        <w:rPr>
          <w:rFonts w:ascii="宋体" w:hAnsi="宋体" w:eastAsia="Microsoft YaHei ΢ȭхڢ  ڌ墠 ˎ̥" w:cs="宋体"/>
          <w:color w:val="auto"/>
          <w:sz w:val="18"/>
          <w:szCs w:val="18"/>
          <w:highlight w:val="none"/>
        </w:rPr>
      </w:pPr>
    </w:p>
    <w:p w14:paraId="220AD5CE">
      <w:pPr>
        <w:pStyle w:val="263"/>
        <w:rPr>
          <w:rFonts w:ascii="宋体" w:hAnsi="宋体" w:eastAsia="Microsoft YaHei ΢ȭхڢ  ڌ墠 ˎ̥" w:cs="宋体"/>
          <w:color w:val="auto"/>
          <w:sz w:val="18"/>
          <w:szCs w:val="18"/>
          <w:highlight w:val="none"/>
        </w:rPr>
      </w:pPr>
    </w:p>
    <w:p w14:paraId="14B8FF74">
      <w:pPr>
        <w:spacing w:line="600" w:lineRule="exact"/>
        <w:ind w:firstLine="904"/>
        <w:rPr>
          <w:rFonts w:ascii="宋体" w:hAnsi="宋体" w:cs="宋体"/>
          <w:b/>
          <w:color w:val="auto"/>
          <w:sz w:val="30"/>
          <w:szCs w:val="30"/>
          <w:highlight w:val="none"/>
        </w:rPr>
      </w:pPr>
      <w:r>
        <w:rPr>
          <w:rFonts w:hint="eastAsia" w:ascii="宋体" w:hAnsi="宋体" w:cs="宋体"/>
          <w:b/>
          <w:color w:val="auto"/>
          <w:sz w:val="30"/>
          <w:szCs w:val="30"/>
          <w:highlight w:val="none"/>
        </w:rPr>
        <w:t>甲方（采购人）：</w:t>
      </w:r>
      <w:r>
        <w:rPr>
          <w:rFonts w:hint="eastAsia" w:ascii="宋体" w:hAnsi="宋体" w:cs="宋体"/>
          <w:b/>
          <w:color w:val="auto"/>
          <w:sz w:val="30"/>
          <w:szCs w:val="30"/>
          <w:highlight w:val="none"/>
          <w:u w:val="single"/>
        </w:rPr>
        <w:t>无锡市惠山区阳山镇人民政府</w:t>
      </w:r>
    </w:p>
    <w:p w14:paraId="182CC0C9">
      <w:pPr>
        <w:spacing w:line="600" w:lineRule="exact"/>
        <w:ind w:firstLine="904"/>
        <w:rPr>
          <w:rFonts w:ascii="宋体" w:hAnsi="宋体" w:cs="宋体"/>
          <w:b/>
          <w:color w:val="auto"/>
          <w:sz w:val="30"/>
          <w:szCs w:val="30"/>
          <w:highlight w:val="none"/>
          <w:u w:val="single"/>
        </w:rPr>
      </w:pPr>
      <w:r>
        <w:rPr>
          <w:rFonts w:hint="eastAsia" w:ascii="宋体" w:hAnsi="宋体" w:cs="宋体"/>
          <w:b/>
          <w:color w:val="auto"/>
          <w:sz w:val="30"/>
          <w:szCs w:val="30"/>
          <w:highlight w:val="none"/>
        </w:rPr>
        <w:t>乙方（中标供应商）：</w:t>
      </w:r>
      <w:r>
        <w:rPr>
          <w:rFonts w:hint="eastAsia" w:ascii="宋体" w:hAnsi="宋体" w:cs="宋体"/>
          <w:b/>
          <w:color w:val="auto"/>
          <w:sz w:val="30"/>
          <w:szCs w:val="30"/>
          <w:highlight w:val="none"/>
          <w:u w:val="single"/>
        </w:rPr>
        <w:t xml:space="preserve">                      </w:t>
      </w:r>
    </w:p>
    <w:p w14:paraId="07ECA8FA">
      <w:pPr>
        <w:spacing w:line="600" w:lineRule="exact"/>
        <w:ind w:firstLine="904"/>
        <w:rPr>
          <w:rFonts w:ascii="宋体" w:hAnsi="宋体" w:cs="宋体"/>
          <w:b/>
          <w:color w:val="auto"/>
          <w:sz w:val="30"/>
          <w:szCs w:val="30"/>
          <w:highlight w:val="none"/>
        </w:rPr>
      </w:pPr>
      <w:r>
        <w:rPr>
          <w:rFonts w:hint="eastAsia" w:ascii="宋体" w:hAnsi="宋体" w:cs="宋体"/>
          <w:b/>
          <w:color w:val="auto"/>
          <w:sz w:val="30"/>
          <w:szCs w:val="30"/>
          <w:highlight w:val="none"/>
        </w:rPr>
        <w:t>合同签订时间：</w:t>
      </w:r>
      <w:r>
        <w:rPr>
          <w:rFonts w:hint="eastAsia" w:ascii="宋体" w:hAnsi="宋体" w:cs="宋体"/>
          <w:b/>
          <w:color w:val="auto"/>
          <w:sz w:val="30"/>
          <w:szCs w:val="30"/>
          <w:highlight w:val="none"/>
          <w:u w:val="single"/>
        </w:rPr>
        <w:t xml:space="preserve">   年   月   日</w:t>
      </w:r>
      <w:r>
        <w:rPr>
          <w:rFonts w:hint="eastAsia" w:ascii="宋体" w:hAnsi="宋体" w:cs="宋体"/>
          <w:b/>
          <w:color w:val="auto"/>
          <w:sz w:val="30"/>
          <w:szCs w:val="30"/>
          <w:highlight w:val="none"/>
        </w:rPr>
        <w:t xml:space="preserve"> </w:t>
      </w:r>
    </w:p>
    <w:p w14:paraId="1D1B3D03">
      <w:pPr>
        <w:spacing w:line="600" w:lineRule="exact"/>
        <w:ind w:firstLine="301"/>
        <w:rPr>
          <w:rFonts w:ascii="宋体" w:hAnsi="宋体" w:cs="宋体"/>
          <w:b/>
          <w:color w:val="auto"/>
          <w:sz w:val="30"/>
          <w:szCs w:val="30"/>
          <w:highlight w:val="none"/>
        </w:rPr>
        <w:sectPr>
          <w:headerReference r:id="rId11" w:type="default"/>
          <w:pgSz w:w="11906" w:h="16838"/>
          <w:pgMar w:top="1304" w:right="1304" w:bottom="1304" w:left="1304" w:header="851" w:footer="992" w:gutter="0"/>
          <w:pgBorders>
            <w:top w:val="none" w:sz="0" w:space="0"/>
            <w:left w:val="none" w:sz="0" w:space="0"/>
            <w:bottom w:val="none" w:sz="0" w:space="0"/>
            <w:right w:val="none" w:sz="0" w:space="0"/>
          </w:pgBorders>
          <w:pgNumType w:fmt="decimal"/>
          <w:cols w:space="1701" w:num="1"/>
          <w:docGrid w:linePitch="360" w:charSpace="0"/>
        </w:sectPr>
      </w:pPr>
    </w:p>
    <w:p w14:paraId="39006CCA">
      <w:pPr>
        <w:spacing w:line="360" w:lineRule="auto"/>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合同书（格式文本）</w:t>
      </w:r>
    </w:p>
    <w:p w14:paraId="605A4CE9">
      <w:pPr>
        <w:spacing w:line="360" w:lineRule="auto"/>
        <w:ind w:firstLine="482"/>
        <w:rPr>
          <w:rFonts w:ascii="宋体" w:hAnsi="宋体" w:cs="宋体"/>
          <w:b/>
          <w:bCs/>
          <w:color w:val="auto"/>
          <w:sz w:val="24"/>
          <w:highlight w:val="none"/>
        </w:rPr>
      </w:pPr>
      <w:bookmarkStart w:id="897" w:name="五．合同条款"/>
      <w:bookmarkEnd w:id="897"/>
      <w:r>
        <w:rPr>
          <w:rFonts w:hint="eastAsia" w:ascii="宋体" w:hAnsi="宋体" w:cs="宋体"/>
          <w:b/>
          <w:bCs/>
          <w:color w:val="auto"/>
          <w:sz w:val="24"/>
          <w:highlight w:val="none"/>
        </w:rPr>
        <w:t>甲方（采购人）：</w:t>
      </w:r>
      <w:r>
        <w:rPr>
          <w:rFonts w:hint="eastAsia" w:ascii="宋体" w:hAnsi="宋体" w:cs="宋体"/>
          <w:b/>
          <w:bCs/>
          <w:color w:val="auto"/>
          <w:sz w:val="24"/>
          <w:highlight w:val="none"/>
          <w:u w:val="single"/>
        </w:rPr>
        <w:t>无锡市惠山区阳山镇人民政府</w:t>
      </w:r>
    </w:p>
    <w:p w14:paraId="03456416">
      <w:pPr>
        <w:spacing w:line="360" w:lineRule="auto"/>
        <w:ind w:firstLine="482"/>
        <w:rPr>
          <w:rFonts w:ascii="宋体" w:hAnsi="宋体" w:cs="宋体"/>
          <w:color w:val="auto"/>
          <w:sz w:val="24"/>
          <w:highlight w:val="none"/>
        </w:rPr>
      </w:pPr>
      <w:r>
        <w:rPr>
          <w:rFonts w:hint="eastAsia" w:ascii="宋体" w:hAnsi="宋体" w:cs="宋体"/>
          <w:b/>
          <w:bCs/>
          <w:color w:val="auto"/>
          <w:sz w:val="24"/>
          <w:highlight w:val="none"/>
        </w:rPr>
        <w:t>乙方（中标供应商）：</w:t>
      </w:r>
      <w:r>
        <w:rPr>
          <w:rFonts w:hint="eastAsia" w:ascii="宋体" w:hAnsi="宋体" w:cs="宋体"/>
          <w:b/>
          <w:bCs/>
          <w:color w:val="auto"/>
          <w:sz w:val="24"/>
          <w:highlight w:val="none"/>
          <w:u w:val="single"/>
        </w:rPr>
        <w:t xml:space="preserve">                             </w:t>
      </w:r>
      <w:r>
        <w:rPr>
          <w:rFonts w:hint="eastAsia" w:ascii="宋体" w:hAnsi="宋体" w:cs="宋体"/>
          <w:b/>
          <w:color w:val="auto"/>
          <w:sz w:val="24"/>
          <w:highlight w:val="none"/>
          <w:u w:val="single"/>
        </w:rPr>
        <w:t xml:space="preserve"> </w:t>
      </w:r>
    </w:p>
    <w:p w14:paraId="181D4084">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依照《中华人民共和国民法典》、《中华人民共和国政府采购法》及其他有关法律、行政法规，遵照平等、自愿、公平和诚实信用的原则，双方就</w:t>
      </w:r>
      <w:r>
        <w:rPr>
          <w:rFonts w:hint="eastAsia" w:ascii="宋体" w:hAnsi="宋体" w:cs="宋体"/>
          <w:b/>
          <w:bCs/>
          <w:color w:val="auto"/>
          <w:sz w:val="24"/>
          <w:highlight w:val="none"/>
          <w:u w:val="single"/>
        </w:rPr>
        <w:t>2026-2027年度度假区(阳山镇)机关食堂外包服务项目</w:t>
      </w:r>
      <w:r>
        <w:rPr>
          <w:rFonts w:hint="eastAsia" w:ascii="宋体" w:hAnsi="宋体" w:cs="宋体"/>
          <w:color w:val="auto"/>
          <w:sz w:val="24"/>
          <w:highlight w:val="none"/>
        </w:rPr>
        <w:t>协商一致，订立本合同。</w:t>
      </w:r>
    </w:p>
    <w:p w14:paraId="3540B4FD">
      <w:pPr>
        <w:widowControl/>
        <w:spacing w:line="360" w:lineRule="auto"/>
        <w:ind w:firstLine="480"/>
        <w:jc w:val="left"/>
        <w:rPr>
          <w:rFonts w:ascii="宋体" w:hAnsi="宋体" w:cs="宋体"/>
          <w:color w:val="auto"/>
          <w:sz w:val="24"/>
          <w:highlight w:val="none"/>
        </w:rPr>
      </w:pPr>
      <w:bookmarkStart w:id="898" w:name="_Toc76417655"/>
      <w:r>
        <w:rPr>
          <w:rFonts w:hint="eastAsia" w:ascii="宋体" w:hAnsi="宋体" w:cs="宋体"/>
          <w:b/>
          <w:color w:val="auto"/>
          <w:sz w:val="24"/>
          <w:highlight w:val="none"/>
        </w:rPr>
        <w:t>一、采购内容：</w:t>
      </w:r>
      <w:r>
        <w:rPr>
          <w:rFonts w:hint="eastAsia" w:ascii="宋体" w:hAnsi="宋体" w:cs="宋体"/>
          <w:color w:val="auto"/>
          <w:sz w:val="24"/>
          <w:highlight w:val="none"/>
          <w:u w:val="single"/>
        </w:rPr>
        <w:t>本项目为2026-2027年度度假区(阳山镇)机关食堂外包服务，项目地点位于无锡市阳山镇政府机关食堂，服务内容包括但不限于食堂运营及管理、食材采购及配送、以及其他相关配套服务。阳山镇政府员工数量约400人左右，用餐人数：早餐100人、午餐400人，晚餐（备桌）约15人，周末及法定节假日每天约10人用餐，另有访客工作餐需求。</w:t>
      </w:r>
    </w:p>
    <w:p w14:paraId="0E6C1EC3">
      <w:pPr>
        <w:tabs>
          <w:tab w:val="left" w:pos="735"/>
          <w:tab w:val="left" w:pos="1260"/>
        </w:tabs>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二、合同总金额：人民币（大写）</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元 ；人民币（小写）</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元</w:t>
      </w:r>
    </w:p>
    <w:p w14:paraId="64E4D1F0">
      <w:pPr>
        <w:tabs>
          <w:tab w:val="left" w:pos="735"/>
          <w:tab w:val="left" w:pos="1260"/>
        </w:tabs>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其中：食材采购及配送费用（暂定）：</w:t>
      </w:r>
      <w:r>
        <w:rPr>
          <w:rFonts w:hint="eastAsia" w:ascii="宋体" w:hAnsi="宋体" w:cs="宋体"/>
          <w:b/>
          <w:color w:val="auto"/>
          <w:sz w:val="24"/>
          <w:highlight w:val="none"/>
          <w:u w:val="single"/>
        </w:rPr>
        <w:t>5076960.00元</w:t>
      </w:r>
      <w:r>
        <w:rPr>
          <w:rFonts w:hint="eastAsia" w:ascii="宋体" w:hAnsi="宋体" w:cs="宋体"/>
          <w:b/>
          <w:color w:val="auto"/>
          <w:sz w:val="24"/>
          <w:highlight w:val="none"/>
        </w:rPr>
        <w:t>/两年（固定折扣率为：</w:t>
      </w:r>
      <w:r>
        <w:rPr>
          <w:rFonts w:hint="eastAsia" w:ascii="宋体" w:hAnsi="宋体" w:cs="宋体"/>
          <w:b/>
          <w:color w:val="auto"/>
          <w:sz w:val="24"/>
          <w:highlight w:val="none"/>
          <w:u w:val="single"/>
        </w:rPr>
        <w:t>85%</w:t>
      </w:r>
      <w:r>
        <w:rPr>
          <w:rFonts w:hint="eastAsia" w:ascii="宋体" w:hAnsi="宋体" w:cs="宋体"/>
          <w:b/>
          <w:color w:val="auto"/>
          <w:sz w:val="24"/>
          <w:highlight w:val="none"/>
        </w:rPr>
        <w:t xml:space="preserve"> ），该部分费用为不可竞争费用，采用固定金额及对应固定折扣率；食堂运营及管理费用：</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元（折合成每月为</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元/月），后期除服务范围调整、特殊情况下的加班等甲方认可的情形外，此部分价格后期不作调整。</w:t>
      </w:r>
    </w:p>
    <w:p w14:paraId="3956DFBF">
      <w:pPr>
        <w:tabs>
          <w:tab w:val="left" w:pos="735"/>
          <w:tab w:val="left" w:pos="1260"/>
        </w:tabs>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注：如遇特殊情况，应甲方需求，乙方务必配备相应数量及专业的服务人员以满足食堂运行的正常需要，期间产生的加班费用，甲方另行按实结算，具体加班人员数量和人员名单须经甲方审核同意，加班费按如下要求进行结算：以乙方加班人员当年月工资标准÷176小时作为计算基数，该费用不包含在本次合同金额内。</w:t>
      </w:r>
    </w:p>
    <w:p w14:paraId="54D26A04">
      <w:pPr>
        <w:tabs>
          <w:tab w:val="left" w:pos="735"/>
          <w:tab w:val="left" w:pos="1260"/>
        </w:tabs>
        <w:spacing w:line="360" w:lineRule="auto"/>
        <w:ind w:firstLine="482" w:firstLineChars="200"/>
        <w:rPr>
          <w:rFonts w:ascii="宋体" w:hAnsi="宋体" w:cs="宋体"/>
          <w:color w:val="auto"/>
          <w:sz w:val="24"/>
          <w:highlight w:val="none"/>
          <w:u w:val="single"/>
        </w:rPr>
      </w:pPr>
      <w:r>
        <w:rPr>
          <w:rFonts w:hint="eastAsia" w:ascii="宋体" w:hAnsi="宋体" w:cs="宋体"/>
          <w:b/>
          <w:bCs/>
          <w:color w:val="auto"/>
          <w:sz w:val="24"/>
          <w:highlight w:val="none"/>
        </w:rPr>
        <w:t>三、中标服务期：</w:t>
      </w:r>
      <w:r>
        <w:rPr>
          <w:rFonts w:hint="eastAsia" w:ascii="宋体" w:hAnsi="宋体" w:cs="宋体"/>
          <w:color w:val="auto"/>
          <w:sz w:val="24"/>
          <w:highlight w:val="none"/>
          <w:u w:val="single"/>
        </w:rPr>
        <w:t>两年（自       年      月     日-      年     月     日止），合同一年一签订</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u w:val="single"/>
        </w:rPr>
        <w:t>合同履约期内，须严格遵守甲方的考核标准，如考核评价未达到甲方要求（指食堂卫生或食材采购及配送或食堂运营及管理中任一项连续三个月考核得分在75分以下的），甲方有权无条件单方面终止合同。</w:t>
      </w:r>
    </w:p>
    <w:p w14:paraId="273A0E2C">
      <w:pPr>
        <w:widowControl/>
        <w:tabs>
          <w:tab w:val="left" w:pos="735"/>
          <w:tab w:val="left" w:pos="1260"/>
        </w:tabs>
        <w:spacing w:line="360" w:lineRule="auto"/>
        <w:ind w:firstLine="482" w:firstLineChars="200"/>
        <w:jc w:val="left"/>
        <w:rPr>
          <w:color w:val="auto"/>
          <w:highlight w:val="none"/>
        </w:rPr>
      </w:pPr>
      <w:r>
        <w:rPr>
          <w:rFonts w:hint="eastAsia" w:ascii="宋体" w:hAnsi="宋体" w:cs="宋体"/>
          <w:b/>
          <w:color w:val="auto"/>
          <w:sz w:val="24"/>
          <w:highlight w:val="none"/>
        </w:rPr>
        <w:t>四、合同服务期：</w:t>
      </w:r>
      <w:r>
        <w:rPr>
          <w:rFonts w:hint="eastAsia" w:ascii="宋体" w:hAnsi="宋体" w:cs="宋体"/>
          <w:bCs/>
          <w:color w:val="auto"/>
          <w:sz w:val="24"/>
          <w:highlight w:val="none"/>
          <w:u w:val="single"/>
        </w:rPr>
        <w:t>一年，自   年   月   日至    年   月    日</w:t>
      </w:r>
    </w:p>
    <w:p w14:paraId="793E64FB">
      <w:pPr>
        <w:tabs>
          <w:tab w:val="left" w:pos="735"/>
          <w:tab w:val="left" w:pos="1260"/>
        </w:tabs>
        <w:spacing w:line="360" w:lineRule="auto"/>
        <w:ind w:firstLine="480"/>
        <w:rPr>
          <w:rFonts w:ascii="宋体" w:hAnsi="宋体" w:cs="宋体"/>
          <w:bCs/>
          <w:color w:val="auto"/>
          <w:sz w:val="24"/>
          <w:highlight w:val="none"/>
        </w:rPr>
      </w:pPr>
      <w:r>
        <w:rPr>
          <w:rFonts w:hint="eastAsia" w:ascii="宋体" w:hAnsi="宋体" w:cs="宋体"/>
          <w:b/>
          <w:color w:val="auto"/>
          <w:sz w:val="24"/>
          <w:highlight w:val="none"/>
        </w:rPr>
        <w:t>五、服务地点和方式：</w:t>
      </w:r>
      <w:r>
        <w:rPr>
          <w:rFonts w:hint="eastAsia" w:ascii="宋体" w:hAnsi="宋体" w:cs="宋体"/>
          <w:bCs/>
          <w:color w:val="auto"/>
          <w:sz w:val="24"/>
          <w:highlight w:val="none"/>
          <w:u w:val="single"/>
        </w:rPr>
        <w:t>无锡市惠山区阳山镇。</w:t>
      </w:r>
    </w:p>
    <w:p w14:paraId="69B4D775">
      <w:pPr>
        <w:tabs>
          <w:tab w:val="left" w:pos="735"/>
          <w:tab w:val="left" w:pos="1260"/>
        </w:tabs>
        <w:spacing w:line="360" w:lineRule="auto"/>
        <w:ind w:firstLine="480"/>
        <w:rPr>
          <w:rFonts w:ascii="宋体" w:hAnsi="宋体" w:cs="宋体"/>
          <w:bCs/>
          <w:color w:val="auto"/>
          <w:sz w:val="24"/>
          <w:highlight w:val="none"/>
          <w:u w:val="single"/>
        </w:rPr>
      </w:pPr>
      <w:r>
        <w:rPr>
          <w:rFonts w:hint="eastAsia" w:ascii="宋体" w:hAnsi="宋体" w:cs="宋体"/>
          <w:b/>
          <w:color w:val="auto"/>
          <w:sz w:val="24"/>
          <w:highlight w:val="none"/>
        </w:rPr>
        <w:t>六、服务质量标准：</w:t>
      </w:r>
      <w:r>
        <w:rPr>
          <w:rFonts w:hint="eastAsia" w:ascii="宋体" w:hAnsi="宋体" w:cs="宋体"/>
          <w:color w:val="auto"/>
          <w:sz w:val="24"/>
          <w:highlight w:val="none"/>
          <w:u w:val="single"/>
        </w:rPr>
        <w:t>食材符合国家相关食品安全卫生标准，服务达到甲方要求</w:t>
      </w:r>
      <w:r>
        <w:rPr>
          <w:rFonts w:hint="eastAsia" w:ascii="宋体" w:hAnsi="宋体" w:cs="宋体"/>
          <w:bCs/>
          <w:color w:val="auto"/>
          <w:sz w:val="24"/>
          <w:highlight w:val="none"/>
          <w:u w:val="single"/>
        </w:rPr>
        <w:t>。</w:t>
      </w:r>
    </w:p>
    <w:p w14:paraId="59BAA175">
      <w:pPr>
        <w:widowControl/>
        <w:spacing w:line="360" w:lineRule="auto"/>
        <w:ind w:firstLine="480"/>
        <w:jc w:val="left"/>
        <w:rPr>
          <w:rFonts w:ascii="宋体" w:hAnsi="宋体" w:cs="宋体"/>
          <w:b/>
          <w:color w:val="auto"/>
          <w:sz w:val="24"/>
          <w:highlight w:val="none"/>
        </w:rPr>
      </w:pPr>
      <w:r>
        <w:rPr>
          <w:rFonts w:hint="eastAsia" w:ascii="宋体" w:hAnsi="宋体" w:cs="宋体"/>
          <w:b/>
          <w:color w:val="auto"/>
          <w:sz w:val="24"/>
          <w:highlight w:val="none"/>
        </w:rPr>
        <w:t>七、合同价款支付步骤和办法：</w:t>
      </w:r>
      <w:bookmarkEnd w:id="898"/>
    </w:p>
    <w:p w14:paraId="67D0EC4E">
      <w:pPr>
        <w:widowControl/>
        <w:spacing w:line="360" w:lineRule="auto"/>
        <w:ind w:firstLine="480"/>
        <w:jc w:val="left"/>
        <w:rPr>
          <w:rFonts w:ascii="宋体" w:hAnsi="宋体" w:cs="宋体"/>
          <w:bCs/>
          <w:color w:val="auto"/>
          <w:sz w:val="24"/>
          <w:highlight w:val="none"/>
          <w:u w:val="single"/>
        </w:rPr>
      </w:pPr>
      <w:r>
        <w:rPr>
          <w:rFonts w:hint="eastAsia" w:ascii="宋体" w:hAnsi="宋体" w:cs="宋体"/>
          <w:bCs/>
          <w:color w:val="auto"/>
          <w:sz w:val="24"/>
          <w:highlight w:val="none"/>
          <w:u w:val="single"/>
        </w:rPr>
        <w:t>1）预付款：合同签订生效后支付合同价款的10%作为预付款；在合同签订后的第一期应付款项中一次性扣除；若预付款扣回金额大于当期应支付款项，剩余部分顺延至下一期扣回，直至最后一期付款前扣回。</w:t>
      </w:r>
    </w:p>
    <w:p w14:paraId="55064E44">
      <w:pPr>
        <w:tabs>
          <w:tab w:val="left" w:pos="735"/>
          <w:tab w:val="left" w:pos="1260"/>
        </w:tabs>
        <w:spacing w:line="360" w:lineRule="auto"/>
        <w:ind w:firstLine="480"/>
        <w:rPr>
          <w:rFonts w:ascii="宋体" w:hAnsi="宋体" w:cs="宋体"/>
          <w:bCs/>
          <w:color w:val="auto"/>
          <w:sz w:val="24"/>
          <w:highlight w:val="none"/>
          <w:u w:val="single"/>
        </w:rPr>
      </w:pPr>
      <w:r>
        <w:rPr>
          <w:rFonts w:hint="eastAsia" w:ascii="宋体" w:hAnsi="宋体" w:cs="宋体"/>
          <w:bCs/>
          <w:color w:val="auto"/>
          <w:sz w:val="24"/>
          <w:highlight w:val="none"/>
          <w:u w:val="single"/>
        </w:rPr>
        <w:t>2）食堂运营及管理费用：每月支付一次（结合甲方考核情况），于服务期第2个月开始每月支付上个月的食堂运营及管理费用，应付金额为该部分合同金额/12-上个月的考核扣款（如有）。注：如遇特殊情况，应甲方需求，乙方务必配备相应数量及专业的服务人员以满足食堂运行的正常需要，期间产生的加班费用，甲方另行按实结算，具体加班人员数量和人员名单须经甲方审核同意，加班费按如下要求进行结算：以乙方加班人员当年月工资标准÷176小时作为计算基数，该费用不包含在本次合同金额内。</w:t>
      </w:r>
    </w:p>
    <w:p w14:paraId="6DF5700D">
      <w:pPr>
        <w:tabs>
          <w:tab w:val="left" w:pos="735"/>
          <w:tab w:val="left" w:pos="1260"/>
        </w:tabs>
        <w:spacing w:line="360" w:lineRule="auto"/>
        <w:ind w:firstLine="480"/>
        <w:rPr>
          <w:rFonts w:ascii="宋体" w:hAnsi="宋体" w:cs="宋体"/>
          <w:bCs/>
          <w:color w:val="auto"/>
          <w:sz w:val="24"/>
          <w:highlight w:val="none"/>
          <w:u w:val="single"/>
        </w:rPr>
      </w:pPr>
      <w:r>
        <w:rPr>
          <w:rFonts w:hint="eastAsia" w:ascii="宋体" w:hAnsi="宋体" w:cs="宋体"/>
          <w:bCs/>
          <w:color w:val="auto"/>
          <w:sz w:val="24"/>
          <w:highlight w:val="none"/>
          <w:u w:val="single"/>
        </w:rPr>
        <w:t>3）食材采购及配送费用：1）按月支付（结合甲方考核情况），甲方按照无锡市发展和改革委员会官网民生价费专栏当月的算术平均价*中标折扣率（85%）进行结算（如发改委网站上没有的货品，可参考政府采购网上商城价格或者无锡市天惠或欧尚商城官网、无锡市朝阳农产品大市场等的价格），在此基础上*中标折扣率（85%）进行结算。结算数量按甲方实际验收数量为准，乙方应每日做好统计及计算工作。公示栏中未列明但临时需要供货的特殊品种，中标供应商须到超市（天惠、欧尚等）采购，供货价不得高于超市价格，以采购发票为准。2）定价方法：无锡市发展和改革委员会官网民生价费专栏当日或近期最新食材价（如发改委网站上没有的货品，可参考政府采购网上商城价格或者无锡市天惠或欧尚商城官网、无锡市朝阳农产品大市场等的价格）。</w:t>
      </w:r>
    </w:p>
    <w:p w14:paraId="7BD88B65">
      <w:pPr>
        <w:tabs>
          <w:tab w:val="left" w:pos="735"/>
          <w:tab w:val="left" w:pos="1260"/>
        </w:tabs>
        <w:spacing w:line="360" w:lineRule="auto"/>
        <w:ind w:firstLine="480"/>
        <w:rPr>
          <w:rFonts w:ascii="宋体" w:hAnsi="宋体" w:cs="宋体"/>
          <w:bCs/>
          <w:color w:val="auto"/>
          <w:sz w:val="24"/>
          <w:highlight w:val="none"/>
        </w:rPr>
      </w:pPr>
      <w:r>
        <w:rPr>
          <w:rFonts w:hint="eastAsia" w:ascii="宋体" w:hAnsi="宋体" w:cs="宋体"/>
          <w:b/>
          <w:color w:val="auto"/>
          <w:sz w:val="24"/>
          <w:highlight w:val="none"/>
        </w:rPr>
        <w:t>七、项目考核：</w:t>
      </w:r>
    </w:p>
    <w:p w14:paraId="3D689874">
      <w:pPr>
        <w:tabs>
          <w:tab w:val="left" w:pos="735"/>
          <w:tab w:val="left" w:pos="1260"/>
        </w:tabs>
        <w:spacing w:line="360" w:lineRule="auto"/>
        <w:ind w:firstLine="480"/>
        <w:rPr>
          <w:rFonts w:ascii="宋体" w:hAnsi="宋体" w:cs="宋体"/>
          <w:bCs/>
          <w:color w:val="auto"/>
          <w:sz w:val="24"/>
          <w:highlight w:val="none"/>
          <w:u w:val="single"/>
        </w:rPr>
      </w:pPr>
      <w:r>
        <w:rPr>
          <w:rFonts w:hint="eastAsia" w:ascii="宋体" w:hAnsi="宋体" w:cs="宋体"/>
          <w:bCs/>
          <w:color w:val="auto"/>
          <w:sz w:val="24"/>
          <w:highlight w:val="none"/>
          <w:u w:val="single"/>
        </w:rPr>
        <w:t>1.《食材采购及配送》、《食堂运营及管理》、《食堂卫生》按月考核。</w:t>
      </w:r>
    </w:p>
    <w:p w14:paraId="70AD703B">
      <w:pPr>
        <w:tabs>
          <w:tab w:val="left" w:pos="735"/>
          <w:tab w:val="left" w:pos="1260"/>
        </w:tabs>
        <w:spacing w:line="360" w:lineRule="auto"/>
        <w:ind w:firstLine="480"/>
        <w:rPr>
          <w:rFonts w:ascii="宋体" w:hAnsi="宋体" w:cs="宋体"/>
          <w:bCs/>
          <w:color w:val="auto"/>
          <w:sz w:val="24"/>
          <w:highlight w:val="none"/>
          <w:u w:val="single"/>
        </w:rPr>
      </w:pPr>
      <w:r>
        <w:rPr>
          <w:rFonts w:hint="eastAsia" w:ascii="宋体" w:hAnsi="宋体" w:cs="宋体"/>
          <w:bCs/>
          <w:color w:val="auto"/>
          <w:sz w:val="24"/>
          <w:highlight w:val="none"/>
          <w:u w:val="single"/>
        </w:rPr>
        <w:t>2.当月《食材采购及配送》考核得分高于90分的，当月《食材采购及配送》结算费用正常支付；考核得分在80-89分之间的，当月《食材采购及配送》结算费用扣除5000元；考核得分75-79分之间的，当月《食材采购及配送》结算费用扣除10000元；考核得分75分以下的，当月《食材采购及配送》结算费用扣除20000元。</w:t>
      </w:r>
    </w:p>
    <w:p w14:paraId="48B77C52">
      <w:pPr>
        <w:tabs>
          <w:tab w:val="left" w:pos="735"/>
          <w:tab w:val="left" w:pos="1260"/>
        </w:tabs>
        <w:spacing w:line="360" w:lineRule="auto"/>
        <w:ind w:firstLine="480"/>
        <w:rPr>
          <w:rFonts w:ascii="宋体" w:hAnsi="宋体" w:cs="宋体"/>
          <w:bCs/>
          <w:color w:val="auto"/>
          <w:sz w:val="24"/>
          <w:highlight w:val="none"/>
          <w:u w:val="single"/>
        </w:rPr>
      </w:pPr>
      <w:r>
        <w:rPr>
          <w:rFonts w:hint="eastAsia" w:ascii="宋体" w:hAnsi="宋体" w:cs="宋体"/>
          <w:bCs/>
          <w:color w:val="auto"/>
          <w:sz w:val="24"/>
          <w:highlight w:val="none"/>
          <w:u w:val="single"/>
        </w:rPr>
        <w:t>3.当月《食堂运营及管理》、《食堂卫生》考核得分均高于90分的，当月《食堂运营及管理》结算费用正常支付；考核得分在80-89分之间的，当月《食堂运营及管理》结算费用扣除5000元；考核得分75-79分之间的，当月《食堂运营及管理》结算费用扣除10000元；考核得分75分以下的，当月《食堂运营及管理》结算费用扣除20000元。（注：付款时，如《食堂运营及管理》、《食堂卫生》考核得分不在同一个得分区间的，按得分低者为准）</w:t>
      </w:r>
    </w:p>
    <w:p w14:paraId="42293D6A">
      <w:pPr>
        <w:tabs>
          <w:tab w:val="left" w:pos="735"/>
          <w:tab w:val="left" w:pos="1260"/>
        </w:tabs>
        <w:spacing w:line="360" w:lineRule="auto"/>
        <w:ind w:firstLine="480"/>
        <w:rPr>
          <w:rFonts w:ascii="宋体" w:hAnsi="宋体" w:cs="宋体"/>
          <w:b/>
          <w:color w:val="auto"/>
          <w:sz w:val="24"/>
          <w:highlight w:val="none"/>
        </w:rPr>
      </w:pPr>
      <w:r>
        <w:rPr>
          <w:rFonts w:hint="eastAsia" w:ascii="宋体" w:hAnsi="宋体" w:cs="宋体"/>
          <w:b/>
          <w:color w:val="auto"/>
          <w:sz w:val="24"/>
          <w:highlight w:val="none"/>
        </w:rPr>
        <w:t>八</w:t>
      </w:r>
      <w:r>
        <w:rPr>
          <w:rFonts w:hint="eastAsia" w:ascii="宋体" w:hAnsi="宋体" w:cs="宋体"/>
          <w:b/>
          <w:color w:val="auto"/>
          <w:sz w:val="24"/>
          <w:highlight w:val="none"/>
          <w:lang w:val="zh-CN"/>
        </w:rPr>
        <w:t>、合同文件的优先次序</w:t>
      </w:r>
      <w:r>
        <w:rPr>
          <w:rFonts w:hint="eastAsia" w:ascii="宋体" w:hAnsi="宋体" w:cs="宋体"/>
          <w:b/>
          <w:color w:val="auto"/>
          <w:sz w:val="24"/>
          <w:highlight w:val="none"/>
        </w:rPr>
        <w:t>：</w:t>
      </w:r>
    </w:p>
    <w:p w14:paraId="4325ED5D">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构成本合同的文件可视为是能互相说明的，如果合同文件存在歧义或不一致，则根据如下优先次序来判断：</w:t>
      </w:r>
    </w:p>
    <w:p w14:paraId="210FEB2B">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1.合同书---（有）</w:t>
      </w:r>
    </w:p>
    <w:p w14:paraId="7ABD970D">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2.中标通知书---（有）</w:t>
      </w:r>
    </w:p>
    <w:p w14:paraId="5658C409">
      <w:pPr>
        <w:spacing w:line="360" w:lineRule="auto"/>
        <w:ind w:firstLine="482"/>
        <w:rPr>
          <w:rFonts w:ascii="宋体" w:hAnsi="宋体" w:cs="宋体"/>
          <w:color w:val="auto"/>
          <w:sz w:val="24"/>
          <w:highlight w:val="none"/>
        </w:rPr>
      </w:pPr>
      <w:r>
        <w:rPr>
          <w:rFonts w:hint="eastAsia" w:ascii="宋体" w:hAnsi="宋体" w:cs="宋体"/>
          <w:color w:val="auto"/>
          <w:sz w:val="24"/>
          <w:highlight w:val="none"/>
        </w:rPr>
        <w:t>3.甲方要求及委托书---（有）</w:t>
      </w:r>
    </w:p>
    <w:p w14:paraId="26655FEB">
      <w:pPr>
        <w:spacing w:line="360" w:lineRule="auto"/>
        <w:ind w:firstLine="480"/>
        <w:rPr>
          <w:rFonts w:ascii="宋体" w:hAnsi="宋体" w:cs="宋体"/>
          <w:bCs/>
          <w:color w:val="auto"/>
          <w:sz w:val="24"/>
          <w:highlight w:val="none"/>
        </w:rPr>
      </w:pPr>
      <w:r>
        <w:rPr>
          <w:rFonts w:hint="eastAsia" w:ascii="宋体" w:hAnsi="宋体" w:cs="宋体"/>
          <w:color w:val="auto"/>
          <w:sz w:val="24"/>
          <w:highlight w:val="none"/>
        </w:rPr>
        <w:t>4.投</w:t>
      </w:r>
      <w:r>
        <w:rPr>
          <w:rFonts w:hint="eastAsia" w:ascii="宋体" w:hAnsi="宋体" w:cs="宋体"/>
          <w:bCs/>
          <w:color w:val="auto"/>
          <w:sz w:val="24"/>
          <w:highlight w:val="none"/>
        </w:rPr>
        <w:t>标文件---（有）</w:t>
      </w:r>
    </w:p>
    <w:p w14:paraId="1A1D7B43">
      <w:pPr>
        <w:tabs>
          <w:tab w:val="left" w:pos="735"/>
          <w:tab w:val="left" w:pos="1260"/>
        </w:tabs>
        <w:spacing w:line="360" w:lineRule="auto"/>
        <w:ind w:firstLine="480"/>
        <w:rPr>
          <w:rFonts w:ascii="宋体" w:hAnsi="宋体" w:cs="宋体"/>
          <w:b/>
          <w:color w:val="auto"/>
          <w:sz w:val="24"/>
          <w:highlight w:val="none"/>
          <w:lang w:val="zh-CN"/>
        </w:rPr>
      </w:pPr>
      <w:r>
        <w:rPr>
          <w:rFonts w:hint="eastAsia" w:ascii="宋体" w:hAnsi="宋体" w:cs="宋体"/>
          <w:b/>
          <w:color w:val="auto"/>
          <w:sz w:val="24"/>
          <w:highlight w:val="none"/>
        </w:rPr>
        <w:t>九</w:t>
      </w:r>
      <w:r>
        <w:rPr>
          <w:rFonts w:hint="eastAsia" w:ascii="宋体" w:hAnsi="宋体" w:cs="宋体"/>
          <w:b/>
          <w:color w:val="auto"/>
          <w:sz w:val="24"/>
          <w:highlight w:val="none"/>
          <w:lang w:val="zh-CN"/>
        </w:rPr>
        <w:t>、履约保证金：</w:t>
      </w:r>
    </w:p>
    <w:p w14:paraId="780E785A">
      <w:pPr>
        <w:tabs>
          <w:tab w:val="left" w:pos="735"/>
          <w:tab w:val="left" w:pos="1260"/>
        </w:tabs>
        <w:spacing w:line="360" w:lineRule="auto"/>
        <w:ind w:firstLine="480"/>
        <w:rPr>
          <w:rFonts w:ascii="宋体" w:hAnsi="宋体" w:cs="宋体"/>
          <w:bCs/>
          <w:color w:val="auto"/>
          <w:sz w:val="24"/>
          <w:highlight w:val="none"/>
          <w:lang w:val="zh-CN"/>
        </w:rPr>
      </w:pPr>
      <w:r>
        <w:rPr>
          <w:rFonts w:hint="eastAsia" w:ascii="宋体" w:hAnsi="宋体" w:cs="宋体"/>
          <w:bCs/>
          <w:color w:val="auto"/>
          <w:sz w:val="24"/>
          <w:highlight w:val="none"/>
          <w:lang w:val="zh-CN"/>
        </w:rPr>
        <w:t>乙方签订合同时，需一次性缴纳履约保证金，履约保证金金额为中标总金额的10。</w:t>
      </w:r>
    </w:p>
    <w:p w14:paraId="5E2C0BAE">
      <w:pPr>
        <w:tabs>
          <w:tab w:val="left" w:pos="735"/>
          <w:tab w:val="left" w:pos="1260"/>
        </w:tabs>
        <w:spacing w:line="360" w:lineRule="auto"/>
        <w:ind w:firstLine="480"/>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乙方提供履约担保的形式及期限： </w:t>
      </w:r>
    </w:p>
    <w:p w14:paraId="5AC8FD22">
      <w:pPr>
        <w:tabs>
          <w:tab w:val="left" w:pos="735"/>
          <w:tab w:val="left" w:pos="1260"/>
        </w:tabs>
        <w:spacing w:line="360" w:lineRule="auto"/>
        <w:ind w:firstLine="480"/>
        <w:rPr>
          <w:rFonts w:ascii="宋体" w:hAnsi="宋体" w:cs="宋体"/>
          <w:bCs/>
          <w:color w:val="auto"/>
          <w:sz w:val="24"/>
          <w:highlight w:val="none"/>
          <w:lang w:val="zh-CN"/>
        </w:rPr>
      </w:pPr>
      <w:r>
        <w:rPr>
          <w:rFonts w:hint="eastAsia" w:ascii="宋体" w:hAnsi="宋体" w:cs="宋体"/>
          <w:bCs/>
          <w:color w:val="auto"/>
          <w:sz w:val="24"/>
          <w:highlight w:val="none"/>
        </w:rPr>
        <w:t>1.</w:t>
      </w:r>
      <w:r>
        <w:rPr>
          <w:rFonts w:hint="eastAsia" w:ascii="宋体" w:hAnsi="宋体" w:cs="宋体"/>
          <w:bCs/>
          <w:color w:val="auto"/>
          <w:sz w:val="24"/>
          <w:highlight w:val="none"/>
          <w:lang w:val="zh-CN"/>
        </w:rPr>
        <w:t>履约保证金缴纳形式：支票、汇票、本票、保函、电汇等非现金方式缴纳。</w:t>
      </w:r>
    </w:p>
    <w:p w14:paraId="6BA3E2E8">
      <w:pPr>
        <w:tabs>
          <w:tab w:val="left" w:pos="735"/>
          <w:tab w:val="left" w:pos="1260"/>
        </w:tabs>
        <w:spacing w:line="360" w:lineRule="auto"/>
        <w:ind w:firstLine="480"/>
        <w:rPr>
          <w:rFonts w:ascii="宋体" w:hAnsi="宋体" w:cs="宋体"/>
          <w:bCs/>
          <w:color w:val="auto"/>
          <w:sz w:val="24"/>
          <w:highlight w:val="none"/>
          <w:lang w:val="zh-CN"/>
        </w:rPr>
      </w:pPr>
      <w:r>
        <w:rPr>
          <w:rFonts w:hint="eastAsia" w:ascii="宋体" w:hAnsi="宋体" w:cs="宋体"/>
          <w:bCs/>
          <w:color w:val="auto"/>
          <w:sz w:val="24"/>
          <w:highlight w:val="none"/>
        </w:rPr>
        <w:t>2.</w:t>
      </w:r>
      <w:r>
        <w:rPr>
          <w:rFonts w:hint="eastAsia" w:ascii="宋体" w:hAnsi="宋体" w:cs="宋体"/>
          <w:bCs/>
          <w:color w:val="auto"/>
          <w:sz w:val="24"/>
          <w:highlight w:val="none"/>
          <w:lang w:val="zh-CN"/>
        </w:rPr>
        <w:t>如果乙方未能履行合同规定的任何义务，甲方有权从履约保证金中取得补偿。</w:t>
      </w:r>
    </w:p>
    <w:p w14:paraId="0944CB28">
      <w:pPr>
        <w:tabs>
          <w:tab w:val="left" w:pos="735"/>
          <w:tab w:val="left" w:pos="1260"/>
        </w:tabs>
        <w:spacing w:line="360" w:lineRule="auto"/>
        <w:ind w:firstLine="480"/>
        <w:rPr>
          <w:rFonts w:ascii="宋体" w:hAnsi="宋体" w:cs="宋体"/>
          <w:bCs/>
          <w:color w:val="auto"/>
          <w:sz w:val="24"/>
          <w:highlight w:val="none"/>
          <w:lang w:val="zh-CN"/>
        </w:rPr>
      </w:pPr>
      <w:r>
        <w:rPr>
          <w:rFonts w:hint="eastAsia" w:ascii="宋体" w:hAnsi="宋体" w:cs="宋体"/>
          <w:bCs/>
          <w:color w:val="auto"/>
          <w:sz w:val="24"/>
          <w:highlight w:val="none"/>
        </w:rPr>
        <w:t>3.</w:t>
      </w:r>
      <w:r>
        <w:rPr>
          <w:rFonts w:hint="eastAsia" w:ascii="宋体" w:hAnsi="宋体" w:cs="宋体"/>
          <w:bCs/>
          <w:color w:val="auto"/>
          <w:sz w:val="24"/>
          <w:highlight w:val="none"/>
          <w:lang w:val="zh-CN"/>
        </w:rPr>
        <w:t>履约保证金退还时间、方式：履约保证金（无息）将在服务期满并验收合格后无息退回。</w:t>
      </w:r>
    </w:p>
    <w:p w14:paraId="2F326E29">
      <w:pPr>
        <w:tabs>
          <w:tab w:val="left" w:pos="735"/>
          <w:tab w:val="left" w:pos="1260"/>
        </w:tabs>
        <w:spacing w:line="360" w:lineRule="auto"/>
        <w:ind w:firstLine="480"/>
        <w:rPr>
          <w:rFonts w:ascii="宋体" w:hAnsi="宋体" w:cs="宋体"/>
          <w:bCs/>
          <w:color w:val="auto"/>
          <w:sz w:val="24"/>
          <w:highlight w:val="none"/>
          <w:lang w:val="zh-CN"/>
        </w:rPr>
      </w:pPr>
      <w:r>
        <w:rPr>
          <w:rFonts w:hint="eastAsia" w:ascii="宋体" w:hAnsi="宋体" w:cs="宋体"/>
          <w:bCs/>
          <w:color w:val="auto"/>
          <w:sz w:val="24"/>
          <w:highlight w:val="none"/>
        </w:rPr>
        <w:t>4.</w:t>
      </w:r>
      <w:r>
        <w:rPr>
          <w:rFonts w:hint="eastAsia" w:ascii="宋体" w:hAnsi="宋体" w:cs="宋体"/>
          <w:bCs/>
          <w:color w:val="auto"/>
          <w:sz w:val="24"/>
          <w:highlight w:val="none"/>
          <w:lang w:val="zh-CN"/>
        </w:rPr>
        <w:t>履约过程中乙方在服务期限、服务质量、安全作业、现场管理及服务人员配备、将中标项目转包或分包给他人的、拒绝履行合同义务等方面发生的不履约或违背合同规定的责任和义务的行为，都可能导致甲方扣缴其部分乃至全部履约保证金。</w:t>
      </w:r>
    </w:p>
    <w:p w14:paraId="3CB8F050">
      <w:pPr>
        <w:tabs>
          <w:tab w:val="left" w:pos="735"/>
          <w:tab w:val="left" w:pos="1260"/>
        </w:tabs>
        <w:spacing w:line="360" w:lineRule="auto"/>
        <w:ind w:firstLine="480"/>
        <w:rPr>
          <w:rFonts w:ascii="宋体" w:hAnsi="宋体" w:cs="宋体"/>
          <w:b/>
          <w:color w:val="auto"/>
          <w:sz w:val="24"/>
          <w:highlight w:val="none"/>
          <w:lang w:val="zh-CN"/>
        </w:rPr>
      </w:pPr>
      <w:r>
        <w:rPr>
          <w:rFonts w:hint="eastAsia" w:ascii="宋体" w:hAnsi="宋体" w:cs="宋体"/>
          <w:b/>
          <w:color w:val="auto"/>
          <w:sz w:val="24"/>
          <w:highlight w:val="none"/>
        </w:rPr>
        <w:t>十</w:t>
      </w:r>
      <w:r>
        <w:rPr>
          <w:rFonts w:hint="eastAsia" w:ascii="宋体" w:hAnsi="宋体" w:cs="宋体"/>
          <w:b/>
          <w:color w:val="auto"/>
          <w:sz w:val="24"/>
          <w:highlight w:val="none"/>
          <w:lang w:val="zh-CN"/>
        </w:rPr>
        <w:t>、具体服务内容及要求：</w:t>
      </w:r>
    </w:p>
    <w:p w14:paraId="1DE8099A">
      <w:pPr>
        <w:widowControl/>
        <w:spacing w:line="360" w:lineRule="auto"/>
        <w:ind w:firstLine="789" w:firstLineChars="329"/>
        <w:outlineLvl w:val="0"/>
        <w:rPr>
          <w:rFonts w:ascii="宋体" w:hAnsi="宋体" w:cs="宋体"/>
          <w:color w:val="auto"/>
          <w:sz w:val="24"/>
          <w:highlight w:val="none"/>
        </w:rPr>
      </w:pPr>
      <w:r>
        <w:rPr>
          <w:rFonts w:hint="eastAsia" w:ascii="宋体" w:hAnsi="宋体" w:cs="宋体"/>
          <w:color w:val="auto"/>
          <w:sz w:val="24"/>
          <w:highlight w:val="none"/>
        </w:rPr>
        <w:t>服务内容：负责提供食堂</w:t>
      </w:r>
      <w:r>
        <w:rPr>
          <w:rFonts w:hint="eastAsia" w:ascii="宋体" w:hAnsi="宋体" w:cs="宋体"/>
          <w:bCs/>
          <w:color w:val="auto"/>
          <w:sz w:val="24"/>
          <w:highlight w:val="none"/>
        </w:rPr>
        <w:t>运营及管理、食材采购及配送以及其他相关配套服务。具体服务内容包括但不限于负责食品原材料的采购、核价及成本核算和餐费收取；提供服务人员及技术服务，负责菜单制定、菜点制作、售卖、餐饮工艺流程实施、管理、餐厅厨房保洁、服务等</w:t>
      </w:r>
      <w:r>
        <w:rPr>
          <w:rFonts w:hint="eastAsia" w:ascii="宋体" w:hAnsi="宋体" w:cs="宋体"/>
          <w:color w:val="auto"/>
          <w:sz w:val="24"/>
          <w:highlight w:val="none"/>
        </w:rPr>
        <w:t>。</w:t>
      </w:r>
    </w:p>
    <w:p w14:paraId="69C518EF">
      <w:pPr>
        <w:spacing w:line="360" w:lineRule="auto"/>
        <w:ind w:firstLine="482" w:firstLineChars="200"/>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1.食材配送要求：</w:t>
      </w:r>
    </w:p>
    <w:p w14:paraId="495A674F">
      <w:pPr>
        <w:pStyle w:val="61"/>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1）乙方应提前一天规划并罗列好次日所有需配送的食材品种《送货清单》，报甲方审核确认，每天早上7：00前送到甲方指定的地点并配送完毕，乙方提供《送货清单》一式两份，甲方、乙方双方现场过秤并验收签名，作为结算凭证。</w:t>
      </w:r>
    </w:p>
    <w:p w14:paraId="2C3A1D6A">
      <w:pPr>
        <w:pStyle w:val="61"/>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（2）所有品种按除箱净重过磅，最终交易重量以双方确认的过磅数为准。</w:t>
      </w:r>
    </w:p>
    <w:p w14:paraId="4C872B92">
      <w:pPr>
        <w:pStyle w:val="61"/>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（3）乙方不得随意变更《送货清单》内的品种、质量、规格、数量，如因货源不足或个别品种因缺货而无法提供等因素，乙方不能满足甲方需求，需调换食材品种时，必须于接到通知后</w:t>
      </w:r>
      <w:r>
        <w:rPr>
          <w:rFonts w:hint="eastAsia" w:cs="宋体"/>
          <w:color w:val="auto"/>
          <w:szCs w:val="24"/>
          <w:highlight w:val="none"/>
        </w:rPr>
        <w:t>3</w:t>
      </w:r>
      <w:r>
        <w:rPr>
          <w:rFonts w:hint="eastAsia" w:ascii="宋体" w:hAnsi="宋体" w:cs="宋体"/>
          <w:color w:val="auto"/>
          <w:szCs w:val="24"/>
          <w:highlight w:val="none"/>
        </w:rPr>
        <w:t>小时内及时知会甲方，经甲方同意后，按协商后的品种、质量、规格、数量将副食品于次日7:00前配送至甲方指定的地点，相关费用由乙方承担。如乙方未及时通知甲方，导致无法及时供货的，乙方须承担当日所有供货食材总金额的两倍罚款，出现三次及以上上述情况的，甲方有权立即终止合同，且乙方须向甲方支付5%合同总金额的赔偿金。</w:t>
      </w:r>
    </w:p>
    <w:p w14:paraId="789F657D">
      <w:pPr>
        <w:pStyle w:val="61"/>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4）如遇特殊、紧急情况，乙方在接到甲方当天的采购需求计划后，于3小时之内将所需物资配送到位。双方现场对食材数量、品质进行验收登记。除特殊原因（须提前告知甲方并经甲方认可），若乙方无法做到，甲方可视作当月一次考核不合格记录。</w:t>
      </w:r>
    </w:p>
    <w:p w14:paraId="16056A5E">
      <w:pPr>
        <w:pStyle w:val="61"/>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（5）包括非正常工作时间段在内，甲方因特殊情况或任务需要临时增加物资时，乙方应提供应急配送服务。乙方必须在接到通知3小时内将新增的食材保质保量配送至甲方指定的地点。</w:t>
      </w:r>
    </w:p>
    <w:p w14:paraId="68CE58A9">
      <w:pPr>
        <w:pStyle w:val="61"/>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（6）品种数量超出规定的部分由乙方带回，不纳入结算，短缺的部分由乙方补足。</w:t>
      </w:r>
    </w:p>
    <w:p w14:paraId="4F2C344B">
      <w:pPr>
        <w:pStyle w:val="61"/>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（7）品种的重量以双方核准的净重过磅数为准，双方签字确认作为结算凭证。</w:t>
      </w:r>
    </w:p>
    <w:p w14:paraId="6DDF0679">
      <w:pPr>
        <w:pStyle w:val="61"/>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（8）质量必须符合国家相关食品安全卫生标准。甲方每天进行检测，检测一次不合格的，罚当天食材供货费用的两倍，检测不合格满二次的，甲方有权终止合同，且乙方须向甲方支付5%合同总金额的赔偿金。</w:t>
      </w:r>
    </w:p>
    <w:p w14:paraId="20083902">
      <w:pPr>
        <w:pStyle w:val="61"/>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（9）质量必须达到本标书所列的要求，并且品质不低于甲方当天在各大食材批发市场的自购标准。</w:t>
      </w:r>
    </w:p>
    <w:p w14:paraId="767FCEAD">
      <w:pPr>
        <w:pStyle w:val="61"/>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10）乙方当日供应副食品经甲方验收后不达标、不足量、漏供或错供时，乙方必须进行调换或补充并按合同规定进行处罚。乙方调换或补充的食材必须经甲方同意，按协商后的品种、质量、规格、数量将食材于当日10:00前配送至甲方指定地点，相关费用由乙方承担。</w:t>
      </w:r>
    </w:p>
    <w:p w14:paraId="2028B198">
      <w:pPr>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2.食材配送原材料内容和质量要求（包括但不限于）：</w:t>
      </w:r>
    </w:p>
    <w:p w14:paraId="5431D9AD">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（1）肉禽、水产类</w:t>
      </w:r>
    </w:p>
    <w:p w14:paraId="1778AA4D">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1）猪肉类</w:t>
      </w:r>
    </w:p>
    <w:p w14:paraId="0B2A0765">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①总体要求：本次采购所需标的物以鲜肉为主，主要有草排、五花肉、肉糜等。</w:t>
      </w:r>
      <w:r>
        <w:rPr>
          <w:rFonts w:hint="eastAsia" w:hAnsi="宋体" w:cs="宋体"/>
          <w:color w:val="auto"/>
          <w:sz w:val="24"/>
          <w:szCs w:val="24"/>
          <w:highlight w:val="none"/>
        </w:rPr>
        <w:t>乙方</w:t>
      </w:r>
      <w:r>
        <w:rPr>
          <w:rFonts w:hint="eastAsia" w:ascii="宋体" w:hAnsi="宋体" w:cs="宋体"/>
          <w:color w:val="auto"/>
          <w:sz w:val="24"/>
          <w:szCs w:val="24"/>
          <w:highlight w:val="none"/>
        </w:rPr>
        <w:t>必须保证正规的进货渠道，所供标的物必须卫生、清洁、新鲜、无污染、无假冒伪劣、无过期变质及“三无”商品，符合《中华人民共和国食品安全法》、GB 9959.1-2001等法规要求和国标标准。</w:t>
      </w:r>
    </w:p>
    <w:p w14:paraId="666A62BD">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②具体标准：片猪肉生产原料应来自非疫区，并持有产地动物防疫监督机构出具的检疫证明，严禁公（母）种猪及晚阉猪用于加工猪肉；片猪肉前膀后座丰满，肋条花层好，颜色正常，胴体修割整齐干净，去头（蹄、尾）、槽头肉、内脏、三腺、奶头、残毛，分级以鲜片猪肉的第六、第七肋骨中间平行至第六胸椎刺突前下方（除皮后）的脂肪层厚度为准，脂肪层厚度在1.0-2.5cm以内，鲜片猪肉重在25公斤以上40公斤以内，劈半、整修符合国家二级标准。统排去尾骨、前脖骨，不得带膘油。猪蹄去毛，无破损、血斑，带筋。（详见附表）</w:t>
      </w:r>
    </w:p>
    <w:p w14:paraId="1A5ADD9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③附表：猪肉相关技术指标</w:t>
      </w:r>
    </w:p>
    <w:tbl>
      <w:tblPr>
        <w:tblStyle w:val="67"/>
        <w:tblW w:w="96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0"/>
        <w:gridCol w:w="700"/>
        <w:gridCol w:w="1047"/>
        <w:gridCol w:w="6100"/>
        <w:gridCol w:w="1060"/>
      </w:tblGrid>
      <w:tr w14:paraId="73343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7" w:hRule="atLeast"/>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2AF34657">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1747" w:type="dxa"/>
            <w:gridSpan w:val="2"/>
            <w:tcBorders>
              <w:top w:val="single" w:color="000000" w:sz="4" w:space="0"/>
              <w:left w:val="single" w:color="000000" w:sz="4" w:space="0"/>
              <w:bottom w:val="single" w:color="000000" w:sz="4" w:space="0"/>
              <w:right w:val="single" w:color="000000" w:sz="4" w:space="0"/>
            </w:tcBorders>
            <w:vAlign w:val="center"/>
          </w:tcPr>
          <w:p w14:paraId="51DE4DB3">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项目</w:t>
            </w:r>
          </w:p>
        </w:tc>
        <w:tc>
          <w:tcPr>
            <w:tcW w:w="6100" w:type="dxa"/>
            <w:tcBorders>
              <w:top w:val="single" w:color="000000" w:sz="4" w:space="0"/>
              <w:left w:val="single" w:color="000000" w:sz="4" w:space="0"/>
              <w:bottom w:val="single" w:color="000000" w:sz="4" w:space="0"/>
              <w:right w:val="single" w:color="000000" w:sz="4" w:space="0"/>
            </w:tcBorders>
            <w:vAlign w:val="center"/>
          </w:tcPr>
          <w:p w14:paraId="58579A8D">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标准</w:t>
            </w:r>
          </w:p>
        </w:tc>
        <w:tc>
          <w:tcPr>
            <w:tcW w:w="1060" w:type="dxa"/>
            <w:tcBorders>
              <w:top w:val="single" w:color="000000" w:sz="4" w:space="0"/>
              <w:left w:val="single" w:color="000000" w:sz="4" w:space="0"/>
              <w:bottom w:val="single" w:color="000000" w:sz="4" w:space="0"/>
              <w:right w:val="single" w:color="000000" w:sz="4" w:space="0"/>
            </w:tcBorders>
            <w:vAlign w:val="center"/>
          </w:tcPr>
          <w:p w14:paraId="33D0FAD9">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备注</w:t>
            </w:r>
          </w:p>
        </w:tc>
      </w:tr>
      <w:tr w14:paraId="5F5D9B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356F9A52">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747" w:type="dxa"/>
            <w:gridSpan w:val="2"/>
            <w:vMerge w:val="restart"/>
            <w:tcBorders>
              <w:top w:val="single" w:color="000000" w:sz="4" w:space="0"/>
              <w:left w:val="single" w:color="000000" w:sz="4" w:space="0"/>
              <w:right w:val="single" w:color="000000" w:sz="4" w:space="0"/>
            </w:tcBorders>
            <w:vAlign w:val="center"/>
          </w:tcPr>
          <w:p w14:paraId="1580024D">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原料</w:t>
            </w:r>
          </w:p>
        </w:tc>
        <w:tc>
          <w:tcPr>
            <w:tcW w:w="6100" w:type="dxa"/>
            <w:tcBorders>
              <w:top w:val="single" w:color="000000" w:sz="4" w:space="0"/>
              <w:left w:val="single" w:color="000000" w:sz="4" w:space="0"/>
              <w:bottom w:val="single" w:color="000000" w:sz="4" w:space="0"/>
              <w:right w:val="single" w:color="000000" w:sz="4" w:space="0"/>
            </w:tcBorders>
            <w:vAlign w:val="center"/>
          </w:tcPr>
          <w:p w14:paraId="6AE4F486">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生猪应来自非疫区，并持有产地动物防疫监督机构出具的检疫证明。</w:t>
            </w:r>
          </w:p>
        </w:tc>
        <w:tc>
          <w:tcPr>
            <w:tcW w:w="1060" w:type="dxa"/>
            <w:tcBorders>
              <w:top w:val="single" w:color="000000" w:sz="4" w:space="0"/>
              <w:left w:val="single" w:color="000000" w:sz="4" w:space="0"/>
              <w:bottom w:val="single" w:color="000000" w:sz="4" w:space="0"/>
              <w:right w:val="single" w:color="000000" w:sz="4" w:space="0"/>
            </w:tcBorders>
            <w:vAlign w:val="center"/>
          </w:tcPr>
          <w:p w14:paraId="6C85AD7E">
            <w:pPr>
              <w:spacing w:line="360" w:lineRule="auto"/>
              <w:rPr>
                <w:rFonts w:ascii="宋体" w:hAnsi="宋体" w:cs="宋体"/>
                <w:color w:val="auto"/>
                <w:sz w:val="24"/>
                <w:szCs w:val="24"/>
                <w:highlight w:val="none"/>
              </w:rPr>
            </w:pPr>
          </w:p>
        </w:tc>
      </w:tr>
      <w:tr w14:paraId="4B38B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252390E3">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747" w:type="dxa"/>
            <w:gridSpan w:val="2"/>
            <w:vMerge w:val="continue"/>
            <w:tcBorders>
              <w:left w:val="single" w:color="000000" w:sz="4" w:space="0"/>
              <w:bottom w:val="single" w:color="000000" w:sz="4" w:space="0"/>
              <w:right w:val="single" w:color="000000" w:sz="4" w:space="0"/>
            </w:tcBorders>
            <w:vAlign w:val="center"/>
          </w:tcPr>
          <w:p w14:paraId="607A12F4">
            <w:pPr>
              <w:spacing w:line="360" w:lineRule="auto"/>
              <w:jc w:val="center"/>
              <w:rPr>
                <w:rFonts w:ascii="宋体" w:hAnsi="宋体" w:cs="宋体"/>
                <w:color w:val="auto"/>
                <w:sz w:val="24"/>
                <w:szCs w:val="24"/>
                <w:highlight w:val="none"/>
              </w:rPr>
            </w:pPr>
          </w:p>
        </w:tc>
        <w:tc>
          <w:tcPr>
            <w:tcW w:w="6100" w:type="dxa"/>
            <w:tcBorders>
              <w:top w:val="single" w:color="000000" w:sz="4" w:space="0"/>
              <w:left w:val="single" w:color="000000" w:sz="4" w:space="0"/>
              <w:bottom w:val="single" w:color="000000" w:sz="4" w:space="0"/>
              <w:right w:val="single" w:color="000000" w:sz="4" w:space="0"/>
            </w:tcBorders>
            <w:vAlign w:val="center"/>
          </w:tcPr>
          <w:p w14:paraId="46360736">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公、母种猪及晚阉割猪不得用于加工鲜、冻片猪肉。</w:t>
            </w:r>
          </w:p>
        </w:tc>
        <w:tc>
          <w:tcPr>
            <w:tcW w:w="1060" w:type="dxa"/>
            <w:tcBorders>
              <w:top w:val="single" w:color="000000" w:sz="4" w:space="0"/>
              <w:left w:val="single" w:color="000000" w:sz="4" w:space="0"/>
              <w:bottom w:val="single" w:color="000000" w:sz="4" w:space="0"/>
              <w:right w:val="single" w:color="000000" w:sz="4" w:space="0"/>
            </w:tcBorders>
            <w:vAlign w:val="center"/>
          </w:tcPr>
          <w:p w14:paraId="21BF8407">
            <w:pPr>
              <w:spacing w:line="360" w:lineRule="auto"/>
              <w:rPr>
                <w:rFonts w:ascii="宋体" w:hAnsi="宋体" w:cs="宋体"/>
                <w:color w:val="auto"/>
                <w:sz w:val="24"/>
                <w:szCs w:val="24"/>
                <w:highlight w:val="none"/>
              </w:rPr>
            </w:pPr>
          </w:p>
        </w:tc>
      </w:tr>
      <w:tr w14:paraId="4ABCB7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5A226CB1">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700" w:type="dxa"/>
            <w:vMerge w:val="restart"/>
            <w:tcBorders>
              <w:top w:val="single" w:color="000000" w:sz="4" w:space="0"/>
              <w:left w:val="single" w:color="000000" w:sz="4" w:space="0"/>
              <w:bottom w:val="single" w:color="000000" w:sz="4" w:space="0"/>
              <w:right w:val="single" w:color="000000" w:sz="4" w:space="0"/>
            </w:tcBorders>
            <w:vAlign w:val="center"/>
          </w:tcPr>
          <w:p w14:paraId="75B0B65D">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屠宰加工</w:t>
            </w:r>
          </w:p>
        </w:tc>
        <w:tc>
          <w:tcPr>
            <w:tcW w:w="1047" w:type="dxa"/>
            <w:tcBorders>
              <w:top w:val="single" w:color="000000" w:sz="4" w:space="0"/>
              <w:left w:val="single" w:color="000000" w:sz="4" w:space="0"/>
              <w:bottom w:val="single" w:color="000000" w:sz="4" w:space="0"/>
              <w:right w:val="single" w:color="000000" w:sz="4" w:space="0"/>
            </w:tcBorders>
            <w:vAlign w:val="center"/>
          </w:tcPr>
          <w:p w14:paraId="1750F57D">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去头和槽头肉</w:t>
            </w:r>
          </w:p>
        </w:tc>
        <w:tc>
          <w:tcPr>
            <w:tcW w:w="6100" w:type="dxa"/>
            <w:tcBorders>
              <w:top w:val="single" w:color="000000" w:sz="4" w:space="0"/>
              <w:left w:val="single" w:color="000000" w:sz="4" w:space="0"/>
              <w:bottom w:val="single" w:color="000000" w:sz="4" w:space="0"/>
              <w:right w:val="single" w:color="000000" w:sz="4" w:space="0"/>
            </w:tcBorders>
            <w:vAlign w:val="center"/>
          </w:tcPr>
          <w:p w14:paraId="17E67EE0">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按“平头”规格割下猪头。齐第一颈椎与之垂直线割去槽头肉和血刀肉。</w:t>
            </w:r>
          </w:p>
        </w:tc>
        <w:tc>
          <w:tcPr>
            <w:tcW w:w="1060" w:type="dxa"/>
            <w:tcBorders>
              <w:top w:val="single" w:color="000000" w:sz="4" w:space="0"/>
              <w:left w:val="single" w:color="000000" w:sz="4" w:space="0"/>
              <w:bottom w:val="single" w:color="000000" w:sz="4" w:space="0"/>
              <w:right w:val="single" w:color="000000" w:sz="4" w:space="0"/>
            </w:tcBorders>
            <w:vAlign w:val="center"/>
          </w:tcPr>
          <w:p w14:paraId="009E0F47">
            <w:pPr>
              <w:spacing w:line="360" w:lineRule="auto"/>
              <w:rPr>
                <w:rFonts w:ascii="宋体" w:hAnsi="宋体" w:cs="宋体"/>
                <w:color w:val="auto"/>
                <w:sz w:val="24"/>
                <w:szCs w:val="24"/>
                <w:highlight w:val="none"/>
              </w:rPr>
            </w:pPr>
          </w:p>
        </w:tc>
      </w:tr>
      <w:tr w14:paraId="4603A8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44CE6B97">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700" w:type="dxa"/>
            <w:vMerge w:val="continue"/>
            <w:tcBorders>
              <w:top w:val="single" w:color="000000" w:sz="4" w:space="0"/>
              <w:left w:val="single" w:color="000000" w:sz="4" w:space="0"/>
              <w:bottom w:val="single" w:color="000000" w:sz="4" w:space="0"/>
              <w:right w:val="single" w:color="000000" w:sz="4" w:space="0"/>
            </w:tcBorders>
            <w:vAlign w:val="center"/>
          </w:tcPr>
          <w:p w14:paraId="3E024949">
            <w:pPr>
              <w:widowControl/>
              <w:spacing w:line="360" w:lineRule="auto"/>
              <w:jc w:val="left"/>
              <w:rPr>
                <w:rFonts w:ascii="宋体" w:hAnsi="宋体" w:cs="宋体"/>
                <w:color w:val="auto"/>
                <w:sz w:val="24"/>
                <w:szCs w:val="24"/>
                <w:highlight w:val="none"/>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78C24FA8">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去内脏</w:t>
            </w:r>
          </w:p>
        </w:tc>
        <w:tc>
          <w:tcPr>
            <w:tcW w:w="6100" w:type="dxa"/>
            <w:tcBorders>
              <w:top w:val="single" w:color="000000" w:sz="4" w:space="0"/>
              <w:left w:val="single" w:color="000000" w:sz="4" w:space="0"/>
              <w:bottom w:val="single" w:color="000000" w:sz="4" w:space="0"/>
              <w:right w:val="single" w:color="000000" w:sz="4" w:space="0"/>
            </w:tcBorders>
            <w:vAlign w:val="center"/>
          </w:tcPr>
          <w:p w14:paraId="5176CD93">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去除全部内脏、护心油、横膈膜和横膈膜肌、脊椎大血管、生殖器官，修净应检部位的非传染病引起的明显异常淋巴结。</w:t>
            </w:r>
          </w:p>
        </w:tc>
        <w:tc>
          <w:tcPr>
            <w:tcW w:w="1060" w:type="dxa"/>
            <w:tcBorders>
              <w:top w:val="single" w:color="000000" w:sz="4" w:space="0"/>
              <w:left w:val="single" w:color="000000" w:sz="4" w:space="0"/>
              <w:bottom w:val="single" w:color="000000" w:sz="4" w:space="0"/>
              <w:right w:val="single" w:color="000000" w:sz="4" w:space="0"/>
            </w:tcBorders>
            <w:vAlign w:val="center"/>
          </w:tcPr>
          <w:p w14:paraId="55B96FD2">
            <w:pPr>
              <w:spacing w:line="360" w:lineRule="auto"/>
              <w:rPr>
                <w:rFonts w:ascii="宋体" w:hAnsi="宋体" w:cs="宋体"/>
                <w:color w:val="auto"/>
                <w:sz w:val="24"/>
                <w:szCs w:val="24"/>
                <w:highlight w:val="none"/>
              </w:rPr>
            </w:pPr>
          </w:p>
        </w:tc>
      </w:tr>
      <w:tr w14:paraId="13A04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15754E11">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700" w:type="dxa"/>
            <w:vMerge w:val="continue"/>
            <w:tcBorders>
              <w:top w:val="single" w:color="000000" w:sz="4" w:space="0"/>
              <w:left w:val="single" w:color="000000" w:sz="4" w:space="0"/>
              <w:bottom w:val="single" w:color="000000" w:sz="4" w:space="0"/>
              <w:right w:val="single" w:color="000000" w:sz="4" w:space="0"/>
            </w:tcBorders>
            <w:vAlign w:val="center"/>
          </w:tcPr>
          <w:p w14:paraId="5040A935">
            <w:pPr>
              <w:widowControl/>
              <w:spacing w:line="360" w:lineRule="auto"/>
              <w:jc w:val="left"/>
              <w:rPr>
                <w:rFonts w:ascii="宋体" w:hAnsi="宋体" w:cs="宋体"/>
                <w:color w:val="auto"/>
                <w:sz w:val="24"/>
                <w:szCs w:val="24"/>
                <w:highlight w:val="none"/>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5BA83796">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去三腺</w:t>
            </w:r>
          </w:p>
        </w:tc>
        <w:tc>
          <w:tcPr>
            <w:tcW w:w="6100" w:type="dxa"/>
            <w:tcBorders>
              <w:top w:val="single" w:color="000000" w:sz="4" w:space="0"/>
              <w:left w:val="single" w:color="000000" w:sz="4" w:space="0"/>
              <w:bottom w:val="single" w:color="000000" w:sz="4" w:space="0"/>
              <w:right w:val="single" w:color="000000" w:sz="4" w:space="0"/>
            </w:tcBorders>
            <w:vAlign w:val="center"/>
          </w:tcPr>
          <w:p w14:paraId="5F694D75">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摘除甲状腺、肾上腺、病变淋巴结。</w:t>
            </w:r>
          </w:p>
        </w:tc>
        <w:tc>
          <w:tcPr>
            <w:tcW w:w="1060" w:type="dxa"/>
            <w:tcBorders>
              <w:top w:val="single" w:color="000000" w:sz="4" w:space="0"/>
              <w:left w:val="single" w:color="000000" w:sz="4" w:space="0"/>
              <w:bottom w:val="single" w:color="000000" w:sz="4" w:space="0"/>
              <w:right w:val="single" w:color="000000" w:sz="4" w:space="0"/>
            </w:tcBorders>
            <w:vAlign w:val="center"/>
          </w:tcPr>
          <w:p w14:paraId="65CD64C8">
            <w:pPr>
              <w:spacing w:line="360" w:lineRule="auto"/>
              <w:rPr>
                <w:rFonts w:ascii="宋体" w:hAnsi="宋体" w:cs="宋体"/>
                <w:color w:val="auto"/>
                <w:sz w:val="24"/>
                <w:szCs w:val="24"/>
                <w:highlight w:val="none"/>
              </w:rPr>
            </w:pPr>
          </w:p>
        </w:tc>
      </w:tr>
      <w:tr w14:paraId="48AFF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05D15B32">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700" w:type="dxa"/>
            <w:vMerge w:val="continue"/>
            <w:tcBorders>
              <w:top w:val="single" w:color="000000" w:sz="4" w:space="0"/>
              <w:left w:val="single" w:color="000000" w:sz="4" w:space="0"/>
              <w:bottom w:val="single" w:color="000000" w:sz="4" w:space="0"/>
              <w:right w:val="single" w:color="000000" w:sz="4" w:space="0"/>
            </w:tcBorders>
            <w:vAlign w:val="center"/>
          </w:tcPr>
          <w:p w14:paraId="4BA43DDE">
            <w:pPr>
              <w:widowControl/>
              <w:spacing w:line="360" w:lineRule="auto"/>
              <w:jc w:val="left"/>
              <w:rPr>
                <w:rFonts w:ascii="宋体" w:hAnsi="宋体" w:cs="宋体"/>
                <w:color w:val="auto"/>
                <w:sz w:val="24"/>
                <w:szCs w:val="24"/>
                <w:highlight w:val="none"/>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76E64A08">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锯（劈）半</w:t>
            </w:r>
          </w:p>
        </w:tc>
        <w:tc>
          <w:tcPr>
            <w:tcW w:w="6100" w:type="dxa"/>
            <w:tcBorders>
              <w:top w:val="single" w:color="000000" w:sz="4" w:space="0"/>
              <w:left w:val="single" w:color="000000" w:sz="4" w:space="0"/>
              <w:bottom w:val="single" w:color="000000" w:sz="4" w:space="0"/>
              <w:right w:val="single" w:color="000000" w:sz="4" w:space="0"/>
            </w:tcBorders>
            <w:vAlign w:val="center"/>
          </w:tcPr>
          <w:p w14:paraId="7BB313AE">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沿脊椎中线纵向锯（劈）成两分体，每片肉整脊椎骨不允许偏差两节。</w:t>
            </w:r>
          </w:p>
        </w:tc>
        <w:tc>
          <w:tcPr>
            <w:tcW w:w="1060" w:type="dxa"/>
            <w:tcBorders>
              <w:top w:val="single" w:color="000000" w:sz="4" w:space="0"/>
              <w:left w:val="single" w:color="000000" w:sz="4" w:space="0"/>
              <w:bottom w:val="single" w:color="000000" w:sz="4" w:space="0"/>
              <w:right w:val="single" w:color="000000" w:sz="4" w:space="0"/>
            </w:tcBorders>
            <w:vAlign w:val="center"/>
          </w:tcPr>
          <w:p w14:paraId="2007074E">
            <w:pPr>
              <w:spacing w:line="360" w:lineRule="auto"/>
              <w:rPr>
                <w:rFonts w:ascii="宋体" w:hAnsi="宋体" w:cs="宋体"/>
                <w:color w:val="auto"/>
                <w:sz w:val="24"/>
                <w:szCs w:val="24"/>
                <w:highlight w:val="none"/>
              </w:rPr>
            </w:pPr>
          </w:p>
        </w:tc>
      </w:tr>
      <w:tr w14:paraId="3A693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2097712B">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7</w:t>
            </w:r>
          </w:p>
        </w:tc>
        <w:tc>
          <w:tcPr>
            <w:tcW w:w="700" w:type="dxa"/>
            <w:vMerge w:val="continue"/>
            <w:tcBorders>
              <w:top w:val="single" w:color="000000" w:sz="4" w:space="0"/>
              <w:left w:val="single" w:color="000000" w:sz="4" w:space="0"/>
              <w:bottom w:val="single" w:color="000000" w:sz="4" w:space="0"/>
              <w:right w:val="single" w:color="000000" w:sz="4" w:space="0"/>
            </w:tcBorders>
            <w:vAlign w:val="center"/>
          </w:tcPr>
          <w:p w14:paraId="6CDD3C6F">
            <w:pPr>
              <w:widowControl/>
              <w:spacing w:line="360" w:lineRule="auto"/>
              <w:jc w:val="left"/>
              <w:rPr>
                <w:rFonts w:ascii="宋体" w:hAnsi="宋体" w:cs="宋体"/>
                <w:color w:val="auto"/>
                <w:sz w:val="24"/>
                <w:szCs w:val="24"/>
                <w:highlight w:val="none"/>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7E6468E7">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去蹄</w:t>
            </w:r>
          </w:p>
        </w:tc>
        <w:tc>
          <w:tcPr>
            <w:tcW w:w="6100" w:type="dxa"/>
            <w:tcBorders>
              <w:top w:val="single" w:color="000000" w:sz="4" w:space="0"/>
              <w:left w:val="single" w:color="000000" w:sz="4" w:space="0"/>
              <w:bottom w:val="single" w:color="000000" w:sz="4" w:space="0"/>
              <w:right w:val="single" w:color="000000" w:sz="4" w:space="0"/>
            </w:tcBorders>
            <w:vAlign w:val="center"/>
          </w:tcPr>
          <w:p w14:paraId="6D196C69">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前蹄从腕关节，后蹄从跗关节处隔断。</w:t>
            </w:r>
          </w:p>
        </w:tc>
        <w:tc>
          <w:tcPr>
            <w:tcW w:w="1060" w:type="dxa"/>
            <w:tcBorders>
              <w:top w:val="single" w:color="000000" w:sz="4" w:space="0"/>
              <w:left w:val="single" w:color="000000" w:sz="4" w:space="0"/>
              <w:bottom w:val="single" w:color="000000" w:sz="4" w:space="0"/>
              <w:right w:val="single" w:color="000000" w:sz="4" w:space="0"/>
            </w:tcBorders>
            <w:vAlign w:val="center"/>
          </w:tcPr>
          <w:p w14:paraId="0360FA26">
            <w:pPr>
              <w:spacing w:line="360" w:lineRule="auto"/>
              <w:rPr>
                <w:rFonts w:ascii="宋体" w:hAnsi="宋体" w:cs="宋体"/>
                <w:color w:val="auto"/>
                <w:sz w:val="24"/>
                <w:szCs w:val="24"/>
                <w:highlight w:val="none"/>
              </w:rPr>
            </w:pPr>
          </w:p>
        </w:tc>
      </w:tr>
      <w:tr w14:paraId="02E14A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72550CFF">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8</w:t>
            </w:r>
          </w:p>
        </w:tc>
        <w:tc>
          <w:tcPr>
            <w:tcW w:w="700" w:type="dxa"/>
            <w:vMerge w:val="continue"/>
            <w:tcBorders>
              <w:top w:val="single" w:color="000000" w:sz="4" w:space="0"/>
              <w:left w:val="single" w:color="000000" w:sz="4" w:space="0"/>
              <w:bottom w:val="single" w:color="000000" w:sz="4" w:space="0"/>
              <w:right w:val="single" w:color="000000" w:sz="4" w:space="0"/>
            </w:tcBorders>
            <w:vAlign w:val="center"/>
          </w:tcPr>
          <w:p w14:paraId="43E08C18">
            <w:pPr>
              <w:widowControl/>
              <w:spacing w:line="360" w:lineRule="auto"/>
              <w:jc w:val="left"/>
              <w:rPr>
                <w:rFonts w:ascii="宋体" w:hAnsi="宋体" w:cs="宋体"/>
                <w:color w:val="auto"/>
                <w:sz w:val="24"/>
                <w:szCs w:val="24"/>
                <w:highlight w:val="none"/>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186B5F7F">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去尾</w:t>
            </w:r>
          </w:p>
        </w:tc>
        <w:tc>
          <w:tcPr>
            <w:tcW w:w="6100" w:type="dxa"/>
            <w:tcBorders>
              <w:top w:val="single" w:color="000000" w:sz="4" w:space="0"/>
              <w:left w:val="single" w:color="000000" w:sz="4" w:space="0"/>
              <w:bottom w:val="single" w:color="000000" w:sz="4" w:space="0"/>
              <w:right w:val="single" w:color="000000" w:sz="4" w:space="0"/>
            </w:tcBorders>
            <w:vAlign w:val="center"/>
          </w:tcPr>
          <w:p w14:paraId="6A3B3864">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齐尾根部平行割下。</w:t>
            </w:r>
          </w:p>
        </w:tc>
        <w:tc>
          <w:tcPr>
            <w:tcW w:w="1060" w:type="dxa"/>
            <w:tcBorders>
              <w:top w:val="single" w:color="000000" w:sz="4" w:space="0"/>
              <w:left w:val="single" w:color="000000" w:sz="4" w:space="0"/>
              <w:bottom w:val="single" w:color="000000" w:sz="4" w:space="0"/>
              <w:right w:val="single" w:color="000000" w:sz="4" w:space="0"/>
            </w:tcBorders>
            <w:vAlign w:val="center"/>
          </w:tcPr>
          <w:p w14:paraId="7CEF4970">
            <w:pPr>
              <w:spacing w:line="360" w:lineRule="auto"/>
              <w:rPr>
                <w:rFonts w:ascii="宋体" w:hAnsi="宋体" w:cs="宋体"/>
                <w:color w:val="auto"/>
                <w:sz w:val="24"/>
                <w:szCs w:val="24"/>
                <w:highlight w:val="none"/>
              </w:rPr>
            </w:pPr>
          </w:p>
        </w:tc>
      </w:tr>
      <w:tr w14:paraId="20E8D0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17E91BFD">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9</w:t>
            </w:r>
          </w:p>
        </w:tc>
        <w:tc>
          <w:tcPr>
            <w:tcW w:w="700" w:type="dxa"/>
            <w:vMerge w:val="continue"/>
            <w:tcBorders>
              <w:top w:val="single" w:color="000000" w:sz="4" w:space="0"/>
              <w:left w:val="single" w:color="000000" w:sz="4" w:space="0"/>
              <w:bottom w:val="single" w:color="000000" w:sz="4" w:space="0"/>
              <w:right w:val="single" w:color="000000" w:sz="4" w:space="0"/>
            </w:tcBorders>
            <w:vAlign w:val="center"/>
          </w:tcPr>
          <w:p w14:paraId="64E383FD">
            <w:pPr>
              <w:widowControl/>
              <w:spacing w:line="360" w:lineRule="auto"/>
              <w:jc w:val="left"/>
              <w:rPr>
                <w:rFonts w:ascii="宋体" w:hAnsi="宋体" w:cs="宋体"/>
                <w:color w:val="auto"/>
                <w:sz w:val="24"/>
                <w:szCs w:val="24"/>
                <w:highlight w:val="none"/>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074B71E8">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去奶头</w:t>
            </w:r>
          </w:p>
        </w:tc>
        <w:tc>
          <w:tcPr>
            <w:tcW w:w="6100" w:type="dxa"/>
            <w:tcBorders>
              <w:top w:val="single" w:color="000000" w:sz="4" w:space="0"/>
              <w:left w:val="single" w:color="000000" w:sz="4" w:space="0"/>
              <w:bottom w:val="single" w:color="000000" w:sz="4" w:space="0"/>
              <w:right w:val="single" w:color="000000" w:sz="4" w:space="0"/>
            </w:tcBorders>
            <w:vAlign w:val="center"/>
          </w:tcPr>
          <w:p w14:paraId="745D8175">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割净奶头，修净色素沉着物，不带黄汁。</w:t>
            </w:r>
          </w:p>
        </w:tc>
        <w:tc>
          <w:tcPr>
            <w:tcW w:w="1060" w:type="dxa"/>
            <w:tcBorders>
              <w:top w:val="single" w:color="000000" w:sz="4" w:space="0"/>
              <w:left w:val="single" w:color="000000" w:sz="4" w:space="0"/>
              <w:bottom w:val="single" w:color="000000" w:sz="4" w:space="0"/>
              <w:right w:val="single" w:color="000000" w:sz="4" w:space="0"/>
            </w:tcBorders>
            <w:vAlign w:val="center"/>
          </w:tcPr>
          <w:p w14:paraId="423C5DD7">
            <w:pPr>
              <w:spacing w:line="360" w:lineRule="auto"/>
              <w:rPr>
                <w:rFonts w:ascii="宋体" w:hAnsi="宋体" w:cs="宋体"/>
                <w:color w:val="auto"/>
                <w:sz w:val="24"/>
                <w:szCs w:val="24"/>
                <w:highlight w:val="none"/>
              </w:rPr>
            </w:pPr>
          </w:p>
        </w:tc>
      </w:tr>
      <w:tr w14:paraId="7082F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1E865A36">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10</w:t>
            </w:r>
          </w:p>
        </w:tc>
        <w:tc>
          <w:tcPr>
            <w:tcW w:w="700" w:type="dxa"/>
            <w:vMerge w:val="continue"/>
            <w:tcBorders>
              <w:top w:val="single" w:color="000000" w:sz="4" w:space="0"/>
              <w:left w:val="single" w:color="000000" w:sz="4" w:space="0"/>
              <w:bottom w:val="single" w:color="000000" w:sz="4" w:space="0"/>
              <w:right w:val="single" w:color="000000" w:sz="4" w:space="0"/>
            </w:tcBorders>
            <w:vAlign w:val="center"/>
          </w:tcPr>
          <w:p w14:paraId="233F8EA1">
            <w:pPr>
              <w:widowControl/>
              <w:spacing w:line="360" w:lineRule="auto"/>
              <w:jc w:val="left"/>
              <w:rPr>
                <w:rFonts w:ascii="宋体" w:hAnsi="宋体" w:cs="宋体"/>
                <w:color w:val="auto"/>
                <w:sz w:val="24"/>
                <w:szCs w:val="24"/>
                <w:highlight w:val="none"/>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584F7521">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整修</w:t>
            </w:r>
          </w:p>
        </w:tc>
        <w:tc>
          <w:tcPr>
            <w:tcW w:w="6100" w:type="dxa"/>
            <w:tcBorders>
              <w:top w:val="single" w:color="000000" w:sz="4" w:space="0"/>
              <w:left w:val="single" w:color="000000" w:sz="4" w:space="0"/>
              <w:bottom w:val="single" w:color="000000" w:sz="4" w:space="0"/>
              <w:right w:val="single" w:color="000000" w:sz="4" w:space="0"/>
            </w:tcBorders>
            <w:vAlign w:val="center"/>
          </w:tcPr>
          <w:p w14:paraId="7B4D4721">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臀部和鼠蹊部的黑皮和肛门括约肌，以及肉体上的伤痕、暗痕、脓疱、皮癣、湿疹、痂皮、皮肤结节、密集红斑和表皮伤斑均应修净。每片猪肉允许表皮修割面积不超过三分之一，内伤修割面积不超过200C㎡。</w:t>
            </w:r>
          </w:p>
        </w:tc>
        <w:tc>
          <w:tcPr>
            <w:tcW w:w="1060" w:type="dxa"/>
            <w:tcBorders>
              <w:top w:val="single" w:color="000000" w:sz="4" w:space="0"/>
              <w:left w:val="single" w:color="000000" w:sz="4" w:space="0"/>
              <w:bottom w:val="single" w:color="000000" w:sz="4" w:space="0"/>
              <w:right w:val="single" w:color="000000" w:sz="4" w:space="0"/>
            </w:tcBorders>
            <w:vAlign w:val="center"/>
          </w:tcPr>
          <w:p w14:paraId="5EAEBC84">
            <w:pPr>
              <w:spacing w:line="360" w:lineRule="auto"/>
              <w:rPr>
                <w:rFonts w:ascii="宋体" w:hAnsi="宋体" w:cs="宋体"/>
                <w:color w:val="auto"/>
                <w:sz w:val="24"/>
                <w:szCs w:val="24"/>
                <w:highlight w:val="none"/>
              </w:rPr>
            </w:pPr>
          </w:p>
        </w:tc>
      </w:tr>
      <w:tr w14:paraId="5F523C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6ACF4C12">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11</w:t>
            </w:r>
          </w:p>
        </w:tc>
        <w:tc>
          <w:tcPr>
            <w:tcW w:w="700" w:type="dxa"/>
            <w:vMerge w:val="continue"/>
            <w:tcBorders>
              <w:top w:val="single" w:color="000000" w:sz="4" w:space="0"/>
              <w:left w:val="single" w:color="000000" w:sz="4" w:space="0"/>
              <w:bottom w:val="single" w:color="000000" w:sz="4" w:space="0"/>
              <w:right w:val="single" w:color="000000" w:sz="4" w:space="0"/>
            </w:tcBorders>
            <w:vAlign w:val="center"/>
          </w:tcPr>
          <w:p w14:paraId="2DA637AA">
            <w:pPr>
              <w:widowControl/>
              <w:spacing w:line="360" w:lineRule="auto"/>
              <w:jc w:val="left"/>
              <w:rPr>
                <w:rFonts w:ascii="宋体" w:hAnsi="宋体" w:cs="宋体"/>
                <w:color w:val="auto"/>
                <w:sz w:val="24"/>
                <w:szCs w:val="24"/>
                <w:highlight w:val="none"/>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5CB2489A">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去残毛</w:t>
            </w:r>
          </w:p>
        </w:tc>
        <w:tc>
          <w:tcPr>
            <w:tcW w:w="6100" w:type="dxa"/>
            <w:tcBorders>
              <w:top w:val="single" w:color="000000" w:sz="4" w:space="0"/>
              <w:left w:val="single" w:color="000000" w:sz="4" w:space="0"/>
              <w:bottom w:val="single" w:color="000000" w:sz="4" w:space="0"/>
              <w:right w:val="single" w:color="000000" w:sz="4" w:space="0"/>
            </w:tcBorders>
            <w:vAlign w:val="center"/>
          </w:tcPr>
          <w:p w14:paraId="3E981F9A">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去净残留毛绒，不准带长短毛，每片肉上的密集断毛根（包括绒毛、新生短毛）不超过64 C㎡，零星分散断毛根集中相加面积不超过100 C㎡。</w:t>
            </w:r>
          </w:p>
        </w:tc>
        <w:tc>
          <w:tcPr>
            <w:tcW w:w="1060" w:type="dxa"/>
            <w:tcBorders>
              <w:top w:val="single" w:color="000000" w:sz="4" w:space="0"/>
              <w:left w:val="single" w:color="000000" w:sz="4" w:space="0"/>
              <w:bottom w:val="single" w:color="000000" w:sz="4" w:space="0"/>
              <w:right w:val="single" w:color="000000" w:sz="4" w:space="0"/>
            </w:tcBorders>
            <w:vAlign w:val="center"/>
          </w:tcPr>
          <w:p w14:paraId="6D0120BF">
            <w:pPr>
              <w:spacing w:line="360" w:lineRule="auto"/>
              <w:rPr>
                <w:rFonts w:ascii="宋体" w:hAnsi="宋体" w:cs="宋体"/>
                <w:color w:val="auto"/>
                <w:sz w:val="24"/>
                <w:szCs w:val="24"/>
                <w:highlight w:val="none"/>
              </w:rPr>
            </w:pPr>
          </w:p>
        </w:tc>
      </w:tr>
      <w:tr w14:paraId="06154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70E2BB16">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12</w:t>
            </w:r>
          </w:p>
        </w:tc>
        <w:tc>
          <w:tcPr>
            <w:tcW w:w="700" w:type="dxa"/>
            <w:vMerge w:val="continue"/>
            <w:tcBorders>
              <w:top w:val="single" w:color="000000" w:sz="4" w:space="0"/>
              <w:left w:val="single" w:color="000000" w:sz="4" w:space="0"/>
              <w:bottom w:val="single" w:color="000000" w:sz="4" w:space="0"/>
              <w:right w:val="single" w:color="000000" w:sz="4" w:space="0"/>
            </w:tcBorders>
            <w:vAlign w:val="center"/>
          </w:tcPr>
          <w:p w14:paraId="45302C22">
            <w:pPr>
              <w:widowControl/>
              <w:spacing w:line="360" w:lineRule="auto"/>
              <w:jc w:val="left"/>
              <w:rPr>
                <w:rFonts w:ascii="宋体" w:hAnsi="宋体" w:cs="宋体"/>
                <w:color w:val="auto"/>
                <w:sz w:val="24"/>
                <w:szCs w:val="24"/>
                <w:highlight w:val="none"/>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6419F8FA">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冲洗</w:t>
            </w:r>
          </w:p>
        </w:tc>
        <w:tc>
          <w:tcPr>
            <w:tcW w:w="6100" w:type="dxa"/>
            <w:tcBorders>
              <w:top w:val="single" w:color="000000" w:sz="4" w:space="0"/>
              <w:left w:val="single" w:color="000000" w:sz="4" w:space="0"/>
              <w:bottom w:val="single" w:color="000000" w:sz="4" w:space="0"/>
              <w:right w:val="single" w:color="000000" w:sz="4" w:space="0"/>
            </w:tcBorders>
            <w:vAlign w:val="center"/>
          </w:tcPr>
          <w:p w14:paraId="53718CD9">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不带浮毛、凝血块、胆污、粪污及其他污染物。</w:t>
            </w:r>
          </w:p>
        </w:tc>
        <w:tc>
          <w:tcPr>
            <w:tcW w:w="1060" w:type="dxa"/>
            <w:tcBorders>
              <w:top w:val="single" w:color="000000" w:sz="4" w:space="0"/>
              <w:left w:val="single" w:color="000000" w:sz="4" w:space="0"/>
              <w:bottom w:val="single" w:color="000000" w:sz="4" w:space="0"/>
              <w:right w:val="single" w:color="000000" w:sz="4" w:space="0"/>
            </w:tcBorders>
            <w:vAlign w:val="center"/>
          </w:tcPr>
          <w:p w14:paraId="46354E9A">
            <w:pPr>
              <w:spacing w:line="360" w:lineRule="auto"/>
              <w:rPr>
                <w:rFonts w:ascii="宋体" w:hAnsi="宋体" w:cs="宋体"/>
                <w:color w:val="auto"/>
                <w:sz w:val="24"/>
                <w:szCs w:val="24"/>
                <w:highlight w:val="none"/>
              </w:rPr>
            </w:pPr>
          </w:p>
        </w:tc>
      </w:tr>
      <w:tr w14:paraId="704B5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796EA0D5">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13</w:t>
            </w:r>
          </w:p>
        </w:tc>
        <w:tc>
          <w:tcPr>
            <w:tcW w:w="700" w:type="dxa"/>
            <w:vMerge w:val="continue"/>
            <w:tcBorders>
              <w:top w:val="single" w:color="000000" w:sz="4" w:space="0"/>
              <w:left w:val="single" w:color="000000" w:sz="4" w:space="0"/>
              <w:bottom w:val="single" w:color="000000" w:sz="4" w:space="0"/>
              <w:right w:val="single" w:color="000000" w:sz="4" w:space="0"/>
            </w:tcBorders>
            <w:vAlign w:val="center"/>
          </w:tcPr>
          <w:p w14:paraId="241D16E6">
            <w:pPr>
              <w:widowControl/>
              <w:spacing w:line="360" w:lineRule="auto"/>
              <w:jc w:val="left"/>
              <w:rPr>
                <w:rFonts w:ascii="宋体" w:hAnsi="宋体" w:cs="宋体"/>
                <w:color w:val="auto"/>
                <w:sz w:val="24"/>
                <w:szCs w:val="24"/>
                <w:highlight w:val="none"/>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0B04316D">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其他</w:t>
            </w:r>
          </w:p>
        </w:tc>
        <w:tc>
          <w:tcPr>
            <w:tcW w:w="6100" w:type="dxa"/>
            <w:tcBorders>
              <w:top w:val="single" w:color="000000" w:sz="4" w:space="0"/>
              <w:left w:val="single" w:color="000000" w:sz="4" w:space="0"/>
              <w:bottom w:val="single" w:color="000000" w:sz="4" w:space="0"/>
              <w:right w:val="single" w:color="000000" w:sz="4" w:space="0"/>
            </w:tcBorders>
            <w:vAlign w:val="center"/>
          </w:tcPr>
          <w:p w14:paraId="3AE8DB18">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不允许有烫生、烫老、机损、全身青皮。</w:t>
            </w:r>
          </w:p>
        </w:tc>
        <w:tc>
          <w:tcPr>
            <w:tcW w:w="1060" w:type="dxa"/>
            <w:tcBorders>
              <w:top w:val="single" w:color="000000" w:sz="4" w:space="0"/>
              <w:left w:val="single" w:color="000000" w:sz="4" w:space="0"/>
              <w:bottom w:val="single" w:color="000000" w:sz="4" w:space="0"/>
              <w:right w:val="single" w:color="000000" w:sz="4" w:space="0"/>
            </w:tcBorders>
            <w:vAlign w:val="center"/>
          </w:tcPr>
          <w:p w14:paraId="1229FFEA">
            <w:pPr>
              <w:spacing w:line="360" w:lineRule="auto"/>
              <w:rPr>
                <w:rFonts w:ascii="宋体" w:hAnsi="宋体" w:cs="宋体"/>
                <w:color w:val="auto"/>
                <w:sz w:val="24"/>
                <w:szCs w:val="24"/>
                <w:highlight w:val="none"/>
              </w:rPr>
            </w:pPr>
          </w:p>
        </w:tc>
      </w:tr>
      <w:tr w14:paraId="46002C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169A3F8F">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14</w:t>
            </w:r>
          </w:p>
        </w:tc>
        <w:tc>
          <w:tcPr>
            <w:tcW w:w="1747" w:type="dxa"/>
            <w:gridSpan w:val="2"/>
            <w:tcBorders>
              <w:top w:val="single" w:color="000000" w:sz="4" w:space="0"/>
              <w:left w:val="single" w:color="000000" w:sz="4" w:space="0"/>
              <w:bottom w:val="single" w:color="000000" w:sz="4" w:space="0"/>
              <w:right w:val="single" w:color="000000" w:sz="4" w:space="0"/>
            </w:tcBorders>
            <w:vAlign w:val="center"/>
          </w:tcPr>
          <w:p w14:paraId="36851702">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冷加工</w:t>
            </w:r>
          </w:p>
        </w:tc>
        <w:tc>
          <w:tcPr>
            <w:tcW w:w="6100" w:type="dxa"/>
            <w:tcBorders>
              <w:top w:val="single" w:color="000000" w:sz="4" w:space="0"/>
              <w:left w:val="single" w:color="000000" w:sz="4" w:space="0"/>
              <w:bottom w:val="single" w:color="000000" w:sz="4" w:space="0"/>
              <w:right w:val="single" w:color="000000" w:sz="4" w:space="0"/>
            </w:tcBorders>
            <w:vAlign w:val="center"/>
          </w:tcPr>
          <w:p w14:paraId="2AD07B33">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冷却片猪肉，屠宰后24h内，其后腿肌肉中心温度不高于4℃，不低于0℃。</w:t>
            </w:r>
          </w:p>
        </w:tc>
        <w:tc>
          <w:tcPr>
            <w:tcW w:w="1060" w:type="dxa"/>
            <w:tcBorders>
              <w:top w:val="single" w:color="000000" w:sz="4" w:space="0"/>
              <w:left w:val="single" w:color="000000" w:sz="4" w:space="0"/>
              <w:bottom w:val="single" w:color="000000" w:sz="4" w:space="0"/>
              <w:right w:val="single" w:color="000000" w:sz="4" w:space="0"/>
            </w:tcBorders>
            <w:vAlign w:val="center"/>
          </w:tcPr>
          <w:p w14:paraId="1B131458">
            <w:pPr>
              <w:spacing w:line="360" w:lineRule="auto"/>
              <w:rPr>
                <w:rFonts w:ascii="宋体" w:hAnsi="宋体" w:cs="宋体"/>
                <w:color w:val="auto"/>
                <w:sz w:val="24"/>
                <w:szCs w:val="24"/>
                <w:highlight w:val="none"/>
              </w:rPr>
            </w:pPr>
          </w:p>
        </w:tc>
      </w:tr>
      <w:tr w14:paraId="4C0F4B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0FA56A33">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15</w:t>
            </w:r>
          </w:p>
        </w:tc>
        <w:tc>
          <w:tcPr>
            <w:tcW w:w="700" w:type="dxa"/>
            <w:vMerge w:val="restart"/>
            <w:tcBorders>
              <w:top w:val="single" w:color="000000" w:sz="4" w:space="0"/>
              <w:left w:val="single" w:color="000000" w:sz="4" w:space="0"/>
              <w:bottom w:val="single" w:color="000000" w:sz="4" w:space="0"/>
              <w:right w:val="single" w:color="000000" w:sz="4" w:space="0"/>
            </w:tcBorders>
            <w:vAlign w:val="center"/>
          </w:tcPr>
          <w:p w14:paraId="57E7EAB6">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感官指标</w:t>
            </w:r>
          </w:p>
        </w:tc>
        <w:tc>
          <w:tcPr>
            <w:tcW w:w="1047" w:type="dxa"/>
            <w:tcBorders>
              <w:top w:val="single" w:color="000000" w:sz="4" w:space="0"/>
              <w:left w:val="single" w:color="000000" w:sz="4" w:space="0"/>
              <w:bottom w:val="single" w:color="000000" w:sz="4" w:space="0"/>
              <w:right w:val="single" w:color="000000" w:sz="4" w:space="0"/>
            </w:tcBorders>
            <w:vAlign w:val="center"/>
          </w:tcPr>
          <w:p w14:paraId="77242D31">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色泽</w:t>
            </w:r>
          </w:p>
        </w:tc>
        <w:tc>
          <w:tcPr>
            <w:tcW w:w="6100" w:type="dxa"/>
            <w:tcBorders>
              <w:top w:val="single" w:color="000000" w:sz="4" w:space="0"/>
              <w:left w:val="single" w:color="000000" w:sz="4" w:space="0"/>
              <w:bottom w:val="single" w:color="000000" w:sz="4" w:space="0"/>
              <w:right w:val="single" w:color="000000" w:sz="4" w:space="0"/>
            </w:tcBorders>
            <w:vAlign w:val="center"/>
          </w:tcPr>
          <w:p w14:paraId="41E6B247">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肌肉色泽鲜红或深红，有光泽；脂肪呈乳白色或粉白色。</w:t>
            </w:r>
          </w:p>
        </w:tc>
        <w:tc>
          <w:tcPr>
            <w:tcW w:w="1060" w:type="dxa"/>
            <w:tcBorders>
              <w:top w:val="single" w:color="000000" w:sz="4" w:space="0"/>
              <w:left w:val="single" w:color="000000" w:sz="4" w:space="0"/>
              <w:bottom w:val="single" w:color="000000" w:sz="4" w:space="0"/>
              <w:right w:val="single" w:color="000000" w:sz="4" w:space="0"/>
            </w:tcBorders>
            <w:vAlign w:val="center"/>
          </w:tcPr>
          <w:p w14:paraId="4A5222D6">
            <w:pPr>
              <w:spacing w:line="360" w:lineRule="auto"/>
              <w:rPr>
                <w:rFonts w:ascii="宋体" w:hAnsi="宋体" w:cs="宋体"/>
                <w:color w:val="auto"/>
                <w:sz w:val="24"/>
                <w:szCs w:val="24"/>
                <w:highlight w:val="none"/>
              </w:rPr>
            </w:pPr>
          </w:p>
        </w:tc>
      </w:tr>
      <w:tr w14:paraId="0A6E2D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01DBCC12">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16</w:t>
            </w:r>
          </w:p>
        </w:tc>
        <w:tc>
          <w:tcPr>
            <w:tcW w:w="700" w:type="dxa"/>
            <w:vMerge w:val="continue"/>
            <w:tcBorders>
              <w:top w:val="single" w:color="000000" w:sz="4" w:space="0"/>
              <w:left w:val="single" w:color="000000" w:sz="4" w:space="0"/>
              <w:bottom w:val="single" w:color="000000" w:sz="4" w:space="0"/>
              <w:right w:val="single" w:color="000000" w:sz="4" w:space="0"/>
            </w:tcBorders>
            <w:vAlign w:val="center"/>
          </w:tcPr>
          <w:p w14:paraId="683084C9">
            <w:pPr>
              <w:widowControl/>
              <w:spacing w:line="360" w:lineRule="auto"/>
              <w:jc w:val="left"/>
              <w:rPr>
                <w:rFonts w:ascii="宋体" w:hAnsi="宋体" w:cs="宋体"/>
                <w:color w:val="auto"/>
                <w:sz w:val="24"/>
                <w:szCs w:val="24"/>
                <w:highlight w:val="none"/>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28630058">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弹性      （组织状态）</w:t>
            </w:r>
          </w:p>
        </w:tc>
        <w:tc>
          <w:tcPr>
            <w:tcW w:w="6100" w:type="dxa"/>
            <w:tcBorders>
              <w:top w:val="single" w:color="000000" w:sz="4" w:space="0"/>
              <w:left w:val="single" w:color="000000" w:sz="4" w:space="0"/>
              <w:bottom w:val="single" w:color="000000" w:sz="4" w:space="0"/>
              <w:right w:val="single" w:color="000000" w:sz="4" w:space="0"/>
            </w:tcBorders>
            <w:vAlign w:val="center"/>
          </w:tcPr>
          <w:p w14:paraId="7910FAF8">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指压后的凹陷立即恢复。</w:t>
            </w:r>
          </w:p>
        </w:tc>
        <w:tc>
          <w:tcPr>
            <w:tcW w:w="1060" w:type="dxa"/>
            <w:tcBorders>
              <w:top w:val="single" w:color="000000" w:sz="4" w:space="0"/>
              <w:left w:val="single" w:color="000000" w:sz="4" w:space="0"/>
              <w:bottom w:val="single" w:color="000000" w:sz="4" w:space="0"/>
              <w:right w:val="single" w:color="000000" w:sz="4" w:space="0"/>
            </w:tcBorders>
            <w:vAlign w:val="center"/>
          </w:tcPr>
          <w:p w14:paraId="1B78F57B">
            <w:pPr>
              <w:spacing w:line="360" w:lineRule="auto"/>
              <w:rPr>
                <w:rFonts w:ascii="宋体" w:hAnsi="宋体" w:cs="宋体"/>
                <w:color w:val="auto"/>
                <w:sz w:val="24"/>
                <w:szCs w:val="24"/>
                <w:highlight w:val="none"/>
              </w:rPr>
            </w:pPr>
          </w:p>
        </w:tc>
      </w:tr>
      <w:tr w14:paraId="1425DB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3FC31C7F">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17</w:t>
            </w:r>
          </w:p>
        </w:tc>
        <w:tc>
          <w:tcPr>
            <w:tcW w:w="700" w:type="dxa"/>
            <w:vMerge w:val="continue"/>
            <w:tcBorders>
              <w:top w:val="single" w:color="000000" w:sz="4" w:space="0"/>
              <w:left w:val="single" w:color="000000" w:sz="4" w:space="0"/>
              <w:bottom w:val="single" w:color="000000" w:sz="4" w:space="0"/>
              <w:right w:val="single" w:color="000000" w:sz="4" w:space="0"/>
            </w:tcBorders>
            <w:vAlign w:val="center"/>
          </w:tcPr>
          <w:p w14:paraId="3B2906A2">
            <w:pPr>
              <w:widowControl/>
              <w:spacing w:line="360" w:lineRule="auto"/>
              <w:jc w:val="left"/>
              <w:rPr>
                <w:rFonts w:ascii="宋体" w:hAnsi="宋体" w:cs="宋体"/>
                <w:color w:val="auto"/>
                <w:sz w:val="24"/>
                <w:szCs w:val="24"/>
                <w:highlight w:val="none"/>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2FF04E2B">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黏度</w:t>
            </w:r>
          </w:p>
        </w:tc>
        <w:tc>
          <w:tcPr>
            <w:tcW w:w="6100" w:type="dxa"/>
            <w:tcBorders>
              <w:top w:val="single" w:color="000000" w:sz="4" w:space="0"/>
              <w:left w:val="single" w:color="000000" w:sz="4" w:space="0"/>
              <w:bottom w:val="single" w:color="000000" w:sz="4" w:space="0"/>
              <w:right w:val="single" w:color="000000" w:sz="4" w:space="0"/>
            </w:tcBorders>
            <w:vAlign w:val="center"/>
          </w:tcPr>
          <w:p w14:paraId="30F38EE1">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外表微干或微湿润，不粘手。</w:t>
            </w:r>
          </w:p>
        </w:tc>
        <w:tc>
          <w:tcPr>
            <w:tcW w:w="1060" w:type="dxa"/>
            <w:tcBorders>
              <w:top w:val="single" w:color="000000" w:sz="4" w:space="0"/>
              <w:left w:val="single" w:color="000000" w:sz="4" w:space="0"/>
              <w:bottom w:val="single" w:color="000000" w:sz="4" w:space="0"/>
              <w:right w:val="single" w:color="000000" w:sz="4" w:space="0"/>
            </w:tcBorders>
            <w:vAlign w:val="center"/>
          </w:tcPr>
          <w:p w14:paraId="0ABD1D9E">
            <w:pPr>
              <w:spacing w:line="360" w:lineRule="auto"/>
              <w:rPr>
                <w:rFonts w:ascii="宋体" w:hAnsi="宋体" w:cs="宋体"/>
                <w:color w:val="auto"/>
                <w:sz w:val="24"/>
                <w:szCs w:val="24"/>
                <w:highlight w:val="none"/>
              </w:rPr>
            </w:pPr>
          </w:p>
        </w:tc>
      </w:tr>
      <w:tr w14:paraId="198641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0B67E09F">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18</w:t>
            </w:r>
          </w:p>
        </w:tc>
        <w:tc>
          <w:tcPr>
            <w:tcW w:w="700" w:type="dxa"/>
            <w:vMerge w:val="continue"/>
            <w:tcBorders>
              <w:top w:val="single" w:color="000000" w:sz="4" w:space="0"/>
              <w:left w:val="single" w:color="000000" w:sz="4" w:space="0"/>
              <w:bottom w:val="single" w:color="000000" w:sz="4" w:space="0"/>
              <w:right w:val="single" w:color="000000" w:sz="4" w:space="0"/>
            </w:tcBorders>
            <w:vAlign w:val="center"/>
          </w:tcPr>
          <w:p w14:paraId="2B20F686">
            <w:pPr>
              <w:widowControl/>
              <w:spacing w:line="360" w:lineRule="auto"/>
              <w:jc w:val="left"/>
              <w:rPr>
                <w:rFonts w:ascii="宋体" w:hAnsi="宋体" w:cs="宋体"/>
                <w:color w:val="auto"/>
                <w:sz w:val="24"/>
                <w:szCs w:val="24"/>
                <w:highlight w:val="none"/>
              </w:rPr>
            </w:pPr>
          </w:p>
        </w:tc>
        <w:tc>
          <w:tcPr>
            <w:tcW w:w="1047" w:type="dxa"/>
            <w:tcBorders>
              <w:top w:val="single" w:color="000000" w:sz="4" w:space="0"/>
              <w:left w:val="single" w:color="000000" w:sz="4" w:space="0"/>
              <w:bottom w:val="single" w:color="000000" w:sz="4" w:space="0"/>
              <w:right w:val="single" w:color="000000" w:sz="4" w:space="0"/>
            </w:tcBorders>
            <w:vAlign w:val="center"/>
          </w:tcPr>
          <w:p w14:paraId="2A9E4673">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气味</w:t>
            </w:r>
          </w:p>
        </w:tc>
        <w:tc>
          <w:tcPr>
            <w:tcW w:w="6100" w:type="dxa"/>
            <w:tcBorders>
              <w:top w:val="single" w:color="000000" w:sz="4" w:space="0"/>
              <w:left w:val="single" w:color="000000" w:sz="4" w:space="0"/>
              <w:bottom w:val="single" w:color="000000" w:sz="4" w:space="0"/>
              <w:right w:val="single" w:color="000000" w:sz="4" w:space="0"/>
            </w:tcBorders>
            <w:vAlign w:val="center"/>
          </w:tcPr>
          <w:p w14:paraId="15018677">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具有鲜猪肉正常气味。煮沸后肉汤透明澄清，脂肪团聚于液面，具有香味。</w:t>
            </w:r>
          </w:p>
        </w:tc>
        <w:tc>
          <w:tcPr>
            <w:tcW w:w="1060" w:type="dxa"/>
            <w:tcBorders>
              <w:top w:val="single" w:color="000000" w:sz="4" w:space="0"/>
              <w:left w:val="single" w:color="000000" w:sz="4" w:space="0"/>
              <w:bottom w:val="single" w:color="000000" w:sz="4" w:space="0"/>
              <w:right w:val="single" w:color="000000" w:sz="4" w:space="0"/>
            </w:tcBorders>
            <w:vAlign w:val="center"/>
          </w:tcPr>
          <w:p w14:paraId="76905127">
            <w:pPr>
              <w:spacing w:line="360" w:lineRule="auto"/>
              <w:rPr>
                <w:rFonts w:ascii="宋体" w:hAnsi="宋体" w:cs="宋体"/>
                <w:color w:val="auto"/>
                <w:sz w:val="24"/>
                <w:szCs w:val="24"/>
                <w:highlight w:val="none"/>
              </w:rPr>
            </w:pPr>
          </w:p>
        </w:tc>
      </w:tr>
      <w:tr w14:paraId="52A51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4E962577">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19</w:t>
            </w:r>
          </w:p>
        </w:tc>
        <w:tc>
          <w:tcPr>
            <w:tcW w:w="1747" w:type="dxa"/>
            <w:gridSpan w:val="2"/>
            <w:tcBorders>
              <w:top w:val="single" w:color="000000" w:sz="4" w:space="0"/>
              <w:left w:val="single" w:color="000000" w:sz="4" w:space="0"/>
              <w:bottom w:val="single" w:color="000000" w:sz="4" w:space="0"/>
              <w:right w:val="single" w:color="000000" w:sz="4" w:space="0"/>
            </w:tcBorders>
            <w:vAlign w:val="center"/>
          </w:tcPr>
          <w:p w14:paraId="71282C94">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理化指标</w:t>
            </w:r>
          </w:p>
        </w:tc>
        <w:tc>
          <w:tcPr>
            <w:tcW w:w="6100" w:type="dxa"/>
            <w:tcBorders>
              <w:top w:val="single" w:color="000000" w:sz="4" w:space="0"/>
              <w:left w:val="single" w:color="000000" w:sz="4" w:space="0"/>
              <w:bottom w:val="single" w:color="000000" w:sz="4" w:space="0"/>
              <w:right w:val="single" w:color="000000" w:sz="4" w:space="0"/>
            </w:tcBorders>
            <w:vAlign w:val="center"/>
          </w:tcPr>
          <w:p w14:paraId="2D432E9D">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参照GB 9959.1-2001国家标准</w:t>
            </w:r>
          </w:p>
        </w:tc>
        <w:tc>
          <w:tcPr>
            <w:tcW w:w="1060" w:type="dxa"/>
            <w:tcBorders>
              <w:top w:val="single" w:color="000000" w:sz="4" w:space="0"/>
              <w:left w:val="single" w:color="000000" w:sz="4" w:space="0"/>
              <w:bottom w:val="single" w:color="000000" w:sz="4" w:space="0"/>
              <w:right w:val="single" w:color="000000" w:sz="4" w:space="0"/>
            </w:tcBorders>
            <w:vAlign w:val="center"/>
          </w:tcPr>
          <w:p w14:paraId="056018D4">
            <w:pPr>
              <w:spacing w:line="360" w:lineRule="auto"/>
              <w:rPr>
                <w:rFonts w:ascii="宋体" w:hAnsi="宋体" w:cs="宋体"/>
                <w:color w:val="auto"/>
                <w:sz w:val="24"/>
                <w:szCs w:val="24"/>
                <w:highlight w:val="none"/>
              </w:rPr>
            </w:pPr>
          </w:p>
        </w:tc>
      </w:tr>
      <w:tr w14:paraId="2746C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60" w:type="dxa"/>
            <w:tcBorders>
              <w:top w:val="single" w:color="000000" w:sz="4" w:space="0"/>
              <w:left w:val="single" w:color="000000" w:sz="4" w:space="0"/>
              <w:bottom w:val="single" w:color="000000" w:sz="4" w:space="0"/>
              <w:right w:val="single" w:color="auto" w:sz="4" w:space="0"/>
            </w:tcBorders>
            <w:vAlign w:val="center"/>
          </w:tcPr>
          <w:p w14:paraId="2370A3E8">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20</w:t>
            </w:r>
          </w:p>
        </w:tc>
        <w:tc>
          <w:tcPr>
            <w:tcW w:w="1747" w:type="dxa"/>
            <w:gridSpan w:val="2"/>
            <w:tcBorders>
              <w:top w:val="single" w:color="000000" w:sz="4" w:space="0"/>
              <w:left w:val="single" w:color="000000" w:sz="4" w:space="0"/>
              <w:bottom w:val="single" w:color="000000" w:sz="4" w:space="0"/>
              <w:right w:val="single" w:color="000000" w:sz="4" w:space="0"/>
            </w:tcBorders>
            <w:vAlign w:val="center"/>
          </w:tcPr>
          <w:p w14:paraId="334CD340">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脂肪层厚度</w:t>
            </w:r>
          </w:p>
        </w:tc>
        <w:tc>
          <w:tcPr>
            <w:tcW w:w="6100" w:type="dxa"/>
            <w:tcBorders>
              <w:top w:val="single" w:color="000000" w:sz="4" w:space="0"/>
              <w:left w:val="single" w:color="000000" w:sz="4" w:space="0"/>
              <w:bottom w:val="single" w:color="000000" w:sz="4" w:space="0"/>
              <w:right w:val="single" w:color="000000" w:sz="4" w:space="0"/>
            </w:tcBorders>
            <w:vAlign w:val="center"/>
          </w:tcPr>
          <w:p w14:paraId="2550FB2B">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以鲜片猪肉的第六、第七肋骨中间平行至第六胸椎刺突前下方（除皮后）的脂肪层厚度为准，脂肪层厚度在1.0-2.5cm以内，鲜片猪肉重在25kg以上40kg以内。</w:t>
            </w:r>
          </w:p>
        </w:tc>
        <w:tc>
          <w:tcPr>
            <w:tcW w:w="1060" w:type="dxa"/>
            <w:tcBorders>
              <w:top w:val="single" w:color="000000" w:sz="4" w:space="0"/>
              <w:left w:val="single" w:color="000000" w:sz="4" w:space="0"/>
              <w:bottom w:val="single" w:color="000000" w:sz="4" w:space="0"/>
              <w:right w:val="single" w:color="000000" w:sz="4" w:space="0"/>
            </w:tcBorders>
            <w:vAlign w:val="center"/>
          </w:tcPr>
          <w:p w14:paraId="2EC06DF3">
            <w:pPr>
              <w:spacing w:line="360" w:lineRule="auto"/>
              <w:rPr>
                <w:rFonts w:ascii="宋体" w:hAnsi="宋体" w:cs="宋体"/>
                <w:color w:val="auto"/>
                <w:sz w:val="24"/>
                <w:szCs w:val="24"/>
                <w:highlight w:val="none"/>
              </w:rPr>
            </w:pPr>
          </w:p>
        </w:tc>
      </w:tr>
    </w:tbl>
    <w:p w14:paraId="6178BDC8">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2）肉禽类</w:t>
      </w:r>
    </w:p>
    <w:p w14:paraId="70157E0A">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①总体要求：本次采购所需标的物以鲜肉禽为主，主要有鸡、鸭、鹅等。如有特殊情况，经甲方同意可临时调整为冷却肉禽，冰层厚度不超过1毫米，单体含冰量不得超过净重3%。乙方保证正规的进货渠道，所供标的物必须卫生、清洁、新鲜、无污染、无假冒伪劣、无过期变质及“三无”商品，符合《中华人民共和国食品安全法》、GB 16869-2005、NY/T 753-2003等法规要求和国标（行业）标准。</w:t>
      </w:r>
    </w:p>
    <w:p w14:paraId="0391446A">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②具体标准：标的物未经违禁物质处理，药残留量符合相关国家标准，禽体各部位应修剪外伤、血点、血污、羽毛根等，每只重量约1.0千克-2.0千克。（详见附表）</w:t>
      </w:r>
    </w:p>
    <w:p w14:paraId="76FA56DE">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③附表：肉禽类相关技术指标</w:t>
      </w:r>
    </w:p>
    <w:tbl>
      <w:tblPr>
        <w:tblStyle w:val="67"/>
        <w:tblW w:w="96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6"/>
        <w:gridCol w:w="933"/>
        <w:gridCol w:w="1069"/>
        <w:gridCol w:w="6031"/>
        <w:gridCol w:w="887"/>
      </w:tblGrid>
      <w:tr w14:paraId="30438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7CE383F9">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2002" w:type="dxa"/>
            <w:gridSpan w:val="2"/>
            <w:tcBorders>
              <w:top w:val="single" w:color="000000" w:sz="4" w:space="0"/>
              <w:left w:val="single" w:color="000000" w:sz="4" w:space="0"/>
              <w:bottom w:val="single" w:color="000000" w:sz="4" w:space="0"/>
              <w:right w:val="single" w:color="000000" w:sz="4" w:space="0"/>
            </w:tcBorders>
            <w:vAlign w:val="center"/>
          </w:tcPr>
          <w:p w14:paraId="3F4AD514">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w:t>
            </w:r>
          </w:p>
        </w:tc>
        <w:tc>
          <w:tcPr>
            <w:tcW w:w="6031" w:type="dxa"/>
            <w:tcBorders>
              <w:top w:val="single" w:color="000000" w:sz="4" w:space="0"/>
              <w:left w:val="single" w:color="000000" w:sz="4" w:space="0"/>
              <w:bottom w:val="single" w:color="000000" w:sz="4" w:space="0"/>
              <w:right w:val="single" w:color="000000" w:sz="4" w:space="0"/>
            </w:tcBorders>
            <w:vAlign w:val="center"/>
          </w:tcPr>
          <w:p w14:paraId="34DD3037">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标准</w:t>
            </w:r>
          </w:p>
        </w:tc>
        <w:tc>
          <w:tcPr>
            <w:tcW w:w="887" w:type="dxa"/>
            <w:tcBorders>
              <w:top w:val="single" w:color="000000" w:sz="4" w:space="0"/>
              <w:left w:val="single" w:color="000000" w:sz="4" w:space="0"/>
              <w:bottom w:val="single" w:color="000000" w:sz="4" w:space="0"/>
              <w:right w:val="single" w:color="000000" w:sz="4" w:space="0"/>
            </w:tcBorders>
            <w:vAlign w:val="center"/>
          </w:tcPr>
          <w:p w14:paraId="248F808E">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备注</w:t>
            </w:r>
          </w:p>
        </w:tc>
      </w:tr>
      <w:tr w14:paraId="216F1C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28CC1B5D">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2002" w:type="dxa"/>
            <w:gridSpan w:val="2"/>
            <w:tcBorders>
              <w:top w:val="single" w:color="000000" w:sz="4" w:space="0"/>
              <w:left w:val="single" w:color="000000" w:sz="4" w:space="0"/>
              <w:bottom w:val="single" w:color="000000" w:sz="4" w:space="0"/>
              <w:right w:val="single" w:color="000000" w:sz="4" w:space="0"/>
            </w:tcBorders>
            <w:vAlign w:val="center"/>
          </w:tcPr>
          <w:p w14:paraId="39428F09">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原料</w:t>
            </w:r>
          </w:p>
        </w:tc>
        <w:tc>
          <w:tcPr>
            <w:tcW w:w="6031" w:type="dxa"/>
            <w:tcBorders>
              <w:top w:val="single" w:color="000000" w:sz="4" w:space="0"/>
              <w:left w:val="single" w:color="000000" w:sz="4" w:space="0"/>
              <w:bottom w:val="single" w:color="000000" w:sz="4" w:space="0"/>
              <w:right w:val="single" w:color="000000" w:sz="4" w:space="0"/>
            </w:tcBorders>
            <w:vAlign w:val="center"/>
          </w:tcPr>
          <w:p w14:paraId="4976145A">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屠宰前的活禽应来自非疫区，并经检疫、检验合格。</w:t>
            </w:r>
          </w:p>
        </w:tc>
        <w:tc>
          <w:tcPr>
            <w:tcW w:w="887" w:type="dxa"/>
            <w:tcBorders>
              <w:top w:val="single" w:color="000000" w:sz="4" w:space="0"/>
              <w:left w:val="single" w:color="000000" w:sz="4" w:space="0"/>
              <w:bottom w:val="single" w:color="000000" w:sz="4" w:space="0"/>
              <w:right w:val="single" w:color="000000" w:sz="4" w:space="0"/>
            </w:tcBorders>
            <w:vAlign w:val="center"/>
          </w:tcPr>
          <w:p w14:paraId="51F7907E">
            <w:pPr>
              <w:pStyle w:val="924"/>
              <w:spacing w:line="360" w:lineRule="auto"/>
              <w:jc w:val="center"/>
              <w:rPr>
                <w:rFonts w:ascii="宋体" w:hAnsi="宋体" w:cs="宋体"/>
                <w:color w:val="auto"/>
                <w:sz w:val="24"/>
                <w:highlight w:val="none"/>
              </w:rPr>
            </w:pPr>
          </w:p>
        </w:tc>
      </w:tr>
      <w:tr w14:paraId="55820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3EAF9A17">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933" w:type="dxa"/>
            <w:vMerge w:val="restart"/>
            <w:tcBorders>
              <w:top w:val="single" w:color="000000" w:sz="4" w:space="0"/>
              <w:left w:val="single" w:color="000000" w:sz="4" w:space="0"/>
              <w:bottom w:val="single" w:color="000000" w:sz="4" w:space="0"/>
              <w:right w:val="single" w:color="000000" w:sz="4" w:space="0"/>
            </w:tcBorders>
            <w:vAlign w:val="center"/>
          </w:tcPr>
          <w:p w14:paraId="71B74D1A">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加工</w:t>
            </w:r>
          </w:p>
        </w:tc>
        <w:tc>
          <w:tcPr>
            <w:tcW w:w="1069" w:type="dxa"/>
            <w:tcBorders>
              <w:top w:val="single" w:color="000000" w:sz="4" w:space="0"/>
              <w:left w:val="single" w:color="000000" w:sz="4" w:space="0"/>
              <w:bottom w:val="single" w:color="000000" w:sz="4" w:space="0"/>
              <w:right w:val="single" w:color="000000" w:sz="4" w:space="0"/>
            </w:tcBorders>
            <w:vAlign w:val="center"/>
          </w:tcPr>
          <w:p w14:paraId="2015DC1A">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加工</w:t>
            </w:r>
          </w:p>
        </w:tc>
        <w:tc>
          <w:tcPr>
            <w:tcW w:w="6031" w:type="dxa"/>
            <w:tcBorders>
              <w:top w:val="single" w:color="000000" w:sz="4" w:space="0"/>
              <w:left w:val="single" w:color="000000" w:sz="4" w:space="0"/>
              <w:bottom w:val="single" w:color="000000" w:sz="4" w:space="0"/>
              <w:right w:val="single" w:color="000000" w:sz="4" w:space="0"/>
            </w:tcBorders>
            <w:vAlign w:val="center"/>
          </w:tcPr>
          <w:p w14:paraId="01A99C74">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屠宰后的禽体应经检疫、检验合格后，再进行加工。</w:t>
            </w:r>
          </w:p>
        </w:tc>
        <w:tc>
          <w:tcPr>
            <w:tcW w:w="887" w:type="dxa"/>
            <w:tcBorders>
              <w:top w:val="single" w:color="000000" w:sz="4" w:space="0"/>
              <w:left w:val="single" w:color="000000" w:sz="4" w:space="0"/>
              <w:bottom w:val="single" w:color="000000" w:sz="4" w:space="0"/>
              <w:right w:val="single" w:color="000000" w:sz="4" w:space="0"/>
            </w:tcBorders>
            <w:vAlign w:val="center"/>
          </w:tcPr>
          <w:p w14:paraId="62E3BACC">
            <w:pPr>
              <w:pStyle w:val="924"/>
              <w:spacing w:line="360" w:lineRule="auto"/>
              <w:jc w:val="center"/>
              <w:rPr>
                <w:rFonts w:ascii="宋体" w:hAnsi="宋体" w:cs="宋体"/>
                <w:color w:val="auto"/>
                <w:sz w:val="24"/>
                <w:highlight w:val="none"/>
              </w:rPr>
            </w:pPr>
          </w:p>
        </w:tc>
      </w:tr>
      <w:tr w14:paraId="7982F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78739F57">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3</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06B4BD74">
            <w:pPr>
              <w:widowControl/>
              <w:spacing w:line="360" w:lineRule="auto"/>
              <w:jc w:val="left"/>
              <w:rPr>
                <w:rFonts w:ascii="宋体" w:hAnsi="宋体" w:cs="宋体"/>
                <w:color w:val="auto"/>
                <w:sz w:val="24"/>
                <w:szCs w:val="24"/>
                <w:highlight w:val="none"/>
              </w:rPr>
            </w:pPr>
          </w:p>
        </w:tc>
        <w:tc>
          <w:tcPr>
            <w:tcW w:w="1069" w:type="dxa"/>
            <w:tcBorders>
              <w:top w:val="single" w:color="000000" w:sz="4" w:space="0"/>
              <w:left w:val="single" w:color="000000" w:sz="4" w:space="0"/>
              <w:bottom w:val="single" w:color="000000" w:sz="4" w:space="0"/>
              <w:right w:val="single" w:color="000000" w:sz="4" w:space="0"/>
            </w:tcBorders>
            <w:vAlign w:val="center"/>
          </w:tcPr>
          <w:p w14:paraId="5ED4AD88">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整修</w:t>
            </w:r>
          </w:p>
        </w:tc>
        <w:tc>
          <w:tcPr>
            <w:tcW w:w="6031" w:type="dxa"/>
            <w:tcBorders>
              <w:top w:val="single" w:color="000000" w:sz="4" w:space="0"/>
              <w:left w:val="single" w:color="000000" w:sz="4" w:space="0"/>
              <w:bottom w:val="single" w:color="000000" w:sz="4" w:space="0"/>
              <w:right w:val="single" w:color="000000" w:sz="4" w:space="0"/>
            </w:tcBorders>
            <w:vAlign w:val="center"/>
          </w:tcPr>
          <w:p w14:paraId="2012228F">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应修除或割除禽体各部位的外伤、血点、血污、羽毛根等。</w:t>
            </w:r>
          </w:p>
        </w:tc>
        <w:tc>
          <w:tcPr>
            <w:tcW w:w="887" w:type="dxa"/>
            <w:tcBorders>
              <w:top w:val="single" w:color="000000" w:sz="4" w:space="0"/>
              <w:left w:val="single" w:color="000000" w:sz="4" w:space="0"/>
              <w:bottom w:val="single" w:color="000000" w:sz="4" w:space="0"/>
              <w:right w:val="single" w:color="000000" w:sz="4" w:space="0"/>
            </w:tcBorders>
            <w:vAlign w:val="center"/>
          </w:tcPr>
          <w:p w14:paraId="72C48DDB">
            <w:pPr>
              <w:pStyle w:val="924"/>
              <w:spacing w:line="360" w:lineRule="auto"/>
              <w:jc w:val="center"/>
              <w:rPr>
                <w:rFonts w:ascii="宋体" w:hAnsi="宋体" w:cs="宋体"/>
                <w:color w:val="auto"/>
                <w:sz w:val="24"/>
                <w:highlight w:val="none"/>
              </w:rPr>
            </w:pPr>
          </w:p>
        </w:tc>
      </w:tr>
      <w:tr w14:paraId="3955F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3035AF8F">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4</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169CDEB0">
            <w:pPr>
              <w:widowControl/>
              <w:spacing w:line="360" w:lineRule="auto"/>
              <w:jc w:val="left"/>
              <w:rPr>
                <w:rFonts w:ascii="宋体" w:hAnsi="宋体" w:cs="宋体"/>
                <w:color w:val="auto"/>
                <w:sz w:val="24"/>
                <w:szCs w:val="24"/>
                <w:highlight w:val="none"/>
              </w:rPr>
            </w:pPr>
          </w:p>
        </w:tc>
        <w:tc>
          <w:tcPr>
            <w:tcW w:w="1069" w:type="dxa"/>
            <w:tcBorders>
              <w:top w:val="single" w:color="000000" w:sz="4" w:space="0"/>
              <w:left w:val="single" w:color="000000" w:sz="4" w:space="0"/>
              <w:bottom w:val="single" w:color="000000" w:sz="4" w:space="0"/>
              <w:right w:val="single" w:color="000000" w:sz="4" w:space="0"/>
            </w:tcBorders>
            <w:vAlign w:val="center"/>
          </w:tcPr>
          <w:p w14:paraId="1B17C255">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分割</w:t>
            </w:r>
          </w:p>
        </w:tc>
        <w:tc>
          <w:tcPr>
            <w:tcW w:w="6031" w:type="dxa"/>
            <w:tcBorders>
              <w:top w:val="single" w:color="000000" w:sz="4" w:space="0"/>
              <w:left w:val="single" w:color="000000" w:sz="4" w:space="0"/>
              <w:bottom w:val="single" w:color="000000" w:sz="4" w:space="0"/>
              <w:right w:val="single" w:color="000000" w:sz="4" w:space="0"/>
            </w:tcBorders>
            <w:vAlign w:val="center"/>
          </w:tcPr>
          <w:p w14:paraId="7986F9C9">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分割禽体时应先预冷后分割；从放血到包装、入冷库的时间不得超过2h。</w:t>
            </w:r>
          </w:p>
        </w:tc>
        <w:tc>
          <w:tcPr>
            <w:tcW w:w="887" w:type="dxa"/>
            <w:tcBorders>
              <w:top w:val="single" w:color="000000" w:sz="4" w:space="0"/>
              <w:left w:val="single" w:color="000000" w:sz="4" w:space="0"/>
              <w:bottom w:val="single" w:color="000000" w:sz="4" w:space="0"/>
              <w:right w:val="single" w:color="000000" w:sz="4" w:space="0"/>
            </w:tcBorders>
            <w:vAlign w:val="center"/>
          </w:tcPr>
          <w:p w14:paraId="4A299C17">
            <w:pPr>
              <w:pStyle w:val="924"/>
              <w:spacing w:line="360" w:lineRule="auto"/>
              <w:jc w:val="center"/>
              <w:rPr>
                <w:rFonts w:ascii="宋体" w:hAnsi="宋体" w:cs="宋体"/>
                <w:color w:val="auto"/>
                <w:sz w:val="24"/>
                <w:highlight w:val="none"/>
              </w:rPr>
            </w:pPr>
          </w:p>
        </w:tc>
      </w:tr>
      <w:tr w14:paraId="4B04D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31507126">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5</w:t>
            </w:r>
          </w:p>
        </w:tc>
        <w:tc>
          <w:tcPr>
            <w:tcW w:w="933" w:type="dxa"/>
            <w:vMerge w:val="restart"/>
            <w:tcBorders>
              <w:top w:val="single" w:color="000000" w:sz="4" w:space="0"/>
              <w:left w:val="single" w:color="000000" w:sz="4" w:space="0"/>
              <w:bottom w:val="single" w:color="000000" w:sz="4" w:space="0"/>
              <w:right w:val="single" w:color="000000" w:sz="4" w:space="0"/>
            </w:tcBorders>
            <w:vAlign w:val="center"/>
          </w:tcPr>
          <w:p w14:paraId="76118E00">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感官指标</w:t>
            </w:r>
          </w:p>
        </w:tc>
        <w:tc>
          <w:tcPr>
            <w:tcW w:w="1069" w:type="dxa"/>
            <w:tcBorders>
              <w:top w:val="single" w:color="000000" w:sz="4" w:space="0"/>
              <w:left w:val="single" w:color="000000" w:sz="4" w:space="0"/>
              <w:bottom w:val="single" w:color="000000" w:sz="4" w:space="0"/>
              <w:right w:val="single" w:color="000000" w:sz="4" w:space="0"/>
            </w:tcBorders>
            <w:vAlign w:val="center"/>
          </w:tcPr>
          <w:p w14:paraId="1A8195FB">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色泽</w:t>
            </w:r>
          </w:p>
        </w:tc>
        <w:tc>
          <w:tcPr>
            <w:tcW w:w="6031" w:type="dxa"/>
            <w:tcBorders>
              <w:top w:val="single" w:color="000000" w:sz="4" w:space="0"/>
              <w:left w:val="single" w:color="000000" w:sz="4" w:space="0"/>
              <w:bottom w:val="single" w:color="000000" w:sz="4" w:space="0"/>
              <w:right w:val="single" w:color="000000" w:sz="4" w:space="0"/>
            </w:tcBorders>
            <w:vAlign w:val="center"/>
          </w:tcPr>
          <w:p w14:paraId="78637AF3">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表皮和肌肉切面有光泽，具有禽种固有的色泽</w:t>
            </w:r>
          </w:p>
        </w:tc>
        <w:tc>
          <w:tcPr>
            <w:tcW w:w="887" w:type="dxa"/>
            <w:tcBorders>
              <w:top w:val="single" w:color="000000" w:sz="4" w:space="0"/>
              <w:left w:val="single" w:color="000000" w:sz="4" w:space="0"/>
              <w:bottom w:val="single" w:color="000000" w:sz="4" w:space="0"/>
              <w:right w:val="single" w:color="000000" w:sz="4" w:space="0"/>
            </w:tcBorders>
            <w:vAlign w:val="center"/>
          </w:tcPr>
          <w:p w14:paraId="1B70A208">
            <w:pPr>
              <w:pStyle w:val="924"/>
              <w:spacing w:line="360" w:lineRule="auto"/>
              <w:jc w:val="center"/>
              <w:rPr>
                <w:rFonts w:ascii="宋体" w:hAnsi="宋体" w:cs="宋体"/>
                <w:color w:val="auto"/>
                <w:sz w:val="24"/>
                <w:highlight w:val="none"/>
              </w:rPr>
            </w:pPr>
          </w:p>
        </w:tc>
      </w:tr>
      <w:tr w14:paraId="4A65A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143214CA">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6</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60543E35">
            <w:pPr>
              <w:widowControl/>
              <w:spacing w:line="360" w:lineRule="auto"/>
              <w:jc w:val="left"/>
              <w:rPr>
                <w:rFonts w:ascii="宋体" w:hAnsi="宋体" w:cs="宋体"/>
                <w:color w:val="auto"/>
                <w:sz w:val="24"/>
                <w:szCs w:val="24"/>
                <w:highlight w:val="none"/>
              </w:rPr>
            </w:pPr>
          </w:p>
        </w:tc>
        <w:tc>
          <w:tcPr>
            <w:tcW w:w="1069" w:type="dxa"/>
            <w:tcBorders>
              <w:top w:val="single" w:color="000000" w:sz="4" w:space="0"/>
              <w:left w:val="single" w:color="000000" w:sz="4" w:space="0"/>
              <w:bottom w:val="single" w:color="000000" w:sz="4" w:space="0"/>
              <w:right w:val="single" w:color="000000" w:sz="4" w:space="0"/>
            </w:tcBorders>
            <w:vAlign w:val="center"/>
          </w:tcPr>
          <w:p w14:paraId="1AE35345">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弹性（组织状态）</w:t>
            </w:r>
          </w:p>
        </w:tc>
        <w:tc>
          <w:tcPr>
            <w:tcW w:w="6031" w:type="dxa"/>
            <w:tcBorders>
              <w:top w:val="single" w:color="000000" w:sz="4" w:space="0"/>
              <w:left w:val="single" w:color="000000" w:sz="4" w:space="0"/>
              <w:bottom w:val="single" w:color="000000" w:sz="4" w:space="0"/>
              <w:right w:val="single" w:color="000000" w:sz="4" w:space="0"/>
            </w:tcBorders>
            <w:vAlign w:val="center"/>
          </w:tcPr>
          <w:p w14:paraId="1DFE33A4">
            <w:pPr>
              <w:autoSpaceDE w:val="0"/>
              <w:autoSpaceDN w:val="0"/>
              <w:adjustRightInd w:val="0"/>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鲜肉禽肌肉有弹性，经指压后凹陷部位立即恢复原位。冻肉禽肌肉经指压后凹陷部位恢复慢，不能完全恢复原状</w:t>
            </w:r>
          </w:p>
        </w:tc>
        <w:tc>
          <w:tcPr>
            <w:tcW w:w="887" w:type="dxa"/>
            <w:tcBorders>
              <w:top w:val="single" w:color="000000" w:sz="4" w:space="0"/>
              <w:left w:val="single" w:color="000000" w:sz="4" w:space="0"/>
              <w:bottom w:val="single" w:color="000000" w:sz="4" w:space="0"/>
              <w:right w:val="single" w:color="000000" w:sz="4" w:space="0"/>
            </w:tcBorders>
            <w:vAlign w:val="center"/>
          </w:tcPr>
          <w:p w14:paraId="3C0FEF8C">
            <w:pPr>
              <w:pStyle w:val="924"/>
              <w:spacing w:line="360" w:lineRule="auto"/>
              <w:jc w:val="center"/>
              <w:rPr>
                <w:rFonts w:ascii="宋体" w:hAnsi="宋体" w:cs="宋体"/>
                <w:color w:val="auto"/>
                <w:sz w:val="24"/>
                <w:highlight w:val="none"/>
              </w:rPr>
            </w:pPr>
          </w:p>
        </w:tc>
      </w:tr>
      <w:tr w14:paraId="7D315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38C290FE">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7</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1B413C83">
            <w:pPr>
              <w:widowControl/>
              <w:spacing w:line="360" w:lineRule="auto"/>
              <w:jc w:val="left"/>
              <w:rPr>
                <w:rFonts w:ascii="宋体" w:hAnsi="宋体" w:cs="宋体"/>
                <w:color w:val="auto"/>
                <w:sz w:val="24"/>
                <w:szCs w:val="24"/>
                <w:highlight w:val="none"/>
              </w:rPr>
            </w:pPr>
          </w:p>
        </w:tc>
        <w:tc>
          <w:tcPr>
            <w:tcW w:w="1069" w:type="dxa"/>
            <w:tcBorders>
              <w:top w:val="single" w:color="000000" w:sz="4" w:space="0"/>
              <w:left w:val="single" w:color="000000" w:sz="4" w:space="0"/>
              <w:bottom w:val="single" w:color="000000" w:sz="4" w:space="0"/>
              <w:right w:val="single" w:color="000000" w:sz="4" w:space="0"/>
            </w:tcBorders>
            <w:vAlign w:val="center"/>
          </w:tcPr>
          <w:p w14:paraId="30BB3812">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气味</w:t>
            </w:r>
          </w:p>
        </w:tc>
        <w:tc>
          <w:tcPr>
            <w:tcW w:w="6031" w:type="dxa"/>
            <w:tcBorders>
              <w:top w:val="single" w:color="000000" w:sz="4" w:space="0"/>
              <w:left w:val="single" w:color="000000" w:sz="4" w:space="0"/>
              <w:bottom w:val="single" w:color="000000" w:sz="4" w:space="0"/>
              <w:right w:val="single" w:color="000000" w:sz="4" w:space="0"/>
            </w:tcBorders>
            <w:vAlign w:val="center"/>
          </w:tcPr>
          <w:p w14:paraId="1962D326">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具有禽种固有的气味，无异味。煮沸后的肉汤透明澄清，脂肪团聚于表面，具有固有香味。</w:t>
            </w:r>
          </w:p>
        </w:tc>
        <w:tc>
          <w:tcPr>
            <w:tcW w:w="887" w:type="dxa"/>
            <w:tcBorders>
              <w:top w:val="single" w:color="000000" w:sz="4" w:space="0"/>
              <w:left w:val="single" w:color="000000" w:sz="4" w:space="0"/>
              <w:bottom w:val="single" w:color="000000" w:sz="4" w:space="0"/>
              <w:right w:val="single" w:color="000000" w:sz="4" w:space="0"/>
            </w:tcBorders>
            <w:vAlign w:val="center"/>
          </w:tcPr>
          <w:p w14:paraId="7F4B0CA7">
            <w:pPr>
              <w:pStyle w:val="924"/>
              <w:spacing w:line="360" w:lineRule="auto"/>
              <w:jc w:val="center"/>
              <w:rPr>
                <w:rFonts w:ascii="宋体" w:hAnsi="宋体" w:cs="宋体"/>
                <w:color w:val="auto"/>
                <w:sz w:val="24"/>
                <w:highlight w:val="none"/>
              </w:rPr>
            </w:pPr>
          </w:p>
        </w:tc>
      </w:tr>
      <w:tr w14:paraId="6637E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68EA6AEE">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8</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041529F8">
            <w:pPr>
              <w:widowControl/>
              <w:spacing w:line="360" w:lineRule="auto"/>
              <w:jc w:val="left"/>
              <w:rPr>
                <w:rFonts w:ascii="宋体" w:hAnsi="宋体" w:cs="宋体"/>
                <w:color w:val="auto"/>
                <w:sz w:val="24"/>
                <w:szCs w:val="24"/>
                <w:highlight w:val="none"/>
              </w:rPr>
            </w:pPr>
          </w:p>
        </w:tc>
        <w:tc>
          <w:tcPr>
            <w:tcW w:w="1069" w:type="dxa"/>
            <w:tcBorders>
              <w:top w:val="single" w:color="000000" w:sz="4" w:space="0"/>
              <w:left w:val="single" w:color="000000" w:sz="4" w:space="0"/>
              <w:bottom w:val="single" w:color="000000" w:sz="4" w:space="0"/>
              <w:right w:val="single" w:color="000000" w:sz="4" w:space="0"/>
            </w:tcBorders>
            <w:vAlign w:val="center"/>
          </w:tcPr>
          <w:p w14:paraId="3AF7CC16">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淤血</w:t>
            </w:r>
          </w:p>
        </w:tc>
        <w:tc>
          <w:tcPr>
            <w:tcW w:w="6031" w:type="dxa"/>
            <w:tcBorders>
              <w:top w:val="single" w:color="000000" w:sz="4" w:space="0"/>
              <w:left w:val="single" w:color="000000" w:sz="4" w:space="0"/>
              <w:bottom w:val="single" w:color="000000" w:sz="4" w:space="0"/>
              <w:right w:val="single" w:color="000000" w:sz="4" w:space="0"/>
            </w:tcBorders>
            <w:vAlign w:val="center"/>
          </w:tcPr>
          <w:p w14:paraId="4F5D3C49">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不允许存在淤血面积大于1 C㎡；淤血面积小于1 C㎡时，不得超过抽样量的2%。（淤血面积以单一整禽或单一分割禽体的1片淤血面积计）</w:t>
            </w:r>
          </w:p>
        </w:tc>
        <w:tc>
          <w:tcPr>
            <w:tcW w:w="887" w:type="dxa"/>
            <w:tcBorders>
              <w:top w:val="single" w:color="000000" w:sz="4" w:space="0"/>
              <w:left w:val="single" w:color="000000" w:sz="4" w:space="0"/>
              <w:bottom w:val="single" w:color="000000" w:sz="4" w:space="0"/>
              <w:right w:val="single" w:color="000000" w:sz="4" w:space="0"/>
            </w:tcBorders>
            <w:vAlign w:val="center"/>
          </w:tcPr>
          <w:p w14:paraId="46DEA39F">
            <w:pPr>
              <w:pStyle w:val="924"/>
              <w:spacing w:line="360" w:lineRule="auto"/>
              <w:jc w:val="center"/>
              <w:rPr>
                <w:rFonts w:ascii="宋体" w:hAnsi="宋体" w:cs="宋体"/>
                <w:color w:val="auto"/>
                <w:sz w:val="24"/>
                <w:highlight w:val="none"/>
              </w:rPr>
            </w:pPr>
          </w:p>
        </w:tc>
      </w:tr>
      <w:tr w14:paraId="2A6F7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08EDBDC2">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9</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23957F4A">
            <w:pPr>
              <w:widowControl/>
              <w:spacing w:line="360" w:lineRule="auto"/>
              <w:jc w:val="left"/>
              <w:rPr>
                <w:rFonts w:ascii="宋体" w:hAnsi="宋体" w:cs="宋体"/>
                <w:color w:val="auto"/>
                <w:sz w:val="24"/>
                <w:szCs w:val="24"/>
                <w:highlight w:val="none"/>
              </w:rPr>
            </w:pPr>
          </w:p>
        </w:tc>
        <w:tc>
          <w:tcPr>
            <w:tcW w:w="1069" w:type="dxa"/>
            <w:tcBorders>
              <w:top w:val="single" w:color="000000" w:sz="4" w:space="0"/>
              <w:left w:val="single" w:color="000000" w:sz="4" w:space="0"/>
              <w:bottom w:val="single" w:color="000000" w:sz="4" w:space="0"/>
              <w:right w:val="single" w:color="000000" w:sz="4" w:space="0"/>
            </w:tcBorders>
            <w:vAlign w:val="center"/>
          </w:tcPr>
          <w:p w14:paraId="3940FC1F">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硬杆毛/（根/10kg）</w:t>
            </w:r>
          </w:p>
        </w:tc>
        <w:tc>
          <w:tcPr>
            <w:tcW w:w="6031" w:type="dxa"/>
            <w:tcBorders>
              <w:top w:val="single" w:color="000000" w:sz="4" w:space="0"/>
              <w:left w:val="single" w:color="000000" w:sz="4" w:space="0"/>
              <w:bottom w:val="single" w:color="000000" w:sz="4" w:space="0"/>
              <w:right w:val="single" w:color="000000" w:sz="4" w:space="0"/>
            </w:tcBorders>
            <w:vAlign w:val="center"/>
          </w:tcPr>
          <w:p w14:paraId="0D14FA9F">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887" w:type="dxa"/>
            <w:tcBorders>
              <w:top w:val="single" w:color="000000" w:sz="4" w:space="0"/>
              <w:left w:val="single" w:color="000000" w:sz="4" w:space="0"/>
              <w:bottom w:val="single" w:color="000000" w:sz="4" w:space="0"/>
              <w:right w:val="single" w:color="000000" w:sz="4" w:space="0"/>
            </w:tcBorders>
            <w:vAlign w:val="center"/>
          </w:tcPr>
          <w:p w14:paraId="78DF5291">
            <w:pPr>
              <w:pStyle w:val="924"/>
              <w:spacing w:line="360" w:lineRule="auto"/>
              <w:jc w:val="center"/>
              <w:rPr>
                <w:rFonts w:ascii="宋体" w:hAnsi="宋体" w:cs="宋体"/>
                <w:color w:val="auto"/>
                <w:sz w:val="24"/>
                <w:highlight w:val="none"/>
              </w:rPr>
            </w:pPr>
          </w:p>
        </w:tc>
      </w:tr>
      <w:tr w14:paraId="3285E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111BD694">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10</w:t>
            </w:r>
          </w:p>
        </w:tc>
        <w:tc>
          <w:tcPr>
            <w:tcW w:w="933" w:type="dxa"/>
            <w:vMerge w:val="continue"/>
            <w:tcBorders>
              <w:top w:val="single" w:color="000000" w:sz="4" w:space="0"/>
              <w:left w:val="single" w:color="000000" w:sz="4" w:space="0"/>
              <w:bottom w:val="single" w:color="000000" w:sz="4" w:space="0"/>
              <w:right w:val="single" w:color="000000" w:sz="4" w:space="0"/>
            </w:tcBorders>
            <w:vAlign w:val="center"/>
          </w:tcPr>
          <w:p w14:paraId="74039F9D">
            <w:pPr>
              <w:widowControl/>
              <w:spacing w:line="360" w:lineRule="auto"/>
              <w:jc w:val="left"/>
              <w:rPr>
                <w:rFonts w:ascii="宋体" w:hAnsi="宋体" w:cs="宋体"/>
                <w:color w:val="auto"/>
                <w:sz w:val="24"/>
                <w:szCs w:val="24"/>
                <w:highlight w:val="none"/>
              </w:rPr>
            </w:pPr>
          </w:p>
        </w:tc>
        <w:tc>
          <w:tcPr>
            <w:tcW w:w="1069" w:type="dxa"/>
            <w:tcBorders>
              <w:top w:val="single" w:color="000000" w:sz="4" w:space="0"/>
              <w:left w:val="single" w:color="000000" w:sz="4" w:space="0"/>
              <w:bottom w:val="single" w:color="000000" w:sz="4" w:space="0"/>
              <w:right w:val="single" w:color="000000" w:sz="4" w:space="0"/>
            </w:tcBorders>
            <w:vAlign w:val="center"/>
          </w:tcPr>
          <w:p w14:paraId="4A0F3E8C">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肉眼可见物</w:t>
            </w:r>
          </w:p>
        </w:tc>
        <w:tc>
          <w:tcPr>
            <w:tcW w:w="6031" w:type="dxa"/>
            <w:tcBorders>
              <w:top w:val="single" w:color="000000" w:sz="4" w:space="0"/>
              <w:left w:val="single" w:color="000000" w:sz="4" w:space="0"/>
              <w:bottom w:val="single" w:color="000000" w:sz="4" w:space="0"/>
              <w:right w:val="single" w:color="000000" w:sz="4" w:space="0"/>
            </w:tcBorders>
            <w:vAlign w:val="center"/>
          </w:tcPr>
          <w:p w14:paraId="45DF6C15">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不得检出。</w:t>
            </w:r>
          </w:p>
        </w:tc>
        <w:tc>
          <w:tcPr>
            <w:tcW w:w="887" w:type="dxa"/>
            <w:tcBorders>
              <w:top w:val="single" w:color="000000" w:sz="4" w:space="0"/>
              <w:left w:val="single" w:color="000000" w:sz="4" w:space="0"/>
              <w:bottom w:val="single" w:color="000000" w:sz="4" w:space="0"/>
              <w:right w:val="single" w:color="000000" w:sz="4" w:space="0"/>
            </w:tcBorders>
            <w:vAlign w:val="center"/>
          </w:tcPr>
          <w:p w14:paraId="274238B3">
            <w:pPr>
              <w:pStyle w:val="924"/>
              <w:spacing w:line="360" w:lineRule="auto"/>
              <w:jc w:val="center"/>
              <w:rPr>
                <w:rFonts w:ascii="宋体" w:hAnsi="宋体" w:cs="宋体"/>
                <w:color w:val="auto"/>
                <w:sz w:val="24"/>
                <w:highlight w:val="none"/>
              </w:rPr>
            </w:pPr>
          </w:p>
        </w:tc>
      </w:tr>
      <w:tr w14:paraId="0CF4A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36" w:type="dxa"/>
            <w:tcBorders>
              <w:top w:val="single" w:color="000000" w:sz="4" w:space="0"/>
              <w:left w:val="single" w:color="000000" w:sz="4" w:space="0"/>
              <w:bottom w:val="single" w:color="000000" w:sz="4" w:space="0"/>
              <w:right w:val="single" w:color="auto" w:sz="4" w:space="0"/>
            </w:tcBorders>
            <w:vAlign w:val="center"/>
          </w:tcPr>
          <w:p w14:paraId="55178823">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11</w:t>
            </w:r>
          </w:p>
        </w:tc>
        <w:tc>
          <w:tcPr>
            <w:tcW w:w="2002" w:type="dxa"/>
            <w:gridSpan w:val="2"/>
            <w:tcBorders>
              <w:top w:val="single" w:color="000000" w:sz="4" w:space="0"/>
              <w:left w:val="single" w:color="000000" w:sz="4" w:space="0"/>
              <w:bottom w:val="single" w:color="000000" w:sz="4" w:space="0"/>
              <w:right w:val="single" w:color="000000" w:sz="4" w:space="0"/>
            </w:tcBorders>
            <w:vAlign w:val="center"/>
          </w:tcPr>
          <w:p w14:paraId="02CE8D72">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理化指标</w:t>
            </w:r>
          </w:p>
        </w:tc>
        <w:tc>
          <w:tcPr>
            <w:tcW w:w="6031" w:type="dxa"/>
            <w:tcBorders>
              <w:top w:val="single" w:color="000000" w:sz="4" w:space="0"/>
              <w:left w:val="single" w:color="000000" w:sz="4" w:space="0"/>
              <w:bottom w:val="single" w:color="000000" w:sz="4" w:space="0"/>
              <w:right w:val="single" w:color="000000" w:sz="4" w:space="0"/>
            </w:tcBorders>
            <w:vAlign w:val="center"/>
          </w:tcPr>
          <w:p w14:paraId="49150303">
            <w:pPr>
              <w:pStyle w:val="924"/>
              <w:spacing w:line="360" w:lineRule="auto"/>
              <w:rPr>
                <w:rFonts w:ascii="宋体" w:hAnsi="宋体" w:cs="宋体"/>
                <w:color w:val="auto"/>
                <w:sz w:val="24"/>
                <w:highlight w:val="none"/>
              </w:rPr>
            </w:pPr>
            <w:r>
              <w:rPr>
                <w:rFonts w:hint="eastAsia" w:ascii="宋体" w:hAnsi="宋体" w:cs="宋体"/>
                <w:color w:val="auto"/>
                <w:sz w:val="24"/>
                <w:highlight w:val="none"/>
              </w:rPr>
              <w:t>参照GB 16869-2005国家标准</w:t>
            </w:r>
          </w:p>
        </w:tc>
        <w:tc>
          <w:tcPr>
            <w:tcW w:w="887" w:type="dxa"/>
            <w:tcBorders>
              <w:top w:val="single" w:color="000000" w:sz="4" w:space="0"/>
              <w:left w:val="single" w:color="000000" w:sz="4" w:space="0"/>
              <w:bottom w:val="single" w:color="000000" w:sz="4" w:space="0"/>
              <w:right w:val="single" w:color="000000" w:sz="4" w:space="0"/>
            </w:tcBorders>
            <w:vAlign w:val="center"/>
          </w:tcPr>
          <w:p w14:paraId="46217790">
            <w:pPr>
              <w:pStyle w:val="924"/>
              <w:spacing w:line="360" w:lineRule="auto"/>
              <w:jc w:val="center"/>
              <w:rPr>
                <w:rFonts w:ascii="宋体" w:hAnsi="宋体" w:cs="宋体"/>
                <w:color w:val="auto"/>
                <w:sz w:val="24"/>
                <w:highlight w:val="none"/>
              </w:rPr>
            </w:pPr>
          </w:p>
        </w:tc>
      </w:tr>
    </w:tbl>
    <w:p w14:paraId="20E79065">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3）水产类</w:t>
      </w:r>
    </w:p>
    <w:p w14:paraId="6E9B30CE">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①总体要求：本次采购所需标的物以鲜活水产品为主，主要有鳊鱼、草鱼、鲈鱼、昂刺鱼等，根据甲方需求可供部分冷冻产品。</w:t>
      </w:r>
      <w:r>
        <w:rPr>
          <w:rFonts w:hint="eastAsia" w:hAnsi="宋体" w:cs="宋体"/>
          <w:color w:val="auto"/>
          <w:sz w:val="24"/>
          <w:szCs w:val="24"/>
          <w:highlight w:val="none"/>
        </w:rPr>
        <w:t>乙方</w:t>
      </w:r>
      <w:r>
        <w:rPr>
          <w:rFonts w:hint="eastAsia" w:ascii="宋体" w:hAnsi="宋体" w:cs="宋体"/>
          <w:color w:val="auto"/>
          <w:sz w:val="24"/>
          <w:szCs w:val="24"/>
          <w:highlight w:val="none"/>
        </w:rPr>
        <w:t>保证正规的进货渠道，所供标的物必须卫生、清洁、新鲜、无污染、无假冒伪劣、无过期变质及“三无”商品，符合《中华人民共和国食品安全法》、GB 2733-2005、GB/T 24861-2010等法规要求及相应的国标（行业）标准。</w:t>
      </w:r>
    </w:p>
    <w:p w14:paraId="52AC3EEE">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②具体标准：（详见附表）</w:t>
      </w:r>
    </w:p>
    <w:p w14:paraId="34F7001C">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③附表：水产品相关技术指标</w:t>
      </w:r>
    </w:p>
    <w:tbl>
      <w:tblPr>
        <w:tblStyle w:val="67"/>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1"/>
        <w:gridCol w:w="927"/>
        <w:gridCol w:w="866"/>
        <w:gridCol w:w="6307"/>
        <w:gridCol w:w="833"/>
      </w:tblGrid>
      <w:tr w14:paraId="6C15F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02CC0F3D">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1793" w:type="dxa"/>
            <w:gridSpan w:val="2"/>
            <w:tcBorders>
              <w:top w:val="single" w:color="000000" w:sz="4" w:space="0"/>
              <w:left w:val="single" w:color="000000" w:sz="4" w:space="0"/>
              <w:bottom w:val="single" w:color="000000" w:sz="4" w:space="0"/>
              <w:right w:val="single" w:color="000000" w:sz="4" w:space="0"/>
            </w:tcBorders>
            <w:vAlign w:val="center"/>
          </w:tcPr>
          <w:p w14:paraId="69713B33">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w:t>
            </w:r>
          </w:p>
        </w:tc>
        <w:tc>
          <w:tcPr>
            <w:tcW w:w="6307" w:type="dxa"/>
            <w:tcBorders>
              <w:top w:val="single" w:color="000000" w:sz="4" w:space="0"/>
              <w:left w:val="single" w:color="000000" w:sz="4" w:space="0"/>
              <w:bottom w:val="single" w:color="000000" w:sz="4" w:space="0"/>
              <w:right w:val="single" w:color="000000" w:sz="4" w:space="0"/>
            </w:tcBorders>
            <w:vAlign w:val="center"/>
          </w:tcPr>
          <w:p w14:paraId="37F8FB88">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标准</w:t>
            </w:r>
          </w:p>
        </w:tc>
        <w:tc>
          <w:tcPr>
            <w:tcW w:w="833" w:type="dxa"/>
            <w:tcBorders>
              <w:top w:val="single" w:color="000000" w:sz="4" w:space="0"/>
              <w:left w:val="single" w:color="000000" w:sz="4" w:space="0"/>
              <w:bottom w:val="single" w:color="000000" w:sz="4" w:space="0"/>
              <w:right w:val="single" w:color="000000" w:sz="4" w:space="0"/>
            </w:tcBorders>
            <w:vAlign w:val="center"/>
          </w:tcPr>
          <w:p w14:paraId="65D65F61">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备注</w:t>
            </w:r>
          </w:p>
        </w:tc>
      </w:tr>
      <w:tr w14:paraId="04168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21BD8132">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1793" w:type="dxa"/>
            <w:gridSpan w:val="2"/>
            <w:tcBorders>
              <w:top w:val="single" w:color="000000" w:sz="4" w:space="0"/>
              <w:left w:val="single" w:color="000000" w:sz="4" w:space="0"/>
              <w:bottom w:val="single" w:color="000000" w:sz="4" w:space="0"/>
              <w:right w:val="single" w:color="000000" w:sz="4" w:space="0"/>
            </w:tcBorders>
            <w:vAlign w:val="center"/>
          </w:tcPr>
          <w:p w14:paraId="7E12196D">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原料</w:t>
            </w:r>
          </w:p>
        </w:tc>
        <w:tc>
          <w:tcPr>
            <w:tcW w:w="6307" w:type="dxa"/>
            <w:tcBorders>
              <w:top w:val="single" w:color="000000" w:sz="4" w:space="0"/>
              <w:left w:val="single" w:color="000000" w:sz="4" w:space="0"/>
              <w:bottom w:val="single" w:color="000000" w:sz="4" w:space="0"/>
              <w:right w:val="single" w:color="000000" w:sz="4" w:space="0"/>
            </w:tcBorders>
            <w:vAlign w:val="center"/>
          </w:tcPr>
          <w:p w14:paraId="176668A1">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招标的水产品应无污染、无危害，其品质应符合GB 2733的规定</w:t>
            </w:r>
          </w:p>
        </w:tc>
        <w:tc>
          <w:tcPr>
            <w:tcW w:w="833" w:type="dxa"/>
            <w:tcBorders>
              <w:top w:val="single" w:color="000000" w:sz="4" w:space="0"/>
              <w:left w:val="single" w:color="000000" w:sz="4" w:space="0"/>
              <w:bottom w:val="single" w:color="000000" w:sz="4" w:space="0"/>
              <w:right w:val="single" w:color="000000" w:sz="4" w:space="0"/>
            </w:tcBorders>
            <w:vAlign w:val="center"/>
          </w:tcPr>
          <w:p w14:paraId="4EC8B00B">
            <w:pPr>
              <w:pStyle w:val="924"/>
              <w:spacing w:line="360" w:lineRule="auto"/>
              <w:jc w:val="center"/>
              <w:rPr>
                <w:rFonts w:ascii="宋体" w:hAnsi="宋体" w:cs="宋体"/>
                <w:color w:val="auto"/>
                <w:sz w:val="24"/>
                <w:highlight w:val="none"/>
              </w:rPr>
            </w:pPr>
          </w:p>
        </w:tc>
      </w:tr>
      <w:tr w14:paraId="112F1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02" w:hRule="atLeast"/>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6E7C3781">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1793" w:type="dxa"/>
            <w:gridSpan w:val="2"/>
            <w:vMerge w:val="restart"/>
            <w:tcBorders>
              <w:top w:val="single" w:color="000000" w:sz="4" w:space="0"/>
              <w:left w:val="single" w:color="000000" w:sz="4" w:space="0"/>
              <w:right w:val="single" w:color="000000" w:sz="4" w:space="0"/>
            </w:tcBorders>
            <w:vAlign w:val="center"/>
          </w:tcPr>
          <w:p w14:paraId="2E6A35C4">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感官指标</w:t>
            </w:r>
          </w:p>
        </w:tc>
        <w:tc>
          <w:tcPr>
            <w:tcW w:w="6307" w:type="dxa"/>
            <w:tcBorders>
              <w:top w:val="single" w:color="000000" w:sz="4" w:space="0"/>
              <w:left w:val="single" w:color="000000" w:sz="4" w:space="0"/>
              <w:bottom w:val="single" w:color="000000" w:sz="4" w:space="0"/>
              <w:right w:val="single" w:color="000000" w:sz="4" w:space="0"/>
            </w:tcBorders>
            <w:vAlign w:val="center"/>
          </w:tcPr>
          <w:p w14:paraId="3B9D7B3E">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淡水鱼、虾必须鲜活</w:t>
            </w:r>
          </w:p>
        </w:tc>
        <w:tc>
          <w:tcPr>
            <w:tcW w:w="833" w:type="dxa"/>
            <w:tcBorders>
              <w:top w:val="single" w:color="000000" w:sz="4" w:space="0"/>
              <w:left w:val="single" w:color="000000" w:sz="4" w:space="0"/>
              <w:bottom w:val="single" w:color="000000" w:sz="4" w:space="0"/>
              <w:right w:val="single" w:color="000000" w:sz="4" w:space="0"/>
            </w:tcBorders>
            <w:vAlign w:val="center"/>
          </w:tcPr>
          <w:p w14:paraId="238DC79A">
            <w:pPr>
              <w:pStyle w:val="924"/>
              <w:spacing w:line="360" w:lineRule="auto"/>
              <w:jc w:val="center"/>
              <w:rPr>
                <w:rFonts w:ascii="宋体" w:hAnsi="宋体" w:cs="宋体"/>
                <w:color w:val="auto"/>
                <w:sz w:val="24"/>
                <w:highlight w:val="none"/>
              </w:rPr>
            </w:pPr>
          </w:p>
        </w:tc>
      </w:tr>
      <w:tr w14:paraId="4FFF6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576F390F">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3</w:t>
            </w:r>
          </w:p>
        </w:tc>
        <w:tc>
          <w:tcPr>
            <w:tcW w:w="1793" w:type="dxa"/>
            <w:gridSpan w:val="2"/>
            <w:vMerge w:val="continue"/>
            <w:tcBorders>
              <w:left w:val="single" w:color="000000" w:sz="4" w:space="0"/>
              <w:bottom w:val="single" w:color="000000" w:sz="4" w:space="0"/>
              <w:right w:val="single" w:color="000000" w:sz="4" w:space="0"/>
            </w:tcBorders>
            <w:vAlign w:val="center"/>
          </w:tcPr>
          <w:p w14:paraId="60ECD495">
            <w:pPr>
              <w:pStyle w:val="924"/>
              <w:spacing w:line="360" w:lineRule="auto"/>
              <w:rPr>
                <w:rFonts w:ascii="宋体" w:hAnsi="宋体" w:cs="宋体"/>
                <w:color w:val="auto"/>
                <w:sz w:val="24"/>
                <w:highlight w:val="none"/>
              </w:rPr>
            </w:pPr>
          </w:p>
        </w:tc>
        <w:tc>
          <w:tcPr>
            <w:tcW w:w="6307" w:type="dxa"/>
            <w:tcBorders>
              <w:top w:val="single" w:color="000000" w:sz="4" w:space="0"/>
              <w:left w:val="single" w:color="000000" w:sz="4" w:space="0"/>
              <w:bottom w:val="single" w:color="000000" w:sz="4" w:space="0"/>
              <w:right w:val="single" w:color="000000" w:sz="4" w:space="0"/>
            </w:tcBorders>
            <w:vAlign w:val="center"/>
          </w:tcPr>
          <w:p w14:paraId="78A433B0">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国标标准</w:t>
            </w:r>
          </w:p>
        </w:tc>
        <w:tc>
          <w:tcPr>
            <w:tcW w:w="833" w:type="dxa"/>
            <w:tcBorders>
              <w:top w:val="single" w:color="000000" w:sz="4" w:space="0"/>
              <w:left w:val="single" w:color="000000" w:sz="4" w:space="0"/>
              <w:bottom w:val="single" w:color="000000" w:sz="4" w:space="0"/>
              <w:right w:val="single" w:color="000000" w:sz="4" w:space="0"/>
            </w:tcBorders>
            <w:vAlign w:val="center"/>
          </w:tcPr>
          <w:p w14:paraId="4E5FE5CA">
            <w:pPr>
              <w:pStyle w:val="924"/>
              <w:spacing w:line="360" w:lineRule="auto"/>
              <w:jc w:val="center"/>
              <w:rPr>
                <w:rFonts w:ascii="宋体" w:hAnsi="宋体" w:cs="宋体"/>
                <w:color w:val="auto"/>
                <w:sz w:val="24"/>
                <w:highlight w:val="none"/>
              </w:rPr>
            </w:pPr>
          </w:p>
        </w:tc>
      </w:tr>
      <w:tr w14:paraId="25A29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13B209FB">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4</w:t>
            </w:r>
          </w:p>
        </w:tc>
        <w:tc>
          <w:tcPr>
            <w:tcW w:w="1793" w:type="dxa"/>
            <w:gridSpan w:val="2"/>
            <w:tcBorders>
              <w:top w:val="single" w:color="000000" w:sz="4" w:space="0"/>
              <w:left w:val="single" w:color="000000" w:sz="4" w:space="0"/>
              <w:bottom w:val="single" w:color="000000" w:sz="4" w:space="0"/>
              <w:right w:val="single" w:color="000000" w:sz="4" w:space="0"/>
            </w:tcBorders>
            <w:vAlign w:val="center"/>
          </w:tcPr>
          <w:p w14:paraId="3035A58C">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理化指标</w:t>
            </w:r>
          </w:p>
        </w:tc>
        <w:tc>
          <w:tcPr>
            <w:tcW w:w="6307" w:type="dxa"/>
            <w:tcBorders>
              <w:top w:val="single" w:color="000000" w:sz="4" w:space="0"/>
              <w:left w:val="single" w:color="000000" w:sz="4" w:space="0"/>
              <w:bottom w:val="single" w:color="000000" w:sz="4" w:space="0"/>
              <w:right w:val="single" w:color="000000" w:sz="4" w:space="0"/>
            </w:tcBorders>
            <w:vAlign w:val="center"/>
          </w:tcPr>
          <w:p w14:paraId="151CAAA7">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参照国家标准</w:t>
            </w:r>
          </w:p>
        </w:tc>
        <w:tc>
          <w:tcPr>
            <w:tcW w:w="833" w:type="dxa"/>
            <w:tcBorders>
              <w:top w:val="single" w:color="000000" w:sz="4" w:space="0"/>
              <w:left w:val="single" w:color="000000" w:sz="4" w:space="0"/>
              <w:bottom w:val="single" w:color="000000" w:sz="4" w:space="0"/>
              <w:right w:val="single" w:color="000000" w:sz="4" w:space="0"/>
            </w:tcBorders>
            <w:vAlign w:val="center"/>
          </w:tcPr>
          <w:p w14:paraId="07CB8464">
            <w:pPr>
              <w:pStyle w:val="924"/>
              <w:spacing w:line="360" w:lineRule="auto"/>
              <w:jc w:val="center"/>
              <w:rPr>
                <w:rFonts w:ascii="宋体" w:hAnsi="宋体" w:cs="宋体"/>
                <w:color w:val="auto"/>
                <w:sz w:val="24"/>
                <w:highlight w:val="none"/>
              </w:rPr>
            </w:pPr>
          </w:p>
        </w:tc>
      </w:tr>
      <w:tr w14:paraId="21B6A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6A1CD6E5">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5</w:t>
            </w:r>
          </w:p>
        </w:tc>
        <w:tc>
          <w:tcPr>
            <w:tcW w:w="1793" w:type="dxa"/>
            <w:gridSpan w:val="2"/>
            <w:tcBorders>
              <w:top w:val="single" w:color="000000" w:sz="4" w:space="0"/>
              <w:left w:val="single" w:color="000000" w:sz="4" w:space="0"/>
              <w:bottom w:val="single" w:color="000000" w:sz="4" w:space="0"/>
              <w:right w:val="single" w:color="000000" w:sz="4" w:space="0"/>
            </w:tcBorders>
            <w:vAlign w:val="center"/>
          </w:tcPr>
          <w:p w14:paraId="6F6D06A0">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生产加工</w:t>
            </w:r>
          </w:p>
        </w:tc>
        <w:tc>
          <w:tcPr>
            <w:tcW w:w="6307" w:type="dxa"/>
            <w:tcBorders>
              <w:top w:val="single" w:color="000000" w:sz="4" w:space="0"/>
              <w:left w:val="single" w:color="000000" w:sz="4" w:space="0"/>
              <w:bottom w:val="single" w:color="000000" w:sz="4" w:space="0"/>
              <w:right w:val="single" w:color="000000" w:sz="4" w:space="0"/>
            </w:tcBorders>
            <w:vAlign w:val="center"/>
          </w:tcPr>
          <w:p w14:paraId="44A4167F">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生产加工过程的卫生要求符合GB 14881</w:t>
            </w:r>
          </w:p>
        </w:tc>
        <w:tc>
          <w:tcPr>
            <w:tcW w:w="833" w:type="dxa"/>
            <w:tcBorders>
              <w:top w:val="single" w:color="000000" w:sz="4" w:space="0"/>
              <w:left w:val="single" w:color="000000" w:sz="4" w:space="0"/>
              <w:bottom w:val="single" w:color="000000" w:sz="4" w:space="0"/>
              <w:right w:val="single" w:color="000000" w:sz="4" w:space="0"/>
            </w:tcBorders>
            <w:vAlign w:val="center"/>
          </w:tcPr>
          <w:p w14:paraId="65FFCF0A">
            <w:pPr>
              <w:pStyle w:val="924"/>
              <w:spacing w:line="360" w:lineRule="auto"/>
              <w:jc w:val="center"/>
              <w:rPr>
                <w:rFonts w:ascii="宋体" w:hAnsi="宋体" w:cs="宋体"/>
                <w:color w:val="auto"/>
                <w:sz w:val="24"/>
                <w:highlight w:val="none"/>
              </w:rPr>
            </w:pPr>
          </w:p>
        </w:tc>
      </w:tr>
      <w:tr w14:paraId="77D36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77737EDF">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6</w:t>
            </w:r>
          </w:p>
        </w:tc>
        <w:tc>
          <w:tcPr>
            <w:tcW w:w="927" w:type="dxa"/>
            <w:vMerge w:val="restart"/>
            <w:tcBorders>
              <w:top w:val="single" w:color="000000" w:sz="4" w:space="0"/>
              <w:left w:val="single" w:color="000000" w:sz="4" w:space="0"/>
              <w:bottom w:val="single" w:color="000000" w:sz="4" w:space="0"/>
              <w:right w:val="single" w:color="000000" w:sz="4" w:space="0"/>
            </w:tcBorders>
            <w:vAlign w:val="center"/>
          </w:tcPr>
          <w:p w14:paraId="24D71DA9">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贮存与运输</w:t>
            </w:r>
          </w:p>
        </w:tc>
        <w:tc>
          <w:tcPr>
            <w:tcW w:w="866" w:type="dxa"/>
            <w:tcBorders>
              <w:top w:val="single" w:color="000000" w:sz="4" w:space="0"/>
              <w:left w:val="single" w:color="000000" w:sz="4" w:space="0"/>
              <w:bottom w:val="single" w:color="000000" w:sz="4" w:space="0"/>
              <w:right w:val="single" w:color="000000" w:sz="4" w:space="0"/>
            </w:tcBorders>
            <w:vAlign w:val="center"/>
          </w:tcPr>
          <w:p w14:paraId="6B999E8E">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贮存</w:t>
            </w:r>
          </w:p>
        </w:tc>
        <w:tc>
          <w:tcPr>
            <w:tcW w:w="6307" w:type="dxa"/>
            <w:tcBorders>
              <w:top w:val="single" w:color="000000" w:sz="4" w:space="0"/>
              <w:left w:val="single" w:color="000000" w:sz="4" w:space="0"/>
              <w:bottom w:val="single" w:color="000000" w:sz="4" w:space="0"/>
              <w:right w:val="single" w:color="000000" w:sz="4" w:space="0"/>
            </w:tcBorders>
            <w:vAlign w:val="center"/>
          </w:tcPr>
          <w:p w14:paraId="7F649655">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冷冻产品应包装完好地贮存在-15℃至-18℃的冷库内。贮存期不超过9个月。禁止与有毒、有害、有异味物品同库贮存</w:t>
            </w:r>
          </w:p>
        </w:tc>
        <w:tc>
          <w:tcPr>
            <w:tcW w:w="833" w:type="dxa"/>
            <w:tcBorders>
              <w:top w:val="single" w:color="000000" w:sz="4" w:space="0"/>
              <w:left w:val="single" w:color="000000" w:sz="4" w:space="0"/>
              <w:bottom w:val="single" w:color="000000" w:sz="4" w:space="0"/>
              <w:right w:val="single" w:color="000000" w:sz="4" w:space="0"/>
            </w:tcBorders>
            <w:vAlign w:val="center"/>
          </w:tcPr>
          <w:p w14:paraId="50E838AF">
            <w:pPr>
              <w:pStyle w:val="924"/>
              <w:spacing w:line="360" w:lineRule="auto"/>
              <w:jc w:val="center"/>
              <w:rPr>
                <w:rFonts w:ascii="宋体" w:hAnsi="宋体" w:cs="宋体"/>
                <w:color w:val="auto"/>
                <w:sz w:val="24"/>
                <w:highlight w:val="none"/>
              </w:rPr>
            </w:pPr>
          </w:p>
        </w:tc>
      </w:tr>
      <w:tr w14:paraId="35195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auto" w:sz="4" w:space="0"/>
            </w:tcBorders>
            <w:vAlign w:val="center"/>
          </w:tcPr>
          <w:p w14:paraId="04AA14BC">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7</w:t>
            </w:r>
          </w:p>
        </w:tc>
        <w:tc>
          <w:tcPr>
            <w:tcW w:w="927" w:type="dxa"/>
            <w:vMerge w:val="continue"/>
            <w:tcBorders>
              <w:top w:val="single" w:color="000000" w:sz="4" w:space="0"/>
              <w:left w:val="single" w:color="000000" w:sz="4" w:space="0"/>
              <w:bottom w:val="single" w:color="000000" w:sz="4" w:space="0"/>
              <w:right w:val="single" w:color="000000" w:sz="4" w:space="0"/>
            </w:tcBorders>
            <w:vAlign w:val="center"/>
          </w:tcPr>
          <w:p w14:paraId="0BEA2E91">
            <w:pPr>
              <w:widowControl/>
              <w:spacing w:line="360" w:lineRule="auto"/>
              <w:jc w:val="left"/>
              <w:rPr>
                <w:rFonts w:ascii="宋体" w:hAnsi="宋体" w:cs="宋体"/>
                <w:color w:val="auto"/>
                <w:sz w:val="24"/>
                <w:szCs w:val="24"/>
                <w:highlight w:val="none"/>
              </w:rPr>
            </w:pPr>
          </w:p>
        </w:tc>
        <w:tc>
          <w:tcPr>
            <w:tcW w:w="866" w:type="dxa"/>
            <w:tcBorders>
              <w:top w:val="single" w:color="000000" w:sz="4" w:space="0"/>
              <w:left w:val="single" w:color="000000" w:sz="4" w:space="0"/>
              <w:bottom w:val="single" w:color="000000" w:sz="4" w:space="0"/>
              <w:right w:val="single" w:color="000000" w:sz="4" w:space="0"/>
            </w:tcBorders>
            <w:vAlign w:val="center"/>
          </w:tcPr>
          <w:p w14:paraId="320921FB">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运输</w:t>
            </w:r>
          </w:p>
        </w:tc>
        <w:tc>
          <w:tcPr>
            <w:tcW w:w="6307" w:type="dxa"/>
            <w:tcBorders>
              <w:top w:val="single" w:color="000000" w:sz="4" w:space="0"/>
              <w:left w:val="single" w:color="000000" w:sz="4" w:space="0"/>
              <w:bottom w:val="single" w:color="000000" w:sz="4" w:space="0"/>
              <w:right w:val="single" w:color="000000" w:sz="4" w:space="0"/>
            </w:tcBorders>
            <w:vAlign w:val="center"/>
          </w:tcPr>
          <w:p w14:paraId="23696198">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冷冻产品应冷藏车运输。运输工具应清洁卫生，禁止与有毒、有害、有异味物品混运</w:t>
            </w:r>
          </w:p>
        </w:tc>
        <w:tc>
          <w:tcPr>
            <w:tcW w:w="833" w:type="dxa"/>
            <w:tcBorders>
              <w:top w:val="single" w:color="000000" w:sz="4" w:space="0"/>
              <w:left w:val="single" w:color="000000" w:sz="4" w:space="0"/>
              <w:bottom w:val="single" w:color="000000" w:sz="4" w:space="0"/>
              <w:right w:val="single" w:color="000000" w:sz="4" w:space="0"/>
            </w:tcBorders>
            <w:vAlign w:val="center"/>
          </w:tcPr>
          <w:p w14:paraId="1CD1BBAB">
            <w:pPr>
              <w:pStyle w:val="924"/>
              <w:spacing w:line="360" w:lineRule="auto"/>
              <w:jc w:val="center"/>
              <w:rPr>
                <w:rFonts w:ascii="宋体" w:hAnsi="宋体" w:cs="宋体"/>
                <w:color w:val="auto"/>
                <w:sz w:val="24"/>
                <w:highlight w:val="none"/>
              </w:rPr>
            </w:pPr>
          </w:p>
        </w:tc>
      </w:tr>
    </w:tbl>
    <w:p w14:paraId="277E1DD7">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4）禽蛋类</w:t>
      </w:r>
    </w:p>
    <w:p w14:paraId="2C4B7CD3">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①总体要求：本次采购所需标的物为鲜鸡蛋。</w:t>
      </w:r>
      <w:r>
        <w:rPr>
          <w:rFonts w:hint="eastAsia" w:hAnsi="宋体" w:cs="宋体"/>
          <w:color w:val="auto"/>
          <w:sz w:val="24"/>
          <w:szCs w:val="24"/>
          <w:highlight w:val="none"/>
        </w:rPr>
        <w:t>乙方</w:t>
      </w:r>
      <w:r>
        <w:rPr>
          <w:rFonts w:hint="eastAsia" w:ascii="宋体" w:hAnsi="宋体" w:cs="宋体"/>
          <w:color w:val="auto"/>
          <w:sz w:val="24"/>
          <w:szCs w:val="24"/>
          <w:highlight w:val="none"/>
        </w:rPr>
        <w:t>保证正规的进货渠道，所供标的物必须卫生、清洁、新鲜、无污染、无假冒伪劣、无过期变质及“三无”商品，符合《中华人民共和国食品安全法》、GB 2748-2003等法规要求及相应的国标（行业）标准。</w:t>
      </w:r>
    </w:p>
    <w:p w14:paraId="67007B93">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②具体标准：（详见附表）</w:t>
      </w:r>
    </w:p>
    <w:p w14:paraId="189196D6">
      <w:p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③附表：禽蛋产品相关技术指标</w:t>
      </w:r>
    </w:p>
    <w:tbl>
      <w:tblPr>
        <w:tblStyle w:val="67"/>
        <w:tblW w:w="96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3"/>
        <w:gridCol w:w="812"/>
        <w:gridCol w:w="787"/>
        <w:gridCol w:w="6435"/>
        <w:gridCol w:w="858"/>
      </w:tblGrid>
      <w:tr w14:paraId="2D570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245460D1">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1599" w:type="dxa"/>
            <w:gridSpan w:val="2"/>
            <w:tcBorders>
              <w:top w:val="single" w:color="000000" w:sz="4" w:space="0"/>
              <w:left w:val="single" w:color="000000" w:sz="4" w:space="0"/>
              <w:bottom w:val="single" w:color="000000" w:sz="4" w:space="0"/>
              <w:right w:val="single" w:color="000000" w:sz="4" w:space="0"/>
            </w:tcBorders>
            <w:vAlign w:val="center"/>
          </w:tcPr>
          <w:p w14:paraId="5412F9EE">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w:t>
            </w:r>
          </w:p>
        </w:tc>
        <w:tc>
          <w:tcPr>
            <w:tcW w:w="6435" w:type="dxa"/>
            <w:tcBorders>
              <w:top w:val="single" w:color="000000" w:sz="4" w:space="0"/>
              <w:left w:val="single" w:color="000000" w:sz="4" w:space="0"/>
              <w:bottom w:val="single" w:color="000000" w:sz="4" w:space="0"/>
              <w:right w:val="single" w:color="000000" w:sz="4" w:space="0"/>
            </w:tcBorders>
            <w:vAlign w:val="center"/>
          </w:tcPr>
          <w:p w14:paraId="770B0EA7">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标准</w:t>
            </w:r>
          </w:p>
        </w:tc>
        <w:tc>
          <w:tcPr>
            <w:tcW w:w="858" w:type="dxa"/>
            <w:tcBorders>
              <w:top w:val="single" w:color="000000" w:sz="4" w:space="0"/>
              <w:left w:val="single" w:color="000000" w:sz="4" w:space="0"/>
              <w:bottom w:val="single" w:color="000000" w:sz="4" w:space="0"/>
              <w:right w:val="single" w:color="000000" w:sz="4" w:space="0"/>
            </w:tcBorders>
            <w:vAlign w:val="center"/>
          </w:tcPr>
          <w:p w14:paraId="7E3E0BC8">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备注</w:t>
            </w:r>
          </w:p>
        </w:tc>
      </w:tr>
      <w:tr w14:paraId="384CD4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7E976BD6">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1599" w:type="dxa"/>
            <w:gridSpan w:val="2"/>
            <w:tcBorders>
              <w:top w:val="single" w:color="000000" w:sz="4" w:space="0"/>
              <w:left w:val="single" w:color="000000" w:sz="4" w:space="0"/>
              <w:bottom w:val="single" w:color="000000" w:sz="4" w:space="0"/>
              <w:right w:val="single" w:color="000000" w:sz="4" w:space="0"/>
            </w:tcBorders>
            <w:vAlign w:val="center"/>
          </w:tcPr>
          <w:p w14:paraId="1210DF7D">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来源</w:t>
            </w:r>
          </w:p>
        </w:tc>
        <w:tc>
          <w:tcPr>
            <w:tcW w:w="6435" w:type="dxa"/>
            <w:tcBorders>
              <w:top w:val="single" w:color="000000" w:sz="4" w:space="0"/>
              <w:left w:val="single" w:color="000000" w:sz="4" w:space="0"/>
              <w:bottom w:val="single" w:color="000000" w:sz="4" w:space="0"/>
              <w:right w:val="single" w:color="000000" w:sz="4" w:space="0"/>
            </w:tcBorders>
            <w:vAlign w:val="center"/>
          </w:tcPr>
          <w:p w14:paraId="2C5A83DF">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禽蛋应来自非疫区禽场，蛋禽场环境条件应符合GB 18407.3的要求。蛋禽饲养中不应使用国家禁止的兽药、饲料添加剂及其他违规药品。</w:t>
            </w:r>
          </w:p>
        </w:tc>
        <w:tc>
          <w:tcPr>
            <w:tcW w:w="858" w:type="dxa"/>
            <w:tcBorders>
              <w:top w:val="single" w:color="000000" w:sz="4" w:space="0"/>
              <w:left w:val="single" w:color="000000" w:sz="4" w:space="0"/>
              <w:bottom w:val="single" w:color="000000" w:sz="4" w:space="0"/>
              <w:right w:val="single" w:color="000000" w:sz="4" w:space="0"/>
            </w:tcBorders>
            <w:vAlign w:val="center"/>
          </w:tcPr>
          <w:p w14:paraId="2781C41A">
            <w:pPr>
              <w:pStyle w:val="924"/>
              <w:spacing w:line="360" w:lineRule="auto"/>
              <w:rPr>
                <w:rFonts w:ascii="宋体" w:hAnsi="宋体" w:cs="宋体"/>
                <w:color w:val="auto"/>
                <w:sz w:val="24"/>
                <w:highlight w:val="none"/>
              </w:rPr>
            </w:pPr>
          </w:p>
        </w:tc>
      </w:tr>
      <w:tr w14:paraId="1252A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768EFDB2">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812" w:type="dxa"/>
            <w:vMerge w:val="restart"/>
            <w:tcBorders>
              <w:top w:val="single" w:color="000000" w:sz="4" w:space="0"/>
              <w:left w:val="single" w:color="000000" w:sz="4" w:space="0"/>
              <w:bottom w:val="single" w:color="000000" w:sz="4" w:space="0"/>
              <w:right w:val="single" w:color="000000" w:sz="4" w:space="0"/>
            </w:tcBorders>
            <w:vAlign w:val="center"/>
          </w:tcPr>
          <w:p w14:paraId="66A78694">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感官指标</w:t>
            </w:r>
          </w:p>
        </w:tc>
        <w:tc>
          <w:tcPr>
            <w:tcW w:w="787" w:type="dxa"/>
            <w:tcBorders>
              <w:top w:val="single" w:color="000000" w:sz="4" w:space="0"/>
              <w:left w:val="single" w:color="000000" w:sz="4" w:space="0"/>
              <w:bottom w:val="single" w:color="000000" w:sz="4" w:space="0"/>
              <w:right w:val="single" w:color="000000" w:sz="4" w:space="0"/>
            </w:tcBorders>
            <w:vAlign w:val="center"/>
          </w:tcPr>
          <w:p w14:paraId="43E2D1C7">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色泽</w:t>
            </w:r>
          </w:p>
        </w:tc>
        <w:tc>
          <w:tcPr>
            <w:tcW w:w="6435" w:type="dxa"/>
            <w:tcBorders>
              <w:top w:val="single" w:color="000000" w:sz="4" w:space="0"/>
              <w:left w:val="single" w:color="000000" w:sz="4" w:space="0"/>
              <w:bottom w:val="single" w:color="000000" w:sz="4" w:space="0"/>
              <w:right w:val="single" w:color="000000" w:sz="4" w:space="0"/>
            </w:tcBorders>
            <w:vAlign w:val="center"/>
          </w:tcPr>
          <w:p w14:paraId="6F969C5A">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具有禽蛋固有的色泽。</w:t>
            </w:r>
          </w:p>
        </w:tc>
        <w:tc>
          <w:tcPr>
            <w:tcW w:w="858" w:type="dxa"/>
            <w:tcBorders>
              <w:top w:val="single" w:color="000000" w:sz="4" w:space="0"/>
              <w:left w:val="single" w:color="000000" w:sz="4" w:space="0"/>
              <w:bottom w:val="single" w:color="000000" w:sz="4" w:space="0"/>
              <w:right w:val="single" w:color="000000" w:sz="4" w:space="0"/>
            </w:tcBorders>
            <w:vAlign w:val="center"/>
          </w:tcPr>
          <w:p w14:paraId="7FF91975">
            <w:pPr>
              <w:pStyle w:val="924"/>
              <w:spacing w:line="360" w:lineRule="auto"/>
              <w:jc w:val="center"/>
              <w:rPr>
                <w:rFonts w:ascii="宋体" w:hAnsi="宋体" w:cs="宋体"/>
                <w:color w:val="auto"/>
                <w:sz w:val="24"/>
                <w:highlight w:val="none"/>
              </w:rPr>
            </w:pPr>
          </w:p>
        </w:tc>
      </w:tr>
      <w:tr w14:paraId="62DD5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089B21EF">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3</w:t>
            </w:r>
          </w:p>
        </w:tc>
        <w:tc>
          <w:tcPr>
            <w:tcW w:w="812" w:type="dxa"/>
            <w:vMerge w:val="continue"/>
            <w:tcBorders>
              <w:top w:val="single" w:color="000000" w:sz="4" w:space="0"/>
              <w:left w:val="single" w:color="000000" w:sz="4" w:space="0"/>
              <w:bottom w:val="single" w:color="000000" w:sz="4" w:space="0"/>
              <w:right w:val="single" w:color="000000" w:sz="4" w:space="0"/>
            </w:tcBorders>
            <w:vAlign w:val="center"/>
          </w:tcPr>
          <w:p w14:paraId="42717815">
            <w:pPr>
              <w:widowControl/>
              <w:spacing w:line="360" w:lineRule="auto"/>
              <w:jc w:val="left"/>
              <w:rPr>
                <w:rFonts w:ascii="宋体" w:hAnsi="宋体" w:cs="宋体"/>
                <w:color w:val="auto"/>
                <w:sz w:val="24"/>
                <w:szCs w:val="24"/>
                <w:highlight w:val="none"/>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1618A88E">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组织形态</w:t>
            </w:r>
          </w:p>
        </w:tc>
        <w:tc>
          <w:tcPr>
            <w:tcW w:w="6435" w:type="dxa"/>
            <w:tcBorders>
              <w:top w:val="single" w:color="000000" w:sz="4" w:space="0"/>
              <w:left w:val="single" w:color="000000" w:sz="4" w:space="0"/>
              <w:bottom w:val="single" w:color="000000" w:sz="4" w:space="0"/>
              <w:right w:val="single" w:color="000000" w:sz="4" w:space="0"/>
            </w:tcBorders>
            <w:vAlign w:val="center"/>
          </w:tcPr>
          <w:p w14:paraId="4B070AC7">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蛋壳清洁、无破裂，打开后蛋黄凸起、完整、有韧性，蛋白澄清透明，稀稠分明。</w:t>
            </w:r>
          </w:p>
        </w:tc>
        <w:tc>
          <w:tcPr>
            <w:tcW w:w="858" w:type="dxa"/>
            <w:tcBorders>
              <w:top w:val="single" w:color="000000" w:sz="4" w:space="0"/>
              <w:left w:val="single" w:color="000000" w:sz="4" w:space="0"/>
              <w:bottom w:val="single" w:color="000000" w:sz="4" w:space="0"/>
              <w:right w:val="single" w:color="000000" w:sz="4" w:space="0"/>
            </w:tcBorders>
            <w:vAlign w:val="center"/>
          </w:tcPr>
          <w:p w14:paraId="68356129">
            <w:pPr>
              <w:pStyle w:val="924"/>
              <w:spacing w:line="360" w:lineRule="auto"/>
              <w:jc w:val="center"/>
              <w:rPr>
                <w:rFonts w:ascii="宋体" w:hAnsi="宋体" w:cs="宋体"/>
                <w:color w:val="auto"/>
                <w:sz w:val="24"/>
                <w:highlight w:val="none"/>
              </w:rPr>
            </w:pPr>
          </w:p>
        </w:tc>
      </w:tr>
      <w:tr w14:paraId="55F9A6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61990FCC">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4</w:t>
            </w:r>
          </w:p>
        </w:tc>
        <w:tc>
          <w:tcPr>
            <w:tcW w:w="812" w:type="dxa"/>
            <w:vMerge w:val="continue"/>
            <w:tcBorders>
              <w:top w:val="single" w:color="000000" w:sz="4" w:space="0"/>
              <w:left w:val="single" w:color="000000" w:sz="4" w:space="0"/>
              <w:bottom w:val="single" w:color="000000" w:sz="4" w:space="0"/>
              <w:right w:val="single" w:color="000000" w:sz="4" w:space="0"/>
            </w:tcBorders>
            <w:vAlign w:val="center"/>
          </w:tcPr>
          <w:p w14:paraId="47FFE5C4">
            <w:pPr>
              <w:widowControl/>
              <w:spacing w:line="360" w:lineRule="auto"/>
              <w:jc w:val="left"/>
              <w:rPr>
                <w:rFonts w:ascii="宋体" w:hAnsi="宋体" w:cs="宋体"/>
                <w:color w:val="auto"/>
                <w:sz w:val="24"/>
                <w:szCs w:val="24"/>
                <w:highlight w:val="none"/>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3F1E762E">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气味</w:t>
            </w:r>
          </w:p>
        </w:tc>
        <w:tc>
          <w:tcPr>
            <w:tcW w:w="6435" w:type="dxa"/>
            <w:tcBorders>
              <w:top w:val="single" w:color="000000" w:sz="4" w:space="0"/>
              <w:left w:val="single" w:color="000000" w:sz="4" w:space="0"/>
              <w:bottom w:val="single" w:color="000000" w:sz="4" w:space="0"/>
              <w:right w:val="single" w:color="000000" w:sz="4" w:space="0"/>
            </w:tcBorders>
            <w:vAlign w:val="center"/>
          </w:tcPr>
          <w:p w14:paraId="0EA8A4B8">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具有产品固有的气味，无异味。</w:t>
            </w:r>
          </w:p>
        </w:tc>
        <w:tc>
          <w:tcPr>
            <w:tcW w:w="858" w:type="dxa"/>
            <w:tcBorders>
              <w:top w:val="single" w:color="000000" w:sz="4" w:space="0"/>
              <w:left w:val="single" w:color="000000" w:sz="4" w:space="0"/>
              <w:bottom w:val="single" w:color="000000" w:sz="4" w:space="0"/>
              <w:right w:val="single" w:color="000000" w:sz="4" w:space="0"/>
            </w:tcBorders>
            <w:vAlign w:val="center"/>
          </w:tcPr>
          <w:p w14:paraId="76C3F0CC">
            <w:pPr>
              <w:pStyle w:val="924"/>
              <w:spacing w:line="360" w:lineRule="auto"/>
              <w:jc w:val="center"/>
              <w:rPr>
                <w:rFonts w:ascii="宋体" w:hAnsi="宋体" w:cs="宋体"/>
                <w:color w:val="auto"/>
                <w:sz w:val="24"/>
                <w:highlight w:val="none"/>
              </w:rPr>
            </w:pPr>
          </w:p>
        </w:tc>
      </w:tr>
      <w:tr w14:paraId="5A8B8E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657B989A">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5</w:t>
            </w:r>
          </w:p>
        </w:tc>
        <w:tc>
          <w:tcPr>
            <w:tcW w:w="812" w:type="dxa"/>
            <w:vMerge w:val="continue"/>
            <w:tcBorders>
              <w:top w:val="single" w:color="000000" w:sz="4" w:space="0"/>
              <w:left w:val="single" w:color="000000" w:sz="4" w:space="0"/>
              <w:bottom w:val="single" w:color="000000" w:sz="4" w:space="0"/>
              <w:right w:val="single" w:color="000000" w:sz="4" w:space="0"/>
            </w:tcBorders>
            <w:vAlign w:val="center"/>
          </w:tcPr>
          <w:p w14:paraId="519A4BC6">
            <w:pPr>
              <w:widowControl/>
              <w:spacing w:line="360" w:lineRule="auto"/>
              <w:jc w:val="left"/>
              <w:rPr>
                <w:rFonts w:ascii="宋体" w:hAnsi="宋体" w:cs="宋体"/>
                <w:color w:val="auto"/>
                <w:sz w:val="24"/>
                <w:szCs w:val="24"/>
                <w:highlight w:val="none"/>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2759C020">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杂质</w:t>
            </w:r>
          </w:p>
        </w:tc>
        <w:tc>
          <w:tcPr>
            <w:tcW w:w="6435" w:type="dxa"/>
            <w:tcBorders>
              <w:top w:val="single" w:color="000000" w:sz="4" w:space="0"/>
              <w:left w:val="single" w:color="000000" w:sz="4" w:space="0"/>
              <w:bottom w:val="single" w:color="000000" w:sz="4" w:space="0"/>
              <w:right w:val="single" w:color="000000" w:sz="4" w:space="0"/>
            </w:tcBorders>
            <w:vAlign w:val="center"/>
          </w:tcPr>
          <w:p w14:paraId="392C5342">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无杂质，内容物不得有血块及其他鸡组织异物。</w:t>
            </w:r>
          </w:p>
        </w:tc>
        <w:tc>
          <w:tcPr>
            <w:tcW w:w="858" w:type="dxa"/>
            <w:tcBorders>
              <w:top w:val="single" w:color="000000" w:sz="4" w:space="0"/>
              <w:left w:val="single" w:color="000000" w:sz="4" w:space="0"/>
              <w:bottom w:val="single" w:color="000000" w:sz="4" w:space="0"/>
              <w:right w:val="single" w:color="000000" w:sz="4" w:space="0"/>
            </w:tcBorders>
            <w:vAlign w:val="center"/>
          </w:tcPr>
          <w:p w14:paraId="7482D753">
            <w:pPr>
              <w:pStyle w:val="924"/>
              <w:spacing w:line="360" w:lineRule="auto"/>
              <w:jc w:val="center"/>
              <w:rPr>
                <w:rFonts w:ascii="宋体" w:hAnsi="宋体" w:cs="宋体"/>
                <w:color w:val="auto"/>
                <w:sz w:val="24"/>
                <w:highlight w:val="none"/>
              </w:rPr>
            </w:pPr>
          </w:p>
        </w:tc>
      </w:tr>
      <w:tr w14:paraId="55C7A3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36F50DCE">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6</w:t>
            </w:r>
          </w:p>
        </w:tc>
        <w:tc>
          <w:tcPr>
            <w:tcW w:w="1599" w:type="dxa"/>
            <w:gridSpan w:val="2"/>
            <w:tcBorders>
              <w:top w:val="single" w:color="000000" w:sz="4" w:space="0"/>
              <w:left w:val="single" w:color="000000" w:sz="4" w:space="0"/>
              <w:bottom w:val="single" w:color="000000" w:sz="4" w:space="0"/>
              <w:right w:val="single" w:color="000000" w:sz="4" w:space="0"/>
            </w:tcBorders>
            <w:vAlign w:val="center"/>
          </w:tcPr>
          <w:p w14:paraId="721F56EC">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理化指标</w:t>
            </w:r>
          </w:p>
        </w:tc>
        <w:tc>
          <w:tcPr>
            <w:tcW w:w="6435" w:type="dxa"/>
            <w:tcBorders>
              <w:top w:val="single" w:color="000000" w:sz="4" w:space="0"/>
              <w:left w:val="single" w:color="000000" w:sz="4" w:space="0"/>
              <w:bottom w:val="single" w:color="000000" w:sz="4" w:space="0"/>
              <w:right w:val="single" w:color="000000" w:sz="4" w:space="0"/>
            </w:tcBorders>
            <w:vAlign w:val="center"/>
          </w:tcPr>
          <w:p w14:paraId="375699B1">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参照GB 2748-2003国家标准</w:t>
            </w:r>
          </w:p>
        </w:tc>
        <w:tc>
          <w:tcPr>
            <w:tcW w:w="858" w:type="dxa"/>
            <w:tcBorders>
              <w:top w:val="single" w:color="000000" w:sz="4" w:space="0"/>
              <w:left w:val="single" w:color="000000" w:sz="4" w:space="0"/>
              <w:bottom w:val="single" w:color="000000" w:sz="4" w:space="0"/>
              <w:right w:val="single" w:color="000000" w:sz="4" w:space="0"/>
            </w:tcBorders>
            <w:vAlign w:val="center"/>
          </w:tcPr>
          <w:p w14:paraId="1052DBD1">
            <w:pPr>
              <w:pStyle w:val="924"/>
              <w:spacing w:line="360" w:lineRule="auto"/>
              <w:jc w:val="center"/>
              <w:rPr>
                <w:rFonts w:ascii="宋体" w:hAnsi="宋体" w:cs="宋体"/>
                <w:color w:val="auto"/>
                <w:sz w:val="24"/>
                <w:highlight w:val="none"/>
              </w:rPr>
            </w:pPr>
          </w:p>
        </w:tc>
      </w:tr>
      <w:tr w14:paraId="35688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66D6CB18">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7</w:t>
            </w:r>
          </w:p>
        </w:tc>
        <w:tc>
          <w:tcPr>
            <w:tcW w:w="1599" w:type="dxa"/>
            <w:gridSpan w:val="2"/>
            <w:tcBorders>
              <w:top w:val="single" w:color="000000" w:sz="4" w:space="0"/>
              <w:left w:val="single" w:color="000000" w:sz="4" w:space="0"/>
              <w:bottom w:val="single" w:color="000000" w:sz="4" w:space="0"/>
              <w:right w:val="single" w:color="000000" w:sz="4" w:space="0"/>
            </w:tcBorders>
            <w:vAlign w:val="center"/>
          </w:tcPr>
          <w:p w14:paraId="593A40C4">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食品添加剂</w:t>
            </w:r>
          </w:p>
        </w:tc>
        <w:tc>
          <w:tcPr>
            <w:tcW w:w="6435" w:type="dxa"/>
            <w:tcBorders>
              <w:top w:val="single" w:color="000000" w:sz="4" w:space="0"/>
              <w:left w:val="single" w:color="000000" w:sz="4" w:space="0"/>
              <w:bottom w:val="single" w:color="000000" w:sz="4" w:space="0"/>
              <w:right w:val="single" w:color="000000" w:sz="4" w:space="0"/>
            </w:tcBorders>
            <w:vAlign w:val="center"/>
          </w:tcPr>
          <w:p w14:paraId="2AD3925F">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食品添加剂质量符合相应的标准和有关规定。食品添加剂的品种和使用量应符合GB 2760的规定。</w:t>
            </w:r>
          </w:p>
        </w:tc>
        <w:tc>
          <w:tcPr>
            <w:tcW w:w="858" w:type="dxa"/>
            <w:tcBorders>
              <w:top w:val="single" w:color="000000" w:sz="4" w:space="0"/>
              <w:left w:val="single" w:color="000000" w:sz="4" w:space="0"/>
              <w:bottom w:val="single" w:color="000000" w:sz="4" w:space="0"/>
              <w:right w:val="single" w:color="000000" w:sz="4" w:space="0"/>
            </w:tcBorders>
            <w:vAlign w:val="center"/>
          </w:tcPr>
          <w:p w14:paraId="11A300F5">
            <w:pPr>
              <w:pStyle w:val="924"/>
              <w:spacing w:line="360" w:lineRule="auto"/>
              <w:jc w:val="center"/>
              <w:rPr>
                <w:rFonts w:ascii="宋体" w:hAnsi="宋体" w:cs="宋体"/>
                <w:color w:val="auto"/>
                <w:sz w:val="24"/>
                <w:highlight w:val="none"/>
              </w:rPr>
            </w:pPr>
          </w:p>
        </w:tc>
      </w:tr>
      <w:tr w14:paraId="5FA87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05B2155B">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8</w:t>
            </w:r>
          </w:p>
        </w:tc>
        <w:tc>
          <w:tcPr>
            <w:tcW w:w="812" w:type="dxa"/>
            <w:vMerge w:val="restart"/>
            <w:tcBorders>
              <w:top w:val="single" w:color="000000" w:sz="4" w:space="0"/>
              <w:left w:val="single" w:color="000000" w:sz="4" w:space="0"/>
              <w:bottom w:val="single" w:color="000000" w:sz="4" w:space="0"/>
              <w:right w:val="single" w:color="000000" w:sz="4" w:space="0"/>
            </w:tcBorders>
            <w:vAlign w:val="center"/>
          </w:tcPr>
          <w:p w14:paraId="1BE9E867">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贮存及运输</w:t>
            </w:r>
          </w:p>
        </w:tc>
        <w:tc>
          <w:tcPr>
            <w:tcW w:w="787" w:type="dxa"/>
            <w:tcBorders>
              <w:top w:val="single" w:color="000000" w:sz="4" w:space="0"/>
              <w:left w:val="single" w:color="000000" w:sz="4" w:space="0"/>
              <w:bottom w:val="single" w:color="000000" w:sz="4" w:space="0"/>
              <w:right w:val="single" w:color="000000" w:sz="4" w:space="0"/>
            </w:tcBorders>
            <w:vAlign w:val="center"/>
          </w:tcPr>
          <w:p w14:paraId="77856E90">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贮存</w:t>
            </w:r>
          </w:p>
        </w:tc>
        <w:tc>
          <w:tcPr>
            <w:tcW w:w="6435" w:type="dxa"/>
            <w:tcBorders>
              <w:top w:val="single" w:color="000000" w:sz="4" w:space="0"/>
              <w:left w:val="single" w:color="000000" w:sz="4" w:space="0"/>
              <w:bottom w:val="single" w:color="000000" w:sz="4" w:space="0"/>
              <w:right w:val="single" w:color="000000" w:sz="4" w:space="0"/>
            </w:tcBorders>
            <w:vAlign w:val="center"/>
          </w:tcPr>
          <w:p w14:paraId="54EF7E86">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产品入库前破壳蛋应及时清除，产品应贮存在阴凉、干燥、通风良好的场所，贮存冷库温度为-1℃至0℃。不得与有毒、有害、有异味、易挥发、易腐蚀的物品同处贮存。</w:t>
            </w:r>
          </w:p>
        </w:tc>
        <w:tc>
          <w:tcPr>
            <w:tcW w:w="858" w:type="dxa"/>
            <w:tcBorders>
              <w:top w:val="single" w:color="000000" w:sz="4" w:space="0"/>
              <w:left w:val="single" w:color="000000" w:sz="4" w:space="0"/>
              <w:bottom w:val="single" w:color="000000" w:sz="4" w:space="0"/>
              <w:right w:val="single" w:color="000000" w:sz="4" w:space="0"/>
            </w:tcBorders>
            <w:vAlign w:val="center"/>
          </w:tcPr>
          <w:p w14:paraId="02D5D065">
            <w:pPr>
              <w:pStyle w:val="924"/>
              <w:spacing w:line="360" w:lineRule="auto"/>
              <w:jc w:val="center"/>
              <w:rPr>
                <w:rFonts w:ascii="宋体" w:hAnsi="宋体" w:cs="宋体"/>
                <w:color w:val="auto"/>
                <w:sz w:val="24"/>
                <w:highlight w:val="none"/>
              </w:rPr>
            </w:pPr>
          </w:p>
        </w:tc>
      </w:tr>
      <w:tr w14:paraId="1D5694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93" w:type="dxa"/>
            <w:tcBorders>
              <w:top w:val="single" w:color="000000" w:sz="4" w:space="0"/>
              <w:left w:val="single" w:color="000000" w:sz="4" w:space="0"/>
              <w:bottom w:val="single" w:color="000000" w:sz="4" w:space="0"/>
              <w:right w:val="single" w:color="auto" w:sz="4" w:space="0"/>
            </w:tcBorders>
            <w:vAlign w:val="center"/>
          </w:tcPr>
          <w:p w14:paraId="5C7259A1">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9</w:t>
            </w:r>
          </w:p>
        </w:tc>
        <w:tc>
          <w:tcPr>
            <w:tcW w:w="812" w:type="dxa"/>
            <w:vMerge w:val="continue"/>
            <w:tcBorders>
              <w:top w:val="single" w:color="000000" w:sz="4" w:space="0"/>
              <w:left w:val="single" w:color="000000" w:sz="4" w:space="0"/>
              <w:bottom w:val="single" w:color="000000" w:sz="4" w:space="0"/>
              <w:right w:val="single" w:color="000000" w:sz="4" w:space="0"/>
            </w:tcBorders>
            <w:vAlign w:val="center"/>
          </w:tcPr>
          <w:p w14:paraId="29E54CA2">
            <w:pPr>
              <w:widowControl/>
              <w:spacing w:line="360" w:lineRule="auto"/>
              <w:jc w:val="left"/>
              <w:rPr>
                <w:rFonts w:ascii="宋体" w:hAnsi="宋体" w:cs="宋体"/>
                <w:color w:val="auto"/>
                <w:sz w:val="24"/>
                <w:szCs w:val="24"/>
                <w:highlight w:val="none"/>
              </w:rPr>
            </w:pPr>
          </w:p>
        </w:tc>
        <w:tc>
          <w:tcPr>
            <w:tcW w:w="787" w:type="dxa"/>
            <w:tcBorders>
              <w:top w:val="single" w:color="000000" w:sz="4" w:space="0"/>
              <w:left w:val="single" w:color="000000" w:sz="4" w:space="0"/>
              <w:bottom w:val="single" w:color="000000" w:sz="4" w:space="0"/>
              <w:right w:val="single" w:color="000000" w:sz="4" w:space="0"/>
            </w:tcBorders>
            <w:vAlign w:val="center"/>
          </w:tcPr>
          <w:p w14:paraId="5CB99FD7">
            <w:pPr>
              <w:pStyle w:val="924"/>
              <w:spacing w:line="360" w:lineRule="auto"/>
              <w:jc w:val="center"/>
              <w:rPr>
                <w:rFonts w:ascii="宋体" w:hAnsi="宋体" w:cs="宋体"/>
                <w:color w:val="auto"/>
                <w:sz w:val="24"/>
                <w:highlight w:val="none"/>
              </w:rPr>
            </w:pPr>
            <w:r>
              <w:rPr>
                <w:rFonts w:hint="eastAsia" w:ascii="宋体" w:hAnsi="宋体" w:cs="宋体"/>
                <w:color w:val="auto"/>
                <w:sz w:val="24"/>
                <w:highlight w:val="none"/>
              </w:rPr>
              <w:t>运输</w:t>
            </w:r>
          </w:p>
        </w:tc>
        <w:tc>
          <w:tcPr>
            <w:tcW w:w="6435" w:type="dxa"/>
            <w:tcBorders>
              <w:top w:val="single" w:color="000000" w:sz="4" w:space="0"/>
              <w:left w:val="single" w:color="000000" w:sz="4" w:space="0"/>
              <w:bottom w:val="single" w:color="000000" w:sz="4" w:space="0"/>
              <w:right w:val="single" w:color="000000" w:sz="4" w:space="0"/>
            </w:tcBorders>
            <w:vAlign w:val="center"/>
          </w:tcPr>
          <w:p w14:paraId="5835F5C3">
            <w:pPr>
              <w:pStyle w:val="924"/>
              <w:spacing w:line="360" w:lineRule="auto"/>
              <w:jc w:val="left"/>
              <w:rPr>
                <w:rFonts w:ascii="宋体" w:hAnsi="宋体" w:cs="宋体"/>
                <w:color w:val="auto"/>
                <w:sz w:val="24"/>
                <w:highlight w:val="none"/>
              </w:rPr>
            </w:pPr>
            <w:r>
              <w:rPr>
                <w:rFonts w:hint="eastAsia" w:ascii="宋体" w:hAnsi="宋体" w:cs="宋体"/>
                <w:color w:val="auto"/>
                <w:sz w:val="24"/>
                <w:highlight w:val="none"/>
              </w:rPr>
              <w:t>运输产品时应避免日晒、雨淋。不得与有毒、有害、有异味或影响产品质量的物品混装运输。搬运过程应轻拿轻放。</w:t>
            </w:r>
          </w:p>
        </w:tc>
        <w:tc>
          <w:tcPr>
            <w:tcW w:w="858" w:type="dxa"/>
            <w:tcBorders>
              <w:top w:val="single" w:color="000000" w:sz="4" w:space="0"/>
              <w:left w:val="single" w:color="000000" w:sz="4" w:space="0"/>
              <w:bottom w:val="single" w:color="000000" w:sz="4" w:space="0"/>
              <w:right w:val="single" w:color="000000" w:sz="4" w:space="0"/>
            </w:tcBorders>
            <w:vAlign w:val="center"/>
          </w:tcPr>
          <w:p w14:paraId="292220F1">
            <w:pPr>
              <w:pStyle w:val="924"/>
              <w:spacing w:line="360" w:lineRule="auto"/>
              <w:jc w:val="center"/>
              <w:rPr>
                <w:rFonts w:ascii="宋体" w:hAnsi="宋体" w:cs="宋体"/>
                <w:color w:val="auto"/>
                <w:sz w:val="24"/>
                <w:highlight w:val="none"/>
              </w:rPr>
            </w:pPr>
          </w:p>
        </w:tc>
      </w:tr>
    </w:tbl>
    <w:p w14:paraId="1D9EAD24">
      <w:pPr>
        <w:numPr>
          <w:ilvl w:val="0"/>
          <w:numId w:val="18"/>
        </w:numPr>
        <w:spacing w:line="360" w:lineRule="auto"/>
        <w:ind w:firstLine="470" w:firstLineChars="196"/>
        <w:rPr>
          <w:rFonts w:ascii="宋体" w:hAnsi="宋体" w:cs="宋体"/>
          <w:color w:val="auto"/>
          <w:sz w:val="24"/>
          <w:szCs w:val="24"/>
          <w:highlight w:val="none"/>
        </w:rPr>
      </w:pPr>
      <w:r>
        <w:rPr>
          <w:rFonts w:hint="eastAsia" w:ascii="宋体" w:hAnsi="宋体" w:cs="宋体"/>
          <w:color w:val="auto"/>
          <w:sz w:val="24"/>
          <w:szCs w:val="24"/>
          <w:highlight w:val="none"/>
        </w:rPr>
        <w:t>蔬菜类：</w:t>
      </w:r>
    </w:p>
    <w:p w14:paraId="6B6501E3">
      <w:pPr>
        <w:spacing w:line="360" w:lineRule="auto"/>
        <w:ind w:firstLine="470" w:firstLineChars="196"/>
        <w:rPr>
          <w:color w:val="auto"/>
          <w:highlight w:val="none"/>
        </w:rPr>
      </w:pPr>
      <w:r>
        <w:rPr>
          <w:rFonts w:hint="eastAsia" w:ascii="宋体" w:hAnsi="宋体" w:cs="宋体"/>
          <w:color w:val="auto"/>
          <w:sz w:val="24"/>
          <w:szCs w:val="24"/>
          <w:highlight w:val="none"/>
        </w:rPr>
        <w:t>本次采购所供应为日常生活常用蔬菜，</w:t>
      </w:r>
      <w:r>
        <w:rPr>
          <w:rFonts w:hint="eastAsia" w:hAnsi="宋体" w:cs="宋体"/>
          <w:color w:val="auto"/>
          <w:sz w:val="24"/>
          <w:szCs w:val="24"/>
          <w:highlight w:val="none"/>
        </w:rPr>
        <w:t>乙方</w:t>
      </w:r>
      <w:r>
        <w:rPr>
          <w:rFonts w:hint="eastAsia" w:ascii="宋体" w:hAnsi="宋体" w:cs="宋体"/>
          <w:color w:val="auto"/>
          <w:sz w:val="24"/>
          <w:szCs w:val="24"/>
          <w:highlight w:val="none"/>
        </w:rPr>
        <w:t>保证蔬菜新鲜，不得采用催熟等手段。乙方保证正规的进货渠道，所供标的物必须卫生、清洁、新鲜、无污染、无过期变质，符合《中华人民共和国食品安全法》、GB 2748-2003等法规要求及相应的国标（行业）标准。</w:t>
      </w:r>
    </w:p>
    <w:tbl>
      <w:tblPr>
        <w:tblStyle w:val="67"/>
        <w:tblW w:w="97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4"/>
        <w:gridCol w:w="1993"/>
        <w:gridCol w:w="6493"/>
        <w:gridCol w:w="740"/>
      </w:tblGrid>
      <w:tr w14:paraId="4ECCD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474" w:type="dxa"/>
            <w:vAlign w:val="center"/>
          </w:tcPr>
          <w:p w14:paraId="1D064A11">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1993" w:type="dxa"/>
            <w:vAlign w:val="center"/>
          </w:tcPr>
          <w:p w14:paraId="15543789">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货物种类</w:t>
            </w:r>
          </w:p>
        </w:tc>
        <w:tc>
          <w:tcPr>
            <w:tcW w:w="6493" w:type="dxa"/>
            <w:vAlign w:val="center"/>
          </w:tcPr>
          <w:p w14:paraId="5AE32F93">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质量要求标准</w:t>
            </w:r>
          </w:p>
        </w:tc>
        <w:tc>
          <w:tcPr>
            <w:tcW w:w="740" w:type="dxa"/>
            <w:vAlign w:val="center"/>
          </w:tcPr>
          <w:p w14:paraId="58A50C11">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备注</w:t>
            </w:r>
          </w:p>
        </w:tc>
      </w:tr>
      <w:tr w14:paraId="0A5DF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7" w:hRule="atLeast"/>
        </w:trPr>
        <w:tc>
          <w:tcPr>
            <w:tcW w:w="474" w:type="dxa"/>
            <w:vAlign w:val="center"/>
          </w:tcPr>
          <w:p w14:paraId="2363A0C9">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993" w:type="dxa"/>
            <w:vAlign w:val="center"/>
          </w:tcPr>
          <w:p w14:paraId="401C114B">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叶菜类</w:t>
            </w:r>
          </w:p>
        </w:tc>
        <w:tc>
          <w:tcPr>
            <w:tcW w:w="6493" w:type="dxa"/>
            <w:vAlign w:val="center"/>
          </w:tcPr>
          <w:p w14:paraId="0FD02EA9">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外形正常，叶梗光滑幼嫩，不干瘪凋萎，无过多黄叶，色泽正常。去除根须，不含土，无虫害，大白菜、卷心菜切开，菜心不变黑，无腐烂情形，无明显浸水现象；农药残留不超标。</w:t>
            </w:r>
          </w:p>
        </w:tc>
        <w:tc>
          <w:tcPr>
            <w:tcW w:w="740" w:type="dxa"/>
            <w:vMerge w:val="restart"/>
            <w:vAlign w:val="center"/>
          </w:tcPr>
          <w:p w14:paraId="409AB6A7">
            <w:pPr>
              <w:spacing w:line="360" w:lineRule="auto"/>
              <w:rPr>
                <w:rFonts w:ascii="宋体" w:hAnsi="宋体" w:cs="宋体"/>
                <w:color w:val="auto"/>
                <w:sz w:val="24"/>
                <w:szCs w:val="24"/>
                <w:highlight w:val="none"/>
              </w:rPr>
            </w:pPr>
          </w:p>
        </w:tc>
      </w:tr>
      <w:tr w14:paraId="20855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trPr>
        <w:tc>
          <w:tcPr>
            <w:tcW w:w="474" w:type="dxa"/>
            <w:vAlign w:val="center"/>
          </w:tcPr>
          <w:p w14:paraId="5150260A">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993" w:type="dxa"/>
            <w:vAlign w:val="center"/>
          </w:tcPr>
          <w:p w14:paraId="0AD02321">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根茎类。如香芋、土豆、莴笋</w:t>
            </w:r>
          </w:p>
        </w:tc>
        <w:tc>
          <w:tcPr>
            <w:tcW w:w="6493" w:type="dxa"/>
            <w:vAlign w:val="center"/>
          </w:tcPr>
          <w:p w14:paraId="6DE06621">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无虫咬、发芽、发霉现象，新鲜，形态大小与招标人自购标准相当。农药残留不超标。</w:t>
            </w:r>
          </w:p>
        </w:tc>
        <w:tc>
          <w:tcPr>
            <w:tcW w:w="740" w:type="dxa"/>
            <w:vMerge w:val="continue"/>
            <w:vAlign w:val="center"/>
          </w:tcPr>
          <w:p w14:paraId="54BAE238">
            <w:pPr>
              <w:spacing w:line="360" w:lineRule="auto"/>
              <w:rPr>
                <w:rFonts w:ascii="宋体" w:hAnsi="宋体" w:cs="宋体"/>
                <w:color w:val="auto"/>
                <w:sz w:val="24"/>
                <w:szCs w:val="24"/>
                <w:highlight w:val="none"/>
              </w:rPr>
            </w:pPr>
          </w:p>
        </w:tc>
      </w:tr>
      <w:tr w14:paraId="7FACE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474" w:type="dxa"/>
            <w:vAlign w:val="center"/>
          </w:tcPr>
          <w:p w14:paraId="37584BF4">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1993" w:type="dxa"/>
            <w:vAlign w:val="center"/>
          </w:tcPr>
          <w:p w14:paraId="51669D57">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花果类。如西兰花、白菜花</w:t>
            </w:r>
          </w:p>
        </w:tc>
        <w:tc>
          <w:tcPr>
            <w:tcW w:w="6493" w:type="dxa"/>
            <w:vAlign w:val="center"/>
          </w:tcPr>
          <w:p w14:paraId="68AEFA4E">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无虫害，成熟度良好，新鲜固有的色泽鲜明，无发霉发黄。农药残留不超标。</w:t>
            </w:r>
          </w:p>
        </w:tc>
        <w:tc>
          <w:tcPr>
            <w:tcW w:w="740" w:type="dxa"/>
            <w:vMerge w:val="continue"/>
            <w:vAlign w:val="center"/>
          </w:tcPr>
          <w:p w14:paraId="1BC56B2A">
            <w:pPr>
              <w:spacing w:line="360" w:lineRule="auto"/>
              <w:rPr>
                <w:rFonts w:ascii="宋体" w:hAnsi="宋体" w:cs="宋体"/>
                <w:color w:val="auto"/>
                <w:sz w:val="24"/>
                <w:szCs w:val="24"/>
                <w:highlight w:val="none"/>
              </w:rPr>
            </w:pPr>
          </w:p>
        </w:tc>
      </w:tr>
      <w:tr w14:paraId="27E10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74" w:type="dxa"/>
            <w:vAlign w:val="center"/>
          </w:tcPr>
          <w:p w14:paraId="266CDF57">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1993" w:type="dxa"/>
            <w:vAlign w:val="center"/>
          </w:tcPr>
          <w:p w14:paraId="39C0D91C">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瓜果类</w:t>
            </w:r>
          </w:p>
        </w:tc>
        <w:tc>
          <w:tcPr>
            <w:tcW w:w="6493" w:type="dxa"/>
            <w:vAlign w:val="center"/>
          </w:tcPr>
          <w:p w14:paraId="3655CC1B">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外表光亮无斑点，有新鲜连接的秧，形状正常、大小均匀，无软塌，成熟度适度。无腐烂，无污染，清洁、新鲜，无异味、无病虫损害。农药残留不超标。</w:t>
            </w:r>
          </w:p>
        </w:tc>
        <w:tc>
          <w:tcPr>
            <w:tcW w:w="740" w:type="dxa"/>
            <w:vMerge w:val="continue"/>
            <w:vAlign w:val="center"/>
          </w:tcPr>
          <w:p w14:paraId="148405D9">
            <w:pPr>
              <w:spacing w:line="360" w:lineRule="auto"/>
              <w:rPr>
                <w:rFonts w:ascii="宋体" w:hAnsi="宋体" w:cs="宋体"/>
                <w:color w:val="auto"/>
                <w:sz w:val="24"/>
                <w:szCs w:val="24"/>
                <w:highlight w:val="none"/>
              </w:rPr>
            </w:pPr>
          </w:p>
        </w:tc>
      </w:tr>
    </w:tbl>
    <w:p w14:paraId="7EF29015">
      <w:pPr>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6）米、油、调料类</w:t>
      </w:r>
      <w:r>
        <w:rPr>
          <w:rFonts w:hint="eastAsia" w:hAnsi="宋体" w:cs="宋体"/>
          <w:color w:val="auto"/>
          <w:sz w:val="24"/>
          <w:szCs w:val="24"/>
          <w:highlight w:val="none"/>
        </w:rPr>
        <w:t>：</w:t>
      </w:r>
      <w:r>
        <w:rPr>
          <w:rFonts w:hint="eastAsia" w:hAnsi="宋体" w:cs="宋体"/>
          <w:color w:val="auto"/>
          <w:sz w:val="24"/>
          <w:szCs w:val="24"/>
          <w:highlight w:val="none"/>
        </w:rPr>
        <w:br w:type="textWrapping"/>
      </w:r>
      <w:r>
        <w:rPr>
          <w:rFonts w:hint="eastAsia" w:hAnsi="宋体" w:cs="宋体"/>
          <w:color w:val="auto"/>
          <w:sz w:val="24"/>
          <w:szCs w:val="24"/>
          <w:highlight w:val="none"/>
        </w:rPr>
        <w:t xml:space="preserve"> </w:t>
      </w:r>
      <w:r>
        <w:rPr>
          <w:rFonts w:hint="eastAsia" w:ascii="宋体" w:hAnsi="宋体" w:cs="宋体"/>
          <w:color w:val="auto"/>
          <w:sz w:val="24"/>
          <w:szCs w:val="24"/>
          <w:highlight w:val="none"/>
        </w:rPr>
        <w:t>大米、食用油、面粉必须符合最新国标规范标准，送货时应附有检测报告</w:t>
      </w:r>
      <w:r>
        <w:rPr>
          <w:rFonts w:hint="eastAsia" w:ascii="宋体" w:hAnsi="宋体" w:cs="宋体"/>
          <w:bCs/>
          <w:color w:val="auto"/>
          <w:sz w:val="24"/>
          <w:szCs w:val="24"/>
          <w:highlight w:val="none"/>
        </w:rPr>
        <w:t>。</w:t>
      </w:r>
      <w:r>
        <w:rPr>
          <w:rFonts w:hint="eastAsia" w:hAnsi="宋体" w:cs="宋体"/>
          <w:color w:val="auto"/>
          <w:sz w:val="24"/>
          <w:szCs w:val="24"/>
          <w:highlight w:val="none"/>
        </w:rPr>
        <w:t>乙方</w:t>
      </w:r>
      <w:r>
        <w:rPr>
          <w:rFonts w:hint="eastAsia" w:ascii="宋体" w:hAnsi="宋体" w:cs="宋体"/>
          <w:color w:val="auto"/>
          <w:sz w:val="24"/>
          <w:szCs w:val="24"/>
          <w:highlight w:val="none"/>
        </w:rPr>
        <w:t>保证正规的进货渠道，所供标的物必须卫生、清洁、新鲜、无污染、无假冒伪劣、无过期变质及“三无”商品，符合《中华人民共和国食品安全法》、GB 2748-2003等法规要求及相应的国标（行业）标准。</w:t>
      </w:r>
    </w:p>
    <w:tbl>
      <w:tblPr>
        <w:tblStyle w:val="67"/>
        <w:tblW w:w="9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2807"/>
        <w:gridCol w:w="1446"/>
        <w:gridCol w:w="1354"/>
        <w:gridCol w:w="3153"/>
      </w:tblGrid>
      <w:tr w14:paraId="377C2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960" w:type="dxa"/>
            <w:tcBorders>
              <w:tl2br w:val="nil"/>
              <w:tr2bl w:val="nil"/>
            </w:tcBorders>
            <w:shd w:val="clear" w:color="auto" w:fill="auto"/>
            <w:noWrap/>
            <w:vAlign w:val="center"/>
          </w:tcPr>
          <w:p w14:paraId="3A8E7F33">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2807" w:type="dxa"/>
            <w:tcBorders>
              <w:tl2br w:val="nil"/>
              <w:tr2bl w:val="nil"/>
            </w:tcBorders>
            <w:shd w:val="clear" w:color="auto" w:fill="auto"/>
            <w:vAlign w:val="center"/>
          </w:tcPr>
          <w:p w14:paraId="07B28DE4">
            <w:pPr>
              <w:widowControl/>
              <w:adjustRightInd w:val="0"/>
              <w:snapToGrid w:val="0"/>
              <w:spacing w:after="200"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品名</w:t>
            </w:r>
          </w:p>
        </w:tc>
        <w:tc>
          <w:tcPr>
            <w:tcW w:w="1446" w:type="dxa"/>
            <w:tcBorders>
              <w:tl2br w:val="nil"/>
              <w:tr2bl w:val="nil"/>
            </w:tcBorders>
            <w:shd w:val="clear" w:color="auto" w:fill="auto"/>
            <w:vAlign w:val="center"/>
          </w:tcPr>
          <w:p w14:paraId="67FA0671">
            <w:pPr>
              <w:widowControl/>
              <w:adjustRightInd w:val="0"/>
              <w:snapToGrid w:val="0"/>
              <w:spacing w:after="200"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规格</w:t>
            </w:r>
          </w:p>
        </w:tc>
        <w:tc>
          <w:tcPr>
            <w:tcW w:w="1354" w:type="dxa"/>
            <w:tcBorders>
              <w:tl2br w:val="nil"/>
              <w:tr2bl w:val="nil"/>
            </w:tcBorders>
            <w:shd w:val="clear" w:color="auto" w:fill="auto"/>
            <w:noWrap/>
            <w:vAlign w:val="center"/>
          </w:tcPr>
          <w:p w14:paraId="7DD61A1A">
            <w:pPr>
              <w:widowControl/>
              <w:adjustRightInd w:val="0"/>
              <w:snapToGrid w:val="0"/>
              <w:spacing w:after="200"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单位</w:t>
            </w:r>
          </w:p>
        </w:tc>
        <w:tc>
          <w:tcPr>
            <w:tcW w:w="3153" w:type="dxa"/>
            <w:tcBorders>
              <w:tl2br w:val="nil"/>
              <w:tr2bl w:val="nil"/>
            </w:tcBorders>
            <w:shd w:val="clear" w:color="auto" w:fill="auto"/>
            <w:vAlign w:val="center"/>
          </w:tcPr>
          <w:p w14:paraId="19B45DB8">
            <w:pPr>
              <w:widowControl/>
              <w:adjustRightInd w:val="0"/>
              <w:snapToGrid w:val="0"/>
              <w:spacing w:after="200"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参考品牌</w:t>
            </w:r>
            <w:r>
              <w:rPr>
                <w:rFonts w:hint="eastAsia" w:hAnsi="宋体" w:cs="宋体"/>
                <w:b/>
                <w:bCs/>
                <w:color w:val="auto"/>
                <w:sz w:val="24"/>
                <w:szCs w:val="24"/>
                <w:highlight w:val="none"/>
              </w:rPr>
              <w:t>（包括但不限于）</w:t>
            </w:r>
          </w:p>
        </w:tc>
      </w:tr>
      <w:tr w14:paraId="45BD4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30446D5B">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2807" w:type="dxa"/>
            <w:tcBorders>
              <w:tl2br w:val="nil"/>
              <w:tr2bl w:val="nil"/>
            </w:tcBorders>
            <w:shd w:val="clear" w:color="auto" w:fill="auto"/>
            <w:vAlign w:val="center"/>
          </w:tcPr>
          <w:p w14:paraId="4C240244">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葵花籽油</w:t>
            </w:r>
          </w:p>
        </w:tc>
        <w:tc>
          <w:tcPr>
            <w:tcW w:w="1446" w:type="dxa"/>
            <w:tcBorders>
              <w:tl2br w:val="nil"/>
              <w:tr2bl w:val="nil"/>
            </w:tcBorders>
            <w:shd w:val="clear" w:color="auto" w:fill="auto"/>
            <w:vAlign w:val="center"/>
          </w:tcPr>
          <w:p w14:paraId="1C77CC1D">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5L</w:t>
            </w:r>
          </w:p>
        </w:tc>
        <w:tc>
          <w:tcPr>
            <w:tcW w:w="1354" w:type="dxa"/>
            <w:tcBorders>
              <w:tl2br w:val="nil"/>
              <w:tr2bl w:val="nil"/>
            </w:tcBorders>
            <w:shd w:val="clear" w:color="auto" w:fill="auto"/>
            <w:noWrap/>
            <w:vAlign w:val="center"/>
          </w:tcPr>
          <w:p w14:paraId="3ADE2D1B">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桶</w:t>
            </w:r>
          </w:p>
        </w:tc>
        <w:tc>
          <w:tcPr>
            <w:tcW w:w="3153" w:type="dxa"/>
            <w:tcBorders>
              <w:tl2br w:val="nil"/>
              <w:tr2bl w:val="nil"/>
            </w:tcBorders>
            <w:shd w:val="clear" w:color="auto" w:fill="auto"/>
            <w:vAlign w:val="center"/>
          </w:tcPr>
          <w:p w14:paraId="787543F7">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多力、福临门、鲁花</w:t>
            </w:r>
          </w:p>
        </w:tc>
      </w:tr>
      <w:tr w14:paraId="6CA2C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0A84A986">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2807" w:type="dxa"/>
            <w:tcBorders>
              <w:tl2br w:val="nil"/>
              <w:tr2bl w:val="nil"/>
            </w:tcBorders>
            <w:shd w:val="clear" w:color="auto" w:fill="auto"/>
            <w:vAlign w:val="center"/>
          </w:tcPr>
          <w:p w14:paraId="1E68431D">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压榨葵花籽油</w:t>
            </w:r>
          </w:p>
        </w:tc>
        <w:tc>
          <w:tcPr>
            <w:tcW w:w="1446" w:type="dxa"/>
            <w:tcBorders>
              <w:tl2br w:val="nil"/>
              <w:tr2bl w:val="nil"/>
            </w:tcBorders>
            <w:shd w:val="clear" w:color="auto" w:fill="auto"/>
            <w:vAlign w:val="center"/>
          </w:tcPr>
          <w:p w14:paraId="20E36350">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5L</w:t>
            </w:r>
          </w:p>
        </w:tc>
        <w:tc>
          <w:tcPr>
            <w:tcW w:w="1354" w:type="dxa"/>
            <w:tcBorders>
              <w:tl2br w:val="nil"/>
              <w:tr2bl w:val="nil"/>
            </w:tcBorders>
            <w:shd w:val="clear" w:color="auto" w:fill="auto"/>
            <w:noWrap/>
            <w:vAlign w:val="center"/>
          </w:tcPr>
          <w:p w14:paraId="4E65BB3E">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桶</w:t>
            </w:r>
          </w:p>
        </w:tc>
        <w:tc>
          <w:tcPr>
            <w:tcW w:w="3153" w:type="dxa"/>
            <w:tcBorders>
              <w:tl2br w:val="nil"/>
              <w:tr2bl w:val="nil"/>
            </w:tcBorders>
            <w:shd w:val="clear" w:color="auto" w:fill="auto"/>
            <w:vAlign w:val="center"/>
          </w:tcPr>
          <w:p w14:paraId="2FCD28CB">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福临门、多力、鲁花</w:t>
            </w:r>
          </w:p>
        </w:tc>
      </w:tr>
      <w:tr w14:paraId="60ED5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3B31B6A0">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2807" w:type="dxa"/>
            <w:tcBorders>
              <w:tl2br w:val="nil"/>
              <w:tr2bl w:val="nil"/>
            </w:tcBorders>
            <w:shd w:val="clear" w:color="auto" w:fill="auto"/>
            <w:vAlign w:val="center"/>
          </w:tcPr>
          <w:p w14:paraId="7D37DE7B">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非转基因一级大豆油</w:t>
            </w:r>
          </w:p>
        </w:tc>
        <w:tc>
          <w:tcPr>
            <w:tcW w:w="1446" w:type="dxa"/>
            <w:tcBorders>
              <w:tl2br w:val="nil"/>
              <w:tr2bl w:val="nil"/>
            </w:tcBorders>
            <w:shd w:val="clear" w:color="auto" w:fill="auto"/>
            <w:vAlign w:val="center"/>
          </w:tcPr>
          <w:p w14:paraId="635F0406">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5L</w:t>
            </w:r>
          </w:p>
        </w:tc>
        <w:tc>
          <w:tcPr>
            <w:tcW w:w="1354" w:type="dxa"/>
            <w:tcBorders>
              <w:tl2br w:val="nil"/>
              <w:tr2bl w:val="nil"/>
            </w:tcBorders>
            <w:shd w:val="clear" w:color="auto" w:fill="auto"/>
            <w:noWrap/>
            <w:vAlign w:val="center"/>
          </w:tcPr>
          <w:p w14:paraId="4F2A5762">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桶</w:t>
            </w:r>
          </w:p>
        </w:tc>
        <w:tc>
          <w:tcPr>
            <w:tcW w:w="3153" w:type="dxa"/>
            <w:tcBorders>
              <w:tl2br w:val="nil"/>
              <w:tr2bl w:val="nil"/>
            </w:tcBorders>
            <w:shd w:val="clear" w:color="auto" w:fill="auto"/>
            <w:vAlign w:val="center"/>
          </w:tcPr>
          <w:p w14:paraId="26673873">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MC、福临门、鲁花</w:t>
            </w:r>
          </w:p>
        </w:tc>
      </w:tr>
      <w:tr w14:paraId="4C0B3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0B770768">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2807" w:type="dxa"/>
            <w:tcBorders>
              <w:tl2br w:val="nil"/>
              <w:tr2bl w:val="nil"/>
            </w:tcBorders>
            <w:shd w:val="clear" w:color="auto" w:fill="auto"/>
            <w:vAlign w:val="center"/>
          </w:tcPr>
          <w:p w14:paraId="7063DFF1">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非转基因大豆油</w:t>
            </w:r>
          </w:p>
        </w:tc>
        <w:tc>
          <w:tcPr>
            <w:tcW w:w="1446" w:type="dxa"/>
            <w:tcBorders>
              <w:tl2br w:val="nil"/>
              <w:tr2bl w:val="nil"/>
            </w:tcBorders>
            <w:shd w:val="clear" w:color="auto" w:fill="auto"/>
            <w:vAlign w:val="center"/>
          </w:tcPr>
          <w:p w14:paraId="42932579">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5L</w:t>
            </w:r>
          </w:p>
        </w:tc>
        <w:tc>
          <w:tcPr>
            <w:tcW w:w="1354" w:type="dxa"/>
            <w:tcBorders>
              <w:tl2br w:val="nil"/>
              <w:tr2bl w:val="nil"/>
            </w:tcBorders>
            <w:shd w:val="clear" w:color="auto" w:fill="auto"/>
            <w:noWrap/>
            <w:vAlign w:val="center"/>
          </w:tcPr>
          <w:p w14:paraId="221175CA">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桶</w:t>
            </w:r>
          </w:p>
        </w:tc>
        <w:tc>
          <w:tcPr>
            <w:tcW w:w="3153" w:type="dxa"/>
            <w:tcBorders>
              <w:tl2br w:val="nil"/>
              <w:tr2bl w:val="nil"/>
            </w:tcBorders>
            <w:shd w:val="clear" w:color="auto" w:fill="auto"/>
            <w:vAlign w:val="center"/>
          </w:tcPr>
          <w:p w14:paraId="12E09044">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福临门、MC、鲁花</w:t>
            </w:r>
          </w:p>
        </w:tc>
      </w:tr>
      <w:tr w14:paraId="01440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656D53EA">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2807" w:type="dxa"/>
            <w:tcBorders>
              <w:tl2br w:val="nil"/>
              <w:tr2bl w:val="nil"/>
            </w:tcBorders>
            <w:shd w:val="clear" w:color="auto" w:fill="auto"/>
            <w:vAlign w:val="center"/>
          </w:tcPr>
          <w:p w14:paraId="2E392987">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压榨菜籽油</w:t>
            </w:r>
          </w:p>
        </w:tc>
        <w:tc>
          <w:tcPr>
            <w:tcW w:w="1446" w:type="dxa"/>
            <w:tcBorders>
              <w:tl2br w:val="nil"/>
              <w:tr2bl w:val="nil"/>
            </w:tcBorders>
            <w:shd w:val="clear" w:color="auto" w:fill="auto"/>
            <w:vAlign w:val="center"/>
          </w:tcPr>
          <w:p w14:paraId="61FADAA3">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5L</w:t>
            </w:r>
          </w:p>
        </w:tc>
        <w:tc>
          <w:tcPr>
            <w:tcW w:w="1354" w:type="dxa"/>
            <w:tcBorders>
              <w:tl2br w:val="nil"/>
              <w:tr2bl w:val="nil"/>
            </w:tcBorders>
            <w:shd w:val="clear" w:color="auto" w:fill="auto"/>
            <w:noWrap/>
            <w:vAlign w:val="center"/>
          </w:tcPr>
          <w:p w14:paraId="6FA27AB3">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桶</w:t>
            </w:r>
          </w:p>
        </w:tc>
        <w:tc>
          <w:tcPr>
            <w:tcW w:w="3153" w:type="dxa"/>
            <w:tcBorders>
              <w:tl2br w:val="nil"/>
              <w:tr2bl w:val="nil"/>
            </w:tcBorders>
            <w:shd w:val="clear" w:color="auto" w:fill="auto"/>
            <w:vAlign w:val="center"/>
          </w:tcPr>
          <w:p w14:paraId="474A1CEA">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金成、福临门、多力</w:t>
            </w:r>
          </w:p>
        </w:tc>
      </w:tr>
      <w:tr w14:paraId="53788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2A056D56">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2807" w:type="dxa"/>
            <w:tcBorders>
              <w:tl2br w:val="nil"/>
              <w:tr2bl w:val="nil"/>
            </w:tcBorders>
            <w:shd w:val="clear" w:color="auto" w:fill="auto"/>
            <w:vAlign w:val="center"/>
          </w:tcPr>
          <w:p w14:paraId="2D404740">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老抽</w:t>
            </w:r>
          </w:p>
        </w:tc>
        <w:tc>
          <w:tcPr>
            <w:tcW w:w="1446" w:type="dxa"/>
            <w:tcBorders>
              <w:tl2br w:val="nil"/>
              <w:tr2bl w:val="nil"/>
            </w:tcBorders>
            <w:shd w:val="clear" w:color="auto" w:fill="auto"/>
            <w:vAlign w:val="center"/>
          </w:tcPr>
          <w:p w14:paraId="15FA1A69">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4.9L</w:t>
            </w:r>
          </w:p>
        </w:tc>
        <w:tc>
          <w:tcPr>
            <w:tcW w:w="1354" w:type="dxa"/>
            <w:tcBorders>
              <w:tl2br w:val="nil"/>
              <w:tr2bl w:val="nil"/>
            </w:tcBorders>
            <w:shd w:val="clear" w:color="auto" w:fill="auto"/>
            <w:noWrap/>
            <w:vAlign w:val="center"/>
          </w:tcPr>
          <w:p w14:paraId="36D3FA29">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桶</w:t>
            </w:r>
          </w:p>
        </w:tc>
        <w:tc>
          <w:tcPr>
            <w:tcW w:w="3153" w:type="dxa"/>
            <w:tcBorders>
              <w:tl2br w:val="nil"/>
              <w:tr2bl w:val="nil"/>
            </w:tcBorders>
            <w:shd w:val="clear" w:color="auto" w:fill="auto"/>
            <w:vAlign w:val="center"/>
          </w:tcPr>
          <w:p w14:paraId="7D30C813">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海天、李锦记、鲁花</w:t>
            </w:r>
          </w:p>
        </w:tc>
      </w:tr>
      <w:tr w14:paraId="4E3E6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52C1062D">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7</w:t>
            </w:r>
          </w:p>
        </w:tc>
        <w:tc>
          <w:tcPr>
            <w:tcW w:w="2807" w:type="dxa"/>
            <w:tcBorders>
              <w:tl2br w:val="nil"/>
              <w:tr2bl w:val="nil"/>
            </w:tcBorders>
            <w:shd w:val="clear" w:color="auto" w:fill="auto"/>
            <w:vAlign w:val="center"/>
          </w:tcPr>
          <w:p w14:paraId="5216CAE8">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老抽</w:t>
            </w:r>
          </w:p>
        </w:tc>
        <w:tc>
          <w:tcPr>
            <w:tcW w:w="1446" w:type="dxa"/>
            <w:tcBorders>
              <w:tl2br w:val="nil"/>
              <w:tr2bl w:val="nil"/>
            </w:tcBorders>
            <w:shd w:val="clear" w:color="auto" w:fill="auto"/>
            <w:vAlign w:val="center"/>
          </w:tcPr>
          <w:p w14:paraId="4F7308F6">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1.9L</w:t>
            </w:r>
          </w:p>
        </w:tc>
        <w:tc>
          <w:tcPr>
            <w:tcW w:w="1354" w:type="dxa"/>
            <w:tcBorders>
              <w:tl2br w:val="nil"/>
              <w:tr2bl w:val="nil"/>
            </w:tcBorders>
            <w:shd w:val="clear" w:color="auto" w:fill="auto"/>
            <w:noWrap/>
            <w:vAlign w:val="center"/>
          </w:tcPr>
          <w:p w14:paraId="0B2BA7AD">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桶</w:t>
            </w:r>
          </w:p>
        </w:tc>
        <w:tc>
          <w:tcPr>
            <w:tcW w:w="3153" w:type="dxa"/>
            <w:tcBorders>
              <w:tl2br w:val="nil"/>
              <w:tr2bl w:val="nil"/>
            </w:tcBorders>
            <w:shd w:val="clear" w:color="auto" w:fill="auto"/>
            <w:vAlign w:val="center"/>
          </w:tcPr>
          <w:p w14:paraId="24CC5750">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海天、李锦记、鲁花</w:t>
            </w:r>
          </w:p>
        </w:tc>
      </w:tr>
      <w:tr w14:paraId="483D0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4BC7268C">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8</w:t>
            </w:r>
          </w:p>
        </w:tc>
        <w:tc>
          <w:tcPr>
            <w:tcW w:w="2807" w:type="dxa"/>
            <w:tcBorders>
              <w:tl2br w:val="nil"/>
              <w:tr2bl w:val="nil"/>
            </w:tcBorders>
            <w:shd w:val="clear" w:color="auto" w:fill="auto"/>
            <w:vAlign w:val="center"/>
          </w:tcPr>
          <w:p w14:paraId="321EACAA">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生抽</w:t>
            </w:r>
          </w:p>
        </w:tc>
        <w:tc>
          <w:tcPr>
            <w:tcW w:w="1446" w:type="dxa"/>
            <w:tcBorders>
              <w:tl2br w:val="nil"/>
              <w:tr2bl w:val="nil"/>
            </w:tcBorders>
            <w:shd w:val="clear" w:color="auto" w:fill="auto"/>
            <w:vAlign w:val="center"/>
          </w:tcPr>
          <w:p w14:paraId="5DD2CD7F">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4.9L</w:t>
            </w:r>
          </w:p>
        </w:tc>
        <w:tc>
          <w:tcPr>
            <w:tcW w:w="1354" w:type="dxa"/>
            <w:tcBorders>
              <w:tl2br w:val="nil"/>
              <w:tr2bl w:val="nil"/>
            </w:tcBorders>
            <w:shd w:val="clear" w:color="auto" w:fill="auto"/>
            <w:noWrap/>
            <w:vAlign w:val="center"/>
          </w:tcPr>
          <w:p w14:paraId="7B2275DF">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包</w:t>
            </w:r>
          </w:p>
        </w:tc>
        <w:tc>
          <w:tcPr>
            <w:tcW w:w="3153" w:type="dxa"/>
            <w:tcBorders>
              <w:tl2br w:val="nil"/>
              <w:tr2bl w:val="nil"/>
            </w:tcBorders>
            <w:shd w:val="clear" w:color="auto" w:fill="auto"/>
            <w:vAlign w:val="center"/>
          </w:tcPr>
          <w:p w14:paraId="7410EC10">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海天、李锦记、鲁花</w:t>
            </w:r>
          </w:p>
        </w:tc>
      </w:tr>
      <w:tr w14:paraId="321F5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6901AB38">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9</w:t>
            </w:r>
          </w:p>
        </w:tc>
        <w:tc>
          <w:tcPr>
            <w:tcW w:w="2807" w:type="dxa"/>
            <w:tcBorders>
              <w:tl2br w:val="nil"/>
              <w:tr2bl w:val="nil"/>
            </w:tcBorders>
            <w:shd w:val="clear" w:color="auto" w:fill="auto"/>
            <w:vAlign w:val="center"/>
          </w:tcPr>
          <w:p w14:paraId="00127A09">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生抽</w:t>
            </w:r>
          </w:p>
        </w:tc>
        <w:tc>
          <w:tcPr>
            <w:tcW w:w="1446" w:type="dxa"/>
            <w:tcBorders>
              <w:tl2br w:val="nil"/>
              <w:tr2bl w:val="nil"/>
            </w:tcBorders>
            <w:shd w:val="clear" w:color="auto" w:fill="auto"/>
            <w:vAlign w:val="center"/>
          </w:tcPr>
          <w:p w14:paraId="5FE053F4">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1.9L</w:t>
            </w:r>
          </w:p>
        </w:tc>
        <w:tc>
          <w:tcPr>
            <w:tcW w:w="1354" w:type="dxa"/>
            <w:tcBorders>
              <w:tl2br w:val="nil"/>
              <w:tr2bl w:val="nil"/>
            </w:tcBorders>
            <w:shd w:val="clear" w:color="auto" w:fill="auto"/>
            <w:noWrap/>
            <w:vAlign w:val="center"/>
          </w:tcPr>
          <w:p w14:paraId="3C01A9AF">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包</w:t>
            </w:r>
          </w:p>
        </w:tc>
        <w:tc>
          <w:tcPr>
            <w:tcW w:w="3153" w:type="dxa"/>
            <w:tcBorders>
              <w:tl2br w:val="nil"/>
              <w:tr2bl w:val="nil"/>
            </w:tcBorders>
            <w:shd w:val="clear" w:color="auto" w:fill="auto"/>
            <w:vAlign w:val="center"/>
          </w:tcPr>
          <w:p w14:paraId="26D77139">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海天、李锦记、鲁花</w:t>
            </w:r>
          </w:p>
        </w:tc>
      </w:tr>
      <w:tr w14:paraId="10E4E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960" w:type="dxa"/>
            <w:tcBorders>
              <w:tl2br w:val="nil"/>
              <w:tr2bl w:val="nil"/>
            </w:tcBorders>
            <w:shd w:val="clear" w:color="auto" w:fill="auto"/>
            <w:noWrap/>
            <w:vAlign w:val="center"/>
          </w:tcPr>
          <w:p w14:paraId="7796A498">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10</w:t>
            </w:r>
          </w:p>
        </w:tc>
        <w:tc>
          <w:tcPr>
            <w:tcW w:w="2807" w:type="dxa"/>
            <w:tcBorders>
              <w:tl2br w:val="nil"/>
              <w:tr2bl w:val="nil"/>
            </w:tcBorders>
            <w:shd w:val="clear" w:color="auto" w:fill="auto"/>
            <w:vAlign w:val="center"/>
          </w:tcPr>
          <w:p w14:paraId="69355234">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特级酱油</w:t>
            </w:r>
          </w:p>
        </w:tc>
        <w:tc>
          <w:tcPr>
            <w:tcW w:w="1446" w:type="dxa"/>
            <w:tcBorders>
              <w:tl2br w:val="nil"/>
              <w:tr2bl w:val="nil"/>
            </w:tcBorders>
            <w:shd w:val="clear" w:color="auto" w:fill="auto"/>
            <w:vAlign w:val="center"/>
          </w:tcPr>
          <w:p w14:paraId="3D9F7FD0">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1L</w:t>
            </w:r>
          </w:p>
        </w:tc>
        <w:tc>
          <w:tcPr>
            <w:tcW w:w="1354" w:type="dxa"/>
            <w:tcBorders>
              <w:tl2br w:val="nil"/>
              <w:tr2bl w:val="nil"/>
            </w:tcBorders>
            <w:shd w:val="clear" w:color="auto" w:fill="auto"/>
            <w:noWrap/>
            <w:vAlign w:val="center"/>
          </w:tcPr>
          <w:p w14:paraId="2AF7301F">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包</w:t>
            </w:r>
          </w:p>
        </w:tc>
        <w:tc>
          <w:tcPr>
            <w:tcW w:w="3153" w:type="dxa"/>
            <w:tcBorders>
              <w:tl2br w:val="nil"/>
              <w:tr2bl w:val="nil"/>
            </w:tcBorders>
            <w:shd w:val="clear" w:color="auto" w:fill="auto"/>
            <w:vAlign w:val="center"/>
          </w:tcPr>
          <w:p w14:paraId="67FDDBC4">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欣和、海天、李锦记</w:t>
            </w:r>
          </w:p>
        </w:tc>
      </w:tr>
      <w:tr w14:paraId="4FC18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392AC27F">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11</w:t>
            </w:r>
          </w:p>
        </w:tc>
        <w:tc>
          <w:tcPr>
            <w:tcW w:w="2807" w:type="dxa"/>
            <w:tcBorders>
              <w:tl2br w:val="nil"/>
              <w:tr2bl w:val="nil"/>
            </w:tcBorders>
            <w:shd w:val="clear" w:color="auto" w:fill="auto"/>
            <w:vAlign w:val="center"/>
          </w:tcPr>
          <w:p w14:paraId="387462CC">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陈醋</w:t>
            </w:r>
          </w:p>
        </w:tc>
        <w:tc>
          <w:tcPr>
            <w:tcW w:w="1446" w:type="dxa"/>
            <w:tcBorders>
              <w:tl2br w:val="nil"/>
              <w:tr2bl w:val="nil"/>
            </w:tcBorders>
            <w:shd w:val="clear" w:color="auto" w:fill="auto"/>
            <w:vAlign w:val="center"/>
          </w:tcPr>
          <w:p w14:paraId="63FEEBB9">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500ML</w:t>
            </w:r>
          </w:p>
        </w:tc>
        <w:tc>
          <w:tcPr>
            <w:tcW w:w="1354" w:type="dxa"/>
            <w:tcBorders>
              <w:tl2br w:val="nil"/>
              <w:tr2bl w:val="nil"/>
            </w:tcBorders>
            <w:shd w:val="clear" w:color="auto" w:fill="auto"/>
            <w:noWrap/>
            <w:vAlign w:val="center"/>
          </w:tcPr>
          <w:p w14:paraId="45A5FA37">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包</w:t>
            </w:r>
          </w:p>
        </w:tc>
        <w:tc>
          <w:tcPr>
            <w:tcW w:w="3153" w:type="dxa"/>
            <w:tcBorders>
              <w:tl2br w:val="nil"/>
              <w:tr2bl w:val="nil"/>
            </w:tcBorders>
            <w:shd w:val="clear" w:color="auto" w:fill="auto"/>
            <w:vAlign w:val="center"/>
          </w:tcPr>
          <w:p w14:paraId="0B7CD9F0">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恒顺、宝鼎、千禾</w:t>
            </w:r>
          </w:p>
        </w:tc>
      </w:tr>
      <w:tr w14:paraId="27A25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4EE67BEF">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12</w:t>
            </w:r>
          </w:p>
        </w:tc>
        <w:tc>
          <w:tcPr>
            <w:tcW w:w="2807" w:type="dxa"/>
            <w:tcBorders>
              <w:tl2br w:val="nil"/>
              <w:tr2bl w:val="nil"/>
            </w:tcBorders>
            <w:shd w:val="clear" w:color="auto" w:fill="auto"/>
            <w:vAlign w:val="center"/>
          </w:tcPr>
          <w:p w14:paraId="7B2D71B6">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白醋</w:t>
            </w:r>
          </w:p>
        </w:tc>
        <w:tc>
          <w:tcPr>
            <w:tcW w:w="1446" w:type="dxa"/>
            <w:tcBorders>
              <w:tl2br w:val="nil"/>
              <w:tr2bl w:val="nil"/>
            </w:tcBorders>
            <w:shd w:val="clear" w:color="auto" w:fill="auto"/>
            <w:vAlign w:val="center"/>
          </w:tcPr>
          <w:p w14:paraId="197056EB">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500ML</w:t>
            </w:r>
          </w:p>
        </w:tc>
        <w:tc>
          <w:tcPr>
            <w:tcW w:w="1354" w:type="dxa"/>
            <w:tcBorders>
              <w:tl2br w:val="nil"/>
              <w:tr2bl w:val="nil"/>
            </w:tcBorders>
            <w:shd w:val="clear" w:color="auto" w:fill="auto"/>
            <w:noWrap/>
            <w:vAlign w:val="center"/>
          </w:tcPr>
          <w:p w14:paraId="05C33C55">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块</w:t>
            </w:r>
          </w:p>
        </w:tc>
        <w:tc>
          <w:tcPr>
            <w:tcW w:w="3153" w:type="dxa"/>
            <w:tcBorders>
              <w:tl2br w:val="nil"/>
              <w:tr2bl w:val="nil"/>
            </w:tcBorders>
            <w:shd w:val="clear" w:color="auto" w:fill="auto"/>
            <w:vAlign w:val="center"/>
          </w:tcPr>
          <w:p w14:paraId="2DEE3CE1">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上海、恒顺、千禾</w:t>
            </w:r>
          </w:p>
        </w:tc>
      </w:tr>
      <w:tr w14:paraId="4D95C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1B43048F">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13</w:t>
            </w:r>
          </w:p>
        </w:tc>
        <w:tc>
          <w:tcPr>
            <w:tcW w:w="2807" w:type="dxa"/>
            <w:tcBorders>
              <w:tl2br w:val="nil"/>
              <w:tr2bl w:val="nil"/>
            </w:tcBorders>
            <w:shd w:val="clear" w:color="auto" w:fill="auto"/>
            <w:vAlign w:val="center"/>
          </w:tcPr>
          <w:p w14:paraId="7512B2CB">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精制食用盐</w:t>
            </w:r>
          </w:p>
        </w:tc>
        <w:tc>
          <w:tcPr>
            <w:tcW w:w="1446" w:type="dxa"/>
            <w:tcBorders>
              <w:tl2br w:val="nil"/>
              <w:tr2bl w:val="nil"/>
            </w:tcBorders>
            <w:shd w:val="clear" w:color="auto" w:fill="auto"/>
            <w:vAlign w:val="center"/>
          </w:tcPr>
          <w:p w14:paraId="69621592">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500G</w:t>
            </w:r>
          </w:p>
        </w:tc>
        <w:tc>
          <w:tcPr>
            <w:tcW w:w="1354" w:type="dxa"/>
            <w:tcBorders>
              <w:tl2br w:val="nil"/>
              <w:tr2bl w:val="nil"/>
            </w:tcBorders>
            <w:shd w:val="clear" w:color="auto" w:fill="auto"/>
            <w:noWrap/>
            <w:vAlign w:val="center"/>
          </w:tcPr>
          <w:p w14:paraId="72E27DBE">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包</w:t>
            </w:r>
          </w:p>
        </w:tc>
        <w:tc>
          <w:tcPr>
            <w:tcW w:w="3153" w:type="dxa"/>
            <w:tcBorders>
              <w:tl2br w:val="nil"/>
              <w:tr2bl w:val="nil"/>
            </w:tcBorders>
            <w:shd w:val="clear" w:color="auto" w:fill="auto"/>
            <w:vAlign w:val="center"/>
          </w:tcPr>
          <w:p w14:paraId="75FEDDF4">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淮牌、中盐、茶卡</w:t>
            </w:r>
          </w:p>
        </w:tc>
      </w:tr>
      <w:tr w14:paraId="1EBAE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05972A77">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14</w:t>
            </w:r>
          </w:p>
        </w:tc>
        <w:tc>
          <w:tcPr>
            <w:tcW w:w="2807" w:type="dxa"/>
            <w:tcBorders>
              <w:tl2br w:val="nil"/>
              <w:tr2bl w:val="nil"/>
            </w:tcBorders>
            <w:shd w:val="clear" w:color="auto" w:fill="auto"/>
            <w:vAlign w:val="center"/>
          </w:tcPr>
          <w:p w14:paraId="1344CED5">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低钠盐</w:t>
            </w:r>
          </w:p>
        </w:tc>
        <w:tc>
          <w:tcPr>
            <w:tcW w:w="1446" w:type="dxa"/>
            <w:tcBorders>
              <w:tl2br w:val="nil"/>
              <w:tr2bl w:val="nil"/>
            </w:tcBorders>
            <w:shd w:val="clear" w:color="auto" w:fill="auto"/>
            <w:vAlign w:val="center"/>
          </w:tcPr>
          <w:p w14:paraId="51BF6C50">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400G</w:t>
            </w:r>
          </w:p>
        </w:tc>
        <w:tc>
          <w:tcPr>
            <w:tcW w:w="1354" w:type="dxa"/>
            <w:tcBorders>
              <w:tl2br w:val="nil"/>
              <w:tr2bl w:val="nil"/>
            </w:tcBorders>
            <w:shd w:val="clear" w:color="auto" w:fill="auto"/>
            <w:noWrap/>
            <w:vAlign w:val="center"/>
          </w:tcPr>
          <w:p w14:paraId="37AB15F9">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包</w:t>
            </w:r>
          </w:p>
        </w:tc>
        <w:tc>
          <w:tcPr>
            <w:tcW w:w="3153" w:type="dxa"/>
            <w:tcBorders>
              <w:tl2br w:val="nil"/>
              <w:tr2bl w:val="nil"/>
            </w:tcBorders>
            <w:shd w:val="clear" w:color="auto" w:fill="auto"/>
            <w:vAlign w:val="center"/>
          </w:tcPr>
          <w:p w14:paraId="3976D44A">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淮牌、中盐、茶卡</w:t>
            </w:r>
          </w:p>
        </w:tc>
      </w:tr>
      <w:tr w14:paraId="79355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02E6EA6E">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15</w:t>
            </w:r>
          </w:p>
        </w:tc>
        <w:tc>
          <w:tcPr>
            <w:tcW w:w="2807" w:type="dxa"/>
            <w:tcBorders>
              <w:tl2br w:val="nil"/>
              <w:tr2bl w:val="nil"/>
            </w:tcBorders>
            <w:shd w:val="clear" w:color="auto" w:fill="auto"/>
            <w:vAlign w:val="center"/>
          </w:tcPr>
          <w:p w14:paraId="6FBC2C6A">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宴会酱蘸汁调味料</w:t>
            </w:r>
          </w:p>
        </w:tc>
        <w:tc>
          <w:tcPr>
            <w:tcW w:w="1446" w:type="dxa"/>
            <w:tcBorders>
              <w:tl2br w:val="nil"/>
              <w:tr2bl w:val="nil"/>
            </w:tcBorders>
            <w:shd w:val="clear" w:color="auto" w:fill="auto"/>
            <w:vAlign w:val="center"/>
          </w:tcPr>
          <w:p w14:paraId="2100D007">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623ML</w:t>
            </w:r>
          </w:p>
        </w:tc>
        <w:tc>
          <w:tcPr>
            <w:tcW w:w="1354" w:type="dxa"/>
            <w:tcBorders>
              <w:tl2br w:val="nil"/>
              <w:tr2bl w:val="nil"/>
            </w:tcBorders>
            <w:shd w:val="clear" w:color="auto" w:fill="auto"/>
            <w:noWrap/>
            <w:vAlign w:val="center"/>
          </w:tcPr>
          <w:p w14:paraId="37396E24">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包</w:t>
            </w:r>
          </w:p>
        </w:tc>
        <w:tc>
          <w:tcPr>
            <w:tcW w:w="3153" w:type="dxa"/>
            <w:tcBorders>
              <w:tl2br w:val="nil"/>
              <w:tr2bl w:val="nil"/>
            </w:tcBorders>
            <w:shd w:val="clear" w:color="auto" w:fill="auto"/>
            <w:vAlign w:val="center"/>
          </w:tcPr>
          <w:p w14:paraId="31432D80">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太太乐、千禾、海天</w:t>
            </w:r>
          </w:p>
        </w:tc>
      </w:tr>
      <w:tr w14:paraId="407CB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0EC4A537">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16</w:t>
            </w:r>
          </w:p>
        </w:tc>
        <w:tc>
          <w:tcPr>
            <w:tcW w:w="2807" w:type="dxa"/>
            <w:tcBorders>
              <w:tl2br w:val="nil"/>
              <w:tr2bl w:val="nil"/>
            </w:tcBorders>
            <w:shd w:val="clear" w:color="auto" w:fill="auto"/>
            <w:vAlign w:val="center"/>
          </w:tcPr>
          <w:p w14:paraId="2902D845">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99%味精</w:t>
            </w:r>
          </w:p>
        </w:tc>
        <w:tc>
          <w:tcPr>
            <w:tcW w:w="1446" w:type="dxa"/>
            <w:tcBorders>
              <w:tl2br w:val="nil"/>
              <w:tr2bl w:val="nil"/>
            </w:tcBorders>
            <w:shd w:val="clear" w:color="auto" w:fill="auto"/>
            <w:vAlign w:val="center"/>
          </w:tcPr>
          <w:p w14:paraId="6D2F85C3">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1KG</w:t>
            </w:r>
          </w:p>
        </w:tc>
        <w:tc>
          <w:tcPr>
            <w:tcW w:w="1354" w:type="dxa"/>
            <w:tcBorders>
              <w:tl2br w:val="nil"/>
              <w:tr2bl w:val="nil"/>
            </w:tcBorders>
            <w:shd w:val="clear" w:color="auto" w:fill="auto"/>
            <w:noWrap/>
            <w:vAlign w:val="center"/>
          </w:tcPr>
          <w:p w14:paraId="532B7A9B">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斤</w:t>
            </w:r>
          </w:p>
        </w:tc>
        <w:tc>
          <w:tcPr>
            <w:tcW w:w="3153" w:type="dxa"/>
            <w:tcBorders>
              <w:tl2br w:val="nil"/>
              <w:tr2bl w:val="nil"/>
            </w:tcBorders>
            <w:shd w:val="clear" w:color="auto" w:fill="auto"/>
            <w:vAlign w:val="center"/>
          </w:tcPr>
          <w:p w14:paraId="460B7462">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太太乐、莲花、佛手</w:t>
            </w:r>
          </w:p>
        </w:tc>
      </w:tr>
      <w:tr w14:paraId="7C079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0BCE65F0">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17</w:t>
            </w:r>
          </w:p>
        </w:tc>
        <w:tc>
          <w:tcPr>
            <w:tcW w:w="2807" w:type="dxa"/>
            <w:tcBorders>
              <w:tl2br w:val="nil"/>
              <w:tr2bl w:val="nil"/>
            </w:tcBorders>
            <w:shd w:val="clear" w:color="auto" w:fill="auto"/>
            <w:vAlign w:val="center"/>
          </w:tcPr>
          <w:p w14:paraId="082970DF">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鸡精调味料</w:t>
            </w:r>
          </w:p>
        </w:tc>
        <w:tc>
          <w:tcPr>
            <w:tcW w:w="1446" w:type="dxa"/>
            <w:tcBorders>
              <w:tl2br w:val="nil"/>
              <w:tr2bl w:val="nil"/>
            </w:tcBorders>
            <w:shd w:val="clear" w:color="auto" w:fill="auto"/>
            <w:vAlign w:val="center"/>
          </w:tcPr>
          <w:p w14:paraId="38DBD5D5">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1KG</w:t>
            </w:r>
          </w:p>
        </w:tc>
        <w:tc>
          <w:tcPr>
            <w:tcW w:w="1354" w:type="dxa"/>
            <w:tcBorders>
              <w:tl2br w:val="nil"/>
              <w:tr2bl w:val="nil"/>
            </w:tcBorders>
            <w:shd w:val="clear" w:color="auto" w:fill="auto"/>
            <w:noWrap/>
            <w:vAlign w:val="center"/>
          </w:tcPr>
          <w:p w14:paraId="64A71668">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瓶</w:t>
            </w:r>
          </w:p>
        </w:tc>
        <w:tc>
          <w:tcPr>
            <w:tcW w:w="3153" w:type="dxa"/>
            <w:tcBorders>
              <w:tl2br w:val="nil"/>
              <w:tr2bl w:val="nil"/>
            </w:tcBorders>
            <w:shd w:val="clear" w:color="auto" w:fill="auto"/>
            <w:vAlign w:val="center"/>
          </w:tcPr>
          <w:p w14:paraId="79137F4D">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太太乐、莲花、佛手</w:t>
            </w:r>
          </w:p>
        </w:tc>
      </w:tr>
      <w:tr w14:paraId="57BD0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4B8EA00F">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18</w:t>
            </w:r>
          </w:p>
        </w:tc>
        <w:tc>
          <w:tcPr>
            <w:tcW w:w="2807" w:type="dxa"/>
            <w:tcBorders>
              <w:tl2br w:val="nil"/>
              <w:tr2bl w:val="nil"/>
            </w:tcBorders>
            <w:shd w:val="clear" w:color="auto" w:fill="auto"/>
            <w:vAlign w:val="center"/>
          </w:tcPr>
          <w:p w14:paraId="399F4760">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纯芝麻油</w:t>
            </w:r>
          </w:p>
        </w:tc>
        <w:tc>
          <w:tcPr>
            <w:tcW w:w="1446" w:type="dxa"/>
            <w:tcBorders>
              <w:tl2br w:val="nil"/>
              <w:tr2bl w:val="nil"/>
            </w:tcBorders>
            <w:shd w:val="clear" w:color="auto" w:fill="auto"/>
            <w:vAlign w:val="center"/>
          </w:tcPr>
          <w:p w14:paraId="2E82053E">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450ML</w:t>
            </w:r>
          </w:p>
        </w:tc>
        <w:tc>
          <w:tcPr>
            <w:tcW w:w="1354" w:type="dxa"/>
            <w:tcBorders>
              <w:tl2br w:val="nil"/>
              <w:tr2bl w:val="nil"/>
            </w:tcBorders>
            <w:shd w:val="clear" w:color="auto" w:fill="auto"/>
            <w:noWrap/>
            <w:vAlign w:val="center"/>
          </w:tcPr>
          <w:p w14:paraId="4D0FED6B">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包</w:t>
            </w:r>
          </w:p>
        </w:tc>
        <w:tc>
          <w:tcPr>
            <w:tcW w:w="3153" w:type="dxa"/>
            <w:tcBorders>
              <w:tl2br w:val="nil"/>
              <w:tr2bl w:val="nil"/>
            </w:tcBorders>
            <w:shd w:val="clear" w:color="auto" w:fill="auto"/>
            <w:vAlign w:val="center"/>
          </w:tcPr>
          <w:p w14:paraId="7714102A">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鸡笼山、崔字牌、李锦记</w:t>
            </w:r>
          </w:p>
        </w:tc>
      </w:tr>
      <w:tr w14:paraId="1E5EA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 w:hRule="atLeast"/>
          <w:jc w:val="center"/>
        </w:trPr>
        <w:tc>
          <w:tcPr>
            <w:tcW w:w="960" w:type="dxa"/>
            <w:tcBorders>
              <w:tl2br w:val="nil"/>
              <w:tr2bl w:val="nil"/>
            </w:tcBorders>
            <w:shd w:val="clear" w:color="auto" w:fill="auto"/>
            <w:noWrap/>
            <w:vAlign w:val="center"/>
          </w:tcPr>
          <w:p w14:paraId="093B7900">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19</w:t>
            </w:r>
          </w:p>
        </w:tc>
        <w:tc>
          <w:tcPr>
            <w:tcW w:w="2807" w:type="dxa"/>
            <w:tcBorders>
              <w:tl2br w:val="nil"/>
              <w:tr2bl w:val="nil"/>
            </w:tcBorders>
            <w:shd w:val="clear" w:color="000000" w:fill="FFFFFF"/>
            <w:vAlign w:val="center"/>
          </w:tcPr>
          <w:p w14:paraId="499DBD61">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绵白糖</w:t>
            </w:r>
          </w:p>
        </w:tc>
        <w:tc>
          <w:tcPr>
            <w:tcW w:w="1446" w:type="dxa"/>
            <w:tcBorders>
              <w:tl2br w:val="nil"/>
              <w:tr2bl w:val="nil"/>
            </w:tcBorders>
            <w:shd w:val="clear" w:color="000000" w:fill="FFFFFF"/>
            <w:vAlign w:val="center"/>
          </w:tcPr>
          <w:p w14:paraId="43771DE9">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2KG</w:t>
            </w:r>
          </w:p>
        </w:tc>
        <w:tc>
          <w:tcPr>
            <w:tcW w:w="1354" w:type="dxa"/>
            <w:tcBorders>
              <w:tl2br w:val="nil"/>
              <w:tr2bl w:val="nil"/>
            </w:tcBorders>
            <w:shd w:val="clear" w:color="000000" w:fill="FFFFFF"/>
            <w:noWrap/>
            <w:vAlign w:val="center"/>
          </w:tcPr>
          <w:p w14:paraId="4BC34E28">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袋</w:t>
            </w:r>
          </w:p>
        </w:tc>
        <w:tc>
          <w:tcPr>
            <w:tcW w:w="3153" w:type="dxa"/>
            <w:tcBorders>
              <w:tl2br w:val="nil"/>
              <w:tr2bl w:val="nil"/>
            </w:tcBorders>
            <w:shd w:val="clear" w:color="000000" w:fill="FFFFFF"/>
            <w:vAlign w:val="center"/>
          </w:tcPr>
          <w:p w14:paraId="1E9A3E8F">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AKA、太古、玉棠</w:t>
            </w:r>
          </w:p>
        </w:tc>
      </w:tr>
      <w:tr w14:paraId="2C9F3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306970D9">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20</w:t>
            </w:r>
          </w:p>
        </w:tc>
        <w:tc>
          <w:tcPr>
            <w:tcW w:w="2807" w:type="dxa"/>
            <w:tcBorders>
              <w:tl2br w:val="nil"/>
              <w:tr2bl w:val="nil"/>
            </w:tcBorders>
            <w:shd w:val="clear" w:color="auto" w:fill="auto"/>
            <w:vAlign w:val="center"/>
          </w:tcPr>
          <w:p w14:paraId="581B0741">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糯米黄酒</w:t>
            </w:r>
          </w:p>
        </w:tc>
        <w:tc>
          <w:tcPr>
            <w:tcW w:w="1446" w:type="dxa"/>
            <w:tcBorders>
              <w:tl2br w:val="nil"/>
              <w:tr2bl w:val="nil"/>
            </w:tcBorders>
            <w:shd w:val="clear" w:color="auto" w:fill="auto"/>
            <w:vAlign w:val="center"/>
          </w:tcPr>
          <w:p w14:paraId="1FF21AF6">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400ML</w:t>
            </w:r>
          </w:p>
        </w:tc>
        <w:tc>
          <w:tcPr>
            <w:tcW w:w="1354" w:type="dxa"/>
            <w:tcBorders>
              <w:tl2br w:val="nil"/>
              <w:tr2bl w:val="nil"/>
            </w:tcBorders>
            <w:shd w:val="clear" w:color="auto" w:fill="auto"/>
            <w:noWrap/>
            <w:vAlign w:val="center"/>
          </w:tcPr>
          <w:p w14:paraId="26011ABF">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包</w:t>
            </w:r>
          </w:p>
        </w:tc>
        <w:tc>
          <w:tcPr>
            <w:tcW w:w="3153" w:type="dxa"/>
            <w:tcBorders>
              <w:tl2br w:val="nil"/>
              <w:tr2bl w:val="nil"/>
            </w:tcBorders>
            <w:shd w:val="clear" w:color="auto" w:fill="auto"/>
            <w:vAlign w:val="center"/>
          </w:tcPr>
          <w:p w14:paraId="136BE0E4">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孙埠、锡山、古越龙山</w:t>
            </w:r>
          </w:p>
        </w:tc>
      </w:tr>
      <w:tr w14:paraId="3686C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728AFA80">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21</w:t>
            </w:r>
          </w:p>
        </w:tc>
        <w:tc>
          <w:tcPr>
            <w:tcW w:w="2807" w:type="dxa"/>
            <w:tcBorders>
              <w:tl2br w:val="nil"/>
              <w:tr2bl w:val="nil"/>
            </w:tcBorders>
            <w:shd w:val="clear" w:color="auto" w:fill="auto"/>
            <w:vAlign w:val="center"/>
          </w:tcPr>
          <w:p w14:paraId="58B8E7C0">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胡椒粉（混合型）</w:t>
            </w:r>
          </w:p>
        </w:tc>
        <w:tc>
          <w:tcPr>
            <w:tcW w:w="1446" w:type="dxa"/>
            <w:tcBorders>
              <w:tl2br w:val="nil"/>
              <w:tr2bl w:val="nil"/>
            </w:tcBorders>
            <w:shd w:val="clear" w:color="auto" w:fill="auto"/>
            <w:vAlign w:val="center"/>
          </w:tcPr>
          <w:p w14:paraId="489F9647">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500G</w:t>
            </w:r>
          </w:p>
        </w:tc>
        <w:tc>
          <w:tcPr>
            <w:tcW w:w="1354" w:type="dxa"/>
            <w:tcBorders>
              <w:tl2br w:val="nil"/>
              <w:tr2bl w:val="nil"/>
            </w:tcBorders>
            <w:shd w:val="clear" w:color="auto" w:fill="auto"/>
            <w:noWrap/>
            <w:vAlign w:val="center"/>
          </w:tcPr>
          <w:p w14:paraId="2D55005B">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瓶</w:t>
            </w:r>
          </w:p>
        </w:tc>
        <w:tc>
          <w:tcPr>
            <w:tcW w:w="3153" w:type="dxa"/>
            <w:tcBorders>
              <w:tl2br w:val="nil"/>
              <w:tr2bl w:val="nil"/>
            </w:tcBorders>
            <w:shd w:val="clear" w:color="auto" w:fill="auto"/>
            <w:vAlign w:val="center"/>
          </w:tcPr>
          <w:p w14:paraId="30FB5F61">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味好美、友加、吉得利</w:t>
            </w:r>
          </w:p>
        </w:tc>
      </w:tr>
      <w:tr w14:paraId="31DB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6BBA7289">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22</w:t>
            </w:r>
          </w:p>
        </w:tc>
        <w:tc>
          <w:tcPr>
            <w:tcW w:w="2807" w:type="dxa"/>
            <w:tcBorders>
              <w:tl2br w:val="nil"/>
              <w:tr2bl w:val="nil"/>
            </w:tcBorders>
            <w:shd w:val="clear" w:color="auto" w:fill="auto"/>
            <w:vAlign w:val="center"/>
          </w:tcPr>
          <w:p w14:paraId="6AC8EC33">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白胡椒粉</w:t>
            </w:r>
          </w:p>
        </w:tc>
        <w:tc>
          <w:tcPr>
            <w:tcW w:w="1446" w:type="dxa"/>
            <w:tcBorders>
              <w:tl2br w:val="nil"/>
              <w:tr2bl w:val="nil"/>
            </w:tcBorders>
            <w:shd w:val="clear" w:color="auto" w:fill="auto"/>
            <w:vAlign w:val="center"/>
          </w:tcPr>
          <w:p w14:paraId="391A593D">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500G</w:t>
            </w:r>
          </w:p>
        </w:tc>
        <w:tc>
          <w:tcPr>
            <w:tcW w:w="1354" w:type="dxa"/>
            <w:tcBorders>
              <w:tl2br w:val="nil"/>
              <w:tr2bl w:val="nil"/>
            </w:tcBorders>
            <w:shd w:val="clear" w:color="auto" w:fill="auto"/>
            <w:noWrap/>
            <w:vAlign w:val="center"/>
          </w:tcPr>
          <w:p w14:paraId="42DE449D">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瓶</w:t>
            </w:r>
          </w:p>
        </w:tc>
        <w:tc>
          <w:tcPr>
            <w:tcW w:w="3153" w:type="dxa"/>
            <w:tcBorders>
              <w:tl2br w:val="nil"/>
              <w:tr2bl w:val="nil"/>
            </w:tcBorders>
            <w:shd w:val="clear" w:color="auto" w:fill="auto"/>
            <w:vAlign w:val="center"/>
          </w:tcPr>
          <w:p w14:paraId="63FB1180">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味好美、友加、吉得利</w:t>
            </w:r>
          </w:p>
        </w:tc>
      </w:tr>
      <w:tr w14:paraId="27389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4520B3AB">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23</w:t>
            </w:r>
          </w:p>
        </w:tc>
        <w:tc>
          <w:tcPr>
            <w:tcW w:w="2807" w:type="dxa"/>
            <w:tcBorders>
              <w:tl2br w:val="nil"/>
              <w:tr2bl w:val="nil"/>
            </w:tcBorders>
            <w:shd w:val="clear" w:color="auto" w:fill="auto"/>
            <w:vAlign w:val="center"/>
          </w:tcPr>
          <w:p w14:paraId="12998ADB">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番茄酱</w:t>
            </w:r>
          </w:p>
        </w:tc>
        <w:tc>
          <w:tcPr>
            <w:tcW w:w="1446" w:type="dxa"/>
            <w:tcBorders>
              <w:tl2br w:val="nil"/>
              <w:tr2bl w:val="nil"/>
            </w:tcBorders>
            <w:shd w:val="clear" w:color="auto" w:fill="auto"/>
            <w:vAlign w:val="center"/>
          </w:tcPr>
          <w:p w14:paraId="27709DF8">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3KG</w:t>
            </w:r>
          </w:p>
        </w:tc>
        <w:tc>
          <w:tcPr>
            <w:tcW w:w="1354" w:type="dxa"/>
            <w:tcBorders>
              <w:tl2br w:val="nil"/>
              <w:tr2bl w:val="nil"/>
            </w:tcBorders>
            <w:shd w:val="clear" w:color="auto" w:fill="auto"/>
            <w:noWrap/>
            <w:vAlign w:val="center"/>
          </w:tcPr>
          <w:p w14:paraId="26690597">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袋</w:t>
            </w:r>
          </w:p>
        </w:tc>
        <w:tc>
          <w:tcPr>
            <w:tcW w:w="3153" w:type="dxa"/>
            <w:tcBorders>
              <w:tl2br w:val="nil"/>
              <w:tr2bl w:val="nil"/>
            </w:tcBorders>
            <w:shd w:val="clear" w:color="auto" w:fill="auto"/>
            <w:vAlign w:val="center"/>
          </w:tcPr>
          <w:p w14:paraId="26084B2C">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亨氏、味好美、李锦记</w:t>
            </w:r>
          </w:p>
        </w:tc>
      </w:tr>
      <w:tr w14:paraId="558C9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421B8066">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24</w:t>
            </w:r>
          </w:p>
        </w:tc>
        <w:tc>
          <w:tcPr>
            <w:tcW w:w="2807" w:type="dxa"/>
            <w:tcBorders>
              <w:tl2br w:val="nil"/>
              <w:tr2bl w:val="nil"/>
            </w:tcBorders>
            <w:shd w:val="clear" w:color="auto" w:fill="auto"/>
            <w:vAlign w:val="center"/>
          </w:tcPr>
          <w:p w14:paraId="341994A9">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芝麻油</w:t>
            </w:r>
          </w:p>
        </w:tc>
        <w:tc>
          <w:tcPr>
            <w:tcW w:w="1446" w:type="dxa"/>
            <w:tcBorders>
              <w:tl2br w:val="nil"/>
              <w:tr2bl w:val="nil"/>
            </w:tcBorders>
            <w:shd w:val="clear" w:color="auto" w:fill="auto"/>
            <w:vAlign w:val="center"/>
          </w:tcPr>
          <w:p w14:paraId="5468D56F">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450ML</w:t>
            </w:r>
          </w:p>
        </w:tc>
        <w:tc>
          <w:tcPr>
            <w:tcW w:w="1354" w:type="dxa"/>
            <w:tcBorders>
              <w:tl2br w:val="nil"/>
              <w:tr2bl w:val="nil"/>
            </w:tcBorders>
            <w:shd w:val="clear" w:color="auto" w:fill="auto"/>
            <w:noWrap/>
            <w:vAlign w:val="center"/>
          </w:tcPr>
          <w:p w14:paraId="54D0EC73">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瓶</w:t>
            </w:r>
          </w:p>
        </w:tc>
        <w:tc>
          <w:tcPr>
            <w:tcW w:w="3153" w:type="dxa"/>
            <w:tcBorders>
              <w:tl2br w:val="nil"/>
              <w:tr2bl w:val="nil"/>
            </w:tcBorders>
            <w:shd w:val="clear" w:color="auto" w:fill="auto"/>
            <w:vAlign w:val="center"/>
          </w:tcPr>
          <w:p w14:paraId="6E0BCB8B">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崔字牌、李锦记、友加</w:t>
            </w:r>
          </w:p>
        </w:tc>
      </w:tr>
      <w:tr w14:paraId="2C08A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0D7846DD">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25</w:t>
            </w:r>
          </w:p>
        </w:tc>
        <w:tc>
          <w:tcPr>
            <w:tcW w:w="2807" w:type="dxa"/>
            <w:tcBorders>
              <w:tl2br w:val="nil"/>
              <w:tr2bl w:val="nil"/>
            </w:tcBorders>
            <w:shd w:val="clear" w:color="auto" w:fill="auto"/>
            <w:vAlign w:val="center"/>
          </w:tcPr>
          <w:p w14:paraId="5A434322">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红油豆瓣</w:t>
            </w:r>
          </w:p>
        </w:tc>
        <w:tc>
          <w:tcPr>
            <w:tcW w:w="1446" w:type="dxa"/>
            <w:tcBorders>
              <w:tl2br w:val="nil"/>
              <w:tr2bl w:val="nil"/>
            </w:tcBorders>
            <w:shd w:val="clear" w:color="auto" w:fill="auto"/>
            <w:vAlign w:val="center"/>
          </w:tcPr>
          <w:p w14:paraId="617347B1">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3.5KG</w:t>
            </w:r>
          </w:p>
        </w:tc>
        <w:tc>
          <w:tcPr>
            <w:tcW w:w="1354" w:type="dxa"/>
            <w:tcBorders>
              <w:tl2br w:val="nil"/>
              <w:tr2bl w:val="nil"/>
            </w:tcBorders>
            <w:shd w:val="clear" w:color="auto" w:fill="auto"/>
            <w:noWrap/>
            <w:vAlign w:val="center"/>
          </w:tcPr>
          <w:p w14:paraId="1E923110">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桶</w:t>
            </w:r>
          </w:p>
        </w:tc>
        <w:tc>
          <w:tcPr>
            <w:tcW w:w="3153" w:type="dxa"/>
            <w:tcBorders>
              <w:tl2br w:val="nil"/>
              <w:tr2bl w:val="nil"/>
            </w:tcBorders>
            <w:shd w:val="clear" w:color="auto" w:fill="auto"/>
            <w:vAlign w:val="center"/>
          </w:tcPr>
          <w:p w14:paraId="6970EB88">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丹丹、娟城、恒顺</w:t>
            </w:r>
          </w:p>
        </w:tc>
      </w:tr>
      <w:tr w14:paraId="5C8D3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63F4F352">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26</w:t>
            </w:r>
          </w:p>
        </w:tc>
        <w:tc>
          <w:tcPr>
            <w:tcW w:w="2807" w:type="dxa"/>
            <w:tcBorders>
              <w:tl2br w:val="nil"/>
              <w:tr2bl w:val="nil"/>
            </w:tcBorders>
            <w:shd w:val="clear" w:color="auto" w:fill="auto"/>
            <w:vAlign w:val="center"/>
          </w:tcPr>
          <w:p w14:paraId="4727793D">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绿豆</w:t>
            </w:r>
          </w:p>
        </w:tc>
        <w:tc>
          <w:tcPr>
            <w:tcW w:w="1446" w:type="dxa"/>
            <w:tcBorders>
              <w:tl2br w:val="nil"/>
              <w:tr2bl w:val="nil"/>
            </w:tcBorders>
            <w:shd w:val="clear" w:color="auto" w:fill="auto"/>
            <w:vAlign w:val="center"/>
          </w:tcPr>
          <w:p w14:paraId="5062FAF1">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1KG</w:t>
            </w:r>
          </w:p>
        </w:tc>
        <w:tc>
          <w:tcPr>
            <w:tcW w:w="1354" w:type="dxa"/>
            <w:tcBorders>
              <w:tl2br w:val="nil"/>
              <w:tr2bl w:val="nil"/>
            </w:tcBorders>
            <w:shd w:val="clear" w:color="auto" w:fill="auto"/>
            <w:noWrap/>
            <w:vAlign w:val="center"/>
          </w:tcPr>
          <w:p w14:paraId="0041CAF8">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袋</w:t>
            </w:r>
          </w:p>
        </w:tc>
        <w:tc>
          <w:tcPr>
            <w:tcW w:w="3153" w:type="dxa"/>
            <w:tcBorders>
              <w:tl2br w:val="nil"/>
              <w:tr2bl w:val="nil"/>
            </w:tcBorders>
            <w:shd w:val="clear" w:color="auto" w:fill="auto"/>
            <w:vAlign w:val="center"/>
          </w:tcPr>
          <w:p w14:paraId="77143048">
            <w:pPr>
              <w:widowControl/>
              <w:adjustRightInd w:val="0"/>
              <w:snapToGrid w:val="0"/>
              <w:spacing w:after="200" w:line="360" w:lineRule="auto"/>
              <w:jc w:val="center"/>
              <w:rPr>
                <w:rFonts w:ascii="宋体" w:hAnsi="宋体" w:cs="宋体"/>
                <w:color w:val="auto"/>
                <w:sz w:val="24"/>
                <w:szCs w:val="24"/>
                <w:highlight w:val="none"/>
              </w:rPr>
            </w:pPr>
          </w:p>
        </w:tc>
      </w:tr>
      <w:tr w14:paraId="056BD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2F7AED33">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27</w:t>
            </w:r>
          </w:p>
        </w:tc>
        <w:tc>
          <w:tcPr>
            <w:tcW w:w="2807" w:type="dxa"/>
            <w:tcBorders>
              <w:tl2br w:val="nil"/>
              <w:tr2bl w:val="nil"/>
            </w:tcBorders>
            <w:shd w:val="clear" w:color="auto" w:fill="auto"/>
            <w:vAlign w:val="center"/>
          </w:tcPr>
          <w:p w14:paraId="19EA8742">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红豆</w:t>
            </w:r>
          </w:p>
        </w:tc>
        <w:tc>
          <w:tcPr>
            <w:tcW w:w="1446" w:type="dxa"/>
            <w:tcBorders>
              <w:tl2br w:val="nil"/>
              <w:tr2bl w:val="nil"/>
            </w:tcBorders>
            <w:shd w:val="clear" w:color="auto" w:fill="auto"/>
            <w:vAlign w:val="center"/>
          </w:tcPr>
          <w:p w14:paraId="5553BEA0">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1KG</w:t>
            </w:r>
          </w:p>
        </w:tc>
        <w:tc>
          <w:tcPr>
            <w:tcW w:w="1354" w:type="dxa"/>
            <w:tcBorders>
              <w:tl2br w:val="nil"/>
              <w:tr2bl w:val="nil"/>
            </w:tcBorders>
            <w:shd w:val="clear" w:color="auto" w:fill="auto"/>
            <w:noWrap/>
            <w:vAlign w:val="center"/>
          </w:tcPr>
          <w:p w14:paraId="08C4DD31">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袋</w:t>
            </w:r>
          </w:p>
        </w:tc>
        <w:tc>
          <w:tcPr>
            <w:tcW w:w="3153" w:type="dxa"/>
            <w:tcBorders>
              <w:tl2br w:val="nil"/>
              <w:tr2bl w:val="nil"/>
            </w:tcBorders>
            <w:shd w:val="clear" w:color="auto" w:fill="auto"/>
            <w:vAlign w:val="center"/>
          </w:tcPr>
          <w:p w14:paraId="036644D8">
            <w:pPr>
              <w:widowControl/>
              <w:adjustRightInd w:val="0"/>
              <w:snapToGrid w:val="0"/>
              <w:spacing w:after="200" w:line="360" w:lineRule="auto"/>
              <w:jc w:val="center"/>
              <w:rPr>
                <w:rFonts w:ascii="宋体" w:hAnsi="宋体" w:cs="宋体"/>
                <w:color w:val="auto"/>
                <w:sz w:val="24"/>
                <w:szCs w:val="24"/>
                <w:highlight w:val="none"/>
              </w:rPr>
            </w:pPr>
          </w:p>
        </w:tc>
      </w:tr>
      <w:tr w14:paraId="3F804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14B4EE25">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28</w:t>
            </w:r>
          </w:p>
        </w:tc>
        <w:tc>
          <w:tcPr>
            <w:tcW w:w="2807" w:type="dxa"/>
            <w:tcBorders>
              <w:tl2br w:val="nil"/>
              <w:tr2bl w:val="nil"/>
            </w:tcBorders>
            <w:shd w:val="clear" w:color="auto" w:fill="auto"/>
            <w:vAlign w:val="center"/>
          </w:tcPr>
          <w:p w14:paraId="7C20CF37">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草果</w:t>
            </w:r>
          </w:p>
        </w:tc>
        <w:tc>
          <w:tcPr>
            <w:tcW w:w="1446" w:type="dxa"/>
            <w:tcBorders>
              <w:tl2br w:val="nil"/>
              <w:tr2bl w:val="nil"/>
            </w:tcBorders>
            <w:shd w:val="clear" w:color="auto" w:fill="auto"/>
            <w:vAlign w:val="center"/>
          </w:tcPr>
          <w:p w14:paraId="11BA5FA7">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400G</w:t>
            </w:r>
          </w:p>
        </w:tc>
        <w:tc>
          <w:tcPr>
            <w:tcW w:w="1354" w:type="dxa"/>
            <w:tcBorders>
              <w:tl2br w:val="nil"/>
              <w:tr2bl w:val="nil"/>
            </w:tcBorders>
            <w:shd w:val="clear" w:color="auto" w:fill="auto"/>
            <w:noWrap/>
            <w:vAlign w:val="center"/>
          </w:tcPr>
          <w:p w14:paraId="35F44816">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袋</w:t>
            </w:r>
          </w:p>
        </w:tc>
        <w:tc>
          <w:tcPr>
            <w:tcW w:w="3153" w:type="dxa"/>
            <w:tcBorders>
              <w:tl2br w:val="nil"/>
              <w:tr2bl w:val="nil"/>
            </w:tcBorders>
            <w:shd w:val="clear" w:color="auto" w:fill="auto"/>
            <w:vAlign w:val="center"/>
          </w:tcPr>
          <w:p w14:paraId="777E333B">
            <w:pPr>
              <w:widowControl/>
              <w:adjustRightInd w:val="0"/>
              <w:snapToGrid w:val="0"/>
              <w:spacing w:after="200" w:line="360" w:lineRule="auto"/>
              <w:jc w:val="center"/>
              <w:rPr>
                <w:rFonts w:ascii="宋体" w:hAnsi="宋体" w:cs="宋体"/>
                <w:color w:val="auto"/>
                <w:sz w:val="24"/>
                <w:szCs w:val="24"/>
                <w:highlight w:val="none"/>
              </w:rPr>
            </w:pPr>
          </w:p>
        </w:tc>
      </w:tr>
      <w:tr w14:paraId="5A7AC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36BC1301">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29</w:t>
            </w:r>
          </w:p>
        </w:tc>
        <w:tc>
          <w:tcPr>
            <w:tcW w:w="2807" w:type="dxa"/>
            <w:tcBorders>
              <w:tl2br w:val="nil"/>
              <w:tr2bl w:val="nil"/>
            </w:tcBorders>
            <w:shd w:val="clear" w:color="auto" w:fill="auto"/>
            <w:vAlign w:val="center"/>
          </w:tcPr>
          <w:p w14:paraId="6831D0A6">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香叶</w:t>
            </w:r>
          </w:p>
        </w:tc>
        <w:tc>
          <w:tcPr>
            <w:tcW w:w="1446" w:type="dxa"/>
            <w:tcBorders>
              <w:tl2br w:val="nil"/>
              <w:tr2bl w:val="nil"/>
            </w:tcBorders>
            <w:shd w:val="clear" w:color="auto" w:fill="auto"/>
            <w:vAlign w:val="center"/>
          </w:tcPr>
          <w:p w14:paraId="5A1E4E7D">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250G</w:t>
            </w:r>
          </w:p>
        </w:tc>
        <w:tc>
          <w:tcPr>
            <w:tcW w:w="1354" w:type="dxa"/>
            <w:tcBorders>
              <w:tl2br w:val="nil"/>
              <w:tr2bl w:val="nil"/>
            </w:tcBorders>
            <w:shd w:val="clear" w:color="auto" w:fill="auto"/>
            <w:noWrap/>
            <w:vAlign w:val="center"/>
          </w:tcPr>
          <w:p w14:paraId="57B5F79C">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袋</w:t>
            </w:r>
          </w:p>
        </w:tc>
        <w:tc>
          <w:tcPr>
            <w:tcW w:w="3153" w:type="dxa"/>
            <w:tcBorders>
              <w:tl2br w:val="nil"/>
              <w:tr2bl w:val="nil"/>
            </w:tcBorders>
            <w:shd w:val="clear" w:color="auto" w:fill="auto"/>
            <w:vAlign w:val="center"/>
          </w:tcPr>
          <w:p w14:paraId="7AE91294">
            <w:pPr>
              <w:widowControl/>
              <w:adjustRightInd w:val="0"/>
              <w:snapToGrid w:val="0"/>
              <w:spacing w:after="200" w:line="360" w:lineRule="auto"/>
              <w:jc w:val="center"/>
              <w:rPr>
                <w:rFonts w:ascii="宋体" w:hAnsi="宋体" w:cs="宋体"/>
                <w:color w:val="auto"/>
                <w:sz w:val="24"/>
                <w:szCs w:val="24"/>
                <w:highlight w:val="none"/>
              </w:rPr>
            </w:pPr>
          </w:p>
        </w:tc>
      </w:tr>
      <w:tr w14:paraId="63DE5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32748575">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30</w:t>
            </w:r>
          </w:p>
        </w:tc>
        <w:tc>
          <w:tcPr>
            <w:tcW w:w="2807" w:type="dxa"/>
            <w:tcBorders>
              <w:tl2br w:val="nil"/>
              <w:tr2bl w:val="nil"/>
            </w:tcBorders>
            <w:shd w:val="clear" w:color="auto" w:fill="auto"/>
            <w:vAlign w:val="center"/>
          </w:tcPr>
          <w:p w14:paraId="3B30AD93">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八角茴香</w:t>
            </w:r>
          </w:p>
        </w:tc>
        <w:tc>
          <w:tcPr>
            <w:tcW w:w="1446" w:type="dxa"/>
            <w:tcBorders>
              <w:tl2br w:val="nil"/>
              <w:tr2bl w:val="nil"/>
            </w:tcBorders>
            <w:shd w:val="clear" w:color="auto" w:fill="auto"/>
            <w:vAlign w:val="center"/>
          </w:tcPr>
          <w:p w14:paraId="557FB299">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450G</w:t>
            </w:r>
          </w:p>
        </w:tc>
        <w:tc>
          <w:tcPr>
            <w:tcW w:w="1354" w:type="dxa"/>
            <w:tcBorders>
              <w:tl2br w:val="nil"/>
              <w:tr2bl w:val="nil"/>
            </w:tcBorders>
            <w:shd w:val="clear" w:color="auto" w:fill="auto"/>
            <w:noWrap/>
            <w:vAlign w:val="center"/>
          </w:tcPr>
          <w:p w14:paraId="1EF37B64">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袋</w:t>
            </w:r>
          </w:p>
        </w:tc>
        <w:tc>
          <w:tcPr>
            <w:tcW w:w="3153" w:type="dxa"/>
            <w:tcBorders>
              <w:tl2br w:val="nil"/>
              <w:tr2bl w:val="nil"/>
            </w:tcBorders>
            <w:shd w:val="clear" w:color="auto" w:fill="auto"/>
            <w:vAlign w:val="center"/>
          </w:tcPr>
          <w:p w14:paraId="7DD15CB4">
            <w:pPr>
              <w:widowControl/>
              <w:adjustRightInd w:val="0"/>
              <w:snapToGrid w:val="0"/>
              <w:spacing w:after="200" w:line="360" w:lineRule="auto"/>
              <w:jc w:val="center"/>
              <w:rPr>
                <w:rFonts w:ascii="宋体" w:hAnsi="宋体" w:cs="宋体"/>
                <w:color w:val="auto"/>
                <w:sz w:val="24"/>
                <w:szCs w:val="24"/>
                <w:highlight w:val="none"/>
              </w:rPr>
            </w:pPr>
          </w:p>
        </w:tc>
      </w:tr>
      <w:tr w14:paraId="08742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64347DD3">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31</w:t>
            </w:r>
          </w:p>
        </w:tc>
        <w:tc>
          <w:tcPr>
            <w:tcW w:w="2807" w:type="dxa"/>
            <w:tcBorders>
              <w:tl2br w:val="nil"/>
              <w:tr2bl w:val="nil"/>
            </w:tcBorders>
            <w:shd w:val="clear" w:color="auto" w:fill="auto"/>
            <w:vAlign w:val="center"/>
          </w:tcPr>
          <w:p w14:paraId="4CCBFFB0">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桂皮</w:t>
            </w:r>
          </w:p>
        </w:tc>
        <w:tc>
          <w:tcPr>
            <w:tcW w:w="1446" w:type="dxa"/>
            <w:tcBorders>
              <w:tl2br w:val="nil"/>
              <w:tr2bl w:val="nil"/>
            </w:tcBorders>
            <w:shd w:val="clear" w:color="auto" w:fill="auto"/>
            <w:vAlign w:val="center"/>
          </w:tcPr>
          <w:p w14:paraId="491CDC54">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400G</w:t>
            </w:r>
          </w:p>
        </w:tc>
        <w:tc>
          <w:tcPr>
            <w:tcW w:w="1354" w:type="dxa"/>
            <w:tcBorders>
              <w:tl2br w:val="nil"/>
              <w:tr2bl w:val="nil"/>
            </w:tcBorders>
            <w:shd w:val="clear" w:color="auto" w:fill="auto"/>
            <w:noWrap/>
            <w:vAlign w:val="center"/>
          </w:tcPr>
          <w:p w14:paraId="733D50BD">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袋</w:t>
            </w:r>
          </w:p>
        </w:tc>
        <w:tc>
          <w:tcPr>
            <w:tcW w:w="3153" w:type="dxa"/>
            <w:tcBorders>
              <w:tl2br w:val="nil"/>
              <w:tr2bl w:val="nil"/>
            </w:tcBorders>
            <w:shd w:val="clear" w:color="auto" w:fill="auto"/>
            <w:vAlign w:val="center"/>
          </w:tcPr>
          <w:p w14:paraId="124F54C7">
            <w:pPr>
              <w:widowControl/>
              <w:adjustRightInd w:val="0"/>
              <w:snapToGrid w:val="0"/>
              <w:spacing w:after="200" w:line="360" w:lineRule="auto"/>
              <w:jc w:val="center"/>
              <w:rPr>
                <w:rFonts w:ascii="宋体" w:hAnsi="宋体" w:cs="宋体"/>
                <w:color w:val="auto"/>
                <w:sz w:val="24"/>
                <w:szCs w:val="24"/>
                <w:highlight w:val="none"/>
              </w:rPr>
            </w:pPr>
          </w:p>
        </w:tc>
      </w:tr>
      <w:tr w14:paraId="09073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960" w:type="dxa"/>
            <w:tcBorders>
              <w:tl2br w:val="nil"/>
              <w:tr2bl w:val="nil"/>
            </w:tcBorders>
            <w:shd w:val="clear" w:color="auto" w:fill="auto"/>
            <w:noWrap/>
            <w:vAlign w:val="center"/>
          </w:tcPr>
          <w:p w14:paraId="6A5671D1">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32</w:t>
            </w:r>
          </w:p>
        </w:tc>
        <w:tc>
          <w:tcPr>
            <w:tcW w:w="2807" w:type="dxa"/>
            <w:tcBorders>
              <w:tl2br w:val="nil"/>
              <w:tr2bl w:val="nil"/>
            </w:tcBorders>
            <w:shd w:val="clear" w:color="auto" w:fill="auto"/>
            <w:vAlign w:val="center"/>
          </w:tcPr>
          <w:p w14:paraId="115955B1">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蚝油</w:t>
            </w:r>
          </w:p>
        </w:tc>
        <w:tc>
          <w:tcPr>
            <w:tcW w:w="1446" w:type="dxa"/>
            <w:tcBorders>
              <w:tl2br w:val="nil"/>
              <w:tr2bl w:val="nil"/>
            </w:tcBorders>
            <w:shd w:val="clear" w:color="auto" w:fill="auto"/>
            <w:vAlign w:val="center"/>
          </w:tcPr>
          <w:p w14:paraId="2B3916F5">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2.4KG</w:t>
            </w:r>
          </w:p>
        </w:tc>
        <w:tc>
          <w:tcPr>
            <w:tcW w:w="1354" w:type="dxa"/>
            <w:tcBorders>
              <w:tl2br w:val="nil"/>
              <w:tr2bl w:val="nil"/>
            </w:tcBorders>
            <w:shd w:val="clear" w:color="auto" w:fill="auto"/>
            <w:noWrap/>
            <w:vAlign w:val="center"/>
          </w:tcPr>
          <w:p w14:paraId="48327C8F">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瓶</w:t>
            </w:r>
          </w:p>
        </w:tc>
        <w:tc>
          <w:tcPr>
            <w:tcW w:w="3153" w:type="dxa"/>
            <w:tcBorders>
              <w:tl2br w:val="nil"/>
              <w:tr2bl w:val="nil"/>
            </w:tcBorders>
            <w:shd w:val="clear" w:color="auto" w:fill="auto"/>
            <w:vAlign w:val="center"/>
          </w:tcPr>
          <w:p w14:paraId="53E165B2">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李锦记、海天、太太乐</w:t>
            </w:r>
          </w:p>
        </w:tc>
      </w:tr>
      <w:tr w14:paraId="1A362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0" w:type="dxa"/>
            <w:tcBorders>
              <w:tl2br w:val="nil"/>
              <w:tr2bl w:val="nil"/>
            </w:tcBorders>
            <w:shd w:val="clear" w:color="auto" w:fill="auto"/>
            <w:noWrap/>
            <w:vAlign w:val="center"/>
          </w:tcPr>
          <w:p w14:paraId="760E5457">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33</w:t>
            </w:r>
          </w:p>
        </w:tc>
        <w:tc>
          <w:tcPr>
            <w:tcW w:w="2807" w:type="dxa"/>
            <w:tcBorders>
              <w:tl2br w:val="nil"/>
              <w:tr2bl w:val="nil"/>
            </w:tcBorders>
            <w:shd w:val="clear" w:color="auto" w:fill="auto"/>
            <w:vAlign w:val="center"/>
          </w:tcPr>
          <w:p w14:paraId="1EC68F02">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蒸鱼豉油</w:t>
            </w:r>
          </w:p>
        </w:tc>
        <w:tc>
          <w:tcPr>
            <w:tcW w:w="1446" w:type="dxa"/>
            <w:tcBorders>
              <w:tl2br w:val="nil"/>
              <w:tr2bl w:val="nil"/>
            </w:tcBorders>
            <w:shd w:val="clear" w:color="auto" w:fill="auto"/>
            <w:vAlign w:val="center"/>
          </w:tcPr>
          <w:p w14:paraId="42690DE0">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750ML</w:t>
            </w:r>
          </w:p>
        </w:tc>
        <w:tc>
          <w:tcPr>
            <w:tcW w:w="1354" w:type="dxa"/>
            <w:tcBorders>
              <w:tl2br w:val="nil"/>
              <w:tr2bl w:val="nil"/>
            </w:tcBorders>
            <w:shd w:val="clear" w:color="auto" w:fill="auto"/>
            <w:noWrap/>
            <w:vAlign w:val="center"/>
          </w:tcPr>
          <w:p w14:paraId="53463586">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瓶</w:t>
            </w:r>
          </w:p>
        </w:tc>
        <w:tc>
          <w:tcPr>
            <w:tcW w:w="3153" w:type="dxa"/>
            <w:tcBorders>
              <w:tl2br w:val="nil"/>
              <w:tr2bl w:val="nil"/>
            </w:tcBorders>
            <w:shd w:val="clear" w:color="auto" w:fill="auto"/>
            <w:vAlign w:val="center"/>
          </w:tcPr>
          <w:p w14:paraId="478025C7">
            <w:pPr>
              <w:widowControl/>
              <w:adjustRightInd w:val="0"/>
              <w:snapToGrid w:val="0"/>
              <w:spacing w:after="200"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李锦记、海天、太太乐</w:t>
            </w:r>
          </w:p>
        </w:tc>
      </w:tr>
    </w:tbl>
    <w:p w14:paraId="2A084784">
      <w:pPr>
        <w:pStyle w:val="61"/>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7.豆制品：</w:t>
      </w:r>
    </w:p>
    <w:p w14:paraId="1AAC56D7">
      <w:pPr>
        <w:pStyle w:val="61"/>
        <w:spacing w:before="0" w:beforeAutospacing="0" w:after="0" w:afterAutospacing="0" w:line="360" w:lineRule="auto"/>
        <w:ind w:firstLine="480" w:firstLineChars="200"/>
        <w:rPr>
          <w:rFonts w:ascii="宋体" w:hAnsi="宋体" w:cs="宋体"/>
          <w:color w:val="auto"/>
          <w:szCs w:val="24"/>
          <w:highlight w:val="none"/>
        </w:rPr>
      </w:pPr>
      <w:r>
        <w:rPr>
          <w:rFonts w:hint="eastAsia" w:ascii="宋体" w:hAnsi="宋体" w:cs="宋体"/>
          <w:color w:val="auto"/>
          <w:szCs w:val="24"/>
          <w:highlight w:val="none"/>
        </w:rPr>
        <w:t>豆腐、豆腐干、百叶、素鸡等；须保证食材干净，按统一标准加工、码放整齐、无须二次处理可以直接进行熟加工。百叶丝、百叶结统归为百叶类，单价相同；豆制品采用无锡“阿三”或“阿四”或祖名</w:t>
      </w:r>
      <w:r>
        <w:rPr>
          <w:rFonts w:hint="eastAsia" w:cs="宋体"/>
          <w:color w:val="auto"/>
          <w:szCs w:val="24"/>
          <w:highlight w:val="none"/>
        </w:rPr>
        <w:t>等</w:t>
      </w:r>
      <w:r>
        <w:rPr>
          <w:rFonts w:hint="eastAsia" w:ascii="宋体" w:hAnsi="宋体" w:cs="宋体"/>
          <w:color w:val="auto"/>
          <w:szCs w:val="24"/>
          <w:highlight w:val="none"/>
        </w:rPr>
        <w:t>品牌。</w:t>
      </w:r>
      <w:r>
        <w:rPr>
          <w:rFonts w:hint="eastAsia" w:cs="宋体"/>
          <w:color w:val="auto"/>
          <w:szCs w:val="24"/>
          <w:highlight w:val="none"/>
        </w:rPr>
        <w:t>乙方</w:t>
      </w:r>
      <w:r>
        <w:rPr>
          <w:rFonts w:hint="eastAsia" w:ascii="宋体" w:hAnsi="宋体" w:cs="宋体"/>
          <w:color w:val="auto"/>
          <w:szCs w:val="24"/>
          <w:highlight w:val="none"/>
        </w:rPr>
        <w:t>保证正规的进货渠道，所供标的物必须卫生、清洁、新鲜、无污染、无假冒伪劣、无过期变质及“三无”商品，符合《中华人民共和国食品安全法》、GB 2748-2003等法规要求及相应的国标（行业）标准。</w:t>
      </w:r>
    </w:p>
    <w:p w14:paraId="608C3F4F">
      <w:pPr>
        <w:pStyle w:val="61"/>
        <w:spacing w:before="0" w:beforeAutospacing="0" w:after="0" w:afterAutospacing="0" w:line="360" w:lineRule="auto"/>
        <w:ind w:firstLine="482" w:firstLineChars="200"/>
        <w:rPr>
          <w:rFonts w:ascii="宋体" w:hAnsi="宋体" w:cs="宋体"/>
          <w:b/>
          <w:bCs/>
          <w:color w:val="auto"/>
          <w:szCs w:val="24"/>
          <w:highlight w:val="none"/>
        </w:rPr>
      </w:pPr>
      <w:r>
        <w:rPr>
          <w:rFonts w:hint="eastAsia" w:ascii="宋体" w:hAnsi="宋体" w:cs="宋体"/>
          <w:b/>
          <w:bCs/>
          <w:color w:val="auto"/>
          <w:szCs w:val="24"/>
          <w:highlight w:val="none"/>
        </w:rPr>
        <w:t>注：乙方所供食材品牌必须报甲方同意。</w:t>
      </w:r>
    </w:p>
    <w:p w14:paraId="7F65A54B">
      <w:pPr>
        <w:spacing w:line="360" w:lineRule="auto"/>
        <w:ind w:firstLine="482" w:firstLineChars="200"/>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3.人员要求：</w:t>
      </w:r>
    </w:p>
    <w:p w14:paraId="79832827">
      <w:pPr>
        <w:pStyle w:val="955"/>
        <w:widowControl/>
        <w:spacing w:line="360" w:lineRule="auto"/>
        <w:ind w:firstLine="480"/>
        <w:rPr>
          <w:rFonts w:ascii="宋体" w:hAnsi="宋体" w:cs="宋体"/>
          <w:bCs/>
          <w:color w:val="auto"/>
          <w:sz w:val="24"/>
          <w:szCs w:val="24"/>
          <w:highlight w:val="none"/>
        </w:rPr>
      </w:pPr>
      <w:r>
        <w:rPr>
          <w:rFonts w:hint="eastAsia" w:ascii="宋体" w:hAnsi="宋体" w:cs="宋体"/>
          <w:color w:val="auto"/>
          <w:sz w:val="24"/>
          <w:szCs w:val="24"/>
          <w:highlight w:val="none"/>
        </w:rPr>
        <w:t>本项目所需管理服务人员至少15名。其中：现场经理1名、厨师长1名、服务主管1名、小灶厨师1名、厨师2名、服务员2名、捞面师1名、帮厨6名，</w:t>
      </w:r>
      <w:r>
        <w:rPr>
          <w:rFonts w:hint="eastAsia" w:ascii="宋体" w:hAnsi="宋体" w:cs="宋体"/>
          <w:bCs/>
          <w:color w:val="auto"/>
          <w:sz w:val="24"/>
          <w:szCs w:val="24"/>
          <w:highlight w:val="none"/>
        </w:rPr>
        <w:t>乙方根据甲方要求定岗、定薪，员工工资不得低于</w:t>
      </w:r>
      <w:r>
        <w:rPr>
          <w:rFonts w:hint="eastAsia" w:ascii="宋体" w:hAnsi="宋体" w:cs="宋体"/>
          <w:color w:val="auto"/>
          <w:sz w:val="24"/>
          <w:szCs w:val="24"/>
          <w:highlight w:val="none"/>
        </w:rPr>
        <w:t>无锡市最低工资标准且必须缴纳社会保险费及公积金</w:t>
      </w:r>
      <w:r>
        <w:rPr>
          <w:rFonts w:hint="eastAsia" w:ascii="宋体" w:hAnsi="宋体" w:cs="宋体"/>
          <w:bCs/>
          <w:color w:val="auto"/>
          <w:sz w:val="24"/>
          <w:szCs w:val="24"/>
          <w:highlight w:val="none"/>
        </w:rPr>
        <w:t>，并按照相关规定，与所有聘用人员依法签订劳动合同，具体岗位职责如下：</w:t>
      </w:r>
    </w:p>
    <w:tbl>
      <w:tblPr>
        <w:tblStyle w:val="67"/>
        <w:tblW w:w="99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47"/>
        <w:gridCol w:w="2313"/>
      </w:tblGrid>
      <w:tr w14:paraId="4ED40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9960" w:type="dxa"/>
            <w:gridSpan w:val="2"/>
            <w:vMerge w:val="restart"/>
            <w:vAlign w:val="center"/>
          </w:tcPr>
          <w:p w14:paraId="37A84E63">
            <w:pPr>
              <w:widowControl/>
              <w:spacing w:line="360" w:lineRule="auto"/>
              <w:jc w:val="center"/>
              <w:outlineLvl w:val="0"/>
              <w:rPr>
                <w:rFonts w:ascii="宋体" w:hAnsi="宋体" w:cs="宋体"/>
                <w:color w:val="auto"/>
                <w:sz w:val="24"/>
                <w:highlight w:val="none"/>
              </w:rPr>
            </w:pPr>
            <w:r>
              <w:rPr>
                <w:rFonts w:hint="eastAsia" w:ascii="宋体" w:hAnsi="宋体" w:cs="宋体"/>
                <w:color w:val="auto"/>
                <w:sz w:val="24"/>
                <w:highlight w:val="none"/>
              </w:rPr>
              <w:t>岗位职责</w:t>
            </w:r>
          </w:p>
        </w:tc>
      </w:tr>
      <w:tr w14:paraId="3F739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647" w:type="dxa"/>
            <w:vAlign w:val="center"/>
          </w:tcPr>
          <w:p w14:paraId="380EF493">
            <w:pPr>
              <w:widowControl/>
              <w:spacing w:line="360" w:lineRule="auto"/>
              <w:jc w:val="center"/>
              <w:outlineLvl w:val="0"/>
              <w:rPr>
                <w:rFonts w:ascii="宋体" w:hAnsi="宋体" w:cs="宋体"/>
                <w:color w:val="auto"/>
                <w:sz w:val="24"/>
                <w:highlight w:val="none"/>
              </w:rPr>
            </w:pPr>
            <w:r>
              <w:rPr>
                <w:rFonts w:hint="eastAsia" w:ascii="宋体" w:hAnsi="宋体" w:cs="宋体"/>
                <w:color w:val="auto"/>
                <w:sz w:val="24"/>
                <w:highlight w:val="none"/>
              </w:rPr>
              <w:t>现场经理1人，年龄45周岁以下，具有实际管理经验并有较强沟通能力，责任心强</w:t>
            </w:r>
          </w:p>
        </w:tc>
        <w:tc>
          <w:tcPr>
            <w:tcW w:w="2313" w:type="dxa"/>
            <w:vMerge w:val="restart"/>
            <w:vAlign w:val="center"/>
          </w:tcPr>
          <w:p w14:paraId="30C98EAF">
            <w:pPr>
              <w:widowControl/>
              <w:spacing w:line="360" w:lineRule="auto"/>
              <w:jc w:val="center"/>
              <w:outlineLvl w:val="0"/>
              <w:rPr>
                <w:rFonts w:ascii="宋体" w:hAnsi="宋体" w:cs="宋体"/>
                <w:color w:val="auto"/>
                <w:sz w:val="24"/>
                <w:highlight w:val="none"/>
              </w:rPr>
            </w:pPr>
            <w:r>
              <w:rPr>
                <w:rFonts w:hint="eastAsia" w:ascii="宋体" w:hAnsi="宋体" w:cs="宋体"/>
                <w:color w:val="auto"/>
                <w:sz w:val="24"/>
                <w:highlight w:val="none"/>
              </w:rPr>
              <w:t>管理人员</w:t>
            </w:r>
          </w:p>
        </w:tc>
      </w:tr>
      <w:tr w14:paraId="63600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6" w:hRule="atLeast"/>
          <w:jc w:val="center"/>
        </w:trPr>
        <w:tc>
          <w:tcPr>
            <w:tcW w:w="7647" w:type="dxa"/>
            <w:vAlign w:val="center"/>
          </w:tcPr>
          <w:p w14:paraId="51570EC7">
            <w:pPr>
              <w:widowControl/>
              <w:spacing w:line="360" w:lineRule="auto"/>
              <w:jc w:val="center"/>
              <w:outlineLvl w:val="0"/>
              <w:rPr>
                <w:rFonts w:ascii="宋体" w:hAnsi="宋体" w:cs="宋体"/>
                <w:color w:val="auto"/>
                <w:sz w:val="24"/>
                <w:highlight w:val="none"/>
              </w:rPr>
            </w:pPr>
            <w:r>
              <w:rPr>
                <w:rFonts w:hint="eastAsia" w:ascii="宋体" w:hAnsi="宋体" w:cs="宋体"/>
                <w:color w:val="auto"/>
                <w:sz w:val="24"/>
                <w:highlight w:val="none"/>
              </w:rPr>
              <w:t>厨师长1人，8年工作经验以上，具有实际管理经验并有较强沟通能力，责任心强</w:t>
            </w:r>
          </w:p>
        </w:tc>
        <w:tc>
          <w:tcPr>
            <w:tcW w:w="2313" w:type="dxa"/>
            <w:vMerge w:val="continue"/>
            <w:vAlign w:val="center"/>
          </w:tcPr>
          <w:p w14:paraId="13DEBF5D">
            <w:pPr>
              <w:widowControl/>
              <w:spacing w:line="360" w:lineRule="auto"/>
              <w:jc w:val="center"/>
              <w:outlineLvl w:val="0"/>
              <w:rPr>
                <w:rFonts w:ascii="宋体" w:hAnsi="宋体" w:cs="宋体"/>
                <w:color w:val="auto"/>
                <w:sz w:val="24"/>
                <w:highlight w:val="none"/>
              </w:rPr>
            </w:pPr>
          </w:p>
        </w:tc>
      </w:tr>
      <w:tr w14:paraId="094D59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647" w:type="dxa"/>
            <w:vAlign w:val="center"/>
          </w:tcPr>
          <w:p w14:paraId="763EC59D">
            <w:pPr>
              <w:widowControl/>
              <w:spacing w:line="360" w:lineRule="auto"/>
              <w:jc w:val="center"/>
              <w:outlineLvl w:val="0"/>
              <w:rPr>
                <w:rFonts w:ascii="宋体" w:hAnsi="宋体" w:cs="宋体"/>
                <w:color w:val="auto"/>
                <w:sz w:val="24"/>
                <w:highlight w:val="none"/>
              </w:rPr>
            </w:pPr>
            <w:r>
              <w:rPr>
                <w:rFonts w:hint="eastAsia" w:ascii="宋体" w:hAnsi="宋体" w:cs="宋体"/>
                <w:color w:val="auto"/>
                <w:sz w:val="24"/>
                <w:highlight w:val="none"/>
              </w:rPr>
              <w:t>服务主管1人，年龄45周岁以下，具有实际管理经验并有较强沟通能力，责任心强</w:t>
            </w:r>
          </w:p>
        </w:tc>
        <w:tc>
          <w:tcPr>
            <w:tcW w:w="2313" w:type="dxa"/>
            <w:vMerge w:val="continue"/>
            <w:vAlign w:val="center"/>
          </w:tcPr>
          <w:p w14:paraId="612FFEC3">
            <w:pPr>
              <w:widowControl/>
              <w:spacing w:line="360" w:lineRule="auto"/>
              <w:jc w:val="center"/>
              <w:outlineLvl w:val="0"/>
              <w:rPr>
                <w:rFonts w:ascii="宋体" w:hAnsi="宋体" w:cs="宋体"/>
                <w:color w:val="auto"/>
                <w:sz w:val="24"/>
                <w:highlight w:val="none"/>
              </w:rPr>
            </w:pPr>
          </w:p>
        </w:tc>
      </w:tr>
      <w:tr w14:paraId="6626E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647" w:type="dxa"/>
            <w:vAlign w:val="center"/>
          </w:tcPr>
          <w:p w14:paraId="777DDACF">
            <w:pPr>
              <w:widowControl/>
              <w:spacing w:line="360" w:lineRule="auto"/>
              <w:jc w:val="center"/>
              <w:outlineLvl w:val="0"/>
              <w:rPr>
                <w:rFonts w:ascii="宋体" w:hAnsi="宋体" w:cs="宋体"/>
                <w:color w:val="auto"/>
                <w:sz w:val="24"/>
                <w:highlight w:val="none"/>
              </w:rPr>
            </w:pPr>
            <w:r>
              <w:rPr>
                <w:rFonts w:hint="eastAsia" w:ascii="宋体" w:hAnsi="宋体" w:cs="宋体"/>
                <w:color w:val="auto"/>
                <w:sz w:val="24"/>
                <w:highlight w:val="none"/>
              </w:rPr>
              <w:t>小灶厨师1人，3年工作经验以上，具有丰富的厨师从业经验并有较强沟通能力，责任心强，执行力强，团队配合能力强</w:t>
            </w:r>
          </w:p>
        </w:tc>
        <w:tc>
          <w:tcPr>
            <w:tcW w:w="2313" w:type="dxa"/>
            <w:vMerge w:val="restart"/>
            <w:vAlign w:val="center"/>
          </w:tcPr>
          <w:p w14:paraId="324041BE">
            <w:pPr>
              <w:widowControl/>
              <w:spacing w:line="360" w:lineRule="auto"/>
              <w:jc w:val="center"/>
              <w:outlineLvl w:val="0"/>
              <w:rPr>
                <w:rFonts w:ascii="宋体" w:hAnsi="宋体" w:cs="宋体"/>
                <w:color w:val="auto"/>
                <w:sz w:val="24"/>
                <w:highlight w:val="none"/>
              </w:rPr>
            </w:pPr>
            <w:r>
              <w:rPr>
                <w:rFonts w:hint="eastAsia" w:ascii="宋体" w:hAnsi="宋体" w:cs="宋体"/>
                <w:color w:val="auto"/>
                <w:sz w:val="24"/>
                <w:highlight w:val="none"/>
              </w:rPr>
              <w:t>厨房人员</w:t>
            </w:r>
          </w:p>
        </w:tc>
      </w:tr>
      <w:tr w14:paraId="5B6C6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647" w:type="dxa"/>
            <w:vAlign w:val="center"/>
          </w:tcPr>
          <w:p w14:paraId="7DF80C86">
            <w:pPr>
              <w:widowControl/>
              <w:spacing w:line="360" w:lineRule="auto"/>
              <w:jc w:val="center"/>
              <w:outlineLvl w:val="0"/>
              <w:rPr>
                <w:rFonts w:ascii="宋体" w:hAnsi="宋体" w:cs="宋体"/>
                <w:color w:val="auto"/>
                <w:sz w:val="24"/>
                <w:highlight w:val="none"/>
              </w:rPr>
            </w:pPr>
            <w:r>
              <w:rPr>
                <w:rFonts w:hint="eastAsia" w:ascii="宋体" w:hAnsi="宋体" w:cs="宋体"/>
                <w:color w:val="auto"/>
                <w:sz w:val="24"/>
                <w:highlight w:val="none"/>
              </w:rPr>
              <w:t>厨师2人，3年工作经验以上，具有丰富的厨师从业经验并有较强沟通能力，责任心强，执行力强，团队配合能力强</w:t>
            </w:r>
          </w:p>
        </w:tc>
        <w:tc>
          <w:tcPr>
            <w:tcW w:w="2313" w:type="dxa"/>
            <w:vMerge w:val="continue"/>
            <w:vAlign w:val="center"/>
          </w:tcPr>
          <w:p w14:paraId="30056E7C">
            <w:pPr>
              <w:widowControl/>
              <w:spacing w:line="360" w:lineRule="auto"/>
              <w:jc w:val="center"/>
              <w:outlineLvl w:val="0"/>
              <w:rPr>
                <w:rFonts w:ascii="宋体" w:hAnsi="宋体" w:cs="宋体"/>
                <w:color w:val="auto"/>
                <w:sz w:val="24"/>
                <w:highlight w:val="none"/>
              </w:rPr>
            </w:pPr>
          </w:p>
        </w:tc>
      </w:tr>
      <w:tr w14:paraId="71A1C9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647" w:type="dxa"/>
            <w:vAlign w:val="center"/>
          </w:tcPr>
          <w:p w14:paraId="6844ABB0">
            <w:pPr>
              <w:widowControl/>
              <w:spacing w:line="360" w:lineRule="auto"/>
              <w:jc w:val="center"/>
              <w:outlineLvl w:val="0"/>
              <w:rPr>
                <w:rFonts w:ascii="宋体" w:hAnsi="宋体" w:cs="宋体"/>
                <w:color w:val="auto"/>
                <w:sz w:val="24"/>
                <w:highlight w:val="none"/>
              </w:rPr>
            </w:pPr>
            <w:r>
              <w:rPr>
                <w:rFonts w:hint="eastAsia" w:ascii="宋体" w:hAnsi="宋体" w:cs="宋体"/>
                <w:color w:val="auto"/>
                <w:sz w:val="24"/>
                <w:highlight w:val="none"/>
              </w:rPr>
              <w:t>捞面师1人，2年工作经验以上，具有丰富的从业经验并有较强沟通能力，责任心强，执行力强，团队配合能力强</w:t>
            </w:r>
          </w:p>
        </w:tc>
        <w:tc>
          <w:tcPr>
            <w:tcW w:w="2313" w:type="dxa"/>
            <w:vMerge w:val="continue"/>
            <w:vAlign w:val="center"/>
          </w:tcPr>
          <w:p w14:paraId="2D7B636B">
            <w:pPr>
              <w:widowControl/>
              <w:spacing w:line="360" w:lineRule="auto"/>
              <w:jc w:val="center"/>
              <w:outlineLvl w:val="0"/>
              <w:rPr>
                <w:rFonts w:ascii="宋体" w:hAnsi="宋体" w:cs="宋体"/>
                <w:color w:val="auto"/>
                <w:sz w:val="24"/>
                <w:highlight w:val="none"/>
              </w:rPr>
            </w:pPr>
          </w:p>
        </w:tc>
      </w:tr>
      <w:tr w14:paraId="345A30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7647" w:type="dxa"/>
            <w:vAlign w:val="center"/>
          </w:tcPr>
          <w:p w14:paraId="66BFE898">
            <w:pPr>
              <w:widowControl/>
              <w:spacing w:line="360" w:lineRule="auto"/>
              <w:jc w:val="center"/>
              <w:outlineLvl w:val="0"/>
              <w:rPr>
                <w:rFonts w:ascii="宋体" w:hAnsi="宋体" w:cs="宋体"/>
                <w:color w:val="auto"/>
                <w:sz w:val="24"/>
                <w:highlight w:val="none"/>
              </w:rPr>
            </w:pPr>
            <w:r>
              <w:rPr>
                <w:rFonts w:hint="eastAsia" w:ascii="宋体" w:hAnsi="宋体" w:cs="宋体"/>
                <w:color w:val="auto"/>
                <w:sz w:val="24"/>
                <w:highlight w:val="none"/>
              </w:rPr>
              <w:t>服务员2人，年龄45周岁以下，具有丰富的从业经验并有较强沟通能力，责任心强，执行力强，团队配合能力强</w:t>
            </w:r>
          </w:p>
        </w:tc>
        <w:tc>
          <w:tcPr>
            <w:tcW w:w="2313" w:type="dxa"/>
            <w:vMerge w:val="restart"/>
            <w:vAlign w:val="center"/>
          </w:tcPr>
          <w:p w14:paraId="6B4AEC5A">
            <w:pPr>
              <w:widowControl/>
              <w:spacing w:line="360" w:lineRule="auto"/>
              <w:jc w:val="center"/>
              <w:outlineLvl w:val="0"/>
              <w:rPr>
                <w:rFonts w:ascii="宋体" w:hAnsi="宋体" w:cs="宋体"/>
                <w:color w:val="auto"/>
                <w:sz w:val="24"/>
                <w:highlight w:val="none"/>
              </w:rPr>
            </w:pPr>
            <w:r>
              <w:rPr>
                <w:rFonts w:hint="eastAsia" w:ascii="宋体" w:hAnsi="宋体" w:cs="宋体"/>
                <w:color w:val="auto"/>
                <w:sz w:val="24"/>
                <w:highlight w:val="none"/>
              </w:rPr>
              <w:t>服务人员</w:t>
            </w:r>
          </w:p>
        </w:tc>
      </w:tr>
      <w:tr w14:paraId="6DD37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647" w:type="dxa"/>
            <w:vAlign w:val="center"/>
          </w:tcPr>
          <w:p w14:paraId="0300CFFF">
            <w:pPr>
              <w:widowControl/>
              <w:spacing w:line="360" w:lineRule="auto"/>
              <w:jc w:val="center"/>
              <w:outlineLvl w:val="0"/>
              <w:rPr>
                <w:rFonts w:ascii="宋体" w:hAnsi="宋体" w:cs="宋体"/>
                <w:color w:val="auto"/>
                <w:sz w:val="24"/>
                <w:highlight w:val="none"/>
              </w:rPr>
            </w:pPr>
            <w:r>
              <w:rPr>
                <w:rFonts w:hint="eastAsia" w:ascii="宋体" w:hAnsi="宋体" w:cs="宋体"/>
                <w:color w:val="auto"/>
                <w:sz w:val="24"/>
                <w:highlight w:val="none"/>
              </w:rPr>
              <w:t>帮厨6人，2年工作经验以上，具有丰富的从业经验并有较强沟通能力，责任心强，执行力强，团队配合能力强</w:t>
            </w:r>
          </w:p>
        </w:tc>
        <w:tc>
          <w:tcPr>
            <w:tcW w:w="2313" w:type="dxa"/>
            <w:vMerge w:val="continue"/>
            <w:vAlign w:val="center"/>
          </w:tcPr>
          <w:p w14:paraId="5138098E">
            <w:pPr>
              <w:widowControl/>
              <w:spacing w:line="360" w:lineRule="auto"/>
              <w:outlineLvl w:val="0"/>
              <w:rPr>
                <w:rFonts w:ascii="宋体" w:hAnsi="宋体" w:cs="宋体"/>
                <w:color w:val="auto"/>
                <w:sz w:val="24"/>
                <w:highlight w:val="none"/>
              </w:rPr>
            </w:pPr>
          </w:p>
        </w:tc>
      </w:tr>
    </w:tbl>
    <w:p w14:paraId="643AF32E">
      <w:pPr>
        <w:spacing w:line="360" w:lineRule="auto"/>
        <w:ind w:firstLine="482" w:firstLineChars="200"/>
        <w:rPr>
          <w:rFonts w:ascii="宋体" w:hAnsi="宋体" w:cs="宋体"/>
          <w:b/>
          <w:bCs/>
          <w:color w:val="auto"/>
          <w:kern w:val="2"/>
          <w:sz w:val="24"/>
          <w:szCs w:val="24"/>
          <w:highlight w:val="none"/>
        </w:rPr>
      </w:pPr>
      <w:r>
        <w:rPr>
          <w:rFonts w:hint="eastAsia" w:ascii="宋体" w:hAnsi="宋体" w:cs="宋体"/>
          <w:b/>
          <w:bCs/>
          <w:color w:val="auto"/>
          <w:kern w:val="2"/>
          <w:sz w:val="24"/>
          <w:szCs w:val="24"/>
          <w:highlight w:val="none"/>
        </w:rPr>
        <w:t>4.具体服务内容：</w:t>
      </w:r>
    </w:p>
    <w:p w14:paraId="4490289E">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乙方负责提供</w:t>
      </w:r>
      <w:r>
        <w:rPr>
          <w:rFonts w:hint="eastAsia" w:ascii="宋体" w:hAnsi="宋体" w:cs="宋体"/>
          <w:bCs/>
          <w:color w:val="auto"/>
          <w:sz w:val="24"/>
          <w:szCs w:val="24"/>
          <w:highlight w:val="none"/>
        </w:rPr>
        <w:t>食堂运营及管理、食材采购及配送、以及其他相关配套服务。具体服务内容包括但不限于负责</w:t>
      </w:r>
      <w:r>
        <w:rPr>
          <w:rFonts w:hint="eastAsia" w:ascii="宋体" w:hAnsi="宋体" w:cs="宋体"/>
          <w:color w:val="auto"/>
          <w:kern w:val="2"/>
          <w:sz w:val="24"/>
          <w:szCs w:val="24"/>
          <w:highlight w:val="none"/>
        </w:rPr>
        <w:t>食品原材料的采购、核价及成本核算和餐费收取；提供服务人员及技术服务，负责菜单制定、菜点制作、售卖、餐饮工艺流程实施、管理、餐厅厨房保洁、服务等。</w:t>
      </w:r>
    </w:p>
    <w:p w14:paraId="6973075E">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1）乙方应丰富菜肴品种，不断推陈出新。根据甲方需求有能力适时更换厨师，每周须推出1-2个创新菜，确保菜肴精致可口，口味鲜美，全力做好就餐接待服务。负责做好各类食材的采购，保证供应食材的及时、供应食材的优质、供应食材的多样、供应食材的新鲜度。按季节及时调整时令菜品，定期推出特色菜或新菜，每餐菜肴要求荤素搭配均衡、营养安排合理。</w:t>
      </w:r>
    </w:p>
    <w:p w14:paraId="7CEE9668">
      <w:pPr>
        <w:spacing w:line="360" w:lineRule="auto"/>
        <w:ind w:firstLine="480" w:firstLineChars="200"/>
        <w:rPr>
          <w:rFonts w:ascii="宋体" w:hAnsi="宋体" w:cs="宋体"/>
          <w:color w:val="auto"/>
          <w:sz w:val="24"/>
          <w:szCs w:val="24"/>
          <w:highlight w:val="none"/>
        </w:rPr>
      </w:pPr>
      <w:r>
        <w:rPr>
          <w:rFonts w:hint="eastAsia" w:ascii="宋体" w:hAnsi="宋体" w:cs="宋体"/>
          <w:color w:val="auto"/>
          <w:kern w:val="2"/>
          <w:sz w:val="24"/>
          <w:szCs w:val="24"/>
          <w:highlight w:val="none"/>
        </w:rPr>
        <w:t>（2）餐饮标准：乙方负责</w:t>
      </w:r>
      <w:r>
        <w:rPr>
          <w:rFonts w:hint="eastAsia" w:ascii="宋体" w:hAnsi="宋体" w:cs="宋体"/>
          <w:color w:val="auto"/>
          <w:sz w:val="24"/>
          <w:szCs w:val="24"/>
          <w:highlight w:val="none"/>
        </w:rPr>
        <w:t>每天供应早、午两餐，全年（双休日、节假日除外）开餐。就餐时间：早餐7:30-8:45；午餐11:00—12:30。如有特殊情况，早、午餐开餐时间及大致就餐人数以发标方通知为准。</w:t>
      </w:r>
    </w:p>
    <w:p w14:paraId="680D1E3F">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早餐提供中西式糕点4款、粗粮2款、粥2款、小菜4款、鸡蛋、豆浆/牛奶、早面，小份自选模式。午餐提供1大荤、2小荤、2蔬菜、汤、米饭、粗粮、酸奶/水果，小份自选模式。可根据实际情况限量提供特色餐，如面条、饺子、牛肉米线、炒饭、盖浇饭等；也可根据甲方要求提供圆桌工作餐。</w:t>
      </w:r>
    </w:p>
    <w:p w14:paraId="5A4E4A80">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（3）工作日晚间安排两名服务人员在岗值守，同时全程保障备桌相关服务需求。</w:t>
      </w:r>
    </w:p>
    <w:p w14:paraId="088CF4C2">
      <w:pPr>
        <w:spacing w:line="360" w:lineRule="auto"/>
        <w:ind w:firstLine="482" w:firstLineChars="200"/>
        <w:rPr>
          <w:rFonts w:ascii="宋体" w:hAnsi="宋体" w:cs="宋体"/>
          <w:b/>
          <w:bCs/>
          <w:color w:val="auto"/>
          <w:kern w:val="2"/>
          <w:sz w:val="24"/>
          <w:szCs w:val="24"/>
          <w:highlight w:val="none"/>
        </w:rPr>
      </w:pPr>
      <w:r>
        <w:rPr>
          <w:rFonts w:hint="eastAsia" w:hAnsi="宋体" w:cs="宋体"/>
          <w:b/>
          <w:bCs/>
          <w:color w:val="auto"/>
          <w:kern w:val="2"/>
          <w:sz w:val="24"/>
          <w:szCs w:val="24"/>
          <w:highlight w:val="none"/>
        </w:rPr>
        <w:t>5.</w:t>
      </w:r>
      <w:r>
        <w:rPr>
          <w:rFonts w:hint="eastAsia" w:ascii="宋体" w:hAnsi="宋体" w:cs="宋体"/>
          <w:b/>
          <w:bCs/>
          <w:color w:val="auto"/>
          <w:kern w:val="2"/>
          <w:sz w:val="24"/>
          <w:szCs w:val="24"/>
          <w:highlight w:val="none"/>
        </w:rPr>
        <w:t>食堂运营、管理服务要求：</w:t>
      </w:r>
    </w:p>
    <w:p w14:paraId="22966B4E">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1）乙方委派本项目的团队应是一支精干、高效、专业、敬业、健康有品牌的餐饮服务团队，有能力为用餐人员提供安全、优质、高效、满意的餐饮服务。企业内设机构必须齐全，有严谨的人事、财务、销售、业务及服务管理体系,注重企业文化。</w:t>
      </w:r>
    </w:p>
    <w:p w14:paraId="7F9F44FB">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（2）严格执行《中华人民共和国食品安全法》的各项规定，所有人员必须持健康证上岗，每年不少于1次健康体检，严格执行清洁消毒规定，不得提供变质、变味的饭菜。</w:t>
      </w:r>
    </w:p>
    <w:p w14:paraId="1C26537D">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3）所有员工进入岗位前必须穿戴统一工作服，使用一次性卫生手套、口罩，所有人员在工作时间内必须穿防滑鞋，所有人员不得自带任何食物进出工作区域，无关人员不得进入工作区域，工作时不得会客、吸烟、吃食品、大声喧哗和聊天。</w:t>
      </w:r>
    </w:p>
    <w:p w14:paraId="055D9118">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（4）严格遵守甲方的用餐时间，保证—日三餐按时正点开餐，在开餐前15分钟确保所有饭菜品全部摆放到位，开餐前5分钟所有服务人员站立到指定岗位等待开餐。</w:t>
      </w:r>
    </w:p>
    <w:p w14:paraId="7193FF69">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（5）用餐期间应保证食品菜肴不断档，就餐人员离开后及时擦拭干净备第二餐次人员使用，用餐时段结束后彻底清洁用餐区域，余留食品按规定处理。</w:t>
      </w:r>
    </w:p>
    <w:p w14:paraId="55BA5A1A">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（6）做好日常保洁工作，要求地面清洁，下水道通畅，无积水，工作场所整洁，无积灰，墙壁无霉斑，各种餐具用品做到卫生、洁净、消毒；餐室（厨房）无蝇、无虫，排油烟设施罩清洁不滴油。</w:t>
      </w:r>
    </w:p>
    <w:p w14:paraId="691F7421">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（7）乙方管理人员每天应到所服务的区域巡视，每周发放服务周检评价表，听取意见，及时整改。</w:t>
      </w:r>
    </w:p>
    <w:p w14:paraId="76B70A46">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（8）乙方合同期满后，在甲方后续单位到位前，乙方须保证提供不超过1个月期限的服务，期内按甲方要求按时撤走人员并与新单位办理交接。</w:t>
      </w:r>
    </w:p>
    <w:p w14:paraId="67121C09">
      <w:pPr>
        <w:spacing w:line="360" w:lineRule="auto"/>
        <w:ind w:firstLine="482" w:firstLineChars="200"/>
        <w:rPr>
          <w:rFonts w:ascii="宋体" w:hAnsi="宋体" w:cs="宋体"/>
          <w:b/>
          <w:bCs/>
          <w:color w:val="auto"/>
          <w:kern w:val="2"/>
          <w:sz w:val="24"/>
          <w:szCs w:val="24"/>
          <w:highlight w:val="none"/>
        </w:rPr>
      </w:pPr>
      <w:r>
        <w:rPr>
          <w:rFonts w:hint="eastAsia" w:hAnsi="宋体" w:cs="宋体"/>
          <w:b/>
          <w:bCs/>
          <w:color w:val="auto"/>
          <w:kern w:val="2"/>
          <w:sz w:val="24"/>
          <w:szCs w:val="24"/>
          <w:highlight w:val="none"/>
        </w:rPr>
        <w:t>6.</w:t>
      </w:r>
      <w:r>
        <w:rPr>
          <w:rFonts w:hint="eastAsia" w:ascii="宋体" w:hAnsi="宋体" w:cs="宋体"/>
          <w:b/>
          <w:bCs/>
          <w:color w:val="auto"/>
          <w:kern w:val="2"/>
          <w:sz w:val="24"/>
          <w:szCs w:val="24"/>
          <w:highlight w:val="none"/>
        </w:rPr>
        <w:t>食品安全责任</w:t>
      </w:r>
    </w:p>
    <w:p w14:paraId="3CCA61C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乙方应严格遵守《中华人民共和国食品安全法》和《中华人民共和国动物防疫法》等相关规定，一经发现供应以下食品，除全部退货外，将取消其供货资格,并由其承担因此造成的经济责任和法律责任： 　　</w:t>
      </w:r>
    </w:p>
    <w:p w14:paraId="3B17023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（1）腐败变质、油脂酸败、霉变、生虫、污秽不洁、混有异物或者其他感官性状异常，对人体健康有害的； 　　</w:t>
      </w:r>
    </w:p>
    <w:p w14:paraId="7CBBC9E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（2）含有毒、有害物质或者被有害物质污染，对人体健康有害的； 　　</w:t>
      </w:r>
    </w:p>
    <w:p w14:paraId="4B3E3E7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（3）含有致病性寄生虫、微生物或者微生物含量超过国家限定标准的； 　　</w:t>
      </w:r>
    </w:p>
    <w:p w14:paraId="2DEE81D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（4）未经动物检疫部门检疫、检验或者检疫、检验不合格的肉类及其制品； 　　</w:t>
      </w:r>
    </w:p>
    <w:p w14:paraId="31F7FA8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（5）病死、毒死或者死因不明的禽、畜、兽、水产动物等及其制品； 　　</w:t>
      </w:r>
    </w:p>
    <w:p w14:paraId="1154178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（6）掺假、掺杂、伪造，影响营养、卫生的； 　　</w:t>
      </w:r>
    </w:p>
    <w:p w14:paraId="6217EFE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（7）用非食品原料加工的，加入非食品用化学物质或者将非食品当作食品的；　　</w:t>
      </w:r>
    </w:p>
    <w:p w14:paraId="4B5C85C1">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（8）超过保质期限的。</w:t>
      </w:r>
    </w:p>
    <w:p w14:paraId="37842677">
      <w:pPr>
        <w:spacing w:line="360" w:lineRule="auto"/>
        <w:ind w:firstLine="482" w:firstLineChars="200"/>
        <w:rPr>
          <w:rFonts w:ascii="宋体" w:hAnsi="宋体" w:cs="宋体"/>
          <w:b/>
          <w:bCs/>
          <w:color w:val="auto"/>
          <w:kern w:val="2"/>
          <w:sz w:val="24"/>
          <w:szCs w:val="24"/>
          <w:highlight w:val="none"/>
        </w:rPr>
      </w:pPr>
      <w:r>
        <w:rPr>
          <w:rFonts w:hint="eastAsia" w:hAnsi="宋体" w:cs="宋体"/>
          <w:b/>
          <w:bCs/>
          <w:color w:val="auto"/>
          <w:kern w:val="2"/>
          <w:sz w:val="24"/>
          <w:szCs w:val="24"/>
          <w:highlight w:val="none"/>
        </w:rPr>
        <w:t>7.</w:t>
      </w:r>
      <w:r>
        <w:rPr>
          <w:rFonts w:hint="eastAsia" w:ascii="宋体" w:hAnsi="宋体" w:cs="宋体"/>
          <w:b/>
          <w:bCs/>
          <w:color w:val="auto"/>
          <w:kern w:val="2"/>
          <w:sz w:val="24"/>
          <w:szCs w:val="24"/>
          <w:highlight w:val="none"/>
        </w:rPr>
        <w:t>监督考评方面：</w:t>
      </w:r>
    </w:p>
    <w:p w14:paraId="63C4658A">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（1）甲方有权对乙方履约情况实行监督考核，餐务涉及的所有区域（包括食堂卫生）和操作过程都属于监管范围。</w:t>
      </w:r>
    </w:p>
    <w:p w14:paraId="007855D3">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2）甲方从供餐质量、服务质量、卫生标准、设备使用、成本管控、安全生产、日常管理、先进荣誉等方面定期对供应商进行检查和突击抽查，并根据检查、测评情况对乙方进行相应的奖励、处罚甚至中止托管合同。</w:t>
      </w:r>
    </w:p>
    <w:p w14:paraId="23812857">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（3）乙方须根据行业规范抓好日常管理，确保甲方食堂原有荣誉续存，争创行业新荣誉。</w:t>
      </w:r>
    </w:p>
    <w:p w14:paraId="2CF55D49">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4）乙方不得以任何形式转租、转让、抵押承包区域，在承包区域只从事甲方认可的服务工作。在承包期间，乙方的任何股份配置变动应通知甲方。未经甲方书面批准，任何占有支配地位的股份转让者将视为乙方出租、转让的行为。一经发现，甲方有权取消其受托资格，并给予经济处罚或诉讼法律。</w:t>
      </w:r>
    </w:p>
    <w:p w14:paraId="5C088A07">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（5）乙方未经允许不得经营餐饮之外的任何业务。</w:t>
      </w:r>
    </w:p>
    <w:p w14:paraId="4EA42232">
      <w:pPr>
        <w:spacing w:line="360" w:lineRule="auto"/>
        <w:ind w:firstLine="482" w:firstLineChars="200"/>
        <w:rPr>
          <w:rFonts w:ascii="宋体" w:hAnsi="宋体" w:cs="宋体"/>
          <w:b/>
          <w:bCs/>
          <w:color w:val="auto"/>
          <w:kern w:val="2"/>
          <w:sz w:val="24"/>
          <w:szCs w:val="24"/>
          <w:highlight w:val="none"/>
        </w:rPr>
      </w:pPr>
      <w:r>
        <w:rPr>
          <w:rFonts w:hint="eastAsia" w:hAnsi="宋体" w:cs="宋体"/>
          <w:b/>
          <w:bCs/>
          <w:color w:val="auto"/>
          <w:kern w:val="2"/>
          <w:sz w:val="24"/>
          <w:szCs w:val="24"/>
          <w:highlight w:val="none"/>
        </w:rPr>
        <w:t>8.</w:t>
      </w:r>
      <w:r>
        <w:rPr>
          <w:rFonts w:hint="eastAsia" w:ascii="宋体" w:hAnsi="宋体" w:cs="宋体"/>
          <w:b/>
          <w:bCs/>
          <w:color w:val="auto"/>
          <w:kern w:val="2"/>
          <w:sz w:val="24"/>
          <w:szCs w:val="24"/>
          <w:highlight w:val="none"/>
        </w:rPr>
        <w:t>其他需要说明的事项：</w:t>
      </w:r>
    </w:p>
    <w:p w14:paraId="09C0ACB0">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（1）乙方员工在合同期内发生的工伤、生病住院、意外伤（亡）害、劳资纠纷等情况，由乙方自行负责并承担。</w:t>
      </w:r>
    </w:p>
    <w:p w14:paraId="3FAD8B38">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（2）食堂如有需要维修、维护和添置的设备、设施，应由乙方书面上报，费用由甲方承担；如因乙方操作不当造成设备设施损坏，由此产生的影响用餐、维修费、误餐费等由乙方承担。</w:t>
      </w:r>
    </w:p>
    <w:p w14:paraId="7FC2AE6B">
      <w:pPr>
        <w:spacing w:line="360" w:lineRule="auto"/>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（3）厨杂、餐具等厨杂用品的损耗由乙方承担。</w:t>
      </w:r>
    </w:p>
    <w:p w14:paraId="6AAA3F39">
      <w:pPr>
        <w:widowControl/>
        <w:spacing w:line="360" w:lineRule="auto"/>
        <w:ind w:firstLine="480"/>
        <w:jc w:val="left"/>
        <w:rPr>
          <w:rFonts w:ascii="宋体" w:hAnsi="宋体" w:cs="宋体"/>
          <w:b/>
          <w:bCs/>
          <w:color w:val="auto"/>
          <w:sz w:val="24"/>
          <w:highlight w:val="none"/>
        </w:rPr>
      </w:pPr>
      <w:r>
        <w:rPr>
          <w:rFonts w:hint="eastAsia" w:ascii="宋体" w:hAnsi="宋体" w:cs="宋体"/>
          <w:b/>
          <w:bCs/>
          <w:color w:val="auto"/>
          <w:sz w:val="24"/>
          <w:highlight w:val="none"/>
        </w:rPr>
        <w:t>十一、双方责任与义务</w:t>
      </w:r>
    </w:p>
    <w:p w14:paraId="20484D65">
      <w:pPr>
        <w:widowControl/>
        <w:spacing w:line="360" w:lineRule="auto"/>
        <w:ind w:firstLine="480"/>
        <w:jc w:val="left"/>
        <w:rPr>
          <w:rFonts w:ascii="宋体" w:hAnsi="宋体" w:cs="宋体"/>
          <w:b/>
          <w:bCs/>
          <w:color w:val="auto"/>
          <w:sz w:val="24"/>
          <w:highlight w:val="none"/>
        </w:rPr>
      </w:pPr>
      <w:r>
        <w:rPr>
          <w:rFonts w:hint="eastAsia" w:ascii="宋体" w:hAnsi="宋体" w:cs="宋体"/>
          <w:b/>
          <w:bCs/>
          <w:color w:val="auto"/>
          <w:sz w:val="24"/>
          <w:highlight w:val="none"/>
        </w:rPr>
        <w:t>1.甲方责任与义务:</w:t>
      </w:r>
    </w:p>
    <w:p w14:paraId="10CDCD72">
      <w:pPr>
        <w:widowControl/>
        <w:spacing w:line="360"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1）甲方提供餐厅及厨房硬件设备、餐具、厨具、炊具、餐桌椅、排风设备、排污设备、洗碗设备、泔水、废油处理设备（设施），能源（水、电、煤）、油烟机清洗、厨房餐厅虫害控制。甲方将现有工作场所设施设备，各类物品列出清单，待乙方进驻时，由甲方、乙方双方办理交接手续，确认签字后各执一份。乙方须做到食堂设备的文明使用，合同期满须将能正常使用的食堂设备、设施及各类物品完整、完好地移交甲方。</w:t>
      </w:r>
    </w:p>
    <w:p w14:paraId="424F5945">
      <w:pPr>
        <w:widowControl/>
        <w:spacing w:line="360"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（2）甲方提供餐厅内所需的客用低值易耗用品如餐巾纸、牙签、洗手液等（微笑口罩、围兜、一次性手套等服务人员自用劳保低值易耗品除外）。</w:t>
      </w:r>
    </w:p>
    <w:p w14:paraId="79207126">
      <w:pPr>
        <w:widowControl/>
        <w:spacing w:line="360"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（3）甲方如有条件，应向乙方提供项目办公室（值班室）、员工更衣室、食品仓库、非食品仓库等工作用房使用权。</w:t>
      </w:r>
    </w:p>
    <w:p w14:paraId="6CA1AAC6">
      <w:pPr>
        <w:widowControl/>
        <w:spacing w:line="360"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（4）甲方保证工作所需的水、电、气正常供应，并对乙方使用的水、电、气的进行管理和考核，乙方必须强化管理和监督，减少水、电、气等的浪费。 </w:t>
      </w:r>
    </w:p>
    <w:p w14:paraId="11216465">
      <w:pPr>
        <w:widowControl/>
        <w:spacing w:line="360"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（5）甲方负责餐饮服务外包有关工作的考核和服务费用的支付。</w:t>
      </w:r>
    </w:p>
    <w:p w14:paraId="491530E9">
      <w:pPr>
        <w:widowControl/>
        <w:spacing w:line="360"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（6）甲方有权对项目进行成本核算。</w:t>
      </w:r>
    </w:p>
    <w:p w14:paraId="4D0239A7">
      <w:pPr>
        <w:widowControl/>
        <w:spacing w:line="360"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（7）甲方免费提供中标人工作期间的正常用餐，但不提供员工住宿、交通等条件。</w:t>
      </w:r>
    </w:p>
    <w:p w14:paraId="696AA1CB">
      <w:pPr>
        <w:widowControl/>
        <w:spacing w:line="360"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（8）甲方有权对乙方每天菜品的分量、质量、品质色味进行监督、验收。</w:t>
      </w:r>
    </w:p>
    <w:p w14:paraId="3ACDD8B1">
      <w:pPr>
        <w:widowControl/>
        <w:spacing w:line="360" w:lineRule="auto"/>
        <w:ind w:firstLine="480"/>
        <w:jc w:val="left"/>
        <w:rPr>
          <w:rFonts w:ascii="宋体" w:hAnsi="宋体" w:cs="宋体"/>
          <w:bCs/>
          <w:color w:val="auto"/>
          <w:sz w:val="24"/>
          <w:szCs w:val="24"/>
          <w:highlight w:val="none"/>
        </w:rPr>
      </w:pPr>
      <w:r>
        <w:rPr>
          <w:rFonts w:hint="eastAsia" w:ascii="宋体" w:hAnsi="宋体" w:cs="宋体"/>
          <w:bCs/>
          <w:color w:val="auto"/>
          <w:sz w:val="24"/>
          <w:szCs w:val="24"/>
          <w:highlight w:val="none"/>
        </w:rPr>
        <w:t>（9）甲方有权对乙方提供的服务进行考核，费用根据考核情况按月度结算并支付。</w:t>
      </w:r>
    </w:p>
    <w:p w14:paraId="05FEC004">
      <w:pPr>
        <w:widowControl/>
        <w:spacing w:line="360" w:lineRule="auto"/>
        <w:ind w:firstLine="480"/>
        <w:jc w:val="left"/>
        <w:rPr>
          <w:rFonts w:ascii="宋体" w:hAnsi="宋体" w:cs="宋体"/>
          <w:b/>
          <w:bCs/>
          <w:color w:val="auto"/>
          <w:sz w:val="24"/>
          <w:highlight w:val="none"/>
        </w:rPr>
      </w:pPr>
      <w:r>
        <w:rPr>
          <w:rFonts w:hint="eastAsia" w:ascii="宋体" w:hAnsi="宋体" w:cs="宋体"/>
          <w:b/>
          <w:bCs/>
          <w:color w:val="auto"/>
          <w:sz w:val="24"/>
          <w:highlight w:val="none"/>
        </w:rPr>
        <w:t>2.乙方责任与义务:</w:t>
      </w:r>
    </w:p>
    <w:p w14:paraId="19191865">
      <w:pPr>
        <w:widowControl/>
        <w:spacing w:line="360"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（1）乙方负责将泔水、废油放置到指定地点并配合甲方寻找有资质的公司进行泔水，废油的处理，以及食物加工制作、销售、管理团队、厨房和餐厅清洁。</w:t>
      </w:r>
    </w:p>
    <w:p w14:paraId="72C9A458">
      <w:pPr>
        <w:widowControl/>
        <w:spacing w:line="360"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（2）乙方负责食品原材料运输、搬运等配送工作，并配合甲方验收。</w:t>
      </w:r>
    </w:p>
    <w:p w14:paraId="3CB2B303">
      <w:pPr>
        <w:widowControl/>
        <w:spacing w:line="360"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（3）乙方开具的采购食料和辅料清单必须经甲方审核通过后，方可进行采购。</w:t>
      </w:r>
    </w:p>
    <w:p w14:paraId="2E8A5B6C">
      <w:pPr>
        <w:widowControl/>
        <w:spacing w:line="360"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（4）乙方是食堂安全、消防第一责任人，日常加强消防演练和安全检查，并做好相关记录，杜绝消防安全隐患。</w:t>
      </w:r>
    </w:p>
    <w:p w14:paraId="0CE21634">
      <w:pPr>
        <w:widowControl/>
        <w:spacing w:line="360"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（5）乙方必须健全食堂逐日消耗、食品留样制度、索证登记制度，并积极协助配合甲方搞好成本核算和膳食管理。</w:t>
      </w:r>
    </w:p>
    <w:p w14:paraId="587A85CE">
      <w:pPr>
        <w:widowControl/>
        <w:spacing w:line="360"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（6）乙方须全力协助并配合提供一年至少4次的厨房油烟灶管道清洗，烟灶清洗，隔油池的清洗，餐余垃圾的处理，厨房灭火器及灭火毯等消防器材的采购和更换等杂项服务，费用由甲方承担。</w:t>
      </w:r>
    </w:p>
    <w:p w14:paraId="6F6C2386">
      <w:pPr>
        <w:widowControl/>
        <w:spacing w:line="360"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7）乙方对其工作人员负有政治思想、日常表现、业务技术、健康状况的审核责任，工作人员必须政审合格，身体健康，形体无明显缺陷，外貌端正，并经过岗前专业培训，合同签订前，并经甲方审核通过；如有后续更新人员，也应征得甲方同意。如甲方对服务人员不满意，乙方应在一周内更换到位。</w:t>
      </w:r>
    </w:p>
    <w:p w14:paraId="229BB6E7">
      <w:pPr>
        <w:widowControl/>
        <w:spacing w:line="360"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（8）乙方负责服务人员的组织、分配、使用和操作管理，为甲方的餐饮做好加工制作、就餐供应和服务保障。</w:t>
      </w:r>
    </w:p>
    <w:p w14:paraId="4AC4930F">
      <w:pPr>
        <w:widowControl/>
        <w:spacing w:line="360"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（9）乙方每周四必须按甲方所提供的用餐人数、标准、菜肴品种、规格等方面的要求向甲方上报下周菜谱并对食品原材料的用量进行下单。</w:t>
      </w:r>
    </w:p>
    <w:p w14:paraId="724A89CD">
      <w:pPr>
        <w:widowControl/>
        <w:spacing w:line="360"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（10）乙方未经甲方同意，不得在食堂内进行食品外加工，一经发现将作违约处理。</w:t>
      </w:r>
    </w:p>
    <w:p w14:paraId="30957822">
      <w:pPr>
        <w:widowControl/>
        <w:spacing w:line="360"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（11）在乙方经营过程中，因乙方管理、工艺流程不到位，引起病源性传播或食物中毒，一切责任由乙方负责，并承担相应的法律和经济责任。</w:t>
      </w:r>
    </w:p>
    <w:p w14:paraId="712E7129">
      <w:pPr>
        <w:widowControl/>
        <w:spacing w:line="360" w:lineRule="auto"/>
        <w:ind w:firstLine="480"/>
        <w:jc w:val="left"/>
        <w:rPr>
          <w:rFonts w:ascii="宋体" w:hAnsi="宋体" w:cs="宋体"/>
          <w:bCs/>
          <w:color w:val="auto"/>
          <w:sz w:val="24"/>
          <w:highlight w:val="none"/>
        </w:rPr>
      </w:pPr>
      <w:r>
        <w:rPr>
          <w:rFonts w:hint="eastAsia" w:ascii="宋体" w:hAnsi="宋体" w:cs="宋体"/>
          <w:bCs/>
          <w:color w:val="auto"/>
          <w:sz w:val="24"/>
          <w:highlight w:val="none"/>
        </w:rPr>
        <w:t>（12）乙方必须保护好食堂所有财产。对甲方提供的场地、厨具设备、各类设施做好保护工作。乙方不得将食堂私自转让或委托他人经营，更不得利用甲方资产搞不法经营或加工经营与本项目无关的食品、食物等。一经发现，甲方有权按法律程序取消其服务资格，并给予经济处罚或诉讼。</w:t>
      </w:r>
    </w:p>
    <w:p w14:paraId="1DB836AB">
      <w:pPr>
        <w:widowControl/>
        <w:spacing w:line="360" w:lineRule="auto"/>
        <w:ind w:firstLine="480"/>
        <w:jc w:val="left"/>
        <w:rPr>
          <w:rFonts w:ascii="宋体" w:hAnsi="宋体" w:cs="宋体"/>
          <w:b/>
          <w:bCs/>
          <w:color w:val="auto"/>
          <w:sz w:val="24"/>
          <w:highlight w:val="none"/>
        </w:rPr>
      </w:pPr>
      <w:r>
        <w:rPr>
          <w:rFonts w:hint="eastAsia" w:ascii="宋体" w:hAnsi="宋体" w:cs="宋体"/>
          <w:b/>
          <w:bCs/>
          <w:color w:val="auto"/>
          <w:sz w:val="24"/>
          <w:highlight w:val="none"/>
        </w:rPr>
        <w:t>十二、违约责任</w:t>
      </w:r>
    </w:p>
    <w:p w14:paraId="3F1612DE">
      <w:pPr>
        <w:widowControl/>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1.乙方违反有关规定，未能达到规定目标及质量保证的，或委派人员不符合合同约定的，甲方有权要求乙方限期整改，逾期未整改或整改不到位的，甲方有权解除合同，同时乙方应向甲方支付合同总价5%的违约金，且甲方有权要求乙方赔偿由此造成的全部损失。</w:t>
      </w:r>
    </w:p>
    <w:p w14:paraId="4CDE92D5">
      <w:pPr>
        <w:widowControl/>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2.乙方在承担上述违约责任后，仍应继续履行合同规定的义务（甲方解除合同的除外）。甲方未能及时追究乙方的任何一项违约责任并不表明甲方放弃追究乙方该项或其他违约责任。</w:t>
      </w:r>
    </w:p>
    <w:p w14:paraId="11B3DA76">
      <w:pPr>
        <w:widowControl/>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3.合同期限内，未经甲方书面同意，乙方擅自中止/终止合同或中止/终止履行合同义务的，应向甲方支付合同总价30％的违约金，并赔偿由此给甲方造成的全部损失和费用（包括但不限于诉讼仲裁费、律师费等）。乙方中止履行合同义务的，甲方还有权解除本合同。</w:t>
      </w:r>
    </w:p>
    <w:p w14:paraId="3BD0959E">
      <w:pPr>
        <w:widowControl/>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4.因乙方违反本合同约定致使甲方损失的，乙方应全额赔偿。乙方赔偿范围包括但不限于：甲方受到的直接损失、甲方为减小损失采取合理措施所产生的费用、甲方为维护合法权益产生的诉讼费、律师费、诉讼保全担保费、公证费等。</w:t>
      </w:r>
    </w:p>
    <w:p w14:paraId="4C08A371">
      <w:pPr>
        <w:widowControl/>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5.未经甲方书面同意，乙方不得将本合同项下委托事项全部或部分转包、分包给第三人，否则，甲方有权立即解除本合同，</w:t>
      </w:r>
      <w:r>
        <w:rPr>
          <w:rFonts w:hint="eastAsia" w:ascii="宋体" w:hAnsi="宋体" w:cs="宋体"/>
          <w:bCs/>
          <w:color w:val="auto"/>
          <w:sz w:val="24"/>
          <w:highlight w:val="none"/>
        </w:rPr>
        <w:t>没收履约保证金，</w:t>
      </w:r>
      <w:r>
        <w:rPr>
          <w:rFonts w:hint="eastAsia" w:ascii="宋体" w:hAnsi="宋体" w:cs="宋体"/>
          <w:color w:val="auto"/>
          <w:sz w:val="24"/>
          <w:highlight w:val="none"/>
        </w:rPr>
        <w:t>并要求乙方返还已支付的服务费及支付本合同总金额20%的违约金，并赔偿由此给甲方造成的全部损失和费用（包括但不限于诉讼仲裁费、律师费等）。</w:t>
      </w:r>
    </w:p>
    <w:p w14:paraId="0273061D">
      <w:pPr>
        <w:widowControl/>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6.上述违约金和赔偿金可直接从服务费中扣除。</w:t>
      </w:r>
    </w:p>
    <w:p w14:paraId="11BE34C5">
      <w:pPr>
        <w:spacing w:line="360" w:lineRule="auto"/>
        <w:ind w:firstLine="480"/>
        <w:outlineLvl w:val="0"/>
        <w:rPr>
          <w:rFonts w:ascii="宋体" w:hAnsi="宋体" w:cs="宋体"/>
          <w:b/>
          <w:bCs/>
          <w:color w:val="auto"/>
          <w:sz w:val="24"/>
          <w:highlight w:val="none"/>
        </w:rPr>
      </w:pPr>
      <w:bookmarkStart w:id="899" w:name="_Toc76417657"/>
      <w:r>
        <w:rPr>
          <w:rFonts w:hint="eastAsia" w:ascii="宋体" w:hAnsi="宋体" w:cs="宋体"/>
          <w:b/>
          <w:bCs/>
          <w:color w:val="auto"/>
          <w:sz w:val="24"/>
          <w:highlight w:val="none"/>
        </w:rPr>
        <w:t>十三、保密</w:t>
      </w:r>
      <w:bookmarkEnd w:id="899"/>
    </w:p>
    <w:p w14:paraId="48FB1FD1">
      <w:pPr>
        <w:spacing w:line="360" w:lineRule="auto"/>
        <w:rPr>
          <w:rFonts w:ascii="宋体" w:hAnsi="宋体" w:cs="宋体"/>
          <w:color w:val="auto"/>
          <w:sz w:val="24"/>
          <w:highlight w:val="none"/>
        </w:rPr>
      </w:pPr>
      <w:r>
        <w:rPr>
          <w:rFonts w:hint="eastAsia" w:ascii="宋体" w:hAnsi="宋体" w:cs="宋体"/>
          <w:color w:val="auto"/>
          <w:sz w:val="24"/>
          <w:highlight w:val="none"/>
        </w:rPr>
        <w:t>　　双方均应保护对方的知识产权，未经对方同意，任何一方均不得对对方的资料及文件擅自修改、复制或向第三人转让或用于本合同项目外的项目。如发生以上情况，泄密方承担一切由此引起的后果并承担赔偿责任。</w:t>
      </w:r>
    </w:p>
    <w:p w14:paraId="650072E2">
      <w:pPr>
        <w:spacing w:line="360" w:lineRule="auto"/>
        <w:outlineLvl w:val="0"/>
        <w:rPr>
          <w:rFonts w:ascii="宋体" w:hAnsi="宋体" w:cs="宋体"/>
          <w:color w:val="auto"/>
          <w:sz w:val="24"/>
          <w:highlight w:val="none"/>
        </w:rPr>
      </w:pPr>
      <w:r>
        <w:rPr>
          <w:rFonts w:hint="eastAsia" w:ascii="宋体" w:hAnsi="宋体" w:cs="宋体"/>
          <w:color w:val="auto"/>
          <w:sz w:val="24"/>
          <w:highlight w:val="none"/>
        </w:rPr>
        <w:t>　</w:t>
      </w:r>
      <w:r>
        <w:rPr>
          <w:rFonts w:hint="eastAsia" w:ascii="宋体" w:hAnsi="宋体" w:cs="宋体"/>
          <w:b/>
          <w:bCs/>
          <w:color w:val="auto"/>
          <w:sz w:val="24"/>
          <w:highlight w:val="none"/>
        </w:rPr>
        <w:t>　</w:t>
      </w:r>
      <w:bookmarkStart w:id="900" w:name="_Toc76417658"/>
      <w:r>
        <w:rPr>
          <w:rFonts w:hint="eastAsia" w:ascii="宋体" w:hAnsi="宋体" w:cs="宋体"/>
          <w:b/>
          <w:bCs/>
          <w:color w:val="auto"/>
          <w:sz w:val="24"/>
          <w:highlight w:val="none"/>
        </w:rPr>
        <w:t>十四、争议解决</w:t>
      </w:r>
      <w:bookmarkEnd w:id="900"/>
    </w:p>
    <w:p w14:paraId="5D443FC3">
      <w:pPr>
        <w:spacing w:line="360" w:lineRule="auto"/>
        <w:ind w:firstLine="480"/>
        <w:outlineLvl w:val="0"/>
        <w:rPr>
          <w:rFonts w:ascii="宋体" w:hAnsi="宋体" w:cs="宋体"/>
          <w:color w:val="auto"/>
          <w:sz w:val="24"/>
          <w:highlight w:val="none"/>
        </w:rPr>
      </w:pPr>
      <w:r>
        <w:rPr>
          <w:rFonts w:hint="eastAsia" w:ascii="宋体" w:hAnsi="宋体" w:cs="宋体"/>
          <w:color w:val="auto"/>
          <w:sz w:val="24"/>
          <w:highlight w:val="none"/>
        </w:rPr>
        <w:t>本合同发生争议，甲方与乙方应及时协商解决。也可由当地行政主管部门调解，调解不成时，双方当事人同意向甲方所在地人民法院诉讼解决。</w:t>
      </w:r>
    </w:p>
    <w:p w14:paraId="1E4EF8C1">
      <w:pPr>
        <w:spacing w:line="360" w:lineRule="auto"/>
        <w:ind w:firstLine="480"/>
        <w:outlineLvl w:val="0"/>
        <w:rPr>
          <w:rFonts w:ascii="宋体" w:hAnsi="宋体" w:cs="宋体"/>
          <w:b/>
          <w:bCs/>
          <w:color w:val="auto"/>
          <w:sz w:val="24"/>
          <w:highlight w:val="none"/>
        </w:rPr>
      </w:pPr>
      <w:bookmarkStart w:id="901" w:name="_Toc76417659"/>
      <w:r>
        <w:rPr>
          <w:rFonts w:hint="eastAsia" w:ascii="宋体" w:hAnsi="宋体" w:cs="宋体"/>
          <w:b/>
          <w:bCs/>
          <w:color w:val="auto"/>
          <w:sz w:val="24"/>
          <w:highlight w:val="none"/>
        </w:rPr>
        <w:t>十五、合同生效及其他</w:t>
      </w:r>
      <w:bookmarkEnd w:id="901"/>
    </w:p>
    <w:p w14:paraId="56A9C094">
      <w:pPr>
        <w:spacing w:line="360" w:lineRule="auto"/>
        <w:rPr>
          <w:rFonts w:ascii="宋体" w:hAnsi="宋体" w:cs="宋体"/>
          <w:color w:val="auto"/>
          <w:sz w:val="24"/>
          <w:highlight w:val="none"/>
        </w:rPr>
      </w:pPr>
      <w:r>
        <w:rPr>
          <w:rFonts w:hint="eastAsia" w:ascii="宋体" w:hAnsi="宋体" w:cs="宋体"/>
          <w:color w:val="auto"/>
          <w:sz w:val="24"/>
          <w:highlight w:val="none"/>
        </w:rPr>
        <w:t>　　1.乙方在本合同约定的服务期限内为甲方提供服务。</w:t>
      </w:r>
    </w:p>
    <w:p w14:paraId="494DDE02">
      <w:pPr>
        <w:spacing w:line="360" w:lineRule="auto"/>
        <w:rPr>
          <w:rFonts w:ascii="宋体" w:hAnsi="宋体" w:cs="宋体"/>
          <w:color w:val="auto"/>
          <w:sz w:val="24"/>
          <w:highlight w:val="none"/>
        </w:rPr>
      </w:pPr>
      <w:r>
        <w:rPr>
          <w:rFonts w:hint="eastAsia" w:ascii="宋体" w:hAnsi="宋体" w:cs="宋体"/>
          <w:color w:val="auto"/>
          <w:sz w:val="24"/>
          <w:highlight w:val="none"/>
        </w:rPr>
        <w:t>　　2.甲方委托乙方承担本合同内容以外的工作服务，另行签订协议并支付费用。</w:t>
      </w:r>
    </w:p>
    <w:p w14:paraId="4B4AD05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3.由于不可抗力因素致使合同无法履行时，双方应及时协商解决。</w:t>
      </w:r>
    </w:p>
    <w:p w14:paraId="102661E2">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4.双方认可的来往传真、电报、会议纪要等，均为合同的组成部分，与本合同具有同等法律效力。</w:t>
      </w:r>
    </w:p>
    <w:p w14:paraId="2B85E642">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5.合同不可分割部分：采购文件、响应文件、合同条款及中标通知书，乙方在投标、评标过程中所作其他有关承诺、声明、书面澄清等均为合同不可分割的部分，与主合同具有同等法律效力。</w:t>
      </w:r>
    </w:p>
    <w:p w14:paraId="4ADF2C92">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6.本合同双方签字盖章并见证即生效，一式</w:t>
      </w:r>
      <w:r>
        <w:rPr>
          <w:rFonts w:hint="eastAsia" w:ascii="宋体" w:hAnsi="宋体" w:cs="宋体"/>
          <w:color w:val="auto"/>
          <w:sz w:val="24"/>
          <w:highlight w:val="none"/>
          <w:u w:val="single"/>
        </w:rPr>
        <w:t xml:space="preserve"> 伍 </w:t>
      </w:r>
      <w:r>
        <w:rPr>
          <w:rFonts w:hint="eastAsia" w:ascii="宋体" w:hAnsi="宋体" w:cs="宋体"/>
          <w:color w:val="auto"/>
          <w:sz w:val="24"/>
          <w:highlight w:val="none"/>
        </w:rPr>
        <w:t>份，甲方</w:t>
      </w:r>
      <w:r>
        <w:rPr>
          <w:rFonts w:hint="eastAsia" w:ascii="宋体" w:hAnsi="宋体" w:cs="宋体"/>
          <w:color w:val="auto"/>
          <w:sz w:val="24"/>
          <w:highlight w:val="none"/>
          <w:u w:val="single"/>
        </w:rPr>
        <w:t xml:space="preserve"> 贰 </w:t>
      </w:r>
      <w:r>
        <w:rPr>
          <w:rFonts w:hint="eastAsia" w:ascii="宋体" w:hAnsi="宋体" w:cs="宋体"/>
          <w:color w:val="auto"/>
          <w:sz w:val="24"/>
          <w:highlight w:val="none"/>
        </w:rPr>
        <w:t>份，乙方</w:t>
      </w:r>
      <w:r>
        <w:rPr>
          <w:rFonts w:hint="eastAsia" w:ascii="宋体" w:hAnsi="宋体" w:cs="宋体"/>
          <w:color w:val="auto"/>
          <w:sz w:val="24"/>
          <w:highlight w:val="none"/>
          <w:u w:val="single"/>
        </w:rPr>
        <w:t xml:space="preserve"> 贰 </w:t>
      </w:r>
      <w:r>
        <w:rPr>
          <w:rFonts w:hint="eastAsia" w:ascii="宋体" w:hAnsi="宋体" w:cs="宋体"/>
          <w:color w:val="auto"/>
          <w:sz w:val="24"/>
          <w:highlight w:val="none"/>
        </w:rPr>
        <w:t>份，见证人</w:t>
      </w:r>
      <w:r>
        <w:rPr>
          <w:rFonts w:hint="eastAsia" w:ascii="宋体" w:hAnsi="宋体" w:cs="宋体"/>
          <w:color w:val="auto"/>
          <w:sz w:val="24"/>
          <w:highlight w:val="none"/>
          <w:u w:val="single"/>
        </w:rPr>
        <w:t>壹</w:t>
      </w:r>
      <w:r>
        <w:rPr>
          <w:rFonts w:hint="eastAsia" w:ascii="宋体" w:hAnsi="宋体" w:cs="宋体"/>
          <w:color w:val="auto"/>
          <w:sz w:val="24"/>
          <w:highlight w:val="none"/>
        </w:rPr>
        <w:t>份。</w:t>
      </w:r>
    </w:p>
    <w:p w14:paraId="6EBDB886">
      <w:pPr>
        <w:spacing w:line="360" w:lineRule="auto"/>
        <w:ind w:firstLine="420"/>
        <w:rPr>
          <w:rFonts w:ascii="宋体" w:hAnsi="宋体" w:cs="宋体"/>
          <w:color w:val="auto"/>
          <w:sz w:val="24"/>
          <w:highlight w:val="none"/>
        </w:rPr>
      </w:pPr>
      <w:r>
        <w:rPr>
          <w:rFonts w:hint="eastAsia" w:ascii="宋体" w:hAnsi="宋体" w:cs="宋体"/>
          <w:color w:val="auto"/>
          <w:sz w:val="24"/>
          <w:highlight w:val="none"/>
        </w:rPr>
        <w:t>7.未尽事宜，经双方协商一致，签订补充协议，补充协议与本合同具有同等效力。</w:t>
      </w:r>
    </w:p>
    <w:p w14:paraId="7F5CE490">
      <w:pPr>
        <w:rPr>
          <w:rFonts w:ascii="宋体" w:hAnsi="宋体" w:cs="宋体"/>
          <w:b/>
          <w:bCs/>
          <w:color w:val="auto"/>
          <w:sz w:val="24"/>
          <w:highlight w:val="none"/>
        </w:rPr>
      </w:pPr>
      <w:r>
        <w:rPr>
          <w:rFonts w:hint="eastAsia" w:ascii="宋体" w:hAnsi="宋体" w:cs="宋体"/>
          <w:b/>
          <w:bCs/>
          <w:color w:val="auto"/>
          <w:sz w:val="24"/>
          <w:highlight w:val="none"/>
        </w:rPr>
        <w:br w:type="page"/>
      </w:r>
    </w:p>
    <w:p w14:paraId="29B95A21">
      <w:pPr>
        <w:spacing w:before="120" w:after="120" w:line="380" w:lineRule="exact"/>
        <w:rPr>
          <w:rFonts w:ascii="宋体" w:hAnsi="宋体" w:cs="宋体"/>
          <w:b/>
          <w:bCs/>
          <w:color w:val="auto"/>
          <w:sz w:val="24"/>
          <w:highlight w:val="none"/>
        </w:rPr>
      </w:pPr>
      <w:r>
        <w:rPr>
          <w:rFonts w:hint="eastAsia" w:ascii="宋体" w:hAnsi="宋体" w:cs="宋体"/>
          <w:b/>
          <w:bCs/>
          <w:color w:val="auto"/>
          <w:sz w:val="24"/>
          <w:highlight w:val="none"/>
        </w:rPr>
        <w:t>（此页无正文）</w:t>
      </w:r>
    </w:p>
    <w:tbl>
      <w:tblPr>
        <w:tblStyle w:val="868"/>
        <w:tblW w:w="10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5"/>
        <w:gridCol w:w="4795"/>
      </w:tblGrid>
      <w:tr w14:paraId="4A49A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5255" w:type="dxa"/>
            <w:tcBorders>
              <w:top w:val="single" w:color="auto" w:sz="4" w:space="0"/>
              <w:left w:val="single" w:color="auto" w:sz="4" w:space="0"/>
              <w:bottom w:val="single" w:color="auto" w:sz="4" w:space="0"/>
              <w:right w:val="single" w:color="auto" w:sz="4" w:space="0"/>
            </w:tcBorders>
            <w:vAlign w:val="center"/>
          </w:tcPr>
          <w:p w14:paraId="46C37A88">
            <w:pPr>
              <w:jc w:val="left"/>
              <w:rPr>
                <w:rFonts w:ascii="宋体" w:hAnsi="宋体" w:cs="宋体"/>
                <w:b/>
                <w:color w:val="auto"/>
                <w:sz w:val="24"/>
                <w:szCs w:val="24"/>
                <w:highlight w:val="none"/>
              </w:rPr>
            </w:pPr>
            <w:r>
              <w:rPr>
                <w:rFonts w:hint="eastAsia" w:ascii="宋体" w:hAnsi="宋体" w:cs="宋体"/>
                <w:b/>
                <w:color w:val="auto"/>
                <w:sz w:val="24"/>
                <w:szCs w:val="24"/>
                <w:highlight w:val="none"/>
              </w:rPr>
              <w:t>甲方</w:t>
            </w:r>
          </w:p>
        </w:tc>
        <w:tc>
          <w:tcPr>
            <w:tcW w:w="4795" w:type="dxa"/>
            <w:tcBorders>
              <w:top w:val="single" w:color="auto" w:sz="4" w:space="0"/>
              <w:left w:val="single" w:color="auto" w:sz="4" w:space="0"/>
              <w:bottom w:val="single" w:color="auto" w:sz="4" w:space="0"/>
              <w:right w:val="single" w:color="auto" w:sz="4" w:space="0"/>
            </w:tcBorders>
            <w:vAlign w:val="center"/>
          </w:tcPr>
          <w:p w14:paraId="54408560">
            <w:pPr>
              <w:jc w:val="left"/>
              <w:rPr>
                <w:rFonts w:ascii="宋体" w:hAnsi="宋体" w:cs="宋体"/>
                <w:b/>
                <w:color w:val="auto"/>
                <w:sz w:val="24"/>
                <w:szCs w:val="24"/>
                <w:highlight w:val="none"/>
              </w:rPr>
            </w:pPr>
            <w:r>
              <w:rPr>
                <w:rFonts w:hint="eastAsia" w:ascii="宋体" w:hAnsi="宋体" w:cs="宋体"/>
                <w:b/>
                <w:color w:val="auto"/>
                <w:sz w:val="24"/>
                <w:szCs w:val="24"/>
                <w:highlight w:val="none"/>
              </w:rPr>
              <w:t>乙方</w:t>
            </w:r>
          </w:p>
        </w:tc>
      </w:tr>
      <w:tr w14:paraId="12B98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6" w:hRule="atLeast"/>
          <w:jc w:val="center"/>
        </w:trPr>
        <w:tc>
          <w:tcPr>
            <w:tcW w:w="5255" w:type="dxa"/>
            <w:tcBorders>
              <w:top w:val="single" w:color="auto" w:sz="4" w:space="0"/>
              <w:left w:val="single" w:color="auto" w:sz="4" w:space="0"/>
              <w:bottom w:val="single" w:color="auto" w:sz="4" w:space="0"/>
              <w:right w:val="single" w:color="auto" w:sz="4" w:space="0"/>
            </w:tcBorders>
          </w:tcPr>
          <w:p w14:paraId="06EA87D3">
            <w:pPr>
              <w:jc w:val="left"/>
              <w:rPr>
                <w:rFonts w:ascii="宋体" w:hAnsi="宋体" w:cs="宋体"/>
                <w:color w:val="auto"/>
                <w:sz w:val="24"/>
                <w:szCs w:val="24"/>
                <w:highlight w:val="none"/>
              </w:rPr>
            </w:pPr>
            <w:r>
              <w:rPr>
                <w:rFonts w:hint="eastAsia" w:ascii="宋体" w:hAnsi="宋体" w:cs="宋体"/>
                <w:color w:val="auto"/>
                <w:sz w:val="24"/>
                <w:szCs w:val="24"/>
                <w:highlight w:val="none"/>
              </w:rPr>
              <w:t>单位名称（盖章）：无锡市惠山区阳山镇人民政府</w:t>
            </w:r>
          </w:p>
          <w:p w14:paraId="6E69508A">
            <w:pPr>
              <w:jc w:val="left"/>
              <w:rPr>
                <w:rFonts w:ascii="宋体" w:hAnsi="宋体" w:cs="宋体"/>
                <w:color w:val="auto"/>
                <w:sz w:val="24"/>
                <w:szCs w:val="24"/>
                <w:highlight w:val="none"/>
              </w:rPr>
            </w:pPr>
          </w:p>
        </w:tc>
        <w:tc>
          <w:tcPr>
            <w:tcW w:w="4795" w:type="dxa"/>
            <w:tcBorders>
              <w:top w:val="single" w:color="auto" w:sz="4" w:space="0"/>
              <w:left w:val="single" w:color="auto" w:sz="4" w:space="0"/>
              <w:bottom w:val="single" w:color="auto" w:sz="4" w:space="0"/>
              <w:right w:val="single" w:color="auto" w:sz="4" w:space="0"/>
            </w:tcBorders>
          </w:tcPr>
          <w:p w14:paraId="5943A263">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单位名称（盖章）： </w:t>
            </w:r>
          </w:p>
        </w:tc>
      </w:tr>
      <w:tr w14:paraId="26362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5255" w:type="dxa"/>
            <w:tcBorders>
              <w:top w:val="single" w:color="auto" w:sz="4" w:space="0"/>
              <w:left w:val="single" w:color="auto" w:sz="4" w:space="0"/>
              <w:bottom w:val="single" w:color="auto" w:sz="4" w:space="0"/>
              <w:right w:val="single" w:color="auto" w:sz="4" w:space="0"/>
            </w:tcBorders>
            <w:vAlign w:val="center"/>
          </w:tcPr>
          <w:p w14:paraId="7321F2EB">
            <w:pPr>
              <w:jc w:val="left"/>
              <w:rPr>
                <w:rFonts w:ascii="宋体" w:hAnsi="宋体" w:cs="宋体"/>
                <w:color w:val="auto"/>
                <w:sz w:val="24"/>
                <w:szCs w:val="24"/>
                <w:highlight w:val="none"/>
              </w:rPr>
            </w:pPr>
            <w:r>
              <w:rPr>
                <w:rFonts w:hint="eastAsia" w:ascii="宋体" w:hAnsi="宋体" w:cs="宋体"/>
                <w:color w:val="auto"/>
                <w:sz w:val="24"/>
                <w:szCs w:val="24"/>
                <w:highlight w:val="none"/>
              </w:rPr>
              <w:t>单位地址：无锡市惠山区阳山镇</w:t>
            </w:r>
          </w:p>
        </w:tc>
        <w:tc>
          <w:tcPr>
            <w:tcW w:w="4795" w:type="dxa"/>
            <w:tcBorders>
              <w:top w:val="single" w:color="auto" w:sz="4" w:space="0"/>
              <w:left w:val="single" w:color="auto" w:sz="4" w:space="0"/>
              <w:bottom w:val="single" w:color="auto" w:sz="4" w:space="0"/>
              <w:right w:val="single" w:color="auto" w:sz="4" w:space="0"/>
            </w:tcBorders>
            <w:vAlign w:val="center"/>
          </w:tcPr>
          <w:p w14:paraId="78711B6D">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单位地址： </w:t>
            </w:r>
          </w:p>
        </w:tc>
      </w:tr>
      <w:tr w14:paraId="0F209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jc w:val="center"/>
        </w:trPr>
        <w:tc>
          <w:tcPr>
            <w:tcW w:w="5255" w:type="dxa"/>
            <w:tcBorders>
              <w:top w:val="single" w:color="auto" w:sz="4" w:space="0"/>
              <w:left w:val="single" w:color="auto" w:sz="4" w:space="0"/>
              <w:bottom w:val="single" w:color="auto" w:sz="4" w:space="0"/>
              <w:right w:val="single" w:color="auto" w:sz="4" w:space="0"/>
            </w:tcBorders>
            <w:vAlign w:val="center"/>
          </w:tcPr>
          <w:p w14:paraId="05936535">
            <w:pPr>
              <w:jc w:val="left"/>
              <w:rPr>
                <w:rFonts w:ascii="宋体" w:hAnsi="宋体" w:cs="宋体"/>
                <w:color w:val="auto"/>
                <w:sz w:val="24"/>
                <w:szCs w:val="24"/>
                <w:highlight w:val="none"/>
              </w:rPr>
            </w:pPr>
            <w:r>
              <w:rPr>
                <w:rFonts w:hint="eastAsia" w:ascii="宋体" w:hAnsi="宋体" w:cs="宋体"/>
                <w:color w:val="auto"/>
                <w:sz w:val="24"/>
                <w:szCs w:val="24"/>
                <w:highlight w:val="none"/>
              </w:rPr>
              <w:t>法定代表人（签字或盖章）：</w:t>
            </w:r>
          </w:p>
        </w:tc>
        <w:tc>
          <w:tcPr>
            <w:tcW w:w="4795" w:type="dxa"/>
            <w:tcBorders>
              <w:top w:val="single" w:color="auto" w:sz="4" w:space="0"/>
              <w:left w:val="single" w:color="auto" w:sz="4" w:space="0"/>
              <w:bottom w:val="single" w:color="auto" w:sz="4" w:space="0"/>
              <w:right w:val="single" w:color="auto" w:sz="4" w:space="0"/>
            </w:tcBorders>
            <w:vAlign w:val="center"/>
          </w:tcPr>
          <w:p w14:paraId="029E549C">
            <w:pPr>
              <w:jc w:val="left"/>
              <w:rPr>
                <w:rFonts w:ascii="宋体" w:hAnsi="宋体" w:cs="宋体"/>
                <w:color w:val="auto"/>
                <w:sz w:val="24"/>
                <w:szCs w:val="24"/>
                <w:highlight w:val="none"/>
              </w:rPr>
            </w:pPr>
            <w:r>
              <w:rPr>
                <w:rFonts w:hint="eastAsia" w:ascii="宋体" w:hAnsi="宋体" w:cs="宋体"/>
                <w:color w:val="auto"/>
                <w:sz w:val="24"/>
                <w:szCs w:val="24"/>
                <w:highlight w:val="none"/>
              </w:rPr>
              <w:t>法定代表人（签字或盖章）：</w:t>
            </w:r>
          </w:p>
        </w:tc>
      </w:tr>
      <w:tr w14:paraId="34FC6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5255" w:type="dxa"/>
            <w:tcBorders>
              <w:top w:val="single" w:color="auto" w:sz="4" w:space="0"/>
              <w:left w:val="single" w:color="auto" w:sz="4" w:space="0"/>
              <w:bottom w:val="single" w:color="auto" w:sz="4" w:space="0"/>
              <w:right w:val="single" w:color="auto" w:sz="4" w:space="0"/>
            </w:tcBorders>
            <w:vAlign w:val="center"/>
          </w:tcPr>
          <w:p w14:paraId="70D5B756">
            <w:pPr>
              <w:jc w:val="left"/>
              <w:rPr>
                <w:rFonts w:ascii="宋体" w:hAnsi="宋体" w:cs="宋体"/>
                <w:color w:val="auto"/>
                <w:sz w:val="24"/>
                <w:szCs w:val="24"/>
                <w:highlight w:val="none"/>
              </w:rPr>
            </w:pPr>
            <w:r>
              <w:rPr>
                <w:rFonts w:hint="eastAsia" w:ascii="宋体" w:hAnsi="宋体" w:cs="宋体"/>
                <w:color w:val="auto"/>
                <w:sz w:val="24"/>
                <w:szCs w:val="24"/>
                <w:highlight w:val="none"/>
              </w:rPr>
              <w:t>经办人（签字）：</w:t>
            </w:r>
          </w:p>
        </w:tc>
        <w:tc>
          <w:tcPr>
            <w:tcW w:w="4795" w:type="dxa"/>
            <w:tcBorders>
              <w:top w:val="single" w:color="auto" w:sz="4" w:space="0"/>
              <w:left w:val="single" w:color="auto" w:sz="4" w:space="0"/>
              <w:bottom w:val="single" w:color="auto" w:sz="4" w:space="0"/>
              <w:right w:val="single" w:color="auto" w:sz="4" w:space="0"/>
            </w:tcBorders>
            <w:vAlign w:val="center"/>
          </w:tcPr>
          <w:p w14:paraId="51E76437">
            <w:pPr>
              <w:jc w:val="left"/>
              <w:rPr>
                <w:rFonts w:ascii="宋体" w:hAnsi="宋体" w:cs="宋体"/>
                <w:color w:val="auto"/>
                <w:sz w:val="24"/>
                <w:szCs w:val="24"/>
                <w:highlight w:val="none"/>
              </w:rPr>
            </w:pPr>
            <w:r>
              <w:rPr>
                <w:rFonts w:hint="eastAsia" w:ascii="宋体" w:hAnsi="宋体" w:cs="宋体"/>
                <w:color w:val="auto"/>
                <w:sz w:val="24"/>
                <w:szCs w:val="24"/>
                <w:highlight w:val="none"/>
              </w:rPr>
              <w:t>经办人（签字）：</w:t>
            </w:r>
          </w:p>
        </w:tc>
      </w:tr>
      <w:tr w14:paraId="4AD90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5255" w:type="dxa"/>
            <w:tcBorders>
              <w:top w:val="single" w:color="auto" w:sz="4" w:space="0"/>
              <w:left w:val="single" w:color="auto" w:sz="4" w:space="0"/>
              <w:bottom w:val="single" w:color="auto" w:sz="4" w:space="0"/>
              <w:right w:val="single" w:color="auto" w:sz="4" w:space="0"/>
            </w:tcBorders>
            <w:vAlign w:val="center"/>
          </w:tcPr>
          <w:p w14:paraId="5173B7F6">
            <w:pPr>
              <w:jc w:val="left"/>
              <w:rPr>
                <w:rFonts w:ascii="宋体" w:hAnsi="宋体" w:cs="宋体"/>
                <w:color w:val="auto"/>
                <w:sz w:val="24"/>
                <w:szCs w:val="24"/>
                <w:highlight w:val="none"/>
              </w:rPr>
            </w:pPr>
            <w:r>
              <w:rPr>
                <w:rFonts w:hint="eastAsia" w:ascii="宋体" w:hAnsi="宋体" w:cs="宋体"/>
                <w:color w:val="auto"/>
                <w:sz w:val="24"/>
                <w:szCs w:val="24"/>
                <w:highlight w:val="none"/>
              </w:rPr>
              <w:t>开户银行：</w:t>
            </w:r>
          </w:p>
        </w:tc>
        <w:tc>
          <w:tcPr>
            <w:tcW w:w="4795" w:type="dxa"/>
            <w:tcBorders>
              <w:top w:val="single" w:color="auto" w:sz="4" w:space="0"/>
              <w:left w:val="single" w:color="auto" w:sz="4" w:space="0"/>
              <w:bottom w:val="single" w:color="auto" w:sz="4" w:space="0"/>
              <w:right w:val="single" w:color="auto" w:sz="4" w:space="0"/>
            </w:tcBorders>
            <w:vAlign w:val="center"/>
          </w:tcPr>
          <w:p w14:paraId="5F654370">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w:t>
            </w:r>
          </w:p>
        </w:tc>
      </w:tr>
      <w:tr w14:paraId="06C71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5255" w:type="dxa"/>
            <w:tcBorders>
              <w:top w:val="single" w:color="auto" w:sz="4" w:space="0"/>
              <w:left w:val="single" w:color="auto" w:sz="4" w:space="0"/>
              <w:bottom w:val="single" w:color="auto" w:sz="4" w:space="0"/>
              <w:right w:val="single" w:color="auto" w:sz="4" w:space="0"/>
            </w:tcBorders>
            <w:vAlign w:val="center"/>
          </w:tcPr>
          <w:p w14:paraId="04283C58">
            <w:pPr>
              <w:jc w:val="left"/>
              <w:rPr>
                <w:rFonts w:ascii="宋体" w:hAnsi="宋体" w:cs="宋体"/>
                <w:color w:val="auto"/>
                <w:sz w:val="24"/>
                <w:szCs w:val="24"/>
                <w:highlight w:val="none"/>
              </w:rPr>
            </w:pPr>
            <w:r>
              <w:rPr>
                <w:rFonts w:hint="eastAsia" w:ascii="宋体" w:hAnsi="宋体" w:cs="宋体"/>
                <w:color w:val="auto"/>
                <w:sz w:val="24"/>
                <w:szCs w:val="24"/>
                <w:highlight w:val="none"/>
              </w:rPr>
              <w:t>账    号：</w:t>
            </w:r>
          </w:p>
        </w:tc>
        <w:tc>
          <w:tcPr>
            <w:tcW w:w="4795" w:type="dxa"/>
            <w:tcBorders>
              <w:top w:val="single" w:color="auto" w:sz="4" w:space="0"/>
              <w:left w:val="single" w:color="auto" w:sz="4" w:space="0"/>
              <w:bottom w:val="single" w:color="auto" w:sz="4" w:space="0"/>
              <w:right w:val="single" w:color="auto" w:sz="4" w:space="0"/>
            </w:tcBorders>
            <w:vAlign w:val="center"/>
          </w:tcPr>
          <w:p w14:paraId="169FAD46">
            <w:pPr>
              <w:jc w:val="left"/>
              <w:rPr>
                <w:rFonts w:ascii="宋体" w:hAnsi="宋体" w:cs="宋体"/>
                <w:color w:val="auto"/>
                <w:sz w:val="24"/>
                <w:szCs w:val="24"/>
                <w:highlight w:val="none"/>
              </w:rPr>
            </w:pPr>
            <w:r>
              <w:rPr>
                <w:rFonts w:hint="eastAsia" w:ascii="宋体" w:hAnsi="宋体" w:cs="宋体"/>
                <w:color w:val="auto"/>
                <w:sz w:val="24"/>
                <w:szCs w:val="24"/>
                <w:highlight w:val="none"/>
              </w:rPr>
              <w:t>账    号：</w:t>
            </w:r>
          </w:p>
        </w:tc>
      </w:tr>
      <w:tr w14:paraId="6F510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5255" w:type="dxa"/>
            <w:tcBorders>
              <w:top w:val="single" w:color="auto" w:sz="4" w:space="0"/>
              <w:left w:val="single" w:color="auto" w:sz="4" w:space="0"/>
              <w:bottom w:val="single" w:color="auto" w:sz="4" w:space="0"/>
              <w:right w:val="single" w:color="auto" w:sz="4" w:space="0"/>
            </w:tcBorders>
            <w:vAlign w:val="center"/>
          </w:tcPr>
          <w:p w14:paraId="1FD0788E">
            <w:pPr>
              <w:jc w:val="left"/>
              <w:rPr>
                <w:rFonts w:ascii="宋体" w:hAnsi="宋体" w:cs="宋体"/>
                <w:color w:val="auto"/>
                <w:sz w:val="24"/>
                <w:szCs w:val="24"/>
                <w:highlight w:val="none"/>
              </w:rPr>
            </w:pPr>
            <w:r>
              <w:rPr>
                <w:rFonts w:hint="eastAsia" w:ascii="宋体" w:hAnsi="宋体" w:cs="宋体"/>
                <w:color w:val="auto"/>
                <w:sz w:val="24"/>
                <w:szCs w:val="24"/>
                <w:highlight w:val="none"/>
              </w:rPr>
              <w:t>联 系 人：</w:t>
            </w:r>
          </w:p>
        </w:tc>
        <w:tc>
          <w:tcPr>
            <w:tcW w:w="4795" w:type="dxa"/>
            <w:tcBorders>
              <w:top w:val="single" w:color="auto" w:sz="4" w:space="0"/>
              <w:left w:val="single" w:color="auto" w:sz="4" w:space="0"/>
              <w:bottom w:val="single" w:color="auto" w:sz="4" w:space="0"/>
              <w:right w:val="single" w:color="auto" w:sz="4" w:space="0"/>
            </w:tcBorders>
            <w:vAlign w:val="center"/>
          </w:tcPr>
          <w:p w14:paraId="1BADA2F3">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联 系 人： </w:t>
            </w:r>
          </w:p>
        </w:tc>
      </w:tr>
      <w:tr w14:paraId="766A0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5255" w:type="dxa"/>
            <w:tcBorders>
              <w:top w:val="single" w:color="auto" w:sz="4" w:space="0"/>
              <w:left w:val="single" w:color="auto" w:sz="4" w:space="0"/>
              <w:bottom w:val="single" w:color="auto" w:sz="4" w:space="0"/>
              <w:right w:val="single" w:color="auto" w:sz="4" w:space="0"/>
            </w:tcBorders>
            <w:vAlign w:val="center"/>
          </w:tcPr>
          <w:p w14:paraId="11EF8543">
            <w:pPr>
              <w:jc w:val="left"/>
              <w:rPr>
                <w:rFonts w:ascii="宋体" w:hAnsi="宋体" w:cs="宋体"/>
                <w:color w:val="auto"/>
                <w:sz w:val="24"/>
                <w:szCs w:val="24"/>
                <w:highlight w:val="none"/>
              </w:rPr>
            </w:pPr>
            <w:r>
              <w:rPr>
                <w:rFonts w:hint="eastAsia" w:ascii="宋体" w:hAnsi="宋体" w:cs="宋体"/>
                <w:color w:val="auto"/>
                <w:sz w:val="24"/>
                <w:szCs w:val="24"/>
                <w:highlight w:val="none"/>
              </w:rPr>
              <w:t>电    话：</w:t>
            </w:r>
          </w:p>
        </w:tc>
        <w:tc>
          <w:tcPr>
            <w:tcW w:w="4795" w:type="dxa"/>
            <w:tcBorders>
              <w:top w:val="single" w:color="auto" w:sz="4" w:space="0"/>
              <w:left w:val="single" w:color="auto" w:sz="4" w:space="0"/>
              <w:bottom w:val="single" w:color="auto" w:sz="4" w:space="0"/>
              <w:right w:val="single" w:color="auto" w:sz="4" w:space="0"/>
            </w:tcBorders>
            <w:vAlign w:val="center"/>
          </w:tcPr>
          <w:p w14:paraId="2CD805FA">
            <w:pPr>
              <w:jc w:val="left"/>
              <w:rPr>
                <w:rFonts w:ascii="宋体" w:hAnsi="宋体" w:cs="宋体"/>
                <w:color w:val="auto"/>
                <w:sz w:val="24"/>
                <w:szCs w:val="24"/>
                <w:highlight w:val="none"/>
              </w:rPr>
            </w:pPr>
            <w:r>
              <w:rPr>
                <w:rFonts w:hint="eastAsia" w:ascii="宋体" w:hAnsi="宋体" w:cs="宋体"/>
                <w:color w:val="auto"/>
                <w:sz w:val="24"/>
                <w:szCs w:val="24"/>
                <w:highlight w:val="none"/>
              </w:rPr>
              <w:t>电    话：</w:t>
            </w:r>
          </w:p>
        </w:tc>
      </w:tr>
      <w:tr w14:paraId="772E1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5255" w:type="dxa"/>
            <w:tcBorders>
              <w:top w:val="single" w:color="auto" w:sz="4" w:space="0"/>
              <w:left w:val="single" w:color="auto" w:sz="4" w:space="0"/>
              <w:bottom w:val="single" w:color="auto" w:sz="4" w:space="0"/>
              <w:right w:val="single" w:color="auto" w:sz="4" w:space="0"/>
            </w:tcBorders>
            <w:vAlign w:val="center"/>
          </w:tcPr>
          <w:p w14:paraId="5CE2ACDF">
            <w:pPr>
              <w:jc w:val="left"/>
              <w:rPr>
                <w:rFonts w:ascii="宋体" w:hAnsi="宋体" w:cs="宋体"/>
                <w:color w:val="auto"/>
                <w:sz w:val="24"/>
                <w:szCs w:val="24"/>
                <w:highlight w:val="none"/>
              </w:rPr>
            </w:pPr>
            <w:r>
              <w:rPr>
                <w:rFonts w:hint="eastAsia" w:ascii="宋体" w:hAnsi="宋体" w:cs="宋体"/>
                <w:color w:val="auto"/>
                <w:sz w:val="24"/>
                <w:szCs w:val="24"/>
                <w:highlight w:val="none"/>
              </w:rPr>
              <w:t>日期：2026年【   】月【   】日</w:t>
            </w:r>
          </w:p>
        </w:tc>
        <w:tc>
          <w:tcPr>
            <w:tcW w:w="4795" w:type="dxa"/>
            <w:tcBorders>
              <w:top w:val="single" w:color="auto" w:sz="4" w:space="0"/>
              <w:left w:val="single" w:color="auto" w:sz="4" w:space="0"/>
              <w:bottom w:val="single" w:color="auto" w:sz="4" w:space="0"/>
              <w:right w:val="single" w:color="auto" w:sz="4" w:space="0"/>
            </w:tcBorders>
            <w:vAlign w:val="center"/>
          </w:tcPr>
          <w:p w14:paraId="7F0ED5D4">
            <w:pPr>
              <w:jc w:val="left"/>
              <w:rPr>
                <w:rFonts w:ascii="宋体" w:hAnsi="宋体" w:cs="宋体"/>
                <w:color w:val="auto"/>
                <w:sz w:val="24"/>
                <w:szCs w:val="24"/>
                <w:highlight w:val="none"/>
              </w:rPr>
            </w:pPr>
            <w:r>
              <w:rPr>
                <w:rFonts w:hint="eastAsia" w:ascii="宋体" w:hAnsi="宋体" w:cs="宋体"/>
                <w:color w:val="auto"/>
                <w:sz w:val="24"/>
                <w:szCs w:val="24"/>
                <w:highlight w:val="none"/>
              </w:rPr>
              <w:t>日期：2026年【   】月【   】日</w:t>
            </w:r>
          </w:p>
        </w:tc>
      </w:tr>
      <w:tr w14:paraId="1EFF1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9" w:hRule="atLeast"/>
          <w:jc w:val="center"/>
        </w:trPr>
        <w:tc>
          <w:tcPr>
            <w:tcW w:w="10050" w:type="dxa"/>
            <w:gridSpan w:val="2"/>
            <w:tcBorders>
              <w:top w:val="single" w:color="auto" w:sz="4" w:space="0"/>
              <w:left w:val="single" w:color="auto" w:sz="4" w:space="0"/>
              <w:bottom w:val="single" w:color="auto" w:sz="4" w:space="0"/>
              <w:right w:val="single" w:color="auto" w:sz="4" w:space="0"/>
            </w:tcBorders>
          </w:tcPr>
          <w:p w14:paraId="3E74BB93">
            <w:pPr>
              <w:jc w:val="left"/>
              <w:rPr>
                <w:rFonts w:ascii="宋体" w:hAnsi="宋体" w:cs="宋体"/>
                <w:color w:val="auto"/>
                <w:sz w:val="24"/>
                <w:szCs w:val="24"/>
                <w:highlight w:val="none"/>
              </w:rPr>
            </w:pPr>
            <w:r>
              <w:rPr>
                <w:rFonts w:hint="eastAsia" w:ascii="宋体" w:hAnsi="宋体" w:cs="宋体"/>
                <w:color w:val="auto"/>
                <w:sz w:val="24"/>
                <w:szCs w:val="24"/>
                <w:highlight w:val="none"/>
              </w:rPr>
              <w:t>见证方（盖章）：</w:t>
            </w:r>
          </w:p>
          <w:p w14:paraId="1F4CC873">
            <w:pPr>
              <w:jc w:val="left"/>
              <w:rPr>
                <w:rFonts w:ascii="宋体" w:hAnsi="宋体" w:cs="宋体"/>
                <w:color w:val="auto"/>
                <w:sz w:val="24"/>
                <w:szCs w:val="24"/>
                <w:highlight w:val="none"/>
              </w:rPr>
            </w:pPr>
          </w:p>
          <w:p w14:paraId="5FB2B9A5">
            <w:pPr>
              <w:jc w:val="left"/>
              <w:rPr>
                <w:rFonts w:ascii="宋体" w:hAnsi="宋体" w:cs="宋体"/>
                <w:color w:val="auto"/>
                <w:sz w:val="24"/>
                <w:szCs w:val="24"/>
                <w:highlight w:val="none"/>
              </w:rPr>
            </w:pPr>
          </w:p>
          <w:p w14:paraId="6688CEEC">
            <w:pPr>
              <w:jc w:val="left"/>
              <w:rPr>
                <w:rFonts w:ascii="宋体" w:hAnsi="宋体" w:cs="宋体"/>
                <w:color w:val="auto"/>
                <w:sz w:val="24"/>
                <w:szCs w:val="24"/>
                <w:highlight w:val="none"/>
              </w:rPr>
            </w:pPr>
          </w:p>
          <w:p w14:paraId="297727BA">
            <w:pPr>
              <w:jc w:val="left"/>
              <w:rPr>
                <w:rFonts w:ascii="宋体" w:hAnsi="宋体" w:cs="宋体"/>
                <w:color w:val="auto"/>
                <w:sz w:val="24"/>
                <w:szCs w:val="24"/>
                <w:highlight w:val="none"/>
              </w:rPr>
            </w:pPr>
          </w:p>
          <w:p w14:paraId="5B3BC4F0">
            <w:pPr>
              <w:jc w:val="left"/>
              <w:rPr>
                <w:rFonts w:ascii="宋体" w:hAnsi="宋体" w:cs="宋体"/>
                <w:color w:val="auto"/>
                <w:sz w:val="24"/>
                <w:szCs w:val="24"/>
                <w:highlight w:val="none"/>
              </w:rPr>
            </w:pPr>
            <w:r>
              <w:rPr>
                <w:rFonts w:hint="eastAsia" w:ascii="宋体" w:hAnsi="宋体" w:cs="宋体"/>
                <w:color w:val="auto"/>
                <w:sz w:val="24"/>
                <w:szCs w:val="24"/>
                <w:highlight w:val="none"/>
              </w:rPr>
              <w:t>日期：2026年【   】月【   】日</w:t>
            </w:r>
          </w:p>
        </w:tc>
      </w:tr>
    </w:tbl>
    <w:p w14:paraId="3B4DAE3D">
      <w:pPr>
        <w:spacing w:line="380" w:lineRule="exact"/>
        <w:jc w:val="left"/>
        <w:rPr>
          <w:rFonts w:hAnsi="宋体" w:cs="宋体"/>
          <w:b/>
          <w:color w:val="auto"/>
          <w:sz w:val="24"/>
          <w:szCs w:val="24"/>
          <w:highlight w:val="none"/>
        </w:rPr>
      </w:pPr>
    </w:p>
    <w:p w14:paraId="2E22247E">
      <w:pPr>
        <w:spacing w:line="380" w:lineRule="exact"/>
        <w:jc w:val="left"/>
        <w:rPr>
          <w:rFonts w:hAnsi="宋体" w:cs="宋体"/>
          <w:b/>
          <w:color w:val="auto"/>
          <w:sz w:val="24"/>
          <w:szCs w:val="24"/>
          <w:highlight w:val="none"/>
        </w:rPr>
      </w:pPr>
    </w:p>
    <w:p w14:paraId="6EDEB071">
      <w:pPr>
        <w:spacing w:line="380" w:lineRule="exact"/>
        <w:jc w:val="left"/>
        <w:rPr>
          <w:rFonts w:hAnsi="宋体" w:cs="宋体"/>
          <w:b/>
          <w:color w:val="auto"/>
          <w:sz w:val="24"/>
          <w:szCs w:val="24"/>
          <w:highlight w:val="none"/>
        </w:rPr>
      </w:pPr>
    </w:p>
    <w:p w14:paraId="7023C181">
      <w:pPr>
        <w:rPr>
          <w:rFonts w:hAnsi="宋体" w:cs="宋体"/>
          <w:b/>
          <w:color w:val="auto"/>
          <w:sz w:val="24"/>
          <w:szCs w:val="24"/>
          <w:highlight w:val="none"/>
        </w:rPr>
      </w:pPr>
      <w:r>
        <w:rPr>
          <w:rFonts w:hint="eastAsia" w:hAnsi="宋体" w:cs="宋体"/>
          <w:b/>
          <w:color w:val="auto"/>
          <w:sz w:val="24"/>
          <w:szCs w:val="24"/>
          <w:highlight w:val="none"/>
        </w:rPr>
        <w:br w:type="page"/>
      </w:r>
    </w:p>
    <w:p w14:paraId="26C365C7">
      <w:pPr>
        <w:spacing w:line="380" w:lineRule="exact"/>
        <w:jc w:val="left"/>
        <w:rPr>
          <w:rFonts w:hAnsi="宋体" w:cs="宋体"/>
          <w:b/>
          <w:color w:val="auto"/>
          <w:sz w:val="24"/>
          <w:szCs w:val="24"/>
          <w:highlight w:val="none"/>
        </w:rPr>
      </w:pPr>
      <w:r>
        <w:rPr>
          <w:rFonts w:hint="eastAsia" w:hAnsi="宋体" w:cs="宋体"/>
          <w:b/>
          <w:color w:val="auto"/>
          <w:sz w:val="24"/>
          <w:szCs w:val="24"/>
          <w:highlight w:val="none"/>
        </w:rPr>
        <w:t>附件：</w:t>
      </w:r>
    </w:p>
    <w:p w14:paraId="31245D22">
      <w:pPr>
        <w:spacing w:line="380" w:lineRule="exact"/>
        <w:jc w:val="left"/>
        <w:rPr>
          <w:rFonts w:hAnsi="宋体" w:cs="宋体"/>
          <w:b/>
          <w:color w:val="auto"/>
          <w:sz w:val="24"/>
          <w:szCs w:val="24"/>
          <w:highlight w:val="none"/>
        </w:rPr>
      </w:pPr>
      <w:r>
        <w:rPr>
          <w:rFonts w:hint="eastAsia" w:hAnsi="宋体" w:cs="宋体"/>
          <w:b/>
          <w:color w:val="auto"/>
          <w:sz w:val="24"/>
          <w:szCs w:val="24"/>
          <w:highlight w:val="none"/>
        </w:rPr>
        <w:t>1、《采购需求》</w:t>
      </w:r>
    </w:p>
    <w:p w14:paraId="5B15B306">
      <w:pPr>
        <w:spacing w:line="380" w:lineRule="exact"/>
        <w:jc w:val="left"/>
        <w:rPr>
          <w:rFonts w:hAnsi="宋体" w:cs="宋体"/>
          <w:b/>
          <w:color w:val="auto"/>
          <w:sz w:val="24"/>
          <w:szCs w:val="24"/>
          <w:highlight w:val="none"/>
        </w:rPr>
      </w:pPr>
      <w:r>
        <w:rPr>
          <w:rFonts w:hint="eastAsia" w:hAnsi="宋体" w:cs="宋体"/>
          <w:b/>
          <w:color w:val="auto"/>
          <w:sz w:val="24"/>
          <w:szCs w:val="24"/>
          <w:highlight w:val="none"/>
        </w:rPr>
        <w:t>2、《食材采购及配送考核方案》</w:t>
      </w:r>
    </w:p>
    <w:p w14:paraId="6A81C691">
      <w:pPr>
        <w:spacing w:line="380" w:lineRule="exact"/>
        <w:jc w:val="left"/>
        <w:rPr>
          <w:rFonts w:hAnsi="宋体" w:cs="宋体"/>
          <w:b/>
          <w:color w:val="auto"/>
          <w:sz w:val="24"/>
          <w:szCs w:val="24"/>
          <w:highlight w:val="none"/>
        </w:rPr>
      </w:pPr>
      <w:r>
        <w:rPr>
          <w:rFonts w:hint="eastAsia" w:hAnsi="宋体" w:cs="宋体"/>
          <w:b/>
          <w:color w:val="auto"/>
          <w:sz w:val="24"/>
          <w:szCs w:val="24"/>
          <w:highlight w:val="none"/>
        </w:rPr>
        <w:t>3、《食堂运营及管理考核方案》</w:t>
      </w:r>
    </w:p>
    <w:p w14:paraId="0FAB9D44">
      <w:pPr>
        <w:spacing w:line="380" w:lineRule="exact"/>
        <w:jc w:val="left"/>
        <w:rPr>
          <w:rFonts w:hAnsi="宋体" w:cs="宋体"/>
          <w:b/>
          <w:bCs/>
          <w:color w:val="auto"/>
          <w:sz w:val="24"/>
          <w:szCs w:val="24"/>
          <w:highlight w:val="none"/>
        </w:rPr>
      </w:pPr>
      <w:r>
        <w:rPr>
          <w:rFonts w:hint="eastAsia" w:hAnsi="宋体" w:cs="宋体"/>
          <w:b/>
          <w:color w:val="auto"/>
          <w:sz w:val="24"/>
          <w:szCs w:val="24"/>
          <w:highlight w:val="none"/>
        </w:rPr>
        <w:t>4、《食堂卫生考核方案》</w:t>
      </w:r>
    </w:p>
    <w:p w14:paraId="45BD0575">
      <w:pPr>
        <w:rPr>
          <w:color w:val="auto"/>
          <w:highlight w:val="none"/>
        </w:rPr>
      </w:pPr>
    </w:p>
    <w:p w14:paraId="7F87257A">
      <w:pPr>
        <w:spacing w:line="380" w:lineRule="exact"/>
        <w:rPr>
          <w:rFonts w:hAnsi="宋体" w:cs="宋体"/>
          <w:b/>
          <w:bCs/>
          <w:color w:val="auto"/>
          <w:sz w:val="24"/>
          <w:szCs w:val="24"/>
          <w:highlight w:val="none"/>
        </w:rPr>
      </w:pPr>
      <w:r>
        <w:rPr>
          <w:rFonts w:hint="eastAsia" w:hAnsi="宋体" w:cs="宋体"/>
          <w:b/>
          <w:bCs/>
          <w:color w:val="auto"/>
          <w:sz w:val="24"/>
          <w:szCs w:val="24"/>
          <w:highlight w:val="none"/>
        </w:rPr>
        <w:t>附件2：</w:t>
      </w:r>
    </w:p>
    <w:p w14:paraId="7EB5C090">
      <w:pPr>
        <w:spacing w:line="380" w:lineRule="exact"/>
        <w:ind w:firstLine="482"/>
        <w:jc w:val="center"/>
        <w:rPr>
          <w:rFonts w:hAnsi="宋体" w:cs="宋体"/>
          <w:b/>
          <w:color w:val="auto"/>
          <w:sz w:val="24"/>
          <w:szCs w:val="24"/>
          <w:highlight w:val="none"/>
        </w:rPr>
      </w:pPr>
      <w:r>
        <w:rPr>
          <w:rFonts w:hint="eastAsia" w:hAnsi="宋体" w:cs="宋体"/>
          <w:b/>
          <w:color w:val="auto"/>
          <w:sz w:val="24"/>
          <w:szCs w:val="24"/>
          <w:highlight w:val="none"/>
        </w:rPr>
        <w:t>食材采购及配送考核方案表</w:t>
      </w:r>
    </w:p>
    <w:tbl>
      <w:tblPr>
        <w:tblStyle w:val="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4"/>
        <w:gridCol w:w="1064"/>
        <w:gridCol w:w="6686"/>
        <w:gridCol w:w="746"/>
        <w:gridCol w:w="716"/>
      </w:tblGrid>
      <w:tr w14:paraId="610527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jc w:val="center"/>
        </w:trPr>
        <w:tc>
          <w:tcPr>
            <w:tcW w:w="704" w:type="dxa"/>
            <w:vAlign w:val="center"/>
          </w:tcPr>
          <w:p w14:paraId="1DA94F46">
            <w:pPr>
              <w:spacing w:line="380" w:lineRule="exact"/>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1064" w:type="dxa"/>
            <w:vAlign w:val="center"/>
          </w:tcPr>
          <w:p w14:paraId="0352E6C2">
            <w:pPr>
              <w:spacing w:line="380" w:lineRule="exact"/>
              <w:jc w:val="center"/>
              <w:rPr>
                <w:rFonts w:ascii="宋体" w:hAnsi="宋体" w:cs="宋体"/>
                <w:color w:val="auto"/>
                <w:szCs w:val="21"/>
                <w:highlight w:val="none"/>
              </w:rPr>
            </w:pPr>
            <w:r>
              <w:rPr>
                <w:rFonts w:hint="eastAsia" w:ascii="宋体" w:hAnsi="宋体" w:cs="宋体"/>
                <w:color w:val="auto"/>
                <w:szCs w:val="21"/>
                <w:highlight w:val="none"/>
              </w:rPr>
              <w:t>项目名称</w:t>
            </w:r>
          </w:p>
        </w:tc>
        <w:tc>
          <w:tcPr>
            <w:tcW w:w="6686" w:type="dxa"/>
            <w:vAlign w:val="center"/>
          </w:tcPr>
          <w:p w14:paraId="1E6B480B">
            <w:pPr>
              <w:spacing w:line="380" w:lineRule="exact"/>
              <w:jc w:val="center"/>
              <w:rPr>
                <w:rFonts w:ascii="宋体" w:hAnsi="宋体" w:cs="宋体"/>
                <w:color w:val="auto"/>
                <w:szCs w:val="21"/>
                <w:highlight w:val="none"/>
              </w:rPr>
            </w:pPr>
            <w:r>
              <w:rPr>
                <w:rFonts w:hint="eastAsia" w:ascii="宋体" w:hAnsi="宋体" w:cs="宋体"/>
                <w:color w:val="auto"/>
                <w:szCs w:val="21"/>
                <w:highlight w:val="none"/>
              </w:rPr>
              <w:t>考核内容</w:t>
            </w:r>
          </w:p>
        </w:tc>
        <w:tc>
          <w:tcPr>
            <w:tcW w:w="746" w:type="dxa"/>
            <w:vAlign w:val="center"/>
          </w:tcPr>
          <w:p w14:paraId="14B77DE1">
            <w:pPr>
              <w:spacing w:line="380" w:lineRule="exact"/>
              <w:jc w:val="center"/>
              <w:rPr>
                <w:rFonts w:ascii="宋体" w:hAnsi="宋体" w:cs="宋体"/>
                <w:color w:val="auto"/>
                <w:szCs w:val="21"/>
                <w:highlight w:val="none"/>
              </w:rPr>
            </w:pPr>
            <w:r>
              <w:rPr>
                <w:rFonts w:hint="eastAsia" w:ascii="宋体" w:hAnsi="宋体" w:cs="宋体"/>
                <w:color w:val="auto"/>
                <w:szCs w:val="21"/>
                <w:highlight w:val="none"/>
              </w:rPr>
              <w:t>分值</w:t>
            </w:r>
          </w:p>
        </w:tc>
        <w:tc>
          <w:tcPr>
            <w:tcW w:w="716" w:type="dxa"/>
            <w:vAlign w:val="center"/>
          </w:tcPr>
          <w:p w14:paraId="5E64EDD7">
            <w:pPr>
              <w:spacing w:line="380" w:lineRule="exact"/>
              <w:jc w:val="center"/>
              <w:rPr>
                <w:rFonts w:ascii="宋体" w:hAnsi="宋体" w:cs="宋体"/>
                <w:color w:val="auto"/>
                <w:szCs w:val="21"/>
                <w:highlight w:val="none"/>
              </w:rPr>
            </w:pPr>
            <w:r>
              <w:rPr>
                <w:rFonts w:hint="eastAsia" w:ascii="宋体" w:hAnsi="宋体" w:cs="宋体"/>
                <w:color w:val="auto"/>
                <w:szCs w:val="21"/>
                <w:highlight w:val="none"/>
              </w:rPr>
              <w:t>得分</w:t>
            </w:r>
          </w:p>
        </w:tc>
      </w:tr>
      <w:tr w14:paraId="50513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77" w:hRule="atLeast"/>
          <w:jc w:val="center"/>
        </w:trPr>
        <w:tc>
          <w:tcPr>
            <w:tcW w:w="704" w:type="dxa"/>
            <w:vAlign w:val="center"/>
          </w:tcPr>
          <w:p w14:paraId="1DC63DAB">
            <w:pPr>
              <w:spacing w:line="380" w:lineRule="exact"/>
              <w:jc w:val="center"/>
              <w:rPr>
                <w:rFonts w:ascii="宋体" w:hAnsi="宋体" w:cs="宋体"/>
                <w:color w:val="auto"/>
                <w:szCs w:val="21"/>
                <w:highlight w:val="none"/>
              </w:rPr>
            </w:pPr>
            <w:r>
              <w:rPr>
                <w:rFonts w:hint="eastAsia" w:ascii="宋体" w:hAnsi="宋体" w:cs="宋体"/>
                <w:color w:val="auto"/>
                <w:szCs w:val="21"/>
                <w:highlight w:val="none"/>
              </w:rPr>
              <w:t>1</w:t>
            </w:r>
          </w:p>
        </w:tc>
        <w:tc>
          <w:tcPr>
            <w:tcW w:w="1064" w:type="dxa"/>
            <w:vAlign w:val="center"/>
          </w:tcPr>
          <w:p w14:paraId="59387E05">
            <w:pPr>
              <w:spacing w:line="380" w:lineRule="exact"/>
              <w:jc w:val="center"/>
              <w:rPr>
                <w:rFonts w:ascii="宋体" w:hAnsi="宋体" w:cs="宋体"/>
                <w:color w:val="auto"/>
                <w:szCs w:val="21"/>
                <w:highlight w:val="none"/>
              </w:rPr>
            </w:pPr>
            <w:r>
              <w:rPr>
                <w:rFonts w:hint="eastAsia" w:ascii="宋体" w:hAnsi="宋体" w:cs="宋体"/>
                <w:color w:val="auto"/>
                <w:szCs w:val="21"/>
                <w:highlight w:val="none"/>
              </w:rPr>
              <w:t>交货率</w:t>
            </w:r>
          </w:p>
        </w:tc>
        <w:tc>
          <w:tcPr>
            <w:tcW w:w="6686" w:type="dxa"/>
            <w:vAlign w:val="center"/>
          </w:tcPr>
          <w:p w14:paraId="674768CB">
            <w:pPr>
              <w:spacing w:line="380" w:lineRule="exact"/>
              <w:rPr>
                <w:rFonts w:ascii="宋体" w:hAnsi="宋体" w:cs="宋体"/>
                <w:color w:val="auto"/>
                <w:szCs w:val="21"/>
                <w:highlight w:val="none"/>
              </w:rPr>
            </w:pPr>
            <w:r>
              <w:rPr>
                <w:rFonts w:hint="eastAsia" w:ascii="宋体" w:hAnsi="宋体" w:cs="宋体"/>
                <w:color w:val="auto"/>
                <w:szCs w:val="21"/>
                <w:highlight w:val="none"/>
              </w:rPr>
              <w:t>按采购人规定时间配送产品至指定地点。</w:t>
            </w:r>
          </w:p>
          <w:p w14:paraId="398C31ED">
            <w:pPr>
              <w:spacing w:line="380" w:lineRule="exact"/>
              <w:rPr>
                <w:rFonts w:ascii="宋体" w:hAnsi="宋体" w:cs="宋体"/>
                <w:color w:val="auto"/>
                <w:szCs w:val="21"/>
                <w:highlight w:val="none"/>
              </w:rPr>
            </w:pPr>
            <w:r>
              <w:rPr>
                <w:rFonts w:hint="eastAsia" w:ascii="宋体" w:hAnsi="宋体" w:cs="宋体"/>
                <w:color w:val="auto"/>
                <w:szCs w:val="21"/>
                <w:highlight w:val="none"/>
              </w:rPr>
              <w:t>每延误一批次，扣分如下：</w:t>
            </w:r>
          </w:p>
          <w:p w14:paraId="52642671">
            <w:pPr>
              <w:spacing w:line="380" w:lineRule="exact"/>
              <w:rPr>
                <w:rFonts w:ascii="宋体" w:hAnsi="宋体" w:cs="宋体"/>
                <w:color w:val="auto"/>
                <w:szCs w:val="21"/>
                <w:highlight w:val="none"/>
              </w:rPr>
            </w:pPr>
            <w:r>
              <w:rPr>
                <w:rFonts w:hint="eastAsia" w:ascii="宋体" w:hAnsi="宋体" w:cs="宋体"/>
                <w:color w:val="auto"/>
                <w:szCs w:val="21"/>
                <w:highlight w:val="none"/>
              </w:rPr>
              <w:t>1）迟到30分钟以内，扣2分。</w:t>
            </w:r>
          </w:p>
          <w:p w14:paraId="6723929E">
            <w:pPr>
              <w:spacing w:line="380" w:lineRule="exact"/>
              <w:rPr>
                <w:rFonts w:ascii="宋体" w:hAnsi="宋体" w:cs="宋体"/>
                <w:color w:val="auto"/>
                <w:szCs w:val="21"/>
                <w:highlight w:val="none"/>
              </w:rPr>
            </w:pPr>
            <w:r>
              <w:rPr>
                <w:rFonts w:hint="eastAsia" w:ascii="宋体" w:hAnsi="宋体" w:cs="宋体"/>
                <w:color w:val="auto"/>
                <w:szCs w:val="21"/>
                <w:highlight w:val="none"/>
              </w:rPr>
              <w:t>2）迟到1小时以内，扣3分。</w:t>
            </w:r>
          </w:p>
          <w:p w14:paraId="5ABCA1DF">
            <w:pPr>
              <w:spacing w:line="380" w:lineRule="exact"/>
              <w:rPr>
                <w:rFonts w:ascii="宋体" w:hAnsi="宋体" w:cs="宋体"/>
                <w:color w:val="auto"/>
                <w:szCs w:val="21"/>
                <w:highlight w:val="none"/>
              </w:rPr>
            </w:pPr>
            <w:r>
              <w:rPr>
                <w:rFonts w:hint="eastAsia" w:ascii="宋体" w:hAnsi="宋体" w:cs="宋体"/>
                <w:color w:val="auto"/>
                <w:szCs w:val="21"/>
                <w:highlight w:val="none"/>
              </w:rPr>
              <w:t>3）迟到超过1小时，扣5分。</w:t>
            </w:r>
          </w:p>
          <w:p w14:paraId="119AC620">
            <w:pPr>
              <w:spacing w:line="380" w:lineRule="exact"/>
              <w:rPr>
                <w:rFonts w:ascii="宋体" w:hAnsi="宋体" w:cs="宋体"/>
                <w:color w:val="auto"/>
                <w:szCs w:val="21"/>
                <w:highlight w:val="none"/>
              </w:rPr>
            </w:pPr>
            <w:r>
              <w:rPr>
                <w:rFonts w:hint="eastAsia" w:ascii="宋体" w:hAnsi="宋体" w:cs="宋体"/>
                <w:color w:val="auto"/>
                <w:szCs w:val="21"/>
                <w:highlight w:val="none"/>
              </w:rPr>
              <w:t>4）因恶劣天气供货方未做好预案，或由于供货方自身原因，未在规定时间前将产品配送到指定地点，严重影响食堂开餐，则一次性扣10分。</w:t>
            </w:r>
          </w:p>
        </w:tc>
        <w:tc>
          <w:tcPr>
            <w:tcW w:w="746" w:type="dxa"/>
            <w:vAlign w:val="center"/>
          </w:tcPr>
          <w:p w14:paraId="79AF727E">
            <w:pPr>
              <w:spacing w:line="380" w:lineRule="exact"/>
              <w:jc w:val="center"/>
              <w:rPr>
                <w:rFonts w:ascii="宋体" w:hAnsi="宋体" w:cs="宋体"/>
                <w:color w:val="auto"/>
                <w:szCs w:val="21"/>
                <w:highlight w:val="none"/>
              </w:rPr>
            </w:pPr>
            <w:r>
              <w:rPr>
                <w:rFonts w:hint="eastAsia" w:ascii="宋体" w:hAnsi="宋体" w:cs="宋体"/>
                <w:color w:val="auto"/>
                <w:szCs w:val="21"/>
                <w:highlight w:val="none"/>
              </w:rPr>
              <w:t>25</w:t>
            </w:r>
          </w:p>
        </w:tc>
        <w:tc>
          <w:tcPr>
            <w:tcW w:w="716" w:type="dxa"/>
            <w:vAlign w:val="center"/>
          </w:tcPr>
          <w:p w14:paraId="5AC846CE">
            <w:pPr>
              <w:spacing w:line="380" w:lineRule="exact"/>
              <w:rPr>
                <w:rFonts w:ascii="宋体" w:hAnsi="宋体" w:cs="宋体"/>
                <w:color w:val="auto"/>
                <w:szCs w:val="21"/>
                <w:highlight w:val="none"/>
              </w:rPr>
            </w:pPr>
          </w:p>
        </w:tc>
      </w:tr>
      <w:tr w14:paraId="763A8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3" w:hRule="atLeast"/>
          <w:jc w:val="center"/>
        </w:trPr>
        <w:tc>
          <w:tcPr>
            <w:tcW w:w="704" w:type="dxa"/>
            <w:vAlign w:val="center"/>
          </w:tcPr>
          <w:p w14:paraId="55C0FB73">
            <w:pPr>
              <w:spacing w:line="380" w:lineRule="exact"/>
              <w:jc w:val="center"/>
              <w:rPr>
                <w:rFonts w:ascii="宋体" w:hAnsi="宋体" w:cs="宋体"/>
                <w:color w:val="auto"/>
                <w:szCs w:val="21"/>
                <w:highlight w:val="none"/>
              </w:rPr>
            </w:pPr>
            <w:r>
              <w:rPr>
                <w:rFonts w:hint="eastAsia" w:ascii="宋体" w:hAnsi="宋体" w:cs="宋体"/>
                <w:color w:val="auto"/>
                <w:szCs w:val="21"/>
                <w:highlight w:val="none"/>
              </w:rPr>
              <w:t>2</w:t>
            </w:r>
          </w:p>
        </w:tc>
        <w:tc>
          <w:tcPr>
            <w:tcW w:w="1064" w:type="dxa"/>
            <w:vAlign w:val="center"/>
          </w:tcPr>
          <w:p w14:paraId="677B3D45">
            <w:pPr>
              <w:spacing w:line="380" w:lineRule="exact"/>
              <w:jc w:val="center"/>
              <w:rPr>
                <w:rFonts w:ascii="宋体" w:hAnsi="宋体" w:cs="宋体"/>
                <w:color w:val="auto"/>
                <w:szCs w:val="21"/>
                <w:highlight w:val="none"/>
              </w:rPr>
            </w:pPr>
            <w:r>
              <w:rPr>
                <w:rFonts w:hint="eastAsia" w:ascii="宋体" w:hAnsi="宋体" w:cs="宋体"/>
                <w:color w:val="auto"/>
                <w:szCs w:val="21"/>
                <w:highlight w:val="none"/>
              </w:rPr>
              <w:t>产品质量</w:t>
            </w:r>
          </w:p>
        </w:tc>
        <w:tc>
          <w:tcPr>
            <w:tcW w:w="6686" w:type="dxa"/>
            <w:vAlign w:val="center"/>
          </w:tcPr>
          <w:p w14:paraId="7DEA7FBE">
            <w:pPr>
              <w:spacing w:line="380" w:lineRule="exact"/>
              <w:rPr>
                <w:rFonts w:ascii="宋体" w:hAnsi="宋体" w:cs="宋体"/>
                <w:color w:val="auto"/>
                <w:szCs w:val="21"/>
                <w:highlight w:val="none"/>
              </w:rPr>
            </w:pPr>
            <w:r>
              <w:rPr>
                <w:rFonts w:hint="eastAsia" w:ascii="宋体" w:hAnsi="宋体" w:cs="宋体"/>
                <w:color w:val="auto"/>
                <w:szCs w:val="21"/>
                <w:highlight w:val="none"/>
              </w:rPr>
              <w:t>除产品质量不符合食材配送清单中对各类产品的具体要求外，诸如出现牛奶类产品涨包、有沉淀物；粮油类产品封装不完好、有沉淀物；果蔬类产品带有泥沙、腐叶；畜禽类产品以次充好；或食材新鲜度不达标、有机械伤、有病虫害、成熟度不达标、包装破损严重、食材污染等情况。</w:t>
            </w:r>
          </w:p>
          <w:p w14:paraId="283389A5">
            <w:pPr>
              <w:spacing w:line="380" w:lineRule="exact"/>
              <w:rPr>
                <w:rFonts w:ascii="宋体" w:hAnsi="宋体" w:cs="宋体"/>
                <w:color w:val="auto"/>
                <w:szCs w:val="21"/>
                <w:highlight w:val="none"/>
              </w:rPr>
            </w:pPr>
            <w:r>
              <w:rPr>
                <w:rFonts w:hint="eastAsia" w:ascii="宋体" w:hAnsi="宋体" w:cs="宋体"/>
                <w:color w:val="auto"/>
                <w:szCs w:val="21"/>
                <w:highlight w:val="none"/>
              </w:rPr>
              <w:t>每出现一次，扣分如下：</w:t>
            </w:r>
          </w:p>
          <w:p w14:paraId="5C344EE3">
            <w:pPr>
              <w:spacing w:line="380" w:lineRule="exact"/>
              <w:rPr>
                <w:rFonts w:ascii="宋体" w:hAnsi="宋体" w:cs="宋体"/>
                <w:color w:val="auto"/>
                <w:szCs w:val="21"/>
                <w:highlight w:val="none"/>
              </w:rPr>
            </w:pPr>
            <w:r>
              <w:rPr>
                <w:rFonts w:hint="eastAsia" w:ascii="宋体" w:hAnsi="宋体" w:cs="宋体"/>
                <w:color w:val="auto"/>
                <w:szCs w:val="21"/>
                <w:highlight w:val="none"/>
              </w:rPr>
              <w:t>1）在30分钟内，调换合格的，扣2分；</w:t>
            </w:r>
          </w:p>
          <w:p w14:paraId="5DC35366">
            <w:pPr>
              <w:spacing w:line="380" w:lineRule="exact"/>
              <w:rPr>
                <w:rFonts w:ascii="宋体" w:hAnsi="宋体" w:cs="宋体"/>
                <w:color w:val="auto"/>
                <w:szCs w:val="21"/>
                <w:highlight w:val="none"/>
              </w:rPr>
            </w:pPr>
            <w:r>
              <w:rPr>
                <w:rFonts w:hint="eastAsia" w:ascii="宋体" w:hAnsi="宋体" w:cs="宋体"/>
                <w:color w:val="auto"/>
                <w:szCs w:val="21"/>
                <w:highlight w:val="none"/>
              </w:rPr>
              <w:t>2）在30分钟至60分钟，调换合格的，扣3分；</w:t>
            </w:r>
          </w:p>
          <w:p w14:paraId="29635057">
            <w:pPr>
              <w:spacing w:line="380" w:lineRule="exact"/>
              <w:rPr>
                <w:rFonts w:ascii="宋体" w:hAnsi="宋体" w:cs="宋体"/>
                <w:color w:val="auto"/>
                <w:szCs w:val="21"/>
                <w:highlight w:val="none"/>
              </w:rPr>
            </w:pPr>
            <w:r>
              <w:rPr>
                <w:rFonts w:hint="eastAsia" w:ascii="宋体" w:hAnsi="宋体" w:cs="宋体"/>
                <w:color w:val="auto"/>
                <w:szCs w:val="21"/>
                <w:highlight w:val="none"/>
              </w:rPr>
              <w:t>3）若在60分钟内无法更换合格的，扣10分。</w:t>
            </w:r>
          </w:p>
        </w:tc>
        <w:tc>
          <w:tcPr>
            <w:tcW w:w="746" w:type="dxa"/>
            <w:vAlign w:val="center"/>
          </w:tcPr>
          <w:p w14:paraId="620DDCBD">
            <w:pPr>
              <w:spacing w:line="380" w:lineRule="exact"/>
              <w:jc w:val="center"/>
              <w:rPr>
                <w:rFonts w:ascii="宋体" w:hAnsi="宋体" w:cs="宋体"/>
                <w:color w:val="auto"/>
                <w:szCs w:val="21"/>
                <w:highlight w:val="none"/>
              </w:rPr>
            </w:pPr>
            <w:r>
              <w:rPr>
                <w:rFonts w:hint="eastAsia" w:ascii="宋体" w:hAnsi="宋体" w:cs="宋体"/>
                <w:color w:val="auto"/>
                <w:szCs w:val="21"/>
                <w:highlight w:val="none"/>
              </w:rPr>
              <w:t>25</w:t>
            </w:r>
          </w:p>
        </w:tc>
        <w:tc>
          <w:tcPr>
            <w:tcW w:w="716" w:type="dxa"/>
            <w:vAlign w:val="center"/>
          </w:tcPr>
          <w:p w14:paraId="48DA3545">
            <w:pPr>
              <w:spacing w:line="380" w:lineRule="exact"/>
              <w:rPr>
                <w:rFonts w:ascii="宋体" w:hAnsi="宋体" w:cs="宋体"/>
                <w:color w:val="auto"/>
                <w:szCs w:val="21"/>
                <w:highlight w:val="none"/>
              </w:rPr>
            </w:pPr>
          </w:p>
        </w:tc>
      </w:tr>
      <w:tr w14:paraId="1C1F2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0" w:hRule="atLeast"/>
          <w:jc w:val="center"/>
        </w:trPr>
        <w:tc>
          <w:tcPr>
            <w:tcW w:w="704" w:type="dxa"/>
            <w:vAlign w:val="center"/>
          </w:tcPr>
          <w:p w14:paraId="3E471F64">
            <w:pPr>
              <w:spacing w:line="380" w:lineRule="exact"/>
              <w:jc w:val="center"/>
              <w:rPr>
                <w:rFonts w:ascii="宋体" w:hAnsi="宋体" w:cs="宋体"/>
                <w:color w:val="auto"/>
                <w:szCs w:val="21"/>
                <w:highlight w:val="none"/>
              </w:rPr>
            </w:pPr>
            <w:r>
              <w:rPr>
                <w:rFonts w:hint="eastAsia" w:ascii="宋体" w:hAnsi="宋体" w:cs="宋体"/>
                <w:color w:val="auto"/>
                <w:szCs w:val="21"/>
                <w:highlight w:val="none"/>
              </w:rPr>
              <w:t>3</w:t>
            </w:r>
          </w:p>
        </w:tc>
        <w:tc>
          <w:tcPr>
            <w:tcW w:w="1064" w:type="dxa"/>
            <w:vAlign w:val="center"/>
          </w:tcPr>
          <w:p w14:paraId="498C040A">
            <w:pPr>
              <w:spacing w:line="380" w:lineRule="exact"/>
              <w:jc w:val="center"/>
              <w:rPr>
                <w:rFonts w:ascii="宋体" w:hAnsi="宋体" w:cs="宋体"/>
                <w:color w:val="auto"/>
                <w:szCs w:val="21"/>
                <w:highlight w:val="none"/>
              </w:rPr>
            </w:pPr>
            <w:r>
              <w:rPr>
                <w:rFonts w:hint="eastAsia" w:ascii="宋体" w:hAnsi="宋体" w:cs="宋体"/>
                <w:color w:val="auto"/>
                <w:szCs w:val="21"/>
                <w:highlight w:val="none"/>
              </w:rPr>
              <w:t>服务质量</w:t>
            </w:r>
          </w:p>
        </w:tc>
        <w:tc>
          <w:tcPr>
            <w:tcW w:w="6686" w:type="dxa"/>
            <w:vAlign w:val="center"/>
          </w:tcPr>
          <w:p w14:paraId="1B83BCC4">
            <w:pPr>
              <w:spacing w:line="380" w:lineRule="exact"/>
              <w:rPr>
                <w:rFonts w:ascii="宋体" w:hAnsi="宋体" w:cs="宋体"/>
                <w:color w:val="auto"/>
                <w:szCs w:val="21"/>
                <w:highlight w:val="none"/>
              </w:rPr>
            </w:pPr>
            <w:r>
              <w:rPr>
                <w:rFonts w:hint="eastAsia" w:ascii="宋体" w:hAnsi="宋体" w:cs="宋体"/>
                <w:color w:val="auto"/>
                <w:szCs w:val="21"/>
                <w:highlight w:val="none"/>
              </w:rPr>
              <w:t>严格遵守本标书中对供货方的要求，认真履行其服务承诺。能够及时有效的应对临时增加供货量、按要求更换菜品等突发情况，且保证临时采购菜品的质量、送达时间以及价格的合理性；对于采购人提出的改进意见，应及时整改落实。</w:t>
            </w:r>
          </w:p>
          <w:p w14:paraId="27ED6978">
            <w:pPr>
              <w:spacing w:line="380" w:lineRule="exact"/>
              <w:rPr>
                <w:rFonts w:ascii="宋体" w:hAnsi="宋体" w:cs="宋体"/>
                <w:color w:val="auto"/>
                <w:szCs w:val="21"/>
                <w:highlight w:val="none"/>
              </w:rPr>
            </w:pPr>
            <w:r>
              <w:rPr>
                <w:rFonts w:hint="eastAsia" w:ascii="宋体" w:hAnsi="宋体" w:cs="宋体"/>
                <w:color w:val="auto"/>
                <w:szCs w:val="21"/>
                <w:highlight w:val="none"/>
              </w:rPr>
              <w:t>每出现1次不满意，扣5分。</w:t>
            </w:r>
          </w:p>
        </w:tc>
        <w:tc>
          <w:tcPr>
            <w:tcW w:w="746" w:type="dxa"/>
            <w:vAlign w:val="center"/>
          </w:tcPr>
          <w:p w14:paraId="59F3F842">
            <w:pPr>
              <w:spacing w:line="380" w:lineRule="exact"/>
              <w:jc w:val="center"/>
              <w:rPr>
                <w:rFonts w:ascii="宋体" w:hAnsi="宋体" w:cs="宋体"/>
                <w:color w:val="auto"/>
                <w:szCs w:val="21"/>
                <w:highlight w:val="none"/>
              </w:rPr>
            </w:pPr>
            <w:r>
              <w:rPr>
                <w:rFonts w:hint="eastAsia" w:ascii="宋体" w:hAnsi="宋体" w:cs="宋体"/>
                <w:color w:val="auto"/>
                <w:szCs w:val="21"/>
                <w:highlight w:val="none"/>
              </w:rPr>
              <w:t>15</w:t>
            </w:r>
          </w:p>
        </w:tc>
        <w:tc>
          <w:tcPr>
            <w:tcW w:w="716" w:type="dxa"/>
            <w:vAlign w:val="center"/>
          </w:tcPr>
          <w:p w14:paraId="7F87E9BE">
            <w:pPr>
              <w:spacing w:line="380" w:lineRule="exact"/>
              <w:rPr>
                <w:rFonts w:ascii="宋体" w:hAnsi="宋体" w:cs="宋体"/>
                <w:color w:val="auto"/>
                <w:szCs w:val="21"/>
                <w:highlight w:val="none"/>
              </w:rPr>
            </w:pPr>
          </w:p>
        </w:tc>
      </w:tr>
      <w:tr w14:paraId="21729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7" w:hRule="atLeast"/>
          <w:jc w:val="center"/>
        </w:trPr>
        <w:tc>
          <w:tcPr>
            <w:tcW w:w="704" w:type="dxa"/>
            <w:vAlign w:val="center"/>
          </w:tcPr>
          <w:p w14:paraId="716FC1E3">
            <w:pPr>
              <w:spacing w:line="380" w:lineRule="exact"/>
              <w:jc w:val="center"/>
              <w:rPr>
                <w:rFonts w:ascii="宋体" w:hAnsi="宋体" w:cs="宋体"/>
                <w:color w:val="auto"/>
                <w:szCs w:val="21"/>
                <w:highlight w:val="none"/>
              </w:rPr>
            </w:pPr>
            <w:r>
              <w:rPr>
                <w:rFonts w:hint="eastAsia" w:ascii="宋体" w:hAnsi="宋体" w:cs="宋体"/>
                <w:color w:val="auto"/>
                <w:szCs w:val="21"/>
                <w:highlight w:val="none"/>
              </w:rPr>
              <w:t>4</w:t>
            </w:r>
          </w:p>
        </w:tc>
        <w:tc>
          <w:tcPr>
            <w:tcW w:w="1064" w:type="dxa"/>
            <w:vAlign w:val="center"/>
          </w:tcPr>
          <w:p w14:paraId="676E069E">
            <w:pPr>
              <w:spacing w:line="380" w:lineRule="exact"/>
              <w:jc w:val="center"/>
              <w:rPr>
                <w:rFonts w:ascii="宋体" w:hAnsi="宋体" w:cs="宋体"/>
                <w:color w:val="auto"/>
                <w:szCs w:val="21"/>
                <w:highlight w:val="none"/>
              </w:rPr>
            </w:pPr>
            <w:r>
              <w:rPr>
                <w:rFonts w:hint="eastAsia" w:ascii="宋体" w:hAnsi="宋体" w:cs="宋体"/>
                <w:color w:val="auto"/>
                <w:szCs w:val="21"/>
                <w:highlight w:val="none"/>
              </w:rPr>
              <w:t>产品供货价格</w:t>
            </w:r>
          </w:p>
        </w:tc>
        <w:tc>
          <w:tcPr>
            <w:tcW w:w="6686" w:type="dxa"/>
            <w:vAlign w:val="center"/>
          </w:tcPr>
          <w:p w14:paraId="0300BDA2">
            <w:pPr>
              <w:spacing w:line="380" w:lineRule="exact"/>
              <w:rPr>
                <w:rFonts w:ascii="宋体" w:hAnsi="宋体" w:cs="宋体"/>
                <w:color w:val="auto"/>
                <w:szCs w:val="21"/>
                <w:highlight w:val="none"/>
              </w:rPr>
            </w:pPr>
            <w:r>
              <w:rPr>
                <w:rFonts w:hint="eastAsia" w:ascii="宋体" w:hAnsi="宋体" w:cs="宋体"/>
                <w:color w:val="auto"/>
                <w:szCs w:val="21"/>
                <w:highlight w:val="none"/>
              </w:rPr>
              <w:t>如发生供货价高于投标文件承诺的优惠价，或高于市场一般价格的情况，每出现1次扣5分。超出价部分由乙方自行承担，拒绝承担的扣10分。</w:t>
            </w:r>
          </w:p>
        </w:tc>
        <w:tc>
          <w:tcPr>
            <w:tcW w:w="746" w:type="dxa"/>
            <w:vAlign w:val="center"/>
          </w:tcPr>
          <w:p w14:paraId="4E77A859">
            <w:pPr>
              <w:spacing w:line="380" w:lineRule="exact"/>
              <w:jc w:val="center"/>
              <w:rPr>
                <w:rFonts w:ascii="宋体" w:hAnsi="宋体" w:cs="宋体"/>
                <w:color w:val="auto"/>
                <w:szCs w:val="21"/>
                <w:highlight w:val="none"/>
              </w:rPr>
            </w:pPr>
            <w:r>
              <w:rPr>
                <w:rFonts w:hint="eastAsia" w:ascii="宋体" w:hAnsi="宋体" w:cs="宋体"/>
                <w:color w:val="auto"/>
                <w:szCs w:val="21"/>
                <w:highlight w:val="none"/>
              </w:rPr>
              <w:t>25</w:t>
            </w:r>
          </w:p>
        </w:tc>
        <w:tc>
          <w:tcPr>
            <w:tcW w:w="716" w:type="dxa"/>
            <w:vAlign w:val="center"/>
          </w:tcPr>
          <w:p w14:paraId="5F823686">
            <w:pPr>
              <w:spacing w:line="380" w:lineRule="exact"/>
              <w:rPr>
                <w:rFonts w:ascii="宋体" w:hAnsi="宋体" w:cs="宋体"/>
                <w:color w:val="auto"/>
                <w:szCs w:val="21"/>
                <w:highlight w:val="none"/>
              </w:rPr>
            </w:pPr>
          </w:p>
        </w:tc>
      </w:tr>
      <w:tr w14:paraId="277DF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jc w:val="center"/>
        </w:trPr>
        <w:tc>
          <w:tcPr>
            <w:tcW w:w="704" w:type="dxa"/>
            <w:vAlign w:val="center"/>
          </w:tcPr>
          <w:p w14:paraId="44C48220">
            <w:pPr>
              <w:spacing w:line="380" w:lineRule="exact"/>
              <w:jc w:val="center"/>
              <w:rPr>
                <w:rFonts w:ascii="宋体" w:hAnsi="宋体" w:cs="宋体"/>
                <w:color w:val="auto"/>
                <w:szCs w:val="21"/>
                <w:highlight w:val="none"/>
              </w:rPr>
            </w:pPr>
            <w:r>
              <w:rPr>
                <w:rFonts w:hint="eastAsia" w:ascii="宋体" w:hAnsi="宋体" w:cs="宋体"/>
                <w:color w:val="auto"/>
                <w:szCs w:val="21"/>
                <w:highlight w:val="none"/>
              </w:rPr>
              <w:t>5</w:t>
            </w:r>
          </w:p>
        </w:tc>
        <w:tc>
          <w:tcPr>
            <w:tcW w:w="1064" w:type="dxa"/>
            <w:vAlign w:val="center"/>
          </w:tcPr>
          <w:p w14:paraId="41C0CC6F">
            <w:pPr>
              <w:spacing w:line="380" w:lineRule="exact"/>
              <w:jc w:val="center"/>
              <w:rPr>
                <w:rFonts w:ascii="宋体" w:hAnsi="宋体" w:cs="宋体"/>
                <w:color w:val="auto"/>
                <w:szCs w:val="21"/>
                <w:highlight w:val="none"/>
              </w:rPr>
            </w:pPr>
            <w:r>
              <w:rPr>
                <w:rFonts w:hint="eastAsia" w:ascii="宋体" w:hAnsi="宋体" w:cs="宋体"/>
                <w:color w:val="auto"/>
                <w:szCs w:val="21"/>
                <w:highlight w:val="none"/>
              </w:rPr>
              <w:t>诚信与廉政</w:t>
            </w:r>
          </w:p>
        </w:tc>
        <w:tc>
          <w:tcPr>
            <w:tcW w:w="6686" w:type="dxa"/>
            <w:vAlign w:val="center"/>
          </w:tcPr>
          <w:p w14:paraId="1C6F8AC1">
            <w:pPr>
              <w:spacing w:line="380" w:lineRule="exact"/>
              <w:rPr>
                <w:rFonts w:ascii="宋体" w:hAnsi="宋体" w:cs="宋体"/>
                <w:color w:val="auto"/>
                <w:szCs w:val="21"/>
                <w:highlight w:val="none"/>
              </w:rPr>
            </w:pPr>
            <w:r>
              <w:rPr>
                <w:rFonts w:hint="eastAsia" w:ascii="宋体" w:hAnsi="宋体" w:cs="宋体"/>
                <w:color w:val="auto"/>
                <w:szCs w:val="21"/>
                <w:highlight w:val="none"/>
              </w:rPr>
              <w:t>建立完善的供货、对账制度，供货数量、重量以采购人验收为准，严格遵守廉政相关规定。虚报数量、重量扣2分，违反廉政规定扣3分。</w:t>
            </w:r>
          </w:p>
        </w:tc>
        <w:tc>
          <w:tcPr>
            <w:tcW w:w="746" w:type="dxa"/>
            <w:vAlign w:val="center"/>
          </w:tcPr>
          <w:p w14:paraId="7E2ACC13">
            <w:pPr>
              <w:spacing w:line="380" w:lineRule="exact"/>
              <w:jc w:val="center"/>
              <w:rPr>
                <w:rFonts w:ascii="宋体" w:hAnsi="宋体" w:cs="宋体"/>
                <w:color w:val="auto"/>
                <w:szCs w:val="21"/>
                <w:highlight w:val="none"/>
              </w:rPr>
            </w:pPr>
            <w:r>
              <w:rPr>
                <w:rFonts w:hint="eastAsia" w:ascii="宋体" w:hAnsi="宋体" w:cs="宋体"/>
                <w:color w:val="auto"/>
                <w:szCs w:val="21"/>
                <w:highlight w:val="none"/>
              </w:rPr>
              <w:t>10</w:t>
            </w:r>
          </w:p>
        </w:tc>
        <w:tc>
          <w:tcPr>
            <w:tcW w:w="716" w:type="dxa"/>
            <w:vAlign w:val="center"/>
          </w:tcPr>
          <w:p w14:paraId="4AE3FD6C">
            <w:pPr>
              <w:spacing w:line="380" w:lineRule="exact"/>
              <w:rPr>
                <w:rFonts w:ascii="宋体" w:hAnsi="宋体" w:cs="宋体"/>
                <w:color w:val="auto"/>
                <w:szCs w:val="21"/>
                <w:highlight w:val="none"/>
              </w:rPr>
            </w:pPr>
          </w:p>
        </w:tc>
      </w:tr>
      <w:tr w14:paraId="7F586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7" w:hRule="atLeast"/>
          <w:jc w:val="center"/>
        </w:trPr>
        <w:tc>
          <w:tcPr>
            <w:tcW w:w="8454" w:type="dxa"/>
            <w:gridSpan w:val="3"/>
            <w:vAlign w:val="center"/>
          </w:tcPr>
          <w:p w14:paraId="257797AE">
            <w:pPr>
              <w:spacing w:line="380" w:lineRule="exact"/>
              <w:jc w:val="center"/>
              <w:rPr>
                <w:rFonts w:ascii="宋体" w:hAnsi="宋体" w:cs="宋体"/>
                <w:b/>
                <w:bCs/>
                <w:color w:val="auto"/>
                <w:szCs w:val="21"/>
                <w:highlight w:val="none"/>
              </w:rPr>
            </w:pPr>
            <w:r>
              <w:rPr>
                <w:rFonts w:hint="eastAsia" w:ascii="宋体" w:hAnsi="宋体" w:cs="宋体"/>
                <w:b/>
                <w:bCs/>
                <w:color w:val="auto"/>
                <w:szCs w:val="21"/>
                <w:highlight w:val="none"/>
              </w:rPr>
              <w:t>总分</w:t>
            </w:r>
          </w:p>
        </w:tc>
        <w:tc>
          <w:tcPr>
            <w:tcW w:w="746" w:type="dxa"/>
            <w:vAlign w:val="center"/>
          </w:tcPr>
          <w:p w14:paraId="7802B76A">
            <w:pPr>
              <w:spacing w:line="380" w:lineRule="exact"/>
              <w:jc w:val="center"/>
              <w:rPr>
                <w:rFonts w:ascii="宋体" w:hAnsi="宋体" w:cs="宋体"/>
                <w:b/>
                <w:bCs/>
                <w:color w:val="auto"/>
                <w:szCs w:val="21"/>
                <w:highlight w:val="none"/>
              </w:rPr>
            </w:pPr>
            <w:r>
              <w:rPr>
                <w:rFonts w:hint="eastAsia" w:ascii="宋体" w:hAnsi="宋体" w:cs="宋体"/>
                <w:b/>
                <w:bCs/>
                <w:color w:val="auto"/>
                <w:szCs w:val="21"/>
                <w:highlight w:val="none"/>
              </w:rPr>
              <w:t>100</w:t>
            </w:r>
          </w:p>
        </w:tc>
        <w:tc>
          <w:tcPr>
            <w:tcW w:w="716" w:type="dxa"/>
            <w:vAlign w:val="center"/>
          </w:tcPr>
          <w:p w14:paraId="1B43491B">
            <w:pPr>
              <w:spacing w:line="380" w:lineRule="exact"/>
              <w:rPr>
                <w:rFonts w:ascii="宋体" w:hAnsi="宋体" w:cs="宋体"/>
                <w:color w:val="auto"/>
                <w:szCs w:val="21"/>
                <w:highlight w:val="none"/>
              </w:rPr>
            </w:pPr>
          </w:p>
        </w:tc>
      </w:tr>
    </w:tbl>
    <w:p w14:paraId="7D0EBED6">
      <w:pPr>
        <w:spacing w:line="400" w:lineRule="exact"/>
        <w:rPr>
          <w:rFonts w:hAnsi="宋体" w:cs="宋体"/>
          <w:b/>
          <w:bCs/>
          <w:color w:val="auto"/>
          <w:sz w:val="24"/>
          <w:szCs w:val="24"/>
          <w:highlight w:val="none"/>
        </w:rPr>
      </w:pPr>
    </w:p>
    <w:p w14:paraId="39BC188B">
      <w:pPr>
        <w:spacing w:line="400" w:lineRule="exact"/>
        <w:rPr>
          <w:rFonts w:hAnsi="宋体" w:cs="宋体"/>
          <w:b/>
          <w:bCs/>
          <w:color w:val="auto"/>
          <w:sz w:val="24"/>
          <w:szCs w:val="24"/>
          <w:highlight w:val="none"/>
        </w:rPr>
      </w:pPr>
    </w:p>
    <w:p w14:paraId="00066FA1">
      <w:pPr>
        <w:rPr>
          <w:rFonts w:hAnsi="宋体" w:cs="宋体"/>
          <w:b/>
          <w:bCs/>
          <w:color w:val="auto"/>
          <w:sz w:val="24"/>
          <w:szCs w:val="24"/>
          <w:highlight w:val="none"/>
        </w:rPr>
      </w:pPr>
      <w:r>
        <w:rPr>
          <w:rFonts w:hint="eastAsia" w:hAnsi="宋体" w:cs="宋体"/>
          <w:b/>
          <w:bCs/>
          <w:color w:val="auto"/>
          <w:sz w:val="24"/>
          <w:szCs w:val="24"/>
          <w:highlight w:val="none"/>
        </w:rPr>
        <w:br w:type="page"/>
      </w:r>
    </w:p>
    <w:p w14:paraId="11F532E1">
      <w:pPr>
        <w:spacing w:line="400" w:lineRule="exact"/>
        <w:rPr>
          <w:rFonts w:hAnsi="宋体" w:cs="宋体"/>
          <w:b/>
          <w:bCs/>
          <w:color w:val="auto"/>
          <w:sz w:val="24"/>
          <w:szCs w:val="24"/>
          <w:highlight w:val="none"/>
        </w:rPr>
      </w:pPr>
      <w:r>
        <w:rPr>
          <w:rFonts w:hint="eastAsia" w:hAnsi="宋体" w:cs="宋体"/>
          <w:b/>
          <w:bCs/>
          <w:color w:val="auto"/>
          <w:sz w:val="24"/>
          <w:szCs w:val="24"/>
          <w:highlight w:val="none"/>
        </w:rPr>
        <w:t>附件3：</w:t>
      </w:r>
    </w:p>
    <w:p w14:paraId="06ADAED8">
      <w:pPr>
        <w:spacing w:line="400" w:lineRule="exact"/>
        <w:jc w:val="center"/>
        <w:rPr>
          <w:rFonts w:hAnsi="宋体" w:cs="宋体"/>
          <w:b/>
          <w:color w:val="auto"/>
          <w:sz w:val="30"/>
          <w:szCs w:val="30"/>
          <w:highlight w:val="none"/>
        </w:rPr>
      </w:pPr>
      <w:r>
        <w:rPr>
          <w:rFonts w:hint="eastAsia" w:hAnsi="宋体" w:cs="宋体"/>
          <w:b/>
          <w:color w:val="auto"/>
          <w:sz w:val="24"/>
          <w:szCs w:val="24"/>
          <w:highlight w:val="none"/>
        </w:rPr>
        <w:t>食堂运营及管理考核方案表</w:t>
      </w:r>
    </w:p>
    <w:tbl>
      <w:tblPr>
        <w:tblStyle w:val="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3"/>
        <w:gridCol w:w="7060"/>
        <w:gridCol w:w="994"/>
        <w:gridCol w:w="1199"/>
      </w:tblGrid>
      <w:tr w14:paraId="7D1857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7" w:hRule="atLeast"/>
        </w:trPr>
        <w:tc>
          <w:tcPr>
            <w:tcW w:w="703" w:type="dxa"/>
            <w:vAlign w:val="center"/>
          </w:tcPr>
          <w:p w14:paraId="50195214">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7060" w:type="dxa"/>
            <w:vAlign w:val="center"/>
          </w:tcPr>
          <w:p w14:paraId="766EA717">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考核内容</w:t>
            </w:r>
          </w:p>
        </w:tc>
        <w:tc>
          <w:tcPr>
            <w:tcW w:w="994" w:type="dxa"/>
            <w:vAlign w:val="center"/>
          </w:tcPr>
          <w:p w14:paraId="0E0D2594">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分值</w:t>
            </w:r>
          </w:p>
        </w:tc>
        <w:tc>
          <w:tcPr>
            <w:tcW w:w="1199" w:type="dxa"/>
            <w:vAlign w:val="center"/>
          </w:tcPr>
          <w:p w14:paraId="29675AEF">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得分</w:t>
            </w:r>
          </w:p>
        </w:tc>
      </w:tr>
      <w:tr w14:paraId="14A5D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trPr>
        <w:tc>
          <w:tcPr>
            <w:tcW w:w="703" w:type="dxa"/>
            <w:vAlign w:val="center"/>
          </w:tcPr>
          <w:p w14:paraId="29D5E0DF">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1</w:t>
            </w:r>
          </w:p>
        </w:tc>
        <w:tc>
          <w:tcPr>
            <w:tcW w:w="7060" w:type="dxa"/>
            <w:vAlign w:val="center"/>
          </w:tcPr>
          <w:p w14:paraId="0D209E69">
            <w:pPr>
              <w:spacing w:line="216" w:lineRule="auto"/>
              <w:rPr>
                <w:rFonts w:ascii="宋体" w:hAnsi="宋体" w:cs="宋体"/>
                <w:color w:val="auto"/>
                <w:szCs w:val="21"/>
                <w:highlight w:val="none"/>
              </w:rPr>
            </w:pPr>
            <w:r>
              <w:rPr>
                <w:rFonts w:hint="eastAsia" w:ascii="宋体" w:hAnsi="宋体" w:cs="宋体"/>
                <w:color w:val="auto"/>
                <w:szCs w:val="21"/>
                <w:highlight w:val="none"/>
              </w:rPr>
              <w:t>未按规定穿戴上岗或工作服明显不洁，扣1分/人次</w:t>
            </w:r>
          </w:p>
        </w:tc>
        <w:tc>
          <w:tcPr>
            <w:tcW w:w="994" w:type="dxa"/>
            <w:vAlign w:val="center"/>
          </w:tcPr>
          <w:p w14:paraId="3769DBFD">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3</w:t>
            </w:r>
          </w:p>
        </w:tc>
        <w:tc>
          <w:tcPr>
            <w:tcW w:w="1199" w:type="dxa"/>
            <w:vAlign w:val="center"/>
          </w:tcPr>
          <w:p w14:paraId="73295B70">
            <w:pPr>
              <w:spacing w:line="216" w:lineRule="auto"/>
              <w:jc w:val="center"/>
              <w:rPr>
                <w:rFonts w:ascii="宋体" w:hAnsi="宋体" w:cs="宋体"/>
                <w:color w:val="auto"/>
                <w:szCs w:val="21"/>
                <w:highlight w:val="none"/>
              </w:rPr>
            </w:pPr>
          </w:p>
        </w:tc>
      </w:tr>
      <w:tr w14:paraId="4E80DD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trPr>
        <w:tc>
          <w:tcPr>
            <w:tcW w:w="703" w:type="dxa"/>
            <w:vAlign w:val="center"/>
          </w:tcPr>
          <w:p w14:paraId="38864117">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2</w:t>
            </w:r>
          </w:p>
        </w:tc>
        <w:tc>
          <w:tcPr>
            <w:tcW w:w="7060" w:type="dxa"/>
            <w:vAlign w:val="center"/>
          </w:tcPr>
          <w:p w14:paraId="117BF09E">
            <w:pPr>
              <w:spacing w:line="216" w:lineRule="auto"/>
              <w:rPr>
                <w:rFonts w:ascii="宋体" w:hAnsi="宋体" w:cs="宋体"/>
                <w:color w:val="auto"/>
                <w:szCs w:val="21"/>
                <w:highlight w:val="none"/>
              </w:rPr>
            </w:pPr>
            <w:r>
              <w:rPr>
                <w:rFonts w:hint="eastAsia" w:ascii="宋体" w:hAnsi="宋体" w:cs="宋体"/>
                <w:color w:val="auto"/>
                <w:szCs w:val="21"/>
                <w:highlight w:val="none"/>
              </w:rPr>
              <w:t>工作人员及非工作人员在食堂区域内吸烟，在休息场所打牌，扣2分/人次</w:t>
            </w:r>
          </w:p>
        </w:tc>
        <w:tc>
          <w:tcPr>
            <w:tcW w:w="994" w:type="dxa"/>
            <w:vAlign w:val="center"/>
          </w:tcPr>
          <w:p w14:paraId="5ACA8808">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6</w:t>
            </w:r>
          </w:p>
        </w:tc>
        <w:tc>
          <w:tcPr>
            <w:tcW w:w="1199" w:type="dxa"/>
            <w:vAlign w:val="center"/>
          </w:tcPr>
          <w:p w14:paraId="26D1824F">
            <w:pPr>
              <w:spacing w:line="216" w:lineRule="auto"/>
              <w:jc w:val="center"/>
              <w:rPr>
                <w:rFonts w:ascii="宋体" w:hAnsi="宋体" w:cs="宋体"/>
                <w:color w:val="auto"/>
                <w:szCs w:val="21"/>
                <w:highlight w:val="none"/>
              </w:rPr>
            </w:pPr>
          </w:p>
        </w:tc>
      </w:tr>
      <w:tr w14:paraId="06097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6" w:hRule="atLeast"/>
        </w:trPr>
        <w:tc>
          <w:tcPr>
            <w:tcW w:w="703" w:type="dxa"/>
            <w:vAlign w:val="center"/>
          </w:tcPr>
          <w:p w14:paraId="40C4180D">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3</w:t>
            </w:r>
          </w:p>
        </w:tc>
        <w:tc>
          <w:tcPr>
            <w:tcW w:w="7060" w:type="dxa"/>
            <w:vAlign w:val="center"/>
          </w:tcPr>
          <w:p w14:paraId="3DDB7008">
            <w:pPr>
              <w:spacing w:line="216" w:lineRule="auto"/>
              <w:rPr>
                <w:rFonts w:ascii="宋体" w:hAnsi="宋体" w:cs="宋体"/>
                <w:color w:val="auto"/>
                <w:szCs w:val="21"/>
                <w:highlight w:val="none"/>
              </w:rPr>
            </w:pPr>
            <w:r>
              <w:rPr>
                <w:rFonts w:hint="eastAsia" w:ascii="宋体" w:hAnsi="宋体" w:cs="宋体"/>
                <w:color w:val="auto"/>
                <w:szCs w:val="21"/>
                <w:highlight w:val="none"/>
              </w:rPr>
              <w:t>下班后没有及时关灯，离开岗位没有关煤气、水龙头且未造成其他影响，扣2分/次</w:t>
            </w:r>
          </w:p>
        </w:tc>
        <w:tc>
          <w:tcPr>
            <w:tcW w:w="994" w:type="dxa"/>
            <w:vAlign w:val="center"/>
          </w:tcPr>
          <w:p w14:paraId="2665BD6C">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4</w:t>
            </w:r>
          </w:p>
        </w:tc>
        <w:tc>
          <w:tcPr>
            <w:tcW w:w="1199" w:type="dxa"/>
            <w:vAlign w:val="center"/>
          </w:tcPr>
          <w:p w14:paraId="28209BE5">
            <w:pPr>
              <w:spacing w:line="216" w:lineRule="auto"/>
              <w:jc w:val="center"/>
              <w:rPr>
                <w:rFonts w:ascii="宋体" w:hAnsi="宋体" w:cs="宋体"/>
                <w:color w:val="auto"/>
                <w:szCs w:val="21"/>
                <w:highlight w:val="none"/>
              </w:rPr>
            </w:pPr>
          </w:p>
        </w:tc>
      </w:tr>
      <w:tr w14:paraId="7F94AE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703" w:type="dxa"/>
            <w:vAlign w:val="center"/>
          </w:tcPr>
          <w:p w14:paraId="34BAF528">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4</w:t>
            </w:r>
          </w:p>
        </w:tc>
        <w:tc>
          <w:tcPr>
            <w:tcW w:w="7060" w:type="dxa"/>
            <w:vAlign w:val="center"/>
          </w:tcPr>
          <w:p w14:paraId="035BD1F5">
            <w:pPr>
              <w:spacing w:line="216" w:lineRule="auto"/>
              <w:rPr>
                <w:rFonts w:ascii="宋体" w:hAnsi="宋体" w:cs="宋体"/>
                <w:color w:val="auto"/>
                <w:szCs w:val="21"/>
                <w:highlight w:val="none"/>
              </w:rPr>
            </w:pPr>
            <w:r>
              <w:rPr>
                <w:rFonts w:hint="eastAsia" w:ascii="宋体" w:hAnsi="宋体" w:cs="宋体"/>
                <w:color w:val="auto"/>
                <w:szCs w:val="21"/>
                <w:highlight w:val="none"/>
              </w:rPr>
              <w:t>碗、筷、盘等餐具留有食物残渣或不洁，扣2分/次</w:t>
            </w:r>
          </w:p>
        </w:tc>
        <w:tc>
          <w:tcPr>
            <w:tcW w:w="994" w:type="dxa"/>
            <w:vAlign w:val="center"/>
          </w:tcPr>
          <w:p w14:paraId="74924FFC">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4</w:t>
            </w:r>
          </w:p>
        </w:tc>
        <w:tc>
          <w:tcPr>
            <w:tcW w:w="1199" w:type="dxa"/>
            <w:vAlign w:val="center"/>
          </w:tcPr>
          <w:p w14:paraId="2C13684A">
            <w:pPr>
              <w:spacing w:line="216" w:lineRule="auto"/>
              <w:jc w:val="center"/>
              <w:rPr>
                <w:rFonts w:ascii="宋体" w:hAnsi="宋体" w:cs="宋体"/>
                <w:color w:val="auto"/>
                <w:szCs w:val="21"/>
                <w:highlight w:val="none"/>
              </w:rPr>
            </w:pPr>
          </w:p>
        </w:tc>
      </w:tr>
      <w:tr w14:paraId="48B5E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trPr>
        <w:tc>
          <w:tcPr>
            <w:tcW w:w="703" w:type="dxa"/>
            <w:vAlign w:val="center"/>
          </w:tcPr>
          <w:p w14:paraId="05F87479">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5</w:t>
            </w:r>
          </w:p>
        </w:tc>
        <w:tc>
          <w:tcPr>
            <w:tcW w:w="7060" w:type="dxa"/>
            <w:vAlign w:val="center"/>
          </w:tcPr>
          <w:p w14:paraId="2798EA26">
            <w:pPr>
              <w:spacing w:line="216" w:lineRule="auto"/>
              <w:rPr>
                <w:rFonts w:ascii="宋体" w:hAnsi="宋体" w:cs="宋体"/>
                <w:color w:val="auto"/>
                <w:szCs w:val="21"/>
                <w:highlight w:val="none"/>
              </w:rPr>
            </w:pPr>
            <w:r>
              <w:rPr>
                <w:rFonts w:hint="eastAsia" w:ascii="宋体" w:hAnsi="宋体" w:cs="宋体"/>
                <w:color w:val="auto"/>
                <w:szCs w:val="21"/>
                <w:highlight w:val="none"/>
              </w:rPr>
              <w:t>没有及时清理餐桌与地面卫生，操作间乱堆乱放、地面积水较重，区域卫生没有及时打扫，扣1分/次</w:t>
            </w:r>
          </w:p>
        </w:tc>
        <w:tc>
          <w:tcPr>
            <w:tcW w:w="994" w:type="dxa"/>
            <w:vAlign w:val="center"/>
          </w:tcPr>
          <w:p w14:paraId="305B8361">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2</w:t>
            </w:r>
          </w:p>
        </w:tc>
        <w:tc>
          <w:tcPr>
            <w:tcW w:w="1199" w:type="dxa"/>
            <w:vAlign w:val="center"/>
          </w:tcPr>
          <w:p w14:paraId="41CBF655">
            <w:pPr>
              <w:spacing w:line="216" w:lineRule="auto"/>
              <w:jc w:val="center"/>
              <w:rPr>
                <w:rFonts w:ascii="宋体" w:hAnsi="宋体" w:cs="宋体"/>
                <w:color w:val="auto"/>
                <w:szCs w:val="21"/>
                <w:highlight w:val="none"/>
              </w:rPr>
            </w:pPr>
          </w:p>
        </w:tc>
      </w:tr>
      <w:tr w14:paraId="26452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703" w:type="dxa"/>
            <w:vAlign w:val="center"/>
          </w:tcPr>
          <w:p w14:paraId="05C7FC0C">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6</w:t>
            </w:r>
          </w:p>
        </w:tc>
        <w:tc>
          <w:tcPr>
            <w:tcW w:w="7060" w:type="dxa"/>
            <w:vAlign w:val="center"/>
          </w:tcPr>
          <w:p w14:paraId="641D13DA">
            <w:pPr>
              <w:spacing w:line="216" w:lineRule="auto"/>
              <w:rPr>
                <w:rFonts w:ascii="宋体" w:hAnsi="宋体" w:cs="宋体"/>
                <w:color w:val="auto"/>
                <w:szCs w:val="21"/>
                <w:highlight w:val="none"/>
              </w:rPr>
            </w:pPr>
            <w:r>
              <w:rPr>
                <w:rFonts w:hint="eastAsia" w:ascii="宋体" w:hAnsi="宋体" w:cs="宋体"/>
                <w:color w:val="auto"/>
                <w:szCs w:val="21"/>
                <w:highlight w:val="none"/>
              </w:rPr>
              <w:t>不按要求留样，扣1分/次</w:t>
            </w:r>
          </w:p>
        </w:tc>
        <w:tc>
          <w:tcPr>
            <w:tcW w:w="994" w:type="dxa"/>
            <w:vAlign w:val="center"/>
          </w:tcPr>
          <w:p w14:paraId="4A8F7493">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2</w:t>
            </w:r>
          </w:p>
        </w:tc>
        <w:tc>
          <w:tcPr>
            <w:tcW w:w="1199" w:type="dxa"/>
            <w:vAlign w:val="center"/>
          </w:tcPr>
          <w:p w14:paraId="7C781832">
            <w:pPr>
              <w:spacing w:line="216" w:lineRule="auto"/>
              <w:jc w:val="center"/>
              <w:rPr>
                <w:rFonts w:ascii="宋体" w:hAnsi="宋体" w:cs="宋体"/>
                <w:color w:val="auto"/>
                <w:szCs w:val="21"/>
                <w:highlight w:val="none"/>
              </w:rPr>
            </w:pPr>
          </w:p>
        </w:tc>
      </w:tr>
      <w:tr w14:paraId="2326A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trPr>
        <w:tc>
          <w:tcPr>
            <w:tcW w:w="703" w:type="dxa"/>
            <w:vAlign w:val="center"/>
          </w:tcPr>
          <w:p w14:paraId="46C816F7">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7</w:t>
            </w:r>
          </w:p>
        </w:tc>
        <w:tc>
          <w:tcPr>
            <w:tcW w:w="7060" w:type="dxa"/>
            <w:vAlign w:val="center"/>
          </w:tcPr>
          <w:p w14:paraId="0525E8FC">
            <w:pPr>
              <w:spacing w:line="216" w:lineRule="auto"/>
              <w:rPr>
                <w:rFonts w:ascii="宋体" w:hAnsi="宋体" w:cs="宋体"/>
                <w:color w:val="auto"/>
                <w:szCs w:val="21"/>
                <w:highlight w:val="none"/>
              </w:rPr>
            </w:pPr>
            <w:r>
              <w:rPr>
                <w:rFonts w:hint="eastAsia" w:ascii="宋体" w:hAnsi="宋体" w:cs="宋体"/>
                <w:color w:val="auto"/>
                <w:szCs w:val="21"/>
                <w:highlight w:val="none"/>
              </w:rPr>
              <w:t>隔餐饭菜未按规定处理方法上柜供应且未造成其他影响，工作日晚餐蔬菜与中餐重复，双休出现隔夜菜，扣2分/次</w:t>
            </w:r>
          </w:p>
        </w:tc>
        <w:tc>
          <w:tcPr>
            <w:tcW w:w="994" w:type="dxa"/>
            <w:vAlign w:val="center"/>
          </w:tcPr>
          <w:p w14:paraId="1A67CA90">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4</w:t>
            </w:r>
          </w:p>
        </w:tc>
        <w:tc>
          <w:tcPr>
            <w:tcW w:w="1199" w:type="dxa"/>
            <w:vAlign w:val="center"/>
          </w:tcPr>
          <w:p w14:paraId="1AD2C6F0">
            <w:pPr>
              <w:spacing w:line="216" w:lineRule="auto"/>
              <w:jc w:val="center"/>
              <w:rPr>
                <w:rFonts w:ascii="宋体" w:hAnsi="宋体" w:cs="宋体"/>
                <w:color w:val="auto"/>
                <w:szCs w:val="21"/>
                <w:highlight w:val="none"/>
              </w:rPr>
            </w:pPr>
          </w:p>
        </w:tc>
      </w:tr>
      <w:tr w14:paraId="28D3B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703" w:type="dxa"/>
            <w:vAlign w:val="center"/>
          </w:tcPr>
          <w:p w14:paraId="1D4AE5F2">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8</w:t>
            </w:r>
          </w:p>
        </w:tc>
        <w:tc>
          <w:tcPr>
            <w:tcW w:w="7060" w:type="dxa"/>
            <w:vAlign w:val="center"/>
          </w:tcPr>
          <w:p w14:paraId="5D643B6C">
            <w:pPr>
              <w:spacing w:line="216" w:lineRule="auto"/>
              <w:rPr>
                <w:rFonts w:ascii="宋体" w:hAnsi="宋体" w:cs="宋体"/>
                <w:color w:val="auto"/>
                <w:szCs w:val="21"/>
                <w:highlight w:val="none"/>
              </w:rPr>
            </w:pPr>
            <w:r>
              <w:rPr>
                <w:rFonts w:hint="eastAsia" w:ascii="宋体" w:hAnsi="宋体" w:cs="宋体"/>
                <w:color w:val="auto"/>
                <w:szCs w:val="21"/>
                <w:highlight w:val="none"/>
              </w:rPr>
              <w:t>餐具、炊具未按程序清洗、消毒、存放，扣1分/次</w:t>
            </w:r>
          </w:p>
        </w:tc>
        <w:tc>
          <w:tcPr>
            <w:tcW w:w="994" w:type="dxa"/>
            <w:vAlign w:val="center"/>
          </w:tcPr>
          <w:p w14:paraId="69487526">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2</w:t>
            </w:r>
          </w:p>
        </w:tc>
        <w:tc>
          <w:tcPr>
            <w:tcW w:w="1199" w:type="dxa"/>
            <w:vAlign w:val="center"/>
          </w:tcPr>
          <w:p w14:paraId="1BC3279F">
            <w:pPr>
              <w:spacing w:line="216" w:lineRule="auto"/>
              <w:jc w:val="center"/>
              <w:rPr>
                <w:rFonts w:ascii="宋体" w:hAnsi="宋体" w:cs="宋体"/>
                <w:color w:val="auto"/>
                <w:szCs w:val="21"/>
                <w:highlight w:val="none"/>
              </w:rPr>
            </w:pPr>
          </w:p>
        </w:tc>
      </w:tr>
      <w:tr w14:paraId="7F0C8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703" w:type="dxa"/>
            <w:vAlign w:val="center"/>
          </w:tcPr>
          <w:p w14:paraId="5D6F3410">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9</w:t>
            </w:r>
          </w:p>
        </w:tc>
        <w:tc>
          <w:tcPr>
            <w:tcW w:w="7060" w:type="dxa"/>
            <w:vAlign w:val="center"/>
          </w:tcPr>
          <w:p w14:paraId="0E2D2BD2">
            <w:pPr>
              <w:spacing w:line="216" w:lineRule="auto"/>
              <w:rPr>
                <w:rFonts w:ascii="宋体" w:hAnsi="宋体" w:cs="宋体"/>
                <w:color w:val="auto"/>
                <w:szCs w:val="21"/>
                <w:highlight w:val="none"/>
              </w:rPr>
            </w:pPr>
            <w:r>
              <w:rPr>
                <w:rFonts w:hint="eastAsia" w:ascii="宋体" w:hAnsi="宋体" w:cs="宋体"/>
                <w:color w:val="auto"/>
                <w:szCs w:val="21"/>
                <w:highlight w:val="none"/>
              </w:rPr>
              <w:t>与就餐人员、同事等发生争吵，扣1分/次</w:t>
            </w:r>
          </w:p>
        </w:tc>
        <w:tc>
          <w:tcPr>
            <w:tcW w:w="994" w:type="dxa"/>
            <w:vAlign w:val="center"/>
          </w:tcPr>
          <w:p w14:paraId="75F6E13E">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2</w:t>
            </w:r>
          </w:p>
        </w:tc>
        <w:tc>
          <w:tcPr>
            <w:tcW w:w="1199" w:type="dxa"/>
            <w:vAlign w:val="center"/>
          </w:tcPr>
          <w:p w14:paraId="1B2BEC14">
            <w:pPr>
              <w:spacing w:line="216" w:lineRule="auto"/>
              <w:jc w:val="center"/>
              <w:rPr>
                <w:rFonts w:ascii="宋体" w:hAnsi="宋体" w:cs="宋体"/>
                <w:color w:val="auto"/>
                <w:szCs w:val="21"/>
                <w:highlight w:val="none"/>
              </w:rPr>
            </w:pPr>
          </w:p>
        </w:tc>
      </w:tr>
      <w:tr w14:paraId="038AD6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703" w:type="dxa"/>
            <w:vAlign w:val="center"/>
          </w:tcPr>
          <w:p w14:paraId="1F680E00">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10</w:t>
            </w:r>
          </w:p>
        </w:tc>
        <w:tc>
          <w:tcPr>
            <w:tcW w:w="7060" w:type="dxa"/>
            <w:vAlign w:val="center"/>
          </w:tcPr>
          <w:p w14:paraId="75EDEB57">
            <w:pPr>
              <w:spacing w:line="216" w:lineRule="auto"/>
              <w:rPr>
                <w:rFonts w:ascii="宋体" w:hAnsi="宋体" w:cs="宋体"/>
                <w:color w:val="auto"/>
                <w:szCs w:val="21"/>
                <w:highlight w:val="none"/>
              </w:rPr>
            </w:pPr>
            <w:r>
              <w:rPr>
                <w:rFonts w:hint="eastAsia" w:ascii="宋体" w:hAnsi="宋体" w:cs="宋体"/>
                <w:color w:val="auto"/>
                <w:szCs w:val="21"/>
                <w:highlight w:val="none"/>
              </w:rPr>
              <w:t>不按时烹调，影响色泽口味，人为贻误开饭时间10分钟以上，扣5分/次</w:t>
            </w:r>
          </w:p>
        </w:tc>
        <w:tc>
          <w:tcPr>
            <w:tcW w:w="994" w:type="dxa"/>
            <w:vAlign w:val="center"/>
          </w:tcPr>
          <w:p w14:paraId="436A6489">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10</w:t>
            </w:r>
          </w:p>
        </w:tc>
        <w:tc>
          <w:tcPr>
            <w:tcW w:w="1199" w:type="dxa"/>
            <w:vAlign w:val="center"/>
          </w:tcPr>
          <w:p w14:paraId="639FC664">
            <w:pPr>
              <w:spacing w:line="216" w:lineRule="auto"/>
              <w:jc w:val="center"/>
              <w:rPr>
                <w:rFonts w:ascii="宋体" w:hAnsi="宋体" w:cs="宋体"/>
                <w:color w:val="auto"/>
                <w:szCs w:val="21"/>
                <w:highlight w:val="none"/>
              </w:rPr>
            </w:pPr>
          </w:p>
        </w:tc>
      </w:tr>
      <w:tr w14:paraId="08596E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703" w:type="dxa"/>
            <w:vAlign w:val="center"/>
          </w:tcPr>
          <w:p w14:paraId="004EF7DF">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11</w:t>
            </w:r>
          </w:p>
        </w:tc>
        <w:tc>
          <w:tcPr>
            <w:tcW w:w="7060" w:type="dxa"/>
            <w:vAlign w:val="center"/>
          </w:tcPr>
          <w:p w14:paraId="7087D510">
            <w:pPr>
              <w:spacing w:line="216" w:lineRule="auto"/>
              <w:rPr>
                <w:rFonts w:ascii="宋体" w:hAnsi="宋体" w:cs="宋体"/>
                <w:color w:val="auto"/>
                <w:szCs w:val="21"/>
                <w:highlight w:val="none"/>
              </w:rPr>
            </w:pPr>
            <w:r>
              <w:rPr>
                <w:rFonts w:hint="eastAsia" w:ascii="宋体" w:hAnsi="宋体" w:cs="宋体"/>
                <w:color w:val="auto"/>
                <w:szCs w:val="21"/>
                <w:highlight w:val="none"/>
              </w:rPr>
              <w:t>擅离工作岗位，工作失职造成一定影响，扣5分</w:t>
            </w:r>
          </w:p>
        </w:tc>
        <w:tc>
          <w:tcPr>
            <w:tcW w:w="994" w:type="dxa"/>
            <w:vAlign w:val="center"/>
          </w:tcPr>
          <w:p w14:paraId="2605C9B7">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5</w:t>
            </w:r>
          </w:p>
        </w:tc>
        <w:tc>
          <w:tcPr>
            <w:tcW w:w="1199" w:type="dxa"/>
            <w:vAlign w:val="center"/>
          </w:tcPr>
          <w:p w14:paraId="47183FEE">
            <w:pPr>
              <w:spacing w:line="216" w:lineRule="auto"/>
              <w:jc w:val="center"/>
              <w:rPr>
                <w:rFonts w:ascii="宋体" w:hAnsi="宋体" w:cs="宋体"/>
                <w:color w:val="auto"/>
                <w:szCs w:val="21"/>
                <w:highlight w:val="none"/>
              </w:rPr>
            </w:pPr>
          </w:p>
        </w:tc>
      </w:tr>
      <w:tr w14:paraId="3FACE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703" w:type="dxa"/>
            <w:vAlign w:val="center"/>
          </w:tcPr>
          <w:p w14:paraId="69E25AE0">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12</w:t>
            </w:r>
          </w:p>
        </w:tc>
        <w:tc>
          <w:tcPr>
            <w:tcW w:w="7060" w:type="dxa"/>
            <w:vAlign w:val="center"/>
          </w:tcPr>
          <w:p w14:paraId="2BC52562">
            <w:pPr>
              <w:spacing w:line="216" w:lineRule="auto"/>
              <w:rPr>
                <w:rFonts w:ascii="宋体" w:hAnsi="宋体" w:cs="宋体"/>
                <w:color w:val="auto"/>
                <w:szCs w:val="21"/>
                <w:highlight w:val="none"/>
              </w:rPr>
            </w:pPr>
            <w:r>
              <w:rPr>
                <w:rFonts w:hint="eastAsia" w:ascii="宋体" w:hAnsi="宋体" w:cs="宋体"/>
                <w:color w:val="auto"/>
                <w:szCs w:val="21"/>
                <w:highlight w:val="none"/>
              </w:rPr>
              <w:t>无正当理由不服从甲方人员监督管理，造成一定影响，扣5分</w:t>
            </w:r>
          </w:p>
        </w:tc>
        <w:tc>
          <w:tcPr>
            <w:tcW w:w="994" w:type="dxa"/>
            <w:vAlign w:val="center"/>
          </w:tcPr>
          <w:p w14:paraId="4537EA8E">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5</w:t>
            </w:r>
          </w:p>
        </w:tc>
        <w:tc>
          <w:tcPr>
            <w:tcW w:w="1199" w:type="dxa"/>
            <w:vAlign w:val="center"/>
          </w:tcPr>
          <w:p w14:paraId="0D2E2E25">
            <w:pPr>
              <w:spacing w:line="216" w:lineRule="auto"/>
              <w:jc w:val="center"/>
              <w:rPr>
                <w:rFonts w:ascii="宋体" w:hAnsi="宋体" w:cs="宋体"/>
                <w:color w:val="auto"/>
                <w:szCs w:val="21"/>
                <w:highlight w:val="none"/>
              </w:rPr>
            </w:pPr>
          </w:p>
        </w:tc>
      </w:tr>
      <w:tr w14:paraId="76556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703" w:type="dxa"/>
            <w:vAlign w:val="center"/>
          </w:tcPr>
          <w:p w14:paraId="67DDFCD2">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13</w:t>
            </w:r>
          </w:p>
        </w:tc>
        <w:tc>
          <w:tcPr>
            <w:tcW w:w="7060" w:type="dxa"/>
            <w:vAlign w:val="center"/>
          </w:tcPr>
          <w:p w14:paraId="4A38E1B9">
            <w:pPr>
              <w:spacing w:line="216" w:lineRule="auto"/>
              <w:rPr>
                <w:rFonts w:ascii="宋体" w:hAnsi="宋体" w:cs="宋体"/>
                <w:color w:val="auto"/>
                <w:szCs w:val="21"/>
                <w:highlight w:val="none"/>
              </w:rPr>
            </w:pPr>
            <w:r>
              <w:rPr>
                <w:rFonts w:hint="eastAsia" w:ascii="宋体" w:hAnsi="宋体" w:cs="宋体"/>
                <w:color w:val="auto"/>
                <w:szCs w:val="21"/>
                <w:highlight w:val="none"/>
              </w:rPr>
              <w:t>食材、货物未按规定时间、规定人员验收，扣2分/次</w:t>
            </w:r>
          </w:p>
        </w:tc>
        <w:tc>
          <w:tcPr>
            <w:tcW w:w="994" w:type="dxa"/>
            <w:vAlign w:val="center"/>
          </w:tcPr>
          <w:p w14:paraId="03386375">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4</w:t>
            </w:r>
          </w:p>
        </w:tc>
        <w:tc>
          <w:tcPr>
            <w:tcW w:w="1199" w:type="dxa"/>
            <w:vAlign w:val="center"/>
          </w:tcPr>
          <w:p w14:paraId="254C2C8A">
            <w:pPr>
              <w:spacing w:line="216" w:lineRule="auto"/>
              <w:jc w:val="center"/>
              <w:rPr>
                <w:rFonts w:ascii="宋体" w:hAnsi="宋体" w:cs="宋体"/>
                <w:color w:val="auto"/>
                <w:szCs w:val="21"/>
                <w:highlight w:val="none"/>
              </w:rPr>
            </w:pPr>
          </w:p>
        </w:tc>
      </w:tr>
      <w:tr w14:paraId="5A994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703" w:type="dxa"/>
            <w:vAlign w:val="center"/>
          </w:tcPr>
          <w:p w14:paraId="44E9675B">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14</w:t>
            </w:r>
          </w:p>
        </w:tc>
        <w:tc>
          <w:tcPr>
            <w:tcW w:w="7060" w:type="dxa"/>
            <w:vAlign w:val="center"/>
          </w:tcPr>
          <w:p w14:paraId="492ED983">
            <w:pPr>
              <w:spacing w:line="216" w:lineRule="auto"/>
              <w:rPr>
                <w:rFonts w:ascii="宋体" w:hAnsi="宋体" w:cs="宋体"/>
                <w:color w:val="auto"/>
                <w:szCs w:val="21"/>
                <w:highlight w:val="none"/>
              </w:rPr>
            </w:pPr>
            <w:r>
              <w:rPr>
                <w:rFonts w:hint="eastAsia" w:ascii="宋体" w:hAnsi="宋体" w:cs="宋体"/>
                <w:color w:val="auto"/>
                <w:szCs w:val="21"/>
                <w:highlight w:val="none"/>
              </w:rPr>
              <w:t>工作人员接受供货商礼品、回扣的，扣10分</w:t>
            </w:r>
          </w:p>
        </w:tc>
        <w:tc>
          <w:tcPr>
            <w:tcW w:w="994" w:type="dxa"/>
            <w:vAlign w:val="center"/>
          </w:tcPr>
          <w:p w14:paraId="255B4D0F">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10</w:t>
            </w:r>
          </w:p>
        </w:tc>
        <w:tc>
          <w:tcPr>
            <w:tcW w:w="1199" w:type="dxa"/>
            <w:vAlign w:val="center"/>
          </w:tcPr>
          <w:p w14:paraId="3AA80374">
            <w:pPr>
              <w:spacing w:line="216" w:lineRule="auto"/>
              <w:jc w:val="center"/>
              <w:rPr>
                <w:rFonts w:ascii="宋体" w:hAnsi="宋体" w:cs="宋体"/>
                <w:color w:val="auto"/>
                <w:szCs w:val="21"/>
                <w:highlight w:val="none"/>
              </w:rPr>
            </w:pPr>
          </w:p>
        </w:tc>
      </w:tr>
      <w:tr w14:paraId="3B7E52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703" w:type="dxa"/>
            <w:vAlign w:val="center"/>
          </w:tcPr>
          <w:p w14:paraId="460BA4A0">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15</w:t>
            </w:r>
          </w:p>
        </w:tc>
        <w:tc>
          <w:tcPr>
            <w:tcW w:w="7060" w:type="dxa"/>
            <w:vAlign w:val="center"/>
          </w:tcPr>
          <w:p w14:paraId="47B75EE6">
            <w:pPr>
              <w:spacing w:line="216" w:lineRule="auto"/>
              <w:rPr>
                <w:rFonts w:ascii="宋体" w:hAnsi="宋体" w:cs="宋体"/>
                <w:color w:val="auto"/>
                <w:szCs w:val="21"/>
                <w:highlight w:val="none"/>
              </w:rPr>
            </w:pPr>
            <w:r>
              <w:rPr>
                <w:rFonts w:hint="eastAsia" w:ascii="宋体" w:hAnsi="宋体" w:cs="宋体"/>
                <w:color w:val="auto"/>
                <w:szCs w:val="21"/>
                <w:highlight w:val="none"/>
              </w:rPr>
              <w:t>人为故意造成原材料浪费，扣5分</w:t>
            </w:r>
          </w:p>
        </w:tc>
        <w:tc>
          <w:tcPr>
            <w:tcW w:w="994" w:type="dxa"/>
            <w:vAlign w:val="center"/>
          </w:tcPr>
          <w:p w14:paraId="60C0700D">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5</w:t>
            </w:r>
          </w:p>
        </w:tc>
        <w:tc>
          <w:tcPr>
            <w:tcW w:w="1199" w:type="dxa"/>
            <w:vAlign w:val="center"/>
          </w:tcPr>
          <w:p w14:paraId="51977C09">
            <w:pPr>
              <w:spacing w:line="216" w:lineRule="auto"/>
              <w:jc w:val="center"/>
              <w:rPr>
                <w:rFonts w:ascii="宋体" w:hAnsi="宋体" w:cs="宋体"/>
                <w:color w:val="auto"/>
                <w:szCs w:val="21"/>
                <w:highlight w:val="none"/>
              </w:rPr>
            </w:pPr>
          </w:p>
        </w:tc>
      </w:tr>
      <w:tr w14:paraId="40585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703" w:type="dxa"/>
            <w:vAlign w:val="center"/>
          </w:tcPr>
          <w:p w14:paraId="783EC4B3">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16</w:t>
            </w:r>
          </w:p>
        </w:tc>
        <w:tc>
          <w:tcPr>
            <w:tcW w:w="7060" w:type="dxa"/>
            <w:vAlign w:val="center"/>
          </w:tcPr>
          <w:p w14:paraId="1B0CF8FF">
            <w:pPr>
              <w:spacing w:line="216" w:lineRule="auto"/>
              <w:rPr>
                <w:rFonts w:ascii="宋体" w:hAnsi="宋体" w:cs="宋体"/>
                <w:color w:val="auto"/>
                <w:szCs w:val="21"/>
                <w:highlight w:val="none"/>
              </w:rPr>
            </w:pPr>
            <w:r>
              <w:rPr>
                <w:rFonts w:hint="eastAsia" w:ascii="宋体" w:hAnsi="宋体" w:cs="宋体"/>
                <w:color w:val="auto"/>
                <w:szCs w:val="21"/>
                <w:highlight w:val="none"/>
              </w:rPr>
              <w:t>有私自拿食品原材料（含熟食）与其他物品，或做人情，扣10分</w:t>
            </w:r>
          </w:p>
        </w:tc>
        <w:tc>
          <w:tcPr>
            <w:tcW w:w="994" w:type="dxa"/>
            <w:vAlign w:val="center"/>
          </w:tcPr>
          <w:p w14:paraId="5BB90CC0">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10</w:t>
            </w:r>
          </w:p>
        </w:tc>
        <w:tc>
          <w:tcPr>
            <w:tcW w:w="1199" w:type="dxa"/>
            <w:vAlign w:val="center"/>
          </w:tcPr>
          <w:p w14:paraId="652B11D7">
            <w:pPr>
              <w:spacing w:line="216" w:lineRule="auto"/>
              <w:jc w:val="center"/>
              <w:rPr>
                <w:rFonts w:ascii="宋体" w:hAnsi="宋体" w:cs="宋体"/>
                <w:color w:val="auto"/>
                <w:szCs w:val="21"/>
                <w:highlight w:val="none"/>
              </w:rPr>
            </w:pPr>
          </w:p>
        </w:tc>
      </w:tr>
      <w:tr w14:paraId="4DF63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703" w:type="dxa"/>
            <w:vAlign w:val="center"/>
          </w:tcPr>
          <w:p w14:paraId="18AC6AF6">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17</w:t>
            </w:r>
          </w:p>
        </w:tc>
        <w:tc>
          <w:tcPr>
            <w:tcW w:w="7060" w:type="dxa"/>
            <w:vAlign w:val="center"/>
          </w:tcPr>
          <w:p w14:paraId="299029C6">
            <w:pPr>
              <w:spacing w:line="216" w:lineRule="auto"/>
              <w:rPr>
                <w:rFonts w:ascii="宋体" w:hAnsi="宋体" w:cs="宋体"/>
                <w:color w:val="auto"/>
                <w:szCs w:val="21"/>
                <w:highlight w:val="none"/>
              </w:rPr>
            </w:pPr>
            <w:r>
              <w:rPr>
                <w:rFonts w:hint="eastAsia" w:ascii="宋体" w:hAnsi="宋体" w:cs="宋体"/>
                <w:color w:val="auto"/>
                <w:szCs w:val="21"/>
                <w:highlight w:val="none"/>
              </w:rPr>
              <w:t>没有做好保温措施，扣1分/次</w:t>
            </w:r>
          </w:p>
        </w:tc>
        <w:tc>
          <w:tcPr>
            <w:tcW w:w="994" w:type="dxa"/>
            <w:vAlign w:val="center"/>
          </w:tcPr>
          <w:p w14:paraId="1A9F5292">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2</w:t>
            </w:r>
          </w:p>
        </w:tc>
        <w:tc>
          <w:tcPr>
            <w:tcW w:w="1199" w:type="dxa"/>
            <w:vAlign w:val="center"/>
          </w:tcPr>
          <w:p w14:paraId="6D2F6302">
            <w:pPr>
              <w:spacing w:line="216" w:lineRule="auto"/>
              <w:jc w:val="center"/>
              <w:rPr>
                <w:rFonts w:ascii="宋体" w:hAnsi="宋体" w:cs="宋体"/>
                <w:color w:val="auto"/>
                <w:szCs w:val="21"/>
                <w:highlight w:val="none"/>
              </w:rPr>
            </w:pPr>
          </w:p>
        </w:tc>
      </w:tr>
      <w:tr w14:paraId="5F7E0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trPr>
        <w:tc>
          <w:tcPr>
            <w:tcW w:w="703" w:type="dxa"/>
            <w:vAlign w:val="center"/>
          </w:tcPr>
          <w:p w14:paraId="79CA081A">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18</w:t>
            </w:r>
          </w:p>
        </w:tc>
        <w:tc>
          <w:tcPr>
            <w:tcW w:w="7060" w:type="dxa"/>
            <w:vAlign w:val="center"/>
          </w:tcPr>
          <w:p w14:paraId="56A5C016">
            <w:pPr>
              <w:spacing w:line="216" w:lineRule="auto"/>
              <w:rPr>
                <w:rFonts w:ascii="宋体" w:hAnsi="宋体" w:cs="宋体"/>
                <w:color w:val="auto"/>
                <w:szCs w:val="21"/>
                <w:highlight w:val="none"/>
              </w:rPr>
            </w:pPr>
            <w:r>
              <w:rPr>
                <w:rFonts w:hint="eastAsia" w:ascii="宋体" w:hAnsi="宋体" w:cs="宋体"/>
                <w:color w:val="auto"/>
                <w:szCs w:val="21"/>
                <w:highlight w:val="none"/>
              </w:rPr>
              <w:t>没有足量供餐，扣1分/次</w:t>
            </w:r>
          </w:p>
        </w:tc>
        <w:tc>
          <w:tcPr>
            <w:tcW w:w="994" w:type="dxa"/>
            <w:vAlign w:val="center"/>
          </w:tcPr>
          <w:p w14:paraId="2FC6E289">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2</w:t>
            </w:r>
          </w:p>
        </w:tc>
        <w:tc>
          <w:tcPr>
            <w:tcW w:w="1199" w:type="dxa"/>
            <w:vAlign w:val="center"/>
          </w:tcPr>
          <w:p w14:paraId="7BED73BD">
            <w:pPr>
              <w:spacing w:line="216" w:lineRule="auto"/>
              <w:jc w:val="center"/>
              <w:rPr>
                <w:rFonts w:ascii="宋体" w:hAnsi="宋体" w:cs="宋体"/>
                <w:color w:val="auto"/>
                <w:szCs w:val="21"/>
                <w:highlight w:val="none"/>
              </w:rPr>
            </w:pPr>
          </w:p>
        </w:tc>
      </w:tr>
      <w:tr w14:paraId="510F5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703" w:type="dxa"/>
            <w:vAlign w:val="center"/>
          </w:tcPr>
          <w:p w14:paraId="020F57EB">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19</w:t>
            </w:r>
          </w:p>
        </w:tc>
        <w:tc>
          <w:tcPr>
            <w:tcW w:w="7060" w:type="dxa"/>
            <w:vAlign w:val="center"/>
          </w:tcPr>
          <w:p w14:paraId="21AC803B">
            <w:pPr>
              <w:spacing w:line="216" w:lineRule="auto"/>
              <w:rPr>
                <w:rFonts w:ascii="宋体" w:hAnsi="宋体" w:cs="宋体"/>
                <w:color w:val="auto"/>
                <w:szCs w:val="21"/>
                <w:highlight w:val="none"/>
              </w:rPr>
            </w:pPr>
            <w:r>
              <w:rPr>
                <w:rFonts w:hint="eastAsia" w:ascii="宋体" w:hAnsi="宋体" w:cs="宋体"/>
                <w:color w:val="auto"/>
                <w:szCs w:val="21"/>
                <w:highlight w:val="none"/>
              </w:rPr>
              <w:t>食物中发现各类虫子（苍蝇、蟑螂）、头发丝、清洁球等，扣3分</w:t>
            </w:r>
          </w:p>
        </w:tc>
        <w:tc>
          <w:tcPr>
            <w:tcW w:w="994" w:type="dxa"/>
            <w:vAlign w:val="center"/>
          </w:tcPr>
          <w:p w14:paraId="71C01134">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6</w:t>
            </w:r>
          </w:p>
        </w:tc>
        <w:tc>
          <w:tcPr>
            <w:tcW w:w="1199" w:type="dxa"/>
            <w:vAlign w:val="center"/>
          </w:tcPr>
          <w:p w14:paraId="7060EA74">
            <w:pPr>
              <w:spacing w:line="216" w:lineRule="auto"/>
              <w:jc w:val="center"/>
              <w:rPr>
                <w:rFonts w:ascii="宋体" w:hAnsi="宋体" w:cs="宋体"/>
                <w:color w:val="auto"/>
                <w:szCs w:val="21"/>
                <w:highlight w:val="none"/>
              </w:rPr>
            </w:pPr>
          </w:p>
        </w:tc>
      </w:tr>
      <w:tr w14:paraId="41A02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703" w:type="dxa"/>
            <w:vAlign w:val="center"/>
          </w:tcPr>
          <w:p w14:paraId="54FCA790">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20</w:t>
            </w:r>
          </w:p>
        </w:tc>
        <w:tc>
          <w:tcPr>
            <w:tcW w:w="7060" w:type="dxa"/>
            <w:vAlign w:val="center"/>
          </w:tcPr>
          <w:p w14:paraId="7BB518EC">
            <w:pPr>
              <w:spacing w:line="216" w:lineRule="auto"/>
              <w:rPr>
                <w:rFonts w:ascii="宋体" w:hAnsi="宋体" w:cs="宋体"/>
                <w:color w:val="auto"/>
                <w:szCs w:val="21"/>
                <w:highlight w:val="none"/>
              </w:rPr>
            </w:pPr>
            <w:r>
              <w:rPr>
                <w:rFonts w:hint="eastAsia" w:ascii="宋体" w:hAnsi="宋体" w:cs="宋体"/>
                <w:color w:val="auto"/>
                <w:szCs w:val="21"/>
                <w:highlight w:val="none"/>
              </w:rPr>
              <w:t>地毯未按时清洗、晾晒（每月至少一次），扣2分</w:t>
            </w:r>
          </w:p>
        </w:tc>
        <w:tc>
          <w:tcPr>
            <w:tcW w:w="994" w:type="dxa"/>
            <w:vAlign w:val="center"/>
          </w:tcPr>
          <w:p w14:paraId="6D8A1F3A">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2</w:t>
            </w:r>
          </w:p>
        </w:tc>
        <w:tc>
          <w:tcPr>
            <w:tcW w:w="1199" w:type="dxa"/>
            <w:vAlign w:val="center"/>
          </w:tcPr>
          <w:p w14:paraId="66DCD9E5">
            <w:pPr>
              <w:spacing w:line="216" w:lineRule="auto"/>
              <w:jc w:val="center"/>
              <w:rPr>
                <w:rFonts w:ascii="宋体" w:hAnsi="宋体" w:cs="宋体"/>
                <w:color w:val="auto"/>
                <w:szCs w:val="21"/>
                <w:highlight w:val="none"/>
              </w:rPr>
            </w:pPr>
          </w:p>
        </w:tc>
      </w:tr>
      <w:tr w14:paraId="7A1BC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703" w:type="dxa"/>
            <w:vAlign w:val="center"/>
          </w:tcPr>
          <w:p w14:paraId="37134C31">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21</w:t>
            </w:r>
          </w:p>
        </w:tc>
        <w:tc>
          <w:tcPr>
            <w:tcW w:w="7060" w:type="dxa"/>
            <w:vAlign w:val="center"/>
          </w:tcPr>
          <w:p w14:paraId="7A5ED37B">
            <w:pPr>
              <w:spacing w:line="216" w:lineRule="auto"/>
              <w:rPr>
                <w:rFonts w:ascii="宋体" w:hAnsi="宋体" w:cs="宋体"/>
                <w:color w:val="auto"/>
                <w:szCs w:val="21"/>
                <w:highlight w:val="none"/>
              </w:rPr>
            </w:pPr>
            <w:r>
              <w:rPr>
                <w:rFonts w:hint="eastAsia" w:ascii="宋体" w:hAnsi="宋体" w:cs="宋体"/>
                <w:color w:val="auto"/>
                <w:szCs w:val="21"/>
                <w:highlight w:val="none"/>
              </w:rPr>
              <w:t>屡次违反规定的，扣10分</w:t>
            </w:r>
          </w:p>
        </w:tc>
        <w:tc>
          <w:tcPr>
            <w:tcW w:w="994" w:type="dxa"/>
            <w:vAlign w:val="center"/>
          </w:tcPr>
          <w:p w14:paraId="22E4142A">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10</w:t>
            </w:r>
          </w:p>
        </w:tc>
        <w:tc>
          <w:tcPr>
            <w:tcW w:w="1199" w:type="dxa"/>
            <w:vAlign w:val="center"/>
          </w:tcPr>
          <w:p w14:paraId="22E65A1D">
            <w:pPr>
              <w:spacing w:line="216" w:lineRule="auto"/>
              <w:jc w:val="center"/>
              <w:rPr>
                <w:rFonts w:ascii="宋体" w:hAnsi="宋体" w:cs="宋体"/>
                <w:color w:val="auto"/>
                <w:szCs w:val="21"/>
                <w:highlight w:val="none"/>
              </w:rPr>
            </w:pPr>
          </w:p>
        </w:tc>
      </w:tr>
      <w:tr w14:paraId="0839C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7763" w:type="dxa"/>
            <w:gridSpan w:val="2"/>
            <w:vAlign w:val="center"/>
          </w:tcPr>
          <w:p w14:paraId="17F8CC5F">
            <w:pPr>
              <w:spacing w:line="216" w:lineRule="auto"/>
              <w:jc w:val="center"/>
              <w:rPr>
                <w:rFonts w:ascii="宋体" w:hAnsi="宋体" w:cs="宋体"/>
                <w:b/>
                <w:bCs/>
                <w:color w:val="auto"/>
                <w:szCs w:val="21"/>
                <w:highlight w:val="none"/>
              </w:rPr>
            </w:pPr>
            <w:r>
              <w:rPr>
                <w:rFonts w:hint="eastAsia" w:ascii="宋体" w:hAnsi="宋体" w:cs="宋体"/>
                <w:b/>
                <w:bCs/>
                <w:color w:val="auto"/>
                <w:szCs w:val="21"/>
                <w:highlight w:val="none"/>
              </w:rPr>
              <w:t>总分</w:t>
            </w:r>
          </w:p>
        </w:tc>
        <w:tc>
          <w:tcPr>
            <w:tcW w:w="994" w:type="dxa"/>
            <w:vAlign w:val="center"/>
          </w:tcPr>
          <w:p w14:paraId="3EC5289C">
            <w:pPr>
              <w:spacing w:line="216" w:lineRule="auto"/>
              <w:jc w:val="center"/>
              <w:rPr>
                <w:rFonts w:ascii="宋体" w:hAnsi="宋体" w:cs="宋体"/>
                <w:b/>
                <w:bCs/>
                <w:color w:val="auto"/>
                <w:szCs w:val="21"/>
                <w:highlight w:val="none"/>
              </w:rPr>
            </w:pPr>
            <w:r>
              <w:rPr>
                <w:rFonts w:hint="eastAsia" w:ascii="宋体" w:hAnsi="宋体" w:cs="宋体"/>
                <w:b/>
                <w:bCs/>
                <w:color w:val="auto"/>
                <w:szCs w:val="21"/>
                <w:highlight w:val="none"/>
              </w:rPr>
              <w:t>100</w:t>
            </w:r>
          </w:p>
        </w:tc>
        <w:tc>
          <w:tcPr>
            <w:tcW w:w="1199" w:type="dxa"/>
            <w:vAlign w:val="center"/>
          </w:tcPr>
          <w:p w14:paraId="2CB3C92E">
            <w:pPr>
              <w:spacing w:line="216" w:lineRule="auto"/>
              <w:jc w:val="center"/>
              <w:rPr>
                <w:rFonts w:ascii="宋体" w:hAnsi="宋体" w:cs="宋体"/>
                <w:color w:val="auto"/>
                <w:szCs w:val="21"/>
                <w:highlight w:val="none"/>
              </w:rPr>
            </w:pPr>
          </w:p>
        </w:tc>
      </w:tr>
      <w:tr w14:paraId="53B14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703" w:type="dxa"/>
            <w:vAlign w:val="center"/>
          </w:tcPr>
          <w:p w14:paraId="2ACACD00">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1</w:t>
            </w:r>
          </w:p>
        </w:tc>
        <w:tc>
          <w:tcPr>
            <w:tcW w:w="7060" w:type="dxa"/>
            <w:vAlign w:val="center"/>
          </w:tcPr>
          <w:p w14:paraId="41274235">
            <w:pPr>
              <w:spacing w:line="216" w:lineRule="auto"/>
              <w:rPr>
                <w:rFonts w:ascii="宋体" w:hAnsi="宋体" w:cs="宋体"/>
                <w:color w:val="auto"/>
                <w:szCs w:val="21"/>
                <w:highlight w:val="none"/>
              </w:rPr>
            </w:pPr>
            <w:r>
              <w:rPr>
                <w:rFonts w:hint="eastAsia" w:ascii="宋体" w:hAnsi="宋体" w:cs="宋体"/>
                <w:color w:val="auto"/>
                <w:szCs w:val="21"/>
                <w:highlight w:val="none"/>
              </w:rPr>
              <w:t>拾金不昧（钱包、手机等贵重物品），加2分</w:t>
            </w:r>
          </w:p>
        </w:tc>
        <w:tc>
          <w:tcPr>
            <w:tcW w:w="994" w:type="dxa"/>
            <w:vAlign w:val="center"/>
          </w:tcPr>
          <w:p w14:paraId="1A23B07E">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2</w:t>
            </w:r>
          </w:p>
        </w:tc>
        <w:tc>
          <w:tcPr>
            <w:tcW w:w="1199" w:type="dxa"/>
            <w:vAlign w:val="center"/>
          </w:tcPr>
          <w:p w14:paraId="66367EF4">
            <w:pPr>
              <w:spacing w:line="216" w:lineRule="auto"/>
              <w:jc w:val="center"/>
              <w:rPr>
                <w:rFonts w:ascii="宋体" w:hAnsi="宋体" w:cs="宋体"/>
                <w:color w:val="auto"/>
                <w:szCs w:val="21"/>
                <w:highlight w:val="none"/>
              </w:rPr>
            </w:pPr>
          </w:p>
        </w:tc>
      </w:tr>
      <w:tr w14:paraId="4ADAF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703" w:type="dxa"/>
            <w:vAlign w:val="center"/>
          </w:tcPr>
          <w:p w14:paraId="52A8AD4F">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2</w:t>
            </w:r>
          </w:p>
        </w:tc>
        <w:tc>
          <w:tcPr>
            <w:tcW w:w="7060" w:type="dxa"/>
            <w:vAlign w:val="center"/>
          </w:tcPr>
          <w:p w14:paraId="2C0D84D2">
            <w:pPr>
              <w:spacing w:line="216" w:lineRule="auto"/>
              <w:rPr>
                <w:rFonts w:ascii="宋体" w:hAnsi="宋体" w:cs="宋体"/>
                <w:color w:val="auto"/>
                <w:szCs w:val="21"/>
                <w:highlight w:val="none"/>
              </w:rPr>
            </w:pPr>
            <w:r>
              <w:rPr>
                <w:rFonts w:hint="eastAsia" w:ascii="宋体" w:hAnsi="宋体" w:cs="宋体"/>
                <w:color w:val="auto"/>
                <w:szCs w:val="21"/>
                <w:highlight w:val="none"/>
              </w:rPr>
              <w:t>向食堂提供合理化建议而被采纳，加2分</w:t>
            </w:r>
          </w:p>
        </w:tc>
        <w:tc>
          <w:tcPr>
            <w:tcW w:w="994" w:type="dxa"/>
            <w:vAlign w:val="center"/>
          </w:tcPr>
          <w:p w14:paraId="1DAD2CF4">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2</w:t>
            </w:r>
          </w:p>
        </w:tc>
        <w:tc>
          <w:tcPr>
            <w:tcW w:w="1199" w:type="dxa"/>
            <w:vAlign w:val="center"/>
          </w:tcPr>
          <w:p w14:paraId="17A25D1E">
            <w:pPr>
              <w:spacing w:line="216" w:lineRule="auto"/>
              <w:jc w:val="center"/>
              <w:rPr>
                <w:rFonts w:ascii="宋体" w:hAnsi="宋体" w:cs="宋体"/>
                <w:color w:val="auto"/>
                <w:szCs w:val="21"/>
                <w:highlight w:val="none"/>
              </w:rPr>
            </w:pPr>
          </w:p>
        </w:tc>
      </w:tr>
      <w:tr w14:paraId="16B82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703" w:type="dxa"/>
            <w:vAlign w:val="center"/>
          </w:tcPr>
          <w:p w14:paraId="4E631E1D">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3</w:t>
            </w:r>
          </w:p>
        </w:tc>
        <w:tc>
          <w:tcPr>
            <w:tcW w:w="7060" w:type="dxa"/>
            <w:vAlign w:val="center"/>
          </w:tcPr>
          <w:p w14:paraId="4B872AA8">
            <w:pPr>
              <w:spacing w:line="216" w:lineRule="auto"/>
              <w:rPr>
                <w:rFonts w:ascii="宋体" w:hAnsi="宋体" w:cs="宋体"/>
                <w:color w:val="auto"/>
                <w:szCs w:val="21"/>
                <w:highlight w:val="none"/>
              </w:rPr>
            </w:pPr>
            <w:r>
              <w:rPr>
                <w:rFonts w:hint="eastAsia" w:ascii="宋体" w:hAnsi="宋体" w:cs="宋体"/>
                <w:color w:val="auto"/>
                <w:szCs w:val="21"/>
                <w:highlight w:val="none"/>
              </w:rPr>
              <w:t>厉行节约，成效明显，加2分</w:t>
            </w:r>
          </w:p>
        </w:tc>
        <w:tc>
          <w:tcPr>
            <w:tcW w:w="994" w:type="dxa"/>
            <w:vAlign w:val="center"/>
          </w:tcPr>
          <w:p w14:paraId="1B7C4CFE">
            <w:pPr>
              <w:spacing w:line="216" w:lineRule="auto"/>
              <w:jc w:val="center"/>
              <w:rPr>
                <w:rFonts w:ascii="宋体" w:hAnsi="宋体" w:cs="宋体"/>
                <w:color w:val="auto"/>
                <w:szCs w:val="21"/>
                <w:highlight w:val="none"/>
              </w:rPr>
            </w:pPr>
            <w:r>
              <w:rPr>
                <w:rFonts w:hint="eastAsia" w:ascii="宋体" w:hAnsi="宋体" w:cs="宋体"/>
                <w:color w:val="auto"/>
                <w:szCs w:val="21"/>
                <w:highlight w:val="none"/>
              </w:rPr>
              <w:t>2</w:t>
            </w:r>
          </w:p>
        </w:tc>
        <w:tc>
          <w:tcPr>
            <w:tcW w:w="1199" w:type="dxa"/>
            <w:vAlign w:val="center"/>
          </w:tcPr>
          <w:p w14:paraId="0AA27D93">
            <w:pPr>
              <w:spacing w:line="216" w:lineRule="auto"/>
              <w:jc w:val="center"/>
              <w:rPr>
                <w:rFonts w:ascii="宋体" w:hAnsi="宋体" w:cs="宋体"/>
                <w:color w:val="auto"/>
                <w:szCs w:val="21"/>
                <w:highlight w:val="none"/>
              </w:rPr>
            </w:pPr>
          </w:p>
        </w:tc>
      </w:tr>
      <w:tr w14:paraId="577B9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7763" w:type="dxa"/>
            <w:gridSpan w:val="2"/>
            <w:vAlign w:val="center"/>
          </w:tcPr>
          <w:p w14:paraId="31BB1B1C">
            <w:pPr>
              <w:spacing w:line="216" w:lineRule="auto"/>
              <w:jc w:val="center"/>
              <w:rPr>
                <w:rFonts w:ascii="宋体" w:hAnsi="宋体" w:cs="宋体"/>
                <w:b/>
                <w:bCs/>
                <w:color w:val="auto"/>
                <w:szCs w:val="21"/>
                <w:highlight w:val="none"/>
              </w:rPr>
            </w:pPr>
            <w:r>
              <w:rPr>
                <w:rFonts w:hint="eastAsia" w:ascii="宋体" w:hAnsi="宋体" w:cs="宋体"/>
                <w:b/>
                <w:bCs/>
                <w:color w:val="auto"/>
                <w:szCs w:val="21"/>
                <w:highlight w:val="none"/>
              </w:rPr>
              <w:t>总加分</w:t>
            </w:r>
          </w:p>
        </w:tc>
        <w:tc>
          <w:tcPr>
            <w:tcW w:w="994" w:type="dxa"/>
            <w:vAlign w:val="center"/>
          </w:tcPr>
          <w:p w14:paraId="720BCB0C">
            <w:pPr>
              <w:spacing w:line="216" w:lineRule="auto"/>
              <w:jc w:val="center"/>
              <w:rPr>
                <w:rFonts w:ascii="宋体" w:hAnsi="宋体" w:cs="宋体"/>
                <w:b/>
                <w:bCs/>
                <w:color w:val="auto"/>
                <w:szCs w:val="21"/>
                <w:highlight w:val="none"/>
              </w:rPr>
            </w:pPr>
            <w:r>
              <w:rPr>
                <w:rFonts w:hint="eastAsia" w:ascii="宋体" w:hAnsi="宋体" w:cs="宋体"/>
                <w:b/>
                <w:bCs/>
                <w:color w:val="auto"/>
                <w:szCs w:val="21"/>
                <w:highlight w:val="none"/>
              </w:rPr>
              <w:t>6</w:t>
            </w:r>
          </w:p>
        </w:tc>
        <w:tc>
          <w:tcPr>
            <w:tcW w:w="1199" w:type="dxa"/>
            <w:vAlign w:val="center"/>
          </w:tcPr>
          <w:p w14:paraId="49798F4F">
            <w:pPr>
              <w:spacing w:line="216" w:lineRule="auto"/>
              <w:jc w:val="center"/>
              <w:rPr>
                <w:rFonts w:ascii="宋体" w:hAnsi="宋体" w:cs="宋体"/>
                <w:color w:val="auto"/>
                <w:szCs w:val="21"/>
                <w:highlight w:val="none"/>
              </w:rPr>
            </w:pPr>
          </w:p>
        </w:tc>
      </w:tr>
    </w:tbl>
    <w:p w14:paraId="3C7FFF57">
      <w:pP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注：1.因乙方故意或重大过失造成食物中毒、人员伤害等安全事故，服务合同终止并依法追究相关责任。</w:t>
      </w:r>
    </w:p>
    <w:p w14:paraId="15738972">
      <w:pP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2.违反食堂与其他规定的，按有关规定处理。</w:t>
      </w:r>
    </w:p>
    <w:p w14:paraId="0C6C8FEB">
      <w:pPr>
        <w:spacing w:line="400" w:lineRule="exact"/>
        <w:rPr>
          <w:rFonts w:hAnsi="宋体" w:cs="宋体"/>
          <w:b/>
          <w:bCs/>
          <w:color w:val="auto"/>
          <w:sz w:val="24"/>
          <w:szCs w:val="24"/>
          <w:highlight w:val="none"/>
        </w:rPr>
      </w:pPr>
      <w:r>
        <w:rPr>
          <w:rFonts w:hint="eastAsia" w:ascii="宋体" w:hAnsi="宋体" w:cs="宋体"/>
          <w:b/>
          <w:bCs/>
          <w:color w:val="auto"/>
          <w:szCs w:val="21"/>
          <w:highlight w:val="none"/>
        </w:rPr>
        <w:t>3.未经允许经营餐饮之外的任何业务将食堂私自转让或委托他人经营利用采购人资产搞不法经营或加工经营与本项目无关的食品、食物等，服务合同终止并依法追究相关责任。</w:t>
      </w:r>
    </w:p>
    <w:p w14:paraId="3BD9D202">
      <w:pPr>
        <w:rPr>
          <w:rFonts w:hAnsi="宋体" w:cs="宋体"/>
          <w:b/>
          <w:bCs/>
          <w:color w:val="auto"/>
          <w:sz w:val="24"/>
          <w:szCs w:val="24"/>
          <w:highlight w:val="none"/>
        </w:rPr>
      </w:pPr>
      <w:r>
        <w:rPr>
          <w:rFonts w:hint="eastAsia" w:hAnsi="宋体" w:cs="宋体"/>
          <w:b/>
          <w:bCs/>
          <w:color w:val="auto"/>
          <w:sz w:val="24"/>
          <w:szCs w:val="24"/>
          <w:highlight w:val="none"/>
        </w:rPr>
        <w:br w:type="page"/>
      </w:r>
    </w:p>
    <w:p w14:paraId="2E5A73F0">
      <w:pPr>
        <w:spacing w:line="410" w:lineRule="exact"/>
        <w:rPr>
          <w:color w:val="auto"/>
          <w:highlight w:val="none"/>
        </w:rPr>
      </w:pPr>
      <w:r>
        <w:rPr>
          <w:rFonts w:hint="eastAsia" w:hAnsi="宋体" w:cs="宋体"/>
          <w:b/>
          <w:bCs/>
          <w:color w:val="auto"/>
          <w:sz w:val="24"/>
          <w:szCs w:val="24"/>
          <w:highlight w:val="none"/>
        </w:rPr>
        <w:t>附件4：</w:t>
      </w:r>
    </w:p>
    <w:p w14:paraId="5F1E9687">
      <w:pPr>
        <w:spacing w:line="410" w:lineRule="exact"/>
        <w:jc w:val="center"/>
        <w:rPr>
          <w:rFonts w:hAnsi="宋体" w:cs="宋体"/>
          <w:b/>
          <w:color w:val="auto"/>
          <w:sz w:val="24"/>
          <w:szCs w:val="24"/>
          <w:highlight w:val="none"/>
        </w:rPr>
      </w:pPr>
      <w:r>
        <w:rPr>
          <w:rFonts w:hint="eastAsia" w:hAnsi="宋体" w:cs="宋体"/>
          <w:b/>
          <w:color w:val="auto"/>
          <w:sz w:val="24"/>
          <w:szCs w:val="24"/>
          <w:highlight w:val="none"/>
        </w:rPr>
        <w:t>食堂卫生考核方案表</w:t>
      </w:r>
    </w:p>
    <w:tbl>
      <w:tblPr>
        <w:tblStyle w:val="67"/>
        <w:tblW w:w="0" w:type="auto"/>
        <w:tblInd w:w="-108" w:type="dxa"/>
        <w:tblLayout w:type="fixed"/>
        <w:tblCellMar>
          <w:top w:w="0" w:type="dxa"/>
          <w:left w:w="108" w:type="dxa"/>
          <w:bottom w:w="0" w:type="dxa"/>
          <w:right w:w="108" w:type="dxa"/>
        </w:tblCellMar>
      </w:tblPr>
      <w:tblGrid>
        <w:gridCol w:w="498"/>
        <w:gridCol w:w="1295"/>
        <w:gridCol w:w="6299"/>
        <w:gridCol w:w="932"/>
        <w:gridCol w:w="932"/>
      </w:tblGrid>
      <w:tr w14:paraId="435C6DB6">
        <w:tblPrEx>
          <w:tblCellMar>
            <w:top w:w="0" w:type="dxa"/>
            <w:left w:w="108" w:type="dxa"/>
            <w:bottom w:w="0" w:type="dxa"/>
            <w:right w:w="108" w:type="dxa"/>
          </w:tblCellMar>
        </w:tblPrEx>
        <w:trPr>
          <w:trHeight w:val="420" w:hRule="atLeast"/>
          <w:tblHeader/>
        </w:trPr>
        <w:tc>
          <w:tcPr>
            <w:tcW w:w="498" w:type="dxa"/>
            <w:tcBorders>
              <w:top w:val="single" w:color="000000" w:sz="4" w:space="0"/>
              <w:left w:val="single" w:color="000000" w:sz="4" w:space="0"/>
              <w:bottom w:val="single" w:color="000000" w:sz="4" w:space="0"/>
              <w:right w:val="single" w:color="000000" w:sz="4" w:space="0"/>
            </w:tcBorders>
            <w:vAlign w:val="center"/>
          </w:tcPr>
          <w:p w14:paraId="338198CD">
            <w:pPr>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1295" w:type="dxa"/>
            <w:tcBorders>
              <w:top w:val="single" w:color="000000" w:sz="4" w:space="0"/>
              <w:left w:val="single" w:color="000000" w:sz="4" w:space="0"/>
              <w:bottom w:val="single" w:color="000000" w:sz="4" w:space="0"/>
              <w:right w:val="single" w:color="000000" w:sz="4" w:space="0"/>
            </w:tcBorders>
            <w:vAlign w:val="center"/>
          </w:tcPr>
          <w:p w14:paraId="0DCFCF8F">
            <w:pPr>
              <w:jc w:val="center"/>
              <w:rPr>
                <w:rFonts w:ascii="宋体" w:hAnsi="宋体" w:cs="宋体"/>
                <w:color w:val="auto"/>
                <w:szCs w:val="21"/>
                <w:highlight w:val="none"/>
              </w:rPr>
            </w:pPr>
            <w:r>
              <w:rPr>
                <w:rFonts w:hint="eastAsia" w:ascii="宋体" w:hAnsi="宋体" w:cs="宋体"/>
                <w:color w:val="auto"/>
                <w:szCs w:val="21"/>
                <w:highlight w:val="none"/>
              </w:rPr>
              <w:t>项目名称</w:t>
            </w:r>
          </w:p>
        </w:tc>
        <w:tc>
          <w:tcPr>
            <w:tcW w:w="6299" w:type="dxa"/>
            <w:tcBorders>
              <w:top w:val="single" w:color="000000" w:sz="4" w:space="0"/>
              <w:left w:val="nil"/>
              <w:bottom w:val="single" w:color="000000" w:sz="4" w:space="0"/>
              <w:right w:val="single" w:color="000000" w:sz="4" w:space="0"/>
            </w:tcBorders>
            <w:vAlign w:val="center"/>
          </w:tcPr>
          <w:p w14:paraId="785A67AE">
            <w:pPr>
              <w:jc w:val="center"/>
              <w:rPr>
                <w:rFonts w:ascii="宋体" w:hAnsi="宋体" w:cs="宋体"/>
                <w:color w:val="auto"/>
                <w:szCs w:val="21"/>
                <w:highlight w:val="none"/>
              </w:rPr>
            </w:pPr>
            <w:r>
              <w:rPr>
                <w:rFonts w:hint="eastAsia" w:ascii="宋体" w:hAnsi="宋体" w:cs="宋体"/>
                <w:color w:val="auto"/>
                <w:szCs w:val="21"/>
                <w:highlight w:val="none"/>
              </w:rPr>
              <w:t>考核内容</w:t>
            </w:r>
          </w:p>
        </w:tc>
        <w:tc>
          <w:tcPr>
            <w:tcW w:w="932" w:type="dxa"/>
            <w:tcBorders>
              <w:top w:val="single" w:color="000000" w:sz="4" w:space="0"/>
              <w:left w:val="nil"/>
              <w:bottom w:val="single" w:color="000000" w:sz="4" w:space="0"/>
              <w:right w:val="single" w:color="000000" w:sz="4" w:space="0"/>
            </w:tcBorders>
            <w:vAlign w:val="center"/>
          </w:tcPr>
          <w:p w14:paraId="3F486A08">
            <w:pPr>
              <w:jc w:val="center"/>
              <w:rPr>
                <w:rFonts w:ascii="宋体" w:hAnsi="宋体" w:cs="宋体"/>
                <w:color w:val="auto"/>
                <w:szCs w:val="21"/>
                <w:highlight w:val="none"/>
              </w:rPr>
            </w:pPr>
            <w:r>
              <w:rPr>
                <w:rFonts w:hint="eastAsia" w:ascii="宋体" w:hAnsi="宋体" w:cs="宋体"/>
                <w:color w:val="auto"/>
                <w:szCs w:val="21"/>
                <w:highlight w:val="none"/>
              </w:rPr>
              <w:t>分值</w:t>
            </w:r>
          </w:p>
        </w:tc>
        <w:tc>
          <w:tcPr>
            <w:tcW w:w="932" w:type="dxa"/>
            <w:tcBorders>
              <w:top w:val="single" w:color="000000" w:sz="4" w:space="0"/>
              <w:left w:val="nil"/>
              <w:bottom w:val="single" w:color="000000" w:sz="4" w:space="0"/>
              <w:right w:val="single" w:color="000000" w:sz="4" w:space="0"/>
            </w:tcBorders>
            <w:vAlign w:val="center"/>
          </w:tcPr>
          <w:p w14:paraId="58189D6E">
            <w:pPr>
              <w:jc w:val="center"/>
              <w:rPr>
                <w:rFonts w:ascii="宋体" w:hAnsi="宋体" w:cs="宋体"/>
                <w:color w:val="auto"/>
                <w:szCs w:val="21"/>
                <w:highlight w:val="none"/>
              </w:rPr>
            </w:pPr>
            <w:r>
              <w:rPr>
                <w:rFonts w:hint="eastAsia" w:ascii="宋体" w:hAnsi="宋体" w:cs="宋体"/>
                <w:color w:val="auto"/>
                <w:szCs w:val="21"/>
                <w:highlight w:val="none"/>
              </w:rPr>
              <w:t>得分</w:t>
            </w:r>
          </w:p>
        </w:tc>
      </w:tr>
      <w:tr w14:paraId="16813901">
        <w:tblPrEx>
          <w:tblCellMar>
            <w:top w:w="0" w:type="dxa"/>
            <w:left w:w="108" w:type="dxa"/>
            <w:bottom w:w="0" w:type="dxa"/>
            <w:right w:w="108" w:type="dxa"/>
          </w:tblCellMar>
        </w:tblPrEx>
        <w:trPr>
          <w:trHeight w:val="729" w:hRule="atLeast"/>
        </w:trPr>
        <w:tc>
          <w:tcPr>
            <w:tcW w:w="498" w:type="dxa"/>
            <w:vMerge w:val="restart"/>
            <w:tcBorders>
              <w:top w:val="nil"/>
              <w:left w:val="single" w:color="000000" w:sz="4" w:space="0"/>
              <w:bottom w:val="nil"/>
              <w:right w:val="single" w:color="000000" w:sz="4" w:space="0"/>
            </w:tcBorders>
            <w:vAlign w:val="center"/>
          </w:tcPr>
          <w:p w14:paraId="4BE9B669">
            <w:pPr>
              <w:jc w:val="center"/>
              <w:rPr>
                <w:rFonts w:ascii="宋体" w:hAnsi="宋体" w:cs="宋体"/>
                <w:color w:val="auto"/>
                <w:szCs w:val="21"/>
                <w:highlight w:val="none"/>
              </w:rPr>
            </w:pPr>
            <w:r>
              <w:rPr>
                <w:rFonts w:hint="eastAsia" w:ascii="宋体" w:hAnsi="宋体" w:cs="宋体"/>
                <w:color w:val="auto"/>
                <w:szCs w:val="21"/>
                <w:highlight w:val="none"/>
              </w:rPr>
              <w:t>1</w:t>
            </w:r>
          </w:p>
        </w:tc>
        <w:tc>
          <w:tcPr>
            <w:tcW w:w="1295" w:type="dxa"/>
            <w:vMerge w:val="restart"/>
            <w:tcBorders>
              <w:top w:val="nil"/>
              <w:left w:val="single" w:color="000000" w:sz="4" w:space="0"/>
              <w:bottom w:val="nil"/>
              <w:right w:val="single" w:color="000000" w:sz="4" w:space="0"/>
            </w:tcBorders>
            <w:vAlign w:val="center"/>
          </w:tcPr>
          <w:p w14:paraId="6007A512">
            <w:pPr>
              <w:jc w:val="center"/>
              <w:rPr>
                <w:rFonts w:ascii="宋体" w:hAnsi="宋体" w:cs="宋体"/>
                <w:color w:val="auto"/>
                <w:szCs w:val="21"/>
                <w:highlight w:val="none"/>
              </w:rPr>
            </w:pPr>
            <w:r>
              <w:rPr>
                <w:rFonts w:hint="eastAsia" w:ascii="宋体" w:hAnsi="宋体" w:cs="宋体"/>
                <w:color w:val="auto"/>
                <w:szCs w:val="21"/>
                <w:highlight w:val="none"/>
              </w:rPr>
              <w:t>台  账</w:t>
            </w:r>
          </w:p>
        </w:tc>
        <w:tc>
          <w:tcPr>
            <w:tcW w:w="6299" w:type="dxa"/>
            <w:tcBorders>
              <w:top w:val="nil"/>
              <w:left w:val="nil"/>
              <w:bottom w:val="single" w:color="000000" w:sz="4" w:space="0"/>
              <w:right w:val="single" w:color="000000" w:sz="4" w:space="0"/>
            </w:tcBorders>
            <w:vAlign w:val="center"/>
          </w:tcPr>
          <w:p w14:paraId="205495F5">
            <w:pPr>
              <w:rPr>
                <w:rFonts w:ascii="宋体" w:hAnsi="宋体" w:cs="宋体"/>
                <w:color w:val="auto"/>
                <w:szCs w:val="21"/>
                <w:highlight w:val="none"/>
              </w:rPr>
            </w:pPr>
            <w:r>
              <w:rPr>
                <w:rFonts w:hint="eastAsia" w:ascii="宋体" w:hAnsi="宋体" w:cs="宋体"/>
                <w:color w:val="auto"/>
                <w:szCs w:val="21"/>
                <w:highlight w:val="none"/>
              </w:rPr>
              <w:t>1.按要求完成月度餐具损耗、蔬菜、肉类、调味料、粮油、米、冻品、每日留样台账等。</w:t>
            </w:r>
          </w:p>
        </w:tc>
        <w:tc>
          <w:tcPr>
            <w:tcW w:w="932" w:type="dxa"/>
            <w:tcBorders>
              <w:top w:val="nil"/>
              <w:left w:val="nil"/>
              <w:bottom w:val="single" w:color="000000" w:sz="4" w:space="0"/>
              <w:right w:val="single" w:color="000000" w:sz="4" w:space="0"/>
            </w:tcBorders>
            <w:vAlign w:val="center"/>
          </w:tcPr>
          <w:p w14:paraId="6809997D">
            <w:pPr>
              <w:jc w:val="center"/>
              <w:rPr>
                <w:rFonts w:ascii="宋体" w:hAnsi="宋体" w:cs="宋体"/>
                <w:color w:val="auto"/>
                <w:szCs w:val="21"/>
                <w:highlight w:val="none"/>
              </w:rPr>
            </w:pPr>
            <w:r>
              <w:rPr>
                <w:rFonts w:hint="eastAsia" w:ascii="宋体" w:hAnsi="宋体" w:cs="宋体"/>
                <w:color w:val="auto"/>
                <w:szCs w:val="21"/>
                <w:highlight w:val="none"/>
              </w:rPr>
              <w:t>1</w:t>
            </w:r>
          </w:p>
        </w:tc>
        <w:tc>
          <w:tcPr>
            <w:tcW w:w="932" w:type="dxa"/>
            <w:tcBorders>
              <w:top w:val="nil"/>
              <w:left w:val="nil"/>
              <w:bottom w:val="single" w:color="000000" w:sz="4" w:space="0"/>
              <w:right w:val="single" w:color="000000" w:sz="4" w:space="0"/>
            </w:tcBorders>
            <w:vAlign w:val="center"/>
          </w:tcPr>
          <w:p w14:paraId="5352472C">
            <w:pPr>
              <w:jc w:val="center"/>
              <w:rPr>
                <w:rFonts w:ascii="宋体" w:hAnsi="宋体" w:cs="宋体"/>
                <w:color w:val="auto"/>
                <w:szCs w:val="21"/>
                <w:highlight w:val="none"/>
              </w:rPr>
            </w:pPr>
          </w:p>
        </w:tc>
      </w:tr>
      <w:tr w14:paraId="0D392B6C">
        <w:tblPrEx>
          <w:tblCellMar>
            <w:top w:w="0" w:type="dxa"/>
            <w:left w:w="108" w:type="dxa"/>
            <w:bottom w:w="0" w:type="dxa"/>
            <w:right w:w="108" w:type="dxa"/>
          </w:tblCellMar>
        </w:tblPrEx>
        <w:trPr>
          <w:trHeight w:val="494" w:hRule="atLeast"/>
        </w:trPr>
        <w:tc>
          <w:tcPr>
            <w:tcW w:w="498" w:type="dxa"/>
            <w:vMerge w:val="continue"/>
            <w:tcBorders>
              <w:top w:val="nil"/>
              <w:left w:val="single" w:color="000000" w:sz="4" w:space="0"/>
              <w:bottom w:val="nil"/>
              <w:right w:val="single" w:color="000000" w:sz="4" w:space="0"/>
            </w:tcBorders>
            <w:vAlign w:val="center"/>
          </w:tcPr>
          <w:p w14:paraId="7674A2EB">
            <w:pPr>
              <w:jc w:val="center"/>
              <w:rPr>
                <w:rFonts w:ascii="宋体" w:hAnsi="宋体" w:cs="宋体"/>
                <w:color w:val="auto"/>
                <w:szCs w:val="21"/>
                <w:highlight w:val="none"/>
              </w:rPr>
            </w:pPr>
          </w:p>
        </w:tc>
        <w:tc>
          <w:tcPr>
            <w:tcW w:w="1295" w:type="dxa"/>
            <w:vMerge w:val="continue"/>
            <w:tcBorders>
              <w:top w:val="nil"/>
              <w:left w:val="single" w:color="000000" w:sz="4" w:space="0"/>
              <w:bottom w:val="nil"/>
              <w:right w:val="single" w:color="000000" w:sz="4" w:space="0"/>
            </w:tcBorders>
            <w:vAlign w:val="center"/>
          </w:tcPr>
          <w:p w14:paraId="739AFD1D">
            <w:pPr>
              <w:jc w:val="center"/>
              <w:rPr>
                <w:rFonts w:ascii="宋体" w:hAnsi="宋体" w:cs="宋体"/>
                <w:color w:val="auto"/>
                <w:szCs w:val="21"/>
                <w:highlight w:val="none"/>
              </w:rPr>
            </w:pPr>
          </w:p>
        </w:tc>
        <w:tc>
          <w:tcPr>
            <w:tcW w:w="6299" w:type="dxa"/>
            <w:tcBorders>
              <w:top w:val="nil"/>
              <w:left w:val="nil"/>
              <w:bottom w:val="single" w:color="000000" w:sz="4" w:space="0"/>
              <w:right w:val="single" w:color="000000" w:sz="4" w:space="0"/>
            </w:tcBorders>
            <w:vAlign w:val="center"/>
          </w:tcPr>
          <w:p w14:paraId="1BED4988">
            <w:pPr>
              <w:rPr>
                <w:rFonts w:ascii="宋体" w:hAnsi="宋体" w:cs="宋体"/>
                <w:color w:val="auto"/>
                <w:szCs w:val="21"/>
                <w:highlight w:val="none"/>
              </w:rPr>
            </w:pPr>
            <w:r>
              <w:rPr>
                <w:rFonts w:hint="eastAsia" w:ascii="宋体" w:hAnsi="宋体" w:cs="宋体"/>
                <w:color w:val="auto"/>
                <w:szCs w:val="21"/>
                <w:highlight w:val="none"/>
              </w:rPr>
              <w:t>2.按要求完成每日员工检测体温台账。</w:t>
            </w:r>
          </w:p>
        </w:tc>
        <w:tc>
          <w:tcPr>
            <w:tcW w:w="932" w:type="dxa"/>
            <w:tcBorders>
              <w:top w:val="nil"/>
              <w:left w:val="nil"/>
              <w:bottom w:val="single" w:color="000000" w:sz="4" w:space="0"/>
              <w:right w:val="single" w:color="000000" w:sz="4" w:space="0"/>
            </w:tcBorders>
            <w:vAlign w:val="center"/>
          </w:tcPr>
          <w:p w14:paraId="792AB3F4">
            <w:pPr>
              <w:jc w:val="center"/>
              <w:rPr>
                <w:rFonts w:ascii="宋体" w:hAnsi="宋体" w:cs="宋体"/>
                <w:color w:val="auto"/>
                <w:szCs w:val="21"/>
                <w:highlight w:val="none"/>
              </w:rPr>
            </w:pPr>
            <w:r>
              <w:rPr>
                <w:rFonts w:hint="eastAsia" w:ascii="宋体" w:hAnsi="宋体" w:cs="宋体"/>
                <w:color w:val="auto"/>
                <w:szCs w:val="21"/>
                <w:highlight w:val="none"/>
              </w:rPr>
              <w:t>1</w:t>
            </w:r>
          </w:p>
        </w:tc>
        <w:tc>
          <w:tcPr>
            <w:tcW w:w="932" w:type="dxa"/>
            <w:tcBorders>
              <w:top w:val="nil"/>
              <w:left w:val="nil"/>
              <w:bottom w:val="single" w:color="000000" w:sz="4" w:space="0"/>
              <w:right w:val="single" w:color="000000" w:sz="4" w:space="0"/>
            </w:tcBorders>
            <w:vAlign w:val="center"/>
          </w:tcPr>
          <w:p w14:paraId="764697C4">
            <w:pPr>
              <w:jc w:val="center"/>
              <w:rPr>
                <w:rFonts w:ascii="宋体" w:hAnsi="宋体" w:cs="宋体"/>
                <w:color w:val="auto"/>
                <w:szCs w:val="21"/>
                <w:highlight w:val="none"/>
              </w:rPr>
            </w:pPr>
          </w:p>
        </w:tc>
      </w:tr>
      <w:tr w14:paraId="3C5CCA4F">
        <w:tblPrEx>
          <w:tblCellMar>
            <w:top w:w="0" w:type="dxa"/>
            <w:left w:w="108" w:type="dxa"/>
            <w:bottom w:w="0" w:type="dxa"/>
            <w:right w:w="108" w:type="dxa"/>
          </w:tblCellMar>
        </w:tblPrEx>
        <w:trPr>
          <w:trHeight w:val="494" w:hRule="atLeast"/>
        </w:trPr>
        <w:tc>
          <w:tcPr>
            <w:tcW w:w="498" w:type="dxa"/>
            <w:vMerge w:val="continue"/>
            <w:tcBorders>
              <w:top w:val="nil"/>
              <w:left w:val="single" w:color="000000" w:sz="4" w:space="0"/>
              <w:bottom w:val="nil"/>
              <w:right w:val="single" w:color="000000" w:sz="4" w:space="0"/>
            </w:tcBorders>
            <w:vAlign w:val="center"/>
          </w:tcPr>
          <w:p w14:paraId="65439364">
            <w:pPr>
              <w:jc w:val="center"/>
              <w:rPr>
                <w:rFonts w:ascii="宋体" w:hAnsi="宋体" w:cs="宋体"/>
                <w:color w:val="auto"/>
                <w:szCs w:val="21"/>
                <w:highlight w:val="none"/>
              </w:rPr>
            </w:pPr>
          </w:p>
        </w:tc>
        <w:tc>
          <w:tcPr>
            <w:tcW w:w="1295" w:type="dxa"/>
            <w:vMerge w:val="continue"/>
            <w:tcBorders>
              <w:top w:val="nil"/>
              <w:left w:val="single" w:color="000000" w:sz="4" w:space="0"/>
              <w:bottom w:val="nil"/>
              <w:right w:val="single" w:color="000000" w:sz="4" w:space="0"/>
            </w:tcBorders>
            <w:vAlign w:val="center"/>
          </w:tcPr>
          <w:p w14:paraId="6C7A5644">
            <w:pPr>
              <w:jc w:val="center"/>
              <w:rPr>
                <w:rFonts w:ascii="宋体" w:hAnsi="宋体" w:cs="宋体"/>
                <w:color w:val="auto"/>
                <w:szCs w:val="21"/>
                <w:highlight w:val="none"/>
              </w:rPr>
            </w:pPr>
          </w:p>
        </w:tc>
        <w:tc>
          <w:tcPr>
            <w:tcW w:w="6299" w:type="dxa"/>
            <w:tcBorders>
              <w:top w:val="nil"/>
              <w:left w:val="nil"/>
              <w:bottom w:val="single" w:color="000000" w:sz="4" w:space="0"/>
              <w:right w:val="single" w:color="000000" w:sz="4" w:space="0"/>
            </w:tcBorders>
            <w:vAlign w:val="center"/>
          </w:tcPr>
          <w:p w14:paraId="2C4C60F8">
            <w:pPr>
              <w:rPr>
                <w:rFonts w:ascii="宋体" w:hAnsi="宋体" w:cs="宋体"/>
                <w:color w:val="auto"/>
                <w:szCs w:val="21"/>
                <w:highlight w:val="none"/>
              </w:rPr>
            </w:pPr>
            <w:r>
              <w:rPr>
                <w:rFonts w:hint="eastAsia" w:ascii="宋体" w:hAnsi="宋体" w:cs="宋体"/>
                <w:color w:val="auto"/>
                <w:szCs w:val="21"/>
                <w:highlight w:val="none"/>
              </w:rPr>
              <w:t>3.按要求完成餐具消毒、餐厅消毒、通风台账等。</w:t>
            </w:r>
          </w:p>
        </w:tc>
        <w:tc>
          <w:tcPr>
            <w:tcW w:w="932" w:type="dxa"/>
            <w:tcBorders>
              <w:top w:val="nil"/>
              <w:left w:val="nil"/>
              <w:bottom w:val="single" w:color="000000" w:sz="4" w:space="0"/>
              <w:right w:val="single" w:color="000000" w:sz="4" w:space="0"/>
            </w:tcBorders>
            <w:vAlign w:val="center"/>
          </w:tcPr>
          <w:p w14:paraId="0930E416">
            <w:pPr>
              <w:jc w:val="center"/>
              <w:rPr>
                <w:rFonts w:ascii="宋体" w:hAnsi="宋体" w:cs="宋体"/>
                <w:color w:val="auto"/>
                <w:szCs w:val="21"/>
                <w:highlight w:val="none"/>
              </w:rPr>
            </w:pPr>
            <w:r>
              <w:rPr>
                <w:rFonts w:hint="eastAsia" w:ascii="宋体" w:hAnsi="宋体" w:cs="宋体"/>
                <w:color w:val="auto"/>
                <w:szCs w:val="21"/>
                <w:highlight w:val="none"/>
              </w:rPr>
              <w:t>1</w:t>
            </w:r>
          </w:p>
        </w:tc>
        <w:tc>
          <w:tcPr>
            <w:tcW w:w="932" w:type="dxa"/>
            <w:tcBorders>
              <w:top w:val="nil"/>
              <w:left w:val="nil"/>
              <w:bottom w:val="single" w:color="000000" w:sz="4" w:space="0"/>
              <w:right w:val="single" w:color="000000" w:sz="4" w:space="0"/>
            </w:tcBorders>
            <w:vAlign w:val="center"/>
          </w:tcPr>
          <w:p w14:paraId="33AAD93D">
            <w:pPr>
              <w:jc w:val="center"/>
              <w:rPr>
                <w:rFonts w:ascii="宋体" w:hAnsi="宋体" w:cs="宋体"/>
                <w:color w:val="auto"/>
                <w:szCs w:val="21"/>
                <w:highlight w:val="none"/>
              </w:rPr>
            </w:pPr>
          </w:p>
        </w:tc>
      </w:tr>
      <w:tr w14:paraId="55EF7133">
        <w:tblPrEx>
          <w:tblCellMar>
            <w:top w:w="0" w:type="dxa"/>
            <w:left w:w="108" w:type="dxa"/>
            <w:bottom w:w="0" w:type="dxa"/>
            <w:right w:w="108" w:type="dxa"/>
          </w:tblCellMar>
        </w:tblPrEx>
        <w:trPr>
          <w:trHeight w:val="494" w:hRule="atLeast"/>
        </w:trPr>
        <w:tc>
          <w:tcPr>
            <w:tcW w:w="498" w:type="dxa"/>
            <w:vMerge w:val="continue"/>
            <w:tcBorders>
              <w:top w:val="nil"/>
              <w:left w:val="single" w:color="000000" w:sz="4" w:space="0"/>
              <w:bottom w:val="nil"/>
              <w:right w:val="single" w:color="000000" w:sz="4" w:space="0"/>
            </w:tcBorders>
            <w:vAlign w:val="center"/>
          </w:tcPr>
          <w:p w14:paraId="4ECA07AC">
            <w:pPr>
              <w:jc w:val="center"/>
              <w:rPr>
                <w:rFonts w:ascii="宋体" w:hAnsi="宋体" w:cs="宋体"/>
                <w:color w:val="auto"/>
                <w:szCs w:val="21"/>
                <w:highlight w:val="none"/>
              </w:rPr>
            </w:pPr>
          </w:p>
        </w:tc>
        <w:tc>
          <w:tcPr>
            <w:tcW w:w="1295" w:type="dxa"/>
            <w:vMerge w:val="continue"/>
            <w:tcBorders>
              <w:top w:val="nil"/>
              <w:left w:val="single" w:color="000000" w:sz="4" w:space="0"/>
              <w:bottom w:val="nil"/>
              <w:right w:val="single" w:color="000000" w:sz="4" w:space="0"/>
            </w:tcBorders>
            <w:vAlign w:val="center"/>
          </w:tcPr>
          <w:p w14:paraId="37953C8F">
            <w:pPr>
              <w:jc w:val="center"/>
              <w:rPr>
                <w:rFonts w:ascii="宋体" w:hAnsi="宋体" w:cs="宋体"/>
                <w:color w:val="auto"/>
                <w:szCs w:val="21"/>
                <w:highlight w:val="none"/>
              </w:rPr>
            </w:pPr>
          </w:p>
        </w:tc>
        <w:tc>
          <w:tcPr>
            <w:tcW w:w="6299" w:type="dxa"/>
            <w:tcBorders>
              <w:top w:val="nil"/>
              <w:left w:val="nil"/>
              <w:bottom w:val="single" w:color="000000" w:sz="4" w:space="0"/>
              <w:right w:val="single" w:color="000000" w:sz="4" w:space="0"/>
            </w:tcBorders>
            <w:vAlign w:val="center"/>
          </w:tcPr>
          <w:p w14:paraId="73410314">
            <w:pPr>
              <w:rPr>
                <w:rFonts w:ascii="宋体" w:hAnsi="宋体" w:cs="宋体"/>
                <w:color w:val="auto"/>
                <w:szCs w:val="21"/>
                <w:highlight w:val="none"/>
              </w:rPr>
            </w:pPr>
            <w:r>
              <w:rPr>
                <w:rFonts w:hint="eastAsia" w:ascii="宋体" w:hAnsi="宋体" w:cs="宋体"/>
                <w:color w:val="auto"/>
                <w:szCs w:val="21"/>
                <w:highlight w:val="none"/>
              </w:rPr>
              <w:t>4.按要求完成安全培训台账。</w:t>
            </w:r>
          </w:p>
        </w:tc>
        <w:tc>
          <w:tcPr>
            <w:tcW w:w="932" w:type="dxa"/>
            <w:tcBorders>
              <w:top w:val="nil"/>
              <w:left w:val="nil"/>
              <w:bottom w:val="single" w:color="000000" w:sz="4" w:space="0"/>
              <w:right w:val="single" w:color="000000" w:sz="4" w:space="0"/>
            </w:tcBorders>
            <w:vAlign w:val="center"/>
          </w:tcPr>
          <w:p w14:paraId="201FFAE6">
            <w:pPr>
              <w:jc w:val="center"/>
              <w:rPr>
                <w:rFonts w:ascii="宋体" w:hAnsi="宋体" w:cs="宋体"/>
                <w:color w:val="auto"/>
                <w:szCs w:val="21"/>
                <w:highlight w:val="none"/>
              </w:rPr>
            </w:pPr>
            <w:r>
              <w:rPr>
                <w:rFonts w:hint="eastAsia" w:ascii="宋体" w:hAnsi="宋体" w:cs="宋体"/>
                <w:color w:val="auto"/>
                <w:szCs w:val="21"/>
                <w:highlight w:val="none"/>
              </w:rPr>
              <w:t>1</w:t>
            </w:r>
          </w:p>
        </w:tc>
        <w:tc>
          <w:tcPr>
            <w:tcW w:w="932" w:type="dxa"/>
            <w:tcBorders>
              <w:top w:val="nil"/>
              <w:left w:val="nil"/>
              <w:bottom w:val="single" w:color="000000" w:sz="4" w:space="0"/>
              <w:right w:val="single" w:color="000000" w:sz="4" w:space="0"/>
            </w:tcBorders>
            <w:vAlign w:val="center"/>
          </w:tcPr>
          <w:p w14:paraId="05E8FAF0">
            <w:pPr>
              <w:jc w:val="center"/>
              <w:rPr>
                <w:rFonts w:ascii="宋体" w:hAnsi="宋体" w:cs="宋体"/>
                <w:color w:val="auto"/>
                <w:szCs w:val="21"/>
                <w:highlight w:val="none"/>
              </w:rPr>
            </w:pPr>
          </w:p>
        </w:tc>
      </w:tr>
      <w:tr w14:paraId="526B7D37">
        <w:tblPrEx>
          <w:tblCellMar>
            <w:top w:w="0" w:type="dxa"/>
            <w:left w:w="108" w:type="dxa"/>
            <w:bottom w:w="0" w:type="dxa"/>
            <w:right w:w="108" w:type="dxa"/>
          </w:tblCellMar>
        </w:tblPrEx>
        <w:trPr>
          <w:trHeight w:val="494" w:hRule="atLeast"/>
        </w:trPr>
        <w:tc>
          <w:tcPr>
            <w:tcW w:w="498" w:type="dxa"/>
            <w:vMerge w:val="continue"/>
            <w:tcBorders>
              <w:top w:val="nil"/>
              <w:left w:val="single" w:color="000000" w:sz="4" w:space="0"/>
              <w:bottom w:val="single" w:color="000000" w:sz="4" w:space="0"/>
              <w:right w:val="single" w:color="000000" w:sz="4" w:space="0"/>
            </w:tcBorders>
            <w:vAlign w:val="center"/>
          </w:tcPr>
          <w:p w14:paraId="5DD68B37">
            <w:pPr>
              <w:jc w:val="center"/>
              <w:rPr>
                <w:rFonts w:ascii="宋体" w:hAnsi="宋体" w:cs="宋体"/>
                <w:color w:val="auto"/>
                <w:szCs w:val="21"/>
                <w:highlight w:val="none"/>
              </w:rPr>
            </w:pPr>
          </w:p>
        </w:tc>
        <w:tc>
          <w:tcPr>
            <w:tcW w:w="1295" w:type="dxa"/>
            <w:vMerge w:val="continue"/>
            <w:tcBorders>
              <w:top w:val="nil"/>
              <w:left w:val="single" w:color="000000" w:sz="4" w:space="0"/>
              <w:bottom w:val="single" w:color="000000" w:sz="4" w:space="0"/>
              <w:right w:val="single" w:color="000000" w:sz="4" w:space="0"/>
            </w:tcBorders>
            <w:vAlign w:val="center"/>
          </w:tcPr>
          <w:p w14:paraId="0AA7A715">
            <w:pPr>
              <w:jc w:val="center"/>
              <w:rPr>
                <w:rFonts w:ascii="宋体" w:hAnsi="宋体" w:cs="宋体"/>
                <w:color w:val="auto"/>
                <w:szCs w:val="21"/>
                <w:highlight w:val="none"/>
              </w:rPr>
            </w:pPr>
          </w:p>
        </w:tc>
        <w:tc>
          <w:tcPr>
            <w:tcW w:w="6299" w:type="dxa"/>
            <w:tcBorders>
              <w:top w:val="nil"/>
              <w:left w:val="nil"/>
              <w:bottom w:val="single" w:color="000000" w:sz="4" w:space="0"/>
              <w:right w:val="single" w:color="000000" w:sz="4" w:space="0"/>
            </w:tcBorders>
            <w:vAlign w:val="center"/>
          </w:tcPr>
          <w:p w14:paraId="5CC18BE5">
            <w:pPr>
              <w:rPr>
                <w:rFonts w:ascii="宋体" w:hAnsi="宋体" w:cs="宋体"/>
                <w:color w:val="auto"/>
                <w:szCs w:val="21"/>
                <w:highlight w:val="none"/>
              </w:rPr>
            </w:pPr>
            <w:r>
              <w:rPr>
                <w:rFonts w:hint="eastAsia" w:ascii="宋体" w:hAnsi="宋体" w:cs="宋体"/>
                <w:color w:val="auto"/>
                <w:szCs w:val="21"/>
                <w:highlight w:val="none"/>
              </w:rPr>
              <w:t>5.按要求完成上下班打卡记录。</w:t>
            </w:r>
          </w:p>
        </w:tc>
        <w:tc>
          <w:tcPr>
            <w:tcW w:w="932" w:type="dxa"/>
            <w:tcBorders>
              <w:top w:val="nil"/>
              <w:left w:val="nil"/>
              <w:bottom w:val="single" w:color="000000" w:sz="4" w:space="0"/>
              <w:right w:val="single" w:color="000000" w:sz="4" w:space="0"/>
            </w:tcBorders>
            <w:vAlign w:val="center"/>
          </w:tcPr>
          <w:p w14:paraId="0820C409">
            <w:pPr>
              <w:jc w:val="center"/>
              <w:rPr>
                <w:rFonts w:ascii="宋体" w:hAnsi="宋体" w:cs="宋体"/>
                <w:color w:val="auto"/>
                <w:szCs w:val="21"/>
                <w:highlight w:val="none"/>
              </w:rPr>
            </w:pPr>
            <w:r>
              <w:rPr>
                <w:rFonts w:hint="eastAsia" w:ascii="宋体" w:hAnsi="宋体" w:cs="宋体"/>
                <w:color w:val="auto"/>
                <w:szCs w:val="21"/>
                <w:highlight w:val="none"/>
              </w:rPr>
              <w:t>1</w:t>
            </w:r>
          </w:p>
        </w:tc>
        <w:tc>
          <w:tcPr>
            <w:tcW w:w="932" w:type="dxa"/>
            <w:tcBorders>
              <w:top w:val="nil"/>
              <w:left w:val="nil"/>
              <w:bottom w:val="single" w:color="000000" w:sz="4" w:space="0"/>
              <w:right w:val="single" w:color="000000" w:sz="4" w:space="0"/>
            </w:tcBorders>
            <w:vAlign w:val="center"/>
          </w:tcPr>
          <w:p w14:paraId="6C0D39B3">
            <w:pPr>
              <w:jc w:val="center"/>
              <w:rPr>
                <w:rFonts w:ascii="宋体" w:hAnsi="宋体" w:cs="宋体"/>
                <w:color w:val="auto"/>
                <w:szCs w:val="21"/>
                <w:highlight w:val="none"/>
              </w:rPr>
            </w:pPr>
          </w:p>
        </w:tc>
      </w:tr>
      <w:tr w14:paraId="1CD53893">
        <w:tblPrEx>
          <w:tblCellMar>
            <w:top w:w="0" w:type="dxa"/>
            <w:left w:w="108" w:type="dxa"/>
            <w:bottom w:w="0" w:type="dxa"/>
            <w:right w:w="108" w:type="dxa"/>
          </w:tblCellMar>
        </w:tblPrEx>
        <w:trPr>
          <w:trHeight w:val="494" w:hRule="atLeast"/>
        </w:trPr>
        <w:tc>
          <w:tcPr>
            <w:tcW w:w="498" w:type="dxa"/>
            <w:tcBorders>
              <w:top w:val="nil"/>
              <w:left w:val="single" w:color="000000" w:sz="4" w:space="0"/>
              <w:bottom w:val="single" w:color="000000" w:sz="4" w:space="0"/>
              <w:right w:val="single" w:color="000000" w:sz="4" w:space="0"/>
            </w:tcBorders>
            <w:vAlign w:val="center"/>
          </w:tcPr>
          <w:p w14:paraId="00AF841F">
            <w:pPr>
              <w:jc w:val="center"/>
              <w:rPr>
                <w:rFonts w:ascii="宋体" w:hAnsi="宋体" w:cs="宋体"/>
                <w:color w:val="auto"/>
                <w:szCs w:val="21"/>
                <w:highlight w:val="none"/>
              </w:rPr>
            </w:pPr>
            <w:r>
              <w:rPr>
                <w:rFonts w:hint="eastAsia" w:ascii="宋体" w:hAnsi="宋体" w:cs="宋体"/>
                <w:color w:val="auto"/>
                <w:szCs w:val="21"/>
                <w:highlight w:val="none"/>
              </w:rPr>
              <w:t>2</w:t>
            </w:r>
          </w:p>
        </w:tc>
        <w:tc>
          <w:tcPr>
            <w:tcW w:w="1295" w:type="dxa"/>
            <w:tcBorders>
              <w:top w:val="nil"/>
              <w:left w:val="single" w:color="000000" w:sz="4" w:space="0"/>
              <w:bottom w:val="single" w:color="000000" w:sz="4" w:space="0"/>
              <w:right w:val="single" w:color="000000" w:sz="4" w:space="0"/>
            </w:tcBorders>
            <w:vAlign w:val="center"/>
          </w:tcPr>
          <w:p w14:paraId="686C4445">
            <w:pPr>
              <w:jc w:val="center"/>
              <w:rPr>
                <w:rFonts w:ascii="宋体" w:hAnsi="宋体" w:cs="宋体"/>
                <w:color w:val="auto"/>
                <w:szCs w:val="21"/>
                <w:highlight w:val="none"/>
              </w:rPr>
            </w:pPr>
            <w:r>
              <w:rPr>
                <w:rFonts w:hint="eastAsia" w:ascii="宋体" w:hAnsi="宋体" w:cs="宋体"/>
                <w:color w:val="auto"/>
                <w:szCs w:val="21"/>
                <w:highlight w:val="none"/>
              </w:rPr>
              <w:t>菜品质量</w:t>
            </w:r>
          </w:p>
        </w:tc>
        <w:tc>
          <w:tcPr>
            <w:tcW w:w="6299" w:type="dxa"/>
            <w:tcBorders>
              <w:top w:val="nil"/>
              <w:left w:val="nil"/>
              <w:bottom w:val="single" w:color="000000" w:sz="4" w:space="0"/>
              <w:right w:val="single" w:color="000000" w:sz="4" w:space="0"/>
            </w:tcBorders>
            <w:vAlign w:val="center"/>
          </w:tcPr>
          <w:p w14:paraId="1C83EEF3">
            <w:pPr>
              <w:rPr>
                <w:rFonts w:ascii="宋体" w:hAnsi="宋体" w:cs="宋体"/>
                <w:color w:val="auto"/>
                <w:szCs w:val="21"/>
                <w:highlight w:val="none"/>
              </w:rPr>
            </w:pPr>
            <w:r>
              <w:rPr>
                <w:rFonts w:hint="eastAsia" w:ascii="宋体" w:hAnsi="宋体" w:cs="宋体"/>
                <w:color w:val="auto"/>
                <w:szCs w:val="21"/>
                <w:highlight w:val="none"/>
              </w:rPr>
              <w:t>原则上按照菜单出菜，不随意更改菜品。</w:t>
            </w:r>
          </w:p>
        </w:tc>
        <w:tc>
          <w:tcPr>
            <w:tcW w:w="932" w:type="dxa"/>
            <w:tcBorders>
              <w:top w:val="nil"/>
              <w:left w:val="nil"/>
              <w:bottom w:val="single" w:color="000000" w:sz="4" w:space="0"/>
              <w:right w:val="single" w:color="000000" w:sz="4" w:space="0"/>
            </w:tcBorders>
            <w:vAlign w:val="center"/>
          </w:tcPr>
          <w:p w14:paraId="0C72A417">
            <w:pPr>
              <w:jc w:val="center"/>
              <w:rPr>
                <w:rFonts w:ascii="宋体" w:hAnsi="宋体" w:cs="宋体"/>
                <w:color w:val="auto"/>
                <w:szCs w:val="21"/>
                <w:highlight w:val="none"/>
              </w:rPr>
            </w:pPr>
            <w:r>
              <w:rPr>
                <w:rFonts w:hint="eastAsia" w:ascii="宋体" w:hAnsi="宋体" w:cs="宋体"/>
                <w:color w:val="auto"/>
                <w:szCs w:val="21"/>
                <w:highlight w:val="none"/>
              </w:rPr>
              <w:t>1</w:t>
            </w:r>
          </w:p>
        </w:tc>
        <w:tc>
          <w:tcPr>
            <w:tcW w:w="932" w:type="dxa"/>
            <w:tcBorders>
              <w:top w:val="nil"/>
              <w:left w:val="nil"/>
              <w:bottom w:val="single" w:color="000000" w:sz="4" w:space="0"/>
              <w:right w:val="single" w:color="000000" w:sz="4" w:space="0"/>
            </w:tcBorders>
            <w:vAlign w:val="center"/>
          </w:tcPr>
          <w:p w14:paraId="250DC898">
            <w:pPr>
              <w:jc w:val="center"/>
              <w:rPr>
                <w:rFonts w:ascii="宋体" w:hAnsi="宋体" w:cs="宋体"/>
                <w:color w:val="auto"/>
                <w:szCs w:val="21"/>
                <w:highlight w:val="none"/>
              </w:rPr>
            </w:pPr>
          </w:p>
        </w:tc>
      </w:tr>
      <w:tr w14:paraId="6AF938BA">
        <w:tblPrEx>
          <w:tblCellMar>
            <w:top w:w="0" w:type="dxa"/>
            <w:left w:w="108" w:type="dxa"/>
            <w:bottom w:w="0" w:type="dxa"/>
            <w:right w:w="108" w:type="dxa"/>
          </w:tblCellMar>
        </w:tblPrEx>
        <w:trPr>
          <w:trHeight w:val="494" w:hRule="atLeast"/>
        </w:trPr>
        <w:tc>
          <w:tcPr>
            <w:tcW w:w="498" w:type="dxa"/>
            <w:vMerge w:val="restart"/>
            <w:tcBorders>
              <w:top w:val="nil"/>
              <w:left w:val="single" w:color="000000" w:sz="4" w:space="0"/>
              <w:bottom w:val="nil"/>
              <w:right w:val="single" w:color="000000" w:sz="4" w:space="0"/>
            </w:tcBorders>
            <w:vAlign w:val="center"/>
          </w:tcPr>
          <w:p w14:paraId="3AE83293">
            <w:pPr>
              <w:jc w:val="center"/>
              <w:rPr>
                <w:rFonts w:ascii="宋体" w:hAnsi="宋体" w:cs="宋体"/>
                <w:color w:val="auto"/>
                <w:szCs w:val="21"/>
                <w:highlight w:val="none"/>
              </w:rPr>
            </w:pPr>
            <w:r>
              <w:rPr>
                <w:rFonts w:hint="eastAsia" w:ascii="宋体" w:hAnsi="宋体" w:cs="宋体"/>
                <w:color w:val="auto"/>
                <w:szCs w:val="21"/>
                <w:highlight w:val="none"/>
              </w:rPr>
              <w:t>3</w:t>
            </w:r>
          </w:p>
        </w:tc>
        <w:tc>
          <w:tcPr>
            <w:tcW w:w="1295" w:type="dxa"/>
            <w:vMerge w:val="restart"/>
            <w:tcBorders>
              <w:top w:val="nil"/>
              <w:left w:val="single" w:color="000000" w:sz="4" w:space="0"/>
              <w:bottom w:val="nil"/>
              <w:right w:val="single" w:color="000000" w:sz="4" w:space="0"/>
            </w:tcBorders>
            <w:vAlign w:val="center"/>
          </w:tcPr>
          <w:p w14:paraId="78E8FCB4">
            <w:pPr>
              <w:rPr>
                <w:rFonts w:ascii="宋体" w:hAnsi="宋体" w:cs="宋体"/>
                <w:color w:val="auto"/>
                <w:szCs w:val="21"/>
                <w:highlight w:val="none"/>
              </w:rPr>
            </w:pPr>
            <w:r>
              <w:rPr>
                <w:rFonts w:hint="eastAsia" w:ascii="宋体" w:hAnsi="宋体" w:cs="宋体"/>
                <w:color w:val="auto"/>
                <w:szCs w:val="21"/>
                <w:highlight w:val="none"/>
              </w:rPr>
              <w:t>员工个人清洁卫生</w:t>
            </w:r>
          </w:p>
        </w:tc>
        <w:tc>
          <w:tcPr>
            <w:tcW w:w="6299" w:type="dxa"/>
            <w:tcBorders>
              <w:top w:val="nil"/>
              <w:left w:val="nil"/>
              <w:bottom w:val="single" w:color="000000" w:sz="4" w:space="0"/>
              <w:right w:val="single" w:color="000000" w:sz="4" w:space="0"/>
            </w:tcBorders>
            <w:vAlign w:val="center"/>
          </w:tcPr>
          <w:p w14:paraId="1D337449">
            <w:pPr>
              <w:rPr>
                <w:rFonts w:ascii="宋体" w:hAnsi="宋体" w:cs="宋体"/>
                <w:color w:val="auto"/>
                <w:szCs w:val="21"/>
                <w:highlight w:val="none"/>
              </w:rPr>
            </w:pPr>
            <w:r>
              <w:rPr>
                <w:rFonts w:hint="eastAsia" w:ascii="宋体" w:hAnsi="宋体" w:cs="宋体"/>
                <w:color w:val="auto"/>
                <w:szCs w:val="21"/>
                <w:highlight w:val="none"/>
              </w:rPr>
              <w:t>1.员工不得留长指甲、不得涂指甲油，上班期间不得戴首饰。</w:t>
            </w:r>
          </w:p>
        </w:tc>
        <w:tc>
          <w:tcPr>
            <w:tcW w:w="932" w:type="dxa"/>
            <w:tcBorders>
              <w:top w:val="nil"/>
              <w:left w:val="nil"/>
              <w:bottom w:val="single" w:color="000000" w:sz="4" w:space="0"/>
              <w:right w:val="single" w:color="000000" w:sz="4" w:space="0"/>
            </w:tcBorders>
            <w:vAlign w:val="center"/>
          </w:tcPr>
          <w:p w14:paraId="5A00E7C3">
            <w:pPr>
              <w:jc w:val="center"/>
              <w:rPr>
                <w:rFonts w:ascii="宋体" w:hAnsi="宋体" w:cs="宋体"/>
                <w:color w:val="auto"/>
                <w:szCs w:val="21"/>
                <w:highlight w:val="none"/>
              </w:rPr>
            </w:pPr>
            <w:r>
              <w:rPr>
                <w:rFonts w:hint="eastAsia" w:ascii="宋体" w:hAnsi="宋体" w:cs="宋体"/>
                <w:color w:val="auto"/>
                <w:szCs w:val="21"/>
                <w:highlight w:val="none"/>
              </w:rPr>
              <w:t>1</w:t>
            </w:r>
          </w:p>
        </w:tc>
        <w:tc>
          <w:tcPr>
            <w:tcW w:w="932" w:type="dxa"/>
            <w:tcBorders>
              <w:top w:val="nil"/>
              <w:left w:val="nil"/>
              <w:bottom w:val="single" w:color="000000" w:sz="4" w:space="0"/>
              <w:right w:val="single" w:color="000000" w:sz="4" w:space="0"/>
            </w:tcBorders>
            <w:vAlign w:val="center"/>
          </w:tcPr>
          <w:p w14:paraId="6FC81C79">
            <w:pPr>
              <w:jc w:val="center"/>
              <w:rPr>
                <w:rFonts w:ascii="宋体" w:hAnsi="宋体" w:cs="宋体"/>
                <w:color w:val="auto"/>
                <w:szCs w:val="21"/>
                <w:highlight w:val="none"/>
              </w:rPr>
            </w:pPr>
          </w:p>
        </w:tc>
      </w:tr>
      <w:tr w14:paraId="461EB8A1">
        <w:tblPrEx>
          <w:tblCellMar>
            <w:top w:w="0" w:type="dxa"/>
            <w:left w:w="108" w:type="dxa"/>
            <w:bottom w:w="0" w:type="dxa"/>
            <w:right w:w="108" w:type="dxa"/>
          </w:tblCellMar>
        </w:tblPrEx>
        <w:trPr>
          <w:trHeight w:val="494" w:hRule="atLeast"/>
        </w:trPr>
        <w:tc>
          <w:tcPr>
            <w:tcW w:w="498" w:type="dxa"/>
            <w:vMerge w:val="continue"/>
            <w:tcBorders>
              <w:top w:val="nil"/>
              <w:left w:val="single" w:color="000000" w:sz="4" w:space="0"/>
              <w:bottom w:val="nil"/>
              <w:right w:val="single" w:color="000000" w:sz="4" w:space="0"/>
            </w:tcBorders>
            <w:vAlign w:val="center"/>
          </w:tcPr>
          <w:p w14:paraId="760231A0">
            <w:pPr>
              <w:jc w:val="center"/>
              <w:rPr>
                <w:rFonts w:ascii="宋体" w:hAnsi="宋体" w:cs="宋体"/>
                <w:color w:val="auto"/>
                <w:szCs w:val="21"/>
                <w:highlight w:val="none"/>
              </w:rPr>
            </w:pPr>
          </w:p>
        </w:tc>
        <w:tc>
          <w:tcPr>
            <w:tcW w:w="1295" w:type="dxa"/>
            <w:vMerge w:val="continue"/>
            <w:tcBorders>
              <w:top w:val="nil"/>
              <w:left w:val="single" w:color="000000" w:sz="4" w:space="0"/>
              <w:bottom w:val="nil"/>
              <w:right w:val="single" w:color="000000" w:sz="4" w:space="0"/>
            </w:tcBorders>
            <w:vAlign w:val="center"/>
          </w:tcPr>
          <w:p w14:paraId="4D36C348">
            <w:pPr>
              <w:jc w:val="center"/>
              <w:rPr>
                <w:rFonts w:ascii="宋体" w:hAnsi="宋体" w:cs="宋体"/>
                <w:color w:val="auto"/>
                <w:szCs w:val="21"/>
                <w:highlight w:val="none"/>
              </w:rPr>
            </w:pPr>
          </w:p>
        </w:tc>
        <w:tc>
          <w:tcPr>
            <w:tcW w:w="6299" w:type="dxa"/>
            <w:tcBorders>
              <w:top w:val="nil"/>
              <w:left w:val="nil"/>
              <w:bottom w:val="single" w:color="000000" w:sz="4" w:space="0"/>
              <w:right w:val="single" w:color="000000" w:sz="4" w:space="0"/>
            </w:tcBorders>
            <w:vAlign w:val="center"/>
          </w:tcPr>
          <w:p w14:paraId="48EE7A3F">
            <w:pPr>
              <w:rPr>
                <w:rFonts w:ascii="宋体" w:hAnsi="宋体" w:cs="宋体"/>
                <w:color w:val="auto"/>
                <w:szCs w:val="21"/>
                <w:highlight w:val="none"/>
              </w:rPr>
            </w:pPr>
            <w:r>
              <w:rPr>
                <w:rFonts w:hint="eastAsia" w:ascii="宋体" w:hAnsi="宋体" w:cs="宋体"/>
                <w:color w:val="auto"/>
                <w:szCs w:val="21"/>
                <w:highlight w:val="none"/>
              </w:rPr>
              <w:t>2.工作时要统一穿工作服，工作服要保持清洁平整。</w:t>
            </w:r>
          </w:p>
        </w:tc>
        <w:tc>
          <w:tcPr>
            <w:tcW w:w="932" w:type="dxa"/>
            <w:tcBorders>
              <w:top w:val="nil"/>
              <w:left w:val="nil"/>
              <w:bottom w:val="single" w:color="000000" w:sz="4" w:space="0"/>
              <w:right w:val="single" w:color="000000" w:sz="4" w:space="0"/>
            </w:tcBorders>
            <w:vAlign w:val="center"/>
          </w:tcPr>
          <w:p w14:paraId="7FD49B99">
            <w:pPr>
              <w:jc w:val="center"/>
              <w:rPr>
                <w:rFonts w:ascii="宋体" w:hAnsi="宋体" w:cs="宋体"/>
                <w:color w:val="auto"/>
                <w:szCs w:val="21"/>
                <w:highlight w:val="none"/>
              </w:rPr>
            </w:pPr>
            <w:r>
              <w:rPr>
                <w:rFonts w:hint="eastAsia" w:ascii="宋体" w:hAnsi="宋体" w:cs="宋体"/>
                <w:color w:val="auto"/>
                <w:szCs w:val="21"/>
                <w:highlight w:val="none"/>
              </w:rPr>
              <w:t>1</w:t>
            </w:r>
          </w:p>
        </w:tc>
        <w:tc>
          <w:tcPr>
            <w:tcW w:w="932" w:type="dxa"/>
            <w:tcBorders>
              <w:top w:val="nil"/>
              <w:left w:val="nil"/>
              <w:bottom w:val="single" w:color="000000" w:sz="4" w:space="0"/>
              <w:right w:val="single" w:color="000000" w:sz="4" w:space="0"/>
            </w:tcBorders>
            <w:vAlign w:val="center"/>
          </w:tcPr>
          <w:p w14:paraId="1A623F2F">
            <w:pPr>
              <w:jc w:val="center"/>
              <w:rPr>
                <w:rFonts w:ascii="宋体" w:hAnsi="宋体" w:cs="宋体"/>
                <w:color w:val="auto"/>
                <w:szCs w:val="21"/>
                <w:highlight w:val="none"/>
              </w:rPr>
            </w:pPr>
          </w:p>
        </w:tc>
      </w:tr>
      <w:tr w14:paraId="474B8E96">
        <w:tblPrEx>
          <w:tblCellMar>
            <w:top w:w="0" w:type="dxa"/>
            <w:left w:w="108" w:type="dxa"/>
            <w:bottom w:w="0" w:type="dxa"/>
            <w:right w:w="108" w:type="dxa"/>
          </w:tblCellMar>
        </w:tblPrEx>
        <w:trPr>
          <w:trHeight w:val="494" w:hRule="atLeast"/>
        </w:trPr>
        <w:tc>
          <w:tcPr>
            <w:tcW w:w="498" w:type="dxa"/>
            <w:vMerge w:val="continue"/>
            <w:tcBorders>
              <w:top w:val="nil"/>
              <w:left w:val="single" w:color="000000" w:sz="4" w:space="0"/>
              <w:bottom w:val="single" w:color="000000" w:sz="4" w:space="0"/>
              <w:right w:val="single" w:color="000000" w:sz="4" w:space="0"/>
            </w:tcBorders>
            <w:vAlign w:val="center"/>
          </w:tcPr>
          <w:p w14:paraId="239DC810">
            <w:pPr>
              <w:jc w:val="center"/>
              <w:rPr>
                <w:rFonts w:ascii="宋体" w:hAnsi="宋体" w:cs="宋体"/>
                <w:color w:val="auto"/>
                <w:szCs w:val="21"/>
                <w:highlight w:val="none"/>
              </w:rPr>
            </w:pPr>
          </w:p>
        </w:tc>
        <w:tc>
          <w:tcPr>
            <w:tcW w:w="1295" w:type="dxa"/>
            <w:vMerge w:val="continue"/>
            <w:tcBorders>
              <w:top w:val="nil"/>
              <w:left w:val="single" w:color="000000" w:sz="4" w:space="0"/>
              <w:bottom w:val="single" w:color="000000" w:sz="4" w:space="0"/>
              <w:right w:val="single" w:color="000000" w:sz="4" w:space="0"/>
            </w:tcBorders>
            <w:vAlign w:val="center"/>
          </w:tcPr>
          <w:p w14:paraId="7710E3E7">
            <w:pPr>
              <w:jc w:val="center"/>
              <w:rPr>
                <w:rFonts w:ascii="宋体" w:hAnsi="宋体" w:cs="宋体"/>
                <w:color w:val="auto"/>
                <w:szCs w:val="21"/>
                <w:highlight w:val="none"/>
              </w:rPr>
            </w:pPr>
          </w:p>
        </w:tc>
        <w:tc>
          <w:tcPr>
            <w:tcW w:w="6299" w:type="dxa"/>
            <w:tcBorders>
              <w:top w:val="nil"/>
              <w:left w:val="nil"/>
              <w:bottom w:val="single" w:color="000000" w:sz="4" w:space="0"/>
              <w:right w:val="single" w:color="000000" w:sz="4" w:space="0"/>
            </w:tcBorders>
            <w:vAlign w:val="center"/>
          </w:tcPr>
          <w:p w14:paraId="5E0409CE">
            <w:pPr>
              <w:rPr>
                <w:rFonts w:ascii="宋体" w:hAnsi="宋体" w:cs="宋体"/>
                <w:color w:val="auto"/>
                <w:szCs w:val="21"/>
                <w:highlight w:val="none"/>
              </w:rPr>
            </w:pPr>
            <w:r>
              <w:rPr>
                <w:rFonts w:hint="eastAsia" w:ascii="宋体" w:hAnsi="宋体" w:cs="宋体"/>
                <w:color w:val="auto"/>
                <w:szCs w:val="21"/>
                <w:highlight w:val="none"/>
              </w:rPr>
              <w:t>3.员工每天使用一次性手套、口罩。上班期间戴工作帽、穿安全防滑鞋。</w:t>
            </w:r>
          </w:p>
        </w:tc>
        <w:tc>
          <w:tcPr>
            <w:tcW w:w="932" w:type="dxa"/>
            <w:tcBorders>
              <w:top w:val="nil"/>
              <w:left w:val="nil"/>
              <w:bottom w:val="single" w:color="000000" w:sz="4" w:space="0"/>
              <w:right w:val="single" w:color="000000" w:sz="4" w:space="0"/>
            </w:tcBorders>
            <w:vAlign w:val="center"/>
          </w:tcPr>
          <w:p w14:paraId="5BF90B76">
            <w:pPr>
              <w:jc w:val="center"/>
              <w:rPr>
                <w:rFonts w:ascii="宋体" w:hAnsi="宋体" w:cs="宋体"/>
                <w:color w:val="auto"/>
                <w:szCs w:val="21"/>
                <w:highlight w:val="none"/>
              </w:rPr>
            </w:pPr>
            <w:r>
              <w:rPr>
                <w:rFonts w:hint="eastAsia" w:ascii="宋体" w:hAnsi="宋体" w:cs="宋体"/>
                <w:color w:val="auto"/>
                <w:szCs w:val="21"/>
                <w:highlight w:val="none"/>
              </w:rPr>
              <w:t>2</w:t>
            </w:r>
          </w:p>
        </w:tc>
        <w:tc>
          <w:tcPr>
            <w:tcW w:w="932" w:type="dxa"/>
            <w:tcBorders>
              <w:top w:val="nil"/>
              <w:left w:val="nil"/>
              <w:bottom w:val="single" w:color="000000" w:sz="4" w:space="0"/>
              <w:right w:val="single" w:color="000000" w:sz="4" w:space="0"/>
            </w:tcBorders>
            <w:vAlign w:val="center"/>
          </w:tcPr>
          <w:p w14:paraId="7C398FB8">
            <w:pPr>
              <w:jc w:val="center"/>
              <w:rPr>
                <w:rFonts w:ascii="宋体" w:hAnsi="宋体" w:cs="宋体"/>
                <w:color w:val="auto"/>
                <w:szCs w:val="21"/>
                <w:highlight w:val="none"/>
              </w:rPr>
            </w:pPr>
          </w:p>
        </w:tc>
      </w:tr>
      <w:tr w14:paraId="5EDBF1FB">
        <w:tblPrEx>
          <w:tblCellMar>
            <w:top w:w="0" w:type="dxa"/>
            <w:left w:w="108" w:type="dxa"/>
            <w:bottom w:w="0" w:type="dxa"/>
            <w:right w:w="108" w:type="dxa"/>
          </w:tblCellMar>
        </w:tblPrEx>
        <w:trPr>
          <w:trHeight w:val="489" w:hRule="atLeast"/>
        </w:trPr>
        <w:tc>
          <w:tcPr>
            <w:tcW w:w="498" w:type="dxa"/>
            <w:vMerge w:val="restart"/>
            <w:tcBorders>
              <w:top w:val="nil"/>
              <w:left w:val="single" w:color="000000" w:sz="4" w:space="0"/>
              <w:bottom w:val="nil"/>
              <w:right w:val="single" w:color="000000" w:sz="4" w:space="0"/>
            </w:tcBorders>
            <w:vAlign w:val="center"/>
          </w:tcPr>
          <w:p w14:paraId="38A9FD5D">
            <w:pPr>
              <w:jc w:val="center"/>
              <w:rPr>
                <w:rFonts w:ascii="宋体" w:hAnsi="宋体" w:cs="宋体"/>
                <w:color w:val="auto"/>
                <w:szCs w:val="21"/>
                <w:highlight w:val="none"/>
              </w:rPr>
            </w:pPr>
            <w:r>
              <w:rPr>
                <w:rFonts w:hint="eastAsia" w:ascii="宋体" w:hAnsi="宋体" w:cs="宋体"/>
                <w:color w:val="auto"/>
                <w:szCs w:val="21"/>
                <w:highlight w:val="none"/>
              </w:rPr>
              <w:t>4</w:t>
            </w:r>
          </w:p>
        </w:tc>
        <w:tc>
          <w:tcPr>
            <w:tcW w:w="1295" w:type="dxa"/>
            <w:vMerge w:val="restart"/>
            <w:tcBorders>
              <w:top w:val="nil"/>
              <w:left w:val="single" w:color="000000" w:sz="4" w:space="0"/>
              <w:bottom w:val="nil"/>
              <w:right w:val="single" w:color="000000" w:sz="4" w:space="0"/>
            </w:tcBorders>
            <w:vAlign w:val="center"/>
          </w:tcPr>
          <w:p w14:paraId="6C69AFB3">
            <w:pPr>
              <w:jc w:val="center"/>
              <w:rPr>
                <w:rFonts w:ascii="宋体" w:hAnsi="宋体" w:cs="宋体"/>
                <w:color w:val="auto"/>
                <w:szCs w:val="21"/>
                <w:highlight w:val="none"/>
              </w:rPr>
            </w:pPr>
            <w:r>
              <w:rPr>
                <w:rFonts w:hint="eastAsia" w:ascii="宋体" w:hAnsi="宋体" w:cs="宋体"/>
                <w:color w:val="auto"/>
                <w:szCs w:val="21"/>
                <w:highlight w:val="none"/>
              </w:rPr>
              <w:t>饭堂</w:t>
            </w:r>
          </w:p>
          <w:p w14:paraId="2D865AD8">
            <w:pPr>
              <w:jc w:val="center"/>
              <w:rPr>
                <w:rFonts w:ascii="宋体" w:hAnsi="宋体" w:cs="宋体"/>
                <w:color w:val="auto"/>
                <w:szCs w:val="21"/>
                <w:highlight w:val="none"/>
              </w:rPr>
            </w:pPr>
            <w:r>
              <w:rPr>
                <w:rFonts w:hint="eastAsia" w:ascii="宋体" w:hAnsi="宋体" w:cs="宋体"/>
                <w:color w:val="auto"/>
                <w:szCs w:val="21"/>
                <w:highlight w:val="none"/>
              </w:rPr>
              <w:t>后厨间</w:t>
            </w:r>
          </w:p>
        </w:tc>
        <w:tc>
          <w:tcPr>
            <w:tcW w:w="6299" w:type="dxa"/>
            <w:tcBorders>
              <w:top w:val="nil"/>
              <w:left w:val="nil"/>
              <w:bottom w:val="single" w:color="000000" w:sz="4" w:space="0"/>
              <w:right w:val="single" w:color="000000" w:sz="4" w:space="0"/>
            </w:tcBorders>
            <w:vAlign w:val="center"/>
          </w:tcPr>
          <w:p w14:paraId="1657CAD7">
            <w:pPr>
              <w:rPr>
                <w:rFonts w:ascii="宋体" w:hAnsi="宋体" w:cs="宋体"/>
                <w:color w:val="auto"/>
                <w:szCs w:val="21"/>
                <w:highlight w:val="none"/>
              </w:rPr>
            </w:pPr>
            <w:r>
              <w:rPr>
                <w:rFonts w:hint="eastAsia" w:ascii="宋体" w:hAnsi="宋体" w:cs="宋体"/>
                <w:color w:val="auto"/>
                <w:szCs w:val="21"/>
                <w:highlight w:val="none"/>
              </w:rPr>
              <w:t>1.地板干净卫生、无油垢、食物残渣、水渍，菜品不在地上摆放。</w:t>
            </w:r>
          </w:p>
        </w:tc>
        <w:tc>
          <w:tcPr>
            <w:tcW w:w="932" w:type="dxa"/>
            <w:tcBorders>
              <w:top w:val="nil"/>
              <w:left w:val="nil"/>
              <w:bottom w:val="single" w:color="000000" w:sz="4" w:space="0"/>
              <w:right w:val="single" w:color="000000" w:sz="4" w:space="0"/>
            </w:tcBorders>
            <w:vAlign w:val="center"/>
          </w:tcPr>
          <w:p w14:paraId="410D60B0">
            <w:pPr>
              <w:jc w:val="center"/>
              <w:rPr>
                <w:rFonts w:ascii="宋体" w:hAnsi="宋体" w:cs="宋体"/>
                <w:color w:val="auto"/>
                <w:szCs w:val="21"/>
                <w:highlight w:val="none"/>
              </w:rPr>
            </w:pPr>
            <w:r>
              <w:rPr>
                <w:rFonts w:hint="eastAsia" w:ascii="宋体" w:hAnsi="宋体" w:cs="宋体"/>
                <w:color w:val="auto"/>
                <w:szCs w:val="21"/>
                <w:highlight w:val="none"/>
              </w:rPr>
              <w:t>5</w:t>
            </w:r>
          </w:p>
        </w:tc>
        <w:tc>
          <w:tcPr>
            <w:tcW w:w="932" w:type="dxa"/>
            <w:tcBorders>
              <w:top w:val="nil"/>
              <w:left w:val="nil"/>
              <w:bottom w:val="single" w:color="000000" w:sz="4" w:space="0"/>
              <w:right w:val="single" w:color="000000" w:sz="4" w:space="0"/>
            </w:tcBorders>
            <w:vAlign w:val="center"/>
          </w:tcPr>
          <w:p w14:paraId="39431DD3">
            <w:pPr>
              <w:jc w:val="center"/>
              <w:rPr>
                <w:rFonts w:ascii="宋体" w:hAnsi="宋体" w:cs="宋体"/>
                <w:color w:val="auto"/>
                <w:szCs w:val="21"/>
                <w:highlight w:val="none"/>
              </w:rPr>
            </w:pPr>
          </w:p>
        </w:tc>
      </w:tr>
      <w:tr w14:paraId="59342DA7">
        <w:tblPrEx>
          <w:tblCellMar>
            <w:top w:w="0" w:type="dxa"/>
            <w:left w:w="108" w:type="dxa"/>
            <w:bottom w:w="0" w:type="dxa"/>
            <w:right w:w="108" w:type="dxa"/>
          </w:tblCellMar>
        </w:tblPrEx>
        <w:trPr>
          <w:trHeight w:val="494" w:hRule="atLeast"/>
        </w:trPr>
        <w:tc>
          <w:tcPr>
            <w:tcW w:w="498" w:type="dxa"/>
            <w:vMerge w:val="continue"/>
            <w:tcBorders>
              <w:top w:val="nil"/>
              <w:left w:val="single" w:color="000000" w:sz="4" w:space="0"/>
              <w:bottom w:val="nil"/>
              <w:right w:val="single" w:color="000000" w:sz="4" w:space="0"/>
            </w:tcBorders>
            <w:vAlign w:val="center"/>
          </w:tcPr>
          <w:p w14:paraId="36DF0B37">
            <w:pPr>
              <w:jc w:val="center"/>
              <w:rPr>
                <w:rFonts w:ascii="宋体" w:hAnsi="宋体" w:cs="宋体"/>
                <w:color w:val="auto"/>
                <w:szCs w:val="21"/>
                <w:highlight w:val="none"/>
              </w:rPr>
            </w:pPr>
          </w:p>
        </w:tc>
        <w:tc>
          <w:tcPr>
            <w:tcW w:w="1295" w:type="dxa"/>
            <w:vMerge w:val="continue"/>
            <w:tcBorders>
              <w:top w:val="nil"/>
              <w:left w:val="single" w:color="000000" w:sz="4" w:space="0"/>
              <w:bottom w:val="nil"/>
              <w:right w:val="single" w:color="000000" w:sz="4" w:space="0"/>
            </w:tcBorders>
            <w:vAlign w:val="center"/>
          </w:tcPr>
          <w:p w14:paraId="25BE1F70">
            <w:pPr>
              <w:jc w:val="center"/>
              <w:rPr>
                <w:rFonts w:ascii="宋体" w:hAnsi="宋体" w:cs="宋体"/>
                <w:color w:val="auto"/>
                <w:szCs w:val="21"/>
                <w:highlight w:val="none"/>
              </w:rPr>
            </w:pPr>
          </w:p>
        </w:tc>
        <w:tc>
          <w:tcPr>
            <w:tcW w:w="6299" w:type="dxa"/>
            <w:tcBorders>
              <w:top w:val="nil"/>
              <w:left w:val="nil"/>
              <w:bottom w:val="single" w:color="000000" w:sz="4" w:space="0"/>
              <w:right w:val="single" w:color="000000" w:sz="4" w:space="0"/>
            </w:tcBorders>
            <w:vAlign w:val="center"/>
          </w:tcPr>
          <w:p w14:paraId="09C8D918">
            <w:pPr>
              <w:rPr>
                <w:rFonts w:ascii="宋体" w:hAnsi="宋体" w:cs="宋体"/>
                <w:color w:val="auto"/>
                <w:szCs w:val="21"/>
                <w:highlight w:val="none"/>
              </w:rPr>
            </w:pPr>
            <w:r>
              <w:rPr>
                <w:rFonts w:hint="eastAsia" w:ascii="宋体" w:hAnsi="宋体" w:cs="宋体"/>
                <w:color w:val="auto"/>
                <w:szCs w:val="21"/>
                <w:highlight w:val="none"/>
              </w:rPr>
              <w:t>2.灭蝇灯正常使用，周围区域无死蝇虫。</w:t>
            </w:r>
          </w:p>
        </w:tc>
        <w:tc>
          <w:tcPr>
            <w:tcW w:w="932" w:type="dxa"/>
            <w:tcBorders>
              <w:top w:val="nil"/>
              <w:left w:val="nil"/>
              <w:bottom w:val="single" w:color="000000" w:sz="4" w:space="0"/>
              <w:right w:val="single" w:color="000000" w:sz="4" w:space="0"/>
            </w:tcBorders>
            <w:vAlign w:val="center"/>
          </w:tcPr>
          <w:p w14:paraId="793D132E">
            <w:pPr>
              <w:jc w:val="center"/>
              <w:rPr>
                <w:rFonts w:ascii="宋体" w:hAnsi="宋体" w:cs="宋体"/>
                <w:color w:val="auto"/>
                <w:szCs w:val="21"/>
                <w:highlight w:val="none"/>
              </w:rPr>
            </w:pPr>
            <w:r>
              <w:rPr>
                <w:rFonts w:hint="eastAsia" w:ascii="宋体" w:hAnsi="宋体" w:cs="宋体"/>
                <w:color w:val="auto"/>
                <w:szCs w:val="21"/>
                <w:highlight w:val="none"/>
              </w:rPr>
              <w:t>3</w:t>
            </w:r>
          </w:p>
        </w:tc>
        <w:tc>
          <w:tcPr>
            <w:tcW w:w="932" w:type="dxa"/>
            <w:tcBorders>
              <w:top w:val="nil"/>
              <w:left w:val="nil"/>
              <w:bottom w:val="single" w:color="000000" w:sz="4" w:space="0"/>
              <w:right w:val="single" w:color="000000" w:sz="4" w:space="0"/>
            </w:tcBorders>
            <w:vAlign w:val="center"/>
          </w:tcPr>
          <w:p w14:paraId="3715C505">
            <w:pPr>
              <w:jc w:val="center"/>
              <w:rPr>
                <w:rFonts w:ascii="宋体" w:hAnsi="宋体" w:cs="宋体"/>
                <w:color w:val="auto"/>
                <w:szCs w:val="21"/>
                <w:highlight w:val="none"/>
              </w:rPr>
            </w:pPr>
          </w:p>
        </w:tc>
      </w:tr>
      <w:tr w14:paraId="0919B8D5">
        <w:tblPrEx>
          <w:tblCellMar>
            <w:top w:w="0" w:type="dxa"/>
            <w:left w:w="108" w:type="dxa"/>
            <w:bottom w:w="0" w:type="dxa"/>
            <w:right w:w="108" w:type="dxa"/>
          </w:tblCellMar>
        </w:tblPrEx>
        <w:trPr>
          <w:trHeight w:val="366" w:hRule="atLeast"/>
        </w:trPr>
        <w:tc>
          <w:tcPr>
            <w:tcW w:w="498" w:type="dxa"/>
            <w:vMerge w:val="continue"/>
            <w:tcBorders>
              <w:top w:val="nil"/>
              <w:left w:val="single" w:color="000000" w:sz="4" w:space="0"/>
              <w:bottom w:val="nil"/>
              <w:right w:val="single" w:color="000000" w:sz="4" w:space="0"/>
            </w:tcBorders>
            <w:vAlign w:val="center"/>
          </w:tcPr>
          <w:p w14:paraId="41C83B88">
            <w:pPr>
              <w:jc w:val="center"/>
              <w:rPr>
                <w:rFonts w:ascii="宋体" w:hAnsi="宋体" w:cs="宋体"/>
                <w:color w:val="auto"/>
                <w:szCs w:val="21"/>
                <w:highlight w:val="none"/>
              </w:rPr>
            </w:pPr>
          </w:p>
        </w:tc>
        <w:tc>
          <w:tcPr>
            <w:tcW w:w="1295" w:type="dxa"/>
            <w:vMerge w:val="continue"/>
            <w:tcBorders>
              <w:top w:val="nil"/>
              <w:left w:val="single" w:color="000000" w:sz="4" w:space="0"/>
              <w:bottom w:val="nil"/>
              <w:right w:val="single" w:color="000000" w:sz="4" w:space="0"/>
            </w:tcBorders>
            <w:vAlign w:val="center"/>
          </w:tcPr>
          <w:p w14:paraId="39A09E68">
            <w:pPr>
              <w:jc w:val="center"/>
              <w:rPr>
                <w:rFonts w:ascii="宋体" w:hAnsi="宋体" w:cs="宋体"/>
                <w:color w:val="auto"/>
                <w:szCs w:val="21"/>
                <w:highlight w:val="none"/>
              </w:rPr>
            </w:pPr>
          </w:p>
        </w:tc>
        <w:tc>
          <w:tcPr>
            <w:tcW w:w="6299" w:type="dxa"/>
            <w:tcBorders>
              <w:top w:val="nil"/>
              <w:left w:val="nil"/>
              <w:bottom w:val="single" w:color="000000" w:sz="4" w:space="0"/>
              <w:right w:val="single" w:color="000000" w:sz="4" w:space="0"/>
            </w:tcBorders>
            <w:vAlign w:val="center"/>
          </w:tcPr>
          <w:p w14:paraId="61E9D8FE">
            <w:pPr>
              <w:rPr>
                <w:rFonts w:ascii="宋体" w:hAnsi="宋体" w:cs="宋体"/>
                <w:color w:val="auto"/>
                <w:szCs w:val="21"/>
                <w:highlight w:val="none"/>
              </w:rPr>
            </w:pPr>
            <w:r>
              <w:rPr>
                <w:rFonts w:hint="eastAsia" w:ascii="宋体" w:hAnsi="宋体" w:cs="宋体"/>
                <w:color w:val="auto"/>
                <w:szCs w:val="21"/>
                <w:highlight w:val="none"/>
              </w:rPr>
              <w:t>3.墙面、天花板不得积尘、长霉，不得有蜘蛛网。</w:t>
            </w:r>
          </w:p>
        </w:tc>
        <w:tc>
          <w:tcPr>
            <w:tcW w:w="932" w:type="dxa"/>
            <w:tcBorders>
              <w:top w:val="nil"/>
              <w:left w:val="nil"/>
              <w:bottom w:val="single" w:color="000000" w:sz="4" w:space="0"/>
              <w:right w:val="single" w:color="000000" w:sz="4" w:space="0"/>
            </w:tcBorders>
            <w:vAlign w:val="center"/>
          </w:tcPr>
          <w:p w14:paraId="6336609D">
            <w:pPr>
              <w:jc w:val="center"/>
              <w:rPr>
                <w:rFonts w:ascii="宋体" w:hAnsi="宋体" w:cs="宋体"/>
                <w:color w:val="auto"/>
                <w:szCs w:val="21"/>
                <w:highlight w:val="none"/>
              </w:rPr>
            </w:pPr>
            <w:r>
              <w:rPr>
                <w:rFonts w:hint="eastAsia" w:ascii="宋体" w:hAnsi="宋体" w:cs="宋体"/>
                <w:color w:val="auto"/>
                <w:szCs w:val="21"/>
                <w:highlight w:val="none"/>
              </w:rPr>
              <w:t>3</w:t>
            </w:r>
          </w:p>
        </w:tc>
        <w:tc>
          <w:tcPr>
            <w:tcW w:w="932" w:type="dxa"/>
            <w:tcBorders>
              <w:top w:val="nil"/>
              <w:left w:val="nil"/>
              <w:bottom w:val="single" w:color="000000" w:sz="4" w:space="0"/>
              <w:right w:val="single" w:color="000000" w:sz="4" w:space="0"/>
            </w:tcBorders>
            <w:vAlign w:val="center"/>
          </w:tcPr>
          <w:p w14:paraId="382546CB">
            <w:pPr>
              <w:jc w:val="center"/>
              <w:rPr>
                <w:rFonts w:ascii="宋体" w:hAnsi="宋体" w:cs="宋体"/>
                <w:color w:val="auto"/>
                <w:szCs w:val="21"/>
                <w:highlight w:val="none"/>
              </w:rPr>
            </w:pPr>
          </w:p>
        </w:tc>
      </w:tr>
      <w:tr w14:paraId="6DD9FCB5">
        <w:tblPrEx>
          <w:tblCellMar>
            <w:top w:w="0" w:type="dxa"/>
            <w:left w:w="108" w:type="dxa"/>
            <w:bottom w:w="0" w:type="dxa"/>
            <w:right w:w="108" w:type="dxa"/>
          </w:tblCellMar>
        </w:tblPrEx>
        <w:trPr>
          <w:trHeight w:val="494" w:hRule="atLeast"/>
        </w:trPr>
        <w:tc>
          <w:tcPr>
            <w:tcW w:w="498" w:type="dxa"/>
            <w:vMerge w:val="continue"/>
            <w:tcBorders>
              <w:top w:val="nil"/>
              <w:left w:val="single" w:color="000000" w:sz="4" w:space="0"/>
              <w:bottom w:val="nil"/>
              <w:right w:val="single" w:color="000000" w:sz="4" w:space="0"/>
            </w:tcBorders>
            <w:vAlign w:val="center"/>
          </w:tcPr>
          <w:p w14:paraId="3AD48A1D">
            <w:pPr>
              <w:jc w:val="center"/>
              <w:rPr>
                <w:rFonts w:ascii="宋体" w:hAnsi="宋体" w:cs="宋体"/>
                <w:color w:val="auto"/>
                <w:szCs w:val="21"/>
                <w:highlight w:val="none"/>
              </w:rPr>
            </w:pPr>
          </w:p>
        </w:tc>
        <w:tc>
          <w:tcPr>
            <w:tcW w:w="1295" w:type="dxa"/>
            <w:vMerge w:val="continue"/>
            <w:tcBorders>
              <w:top w:val="nil"/>
              <w:left w:val="single" w:color="000000" w:sz="4" w:space="0"/>
              <w:bottom w:val="nil"/>
              <w:right w:val="single" w:color="000000" w:sz="4" w:space="0"/>
            </w:tcBorders>
            <w:vAlign w:val="center"/>
          </w:tcPr>
          <w:p w14:paraId="06C33FFF">
            <w:pPr>
              <w:jc w:val="center"/>
              <w:rPr>
                <w:rFonts w:ascii="宋体" w:hAnsi="宋体" w:cs="宋体"/>
                <w:color w:val="auto"/>
                <w:szCs w:val="21"/>
                <w:highlight w:val="none"/>
              </w:rPr>
            </w:pPr>
          </w:p>
        </w:tc>
        <w:tc>
          <w:tcPr>
            <w:tcW w:w="6299" w:type="dxa"/>
            <w:tcBorders>
              <w:top w:val="nil"/>
              <w:left w:val="nil"/>
              <w:bottom w:val="single" w:color="000000" w:sz="4" w:space="0"/>
              <w:right w:val="single" w:color="000000" w:sz="4" w:space="0"/>
            </w:tcBorders>
            <w:vAlign w:val="center"/>
          </w:tcPr>
          <w:p w14:paraId="0B7ADBBA">
            <w:pPr>
              <w:rPr>
                <w:rFonts w:ascii="宋体" w:hAnsi="宋体" w:cs="宋体"/>
                <w:color w:val="auto"/>
                <w:szCs w:val="21"/>
                <w:highlight w:val="none"/>
              </w:rPr>
            </w:pPr>
            <w:r>
              <w:rPr>
                <w:rFonts w:hint="eastAsia" w:ascii="宋体" w:hAnsi="宋体" w:cs="宋体"/>
                <w:color w:val="auto"/>
                <w:szCs w:val="21"/>
                <w:highlight w:val="none"/>
              </w:rPr>
              <w:t>4.空调定期擦拭不得有灰尘、污渍和蜘蛛网。所有开关干净无油渍。</w:t>
            </w:r>
          </w:p>
        </w:tc>
        <w:tc>
          <w:tcPr>
            <w:tcW w:w="932" w:type="dxa"/>
            <w:tcBorders>
              <w:top w:val="nil"/>
              <w:left w:val="nil"/>
              <w:bottom w:val="single" w:color="000000" w:sz="4" w:space="0"/>
              <w:right w:val="single" w:color="000000" w:sz="4" w:space="0"/>
            </w:tcBorders>
            <w:vAlign w:val="center"/>
          </w:tcPr>
          <w:p w14:paraId="034C29FE">
            <w:pPr>
              <w:jc w:val="center"/>
              <w:rPr>
                <w:rFonts w:ascii="宋体" w:hAnsi="宋体" w:cs="宋体"/>
                <w:color w:val="auto"/>
                <w:szCs w:val="21"/>
                <w:highlight w:val="none"/>
              </w:rPr>
            </w:pPr>
            <w:r>
              <w:rPr>
                <w:rFonts w:hint="eastAsia" w:ascii="宋体" w:hAnsi="宋体" w:cs="宋体"/>
                <w:color w:val="auto"/>
                <w:szCs w:val="21"/>
                <w:highlight w:val="none"/>
              </w:rPr>
              <w:t>2</w:t>
            </w:r>
          </w:p>
        </w:tc>
        <w:tc>
          <w:tcPr>
            <w:tcW w:w="932" w:type="dxa"/>
            <w:tcBorders>
              <w:top w:val="nil"/>
              <w:left w:val="nil"/>
              <w:bottom w:val="single" w:color="000000" w:sz="4" w:space="0"/>
              <w:right w:val="single" w:color="000000" w:sz="4" w:space="0"/>
            </w:tcBorders>
            <w:vAlign w:val="center"/>
          </w:tcPr>
          <w:p w14:paraId="1BF3AA53">
            <w:pPr>
              <w:jc w:val="center"/>
              <w:rPr>
                <w:rFonts w:ascii="宋体" w:hAnsi="宋体" w:cs="宋体"/>
                <w:color w:val="auto"/>
                <w:szCs w:val="21"/>
                <w:highlight w:val="none"/>
              </w:rPr>
            </w:pPr>
          </w:p>
        </w:tc>
      </w:tr>
      <w:tr w14:paraId="778C8856">
        <w:tblPrEx>
          <w:tblCellMar>
            <w:top w:w="0" w:type="dxa"/>
            <w:left w:w="108" w:type="dxa"/>
            <w:bottom w:w="0" w:type="dxa"/>
            <w:right w:w="108" w:type="dxa"/>
          </w:tblCellMar>
        </w:tblPrEx>
        <w:trPr>
          <w:trHeight w:val="494" w:hRule="atLeast"/>
        </w:trPr>
        <w:tc>
          <w:tcPr>
            <w:tcW w:w="498" w:type="dxa"/>
            <w:vMerge w:val="continue"/>
            <w:tcBorders>
              <w:top w:val="nil"/>
              <w:left w:val="single" w:color="000000" w:sz="4" w:space="0"/>
              <w:bottom w:val="single" w:color="000000" w:sz="4" w:space="0"/>
              <w:right w:val="single" w:color="000000" w:sz="4" w:space="0"/>
            </w:tcBorders>
            <w:vAlign w:val="center"/>
          </w:tcPr>
          <w:p w14:paraId="5EC09254">
            <w:pPr>
              <w:jc w:val="center"/>
              <w:rPr>
                <w:rFonts w:ascii="宋体" w:hAnsi="宋体" w:cs="宋体"/>
                <w:color w:val="auto"/>
                <w:szCs w:val="21"/>
                <w:highlight w:val="none"/>
              </w:rPr>
            </w:pPr>
          </w:p>
        </w:tc>
        <w:tc>
          <w:tcPr>
            <w:tcW w:w="1295" w:type="dxa"/>
            <w:vMerge w:val="continue"/>
            <w:tcBorders>
              <w:top w:val="nil"/>
              <w:left w:val="single" w:color="000000" w:sz="4" w:space="0"/>
              <w:bottom w:val="single" w:color="000000" w:sz="4" w:space="0"/>
              <w:right w:val="single" w:color="000000" w:sz="4" w:space="0"/>
            </w:tcBorders>
            <w:vAlign w:val="center"/>
          </w:tcPr>
          <w:p w14:paraId="1CBA93FC">
            <w:pPr>
              <w:jc w:val="center"/>
              <w:rPr>
                <w:rFonts w:ascii="宋体" w:hAnsi="宋体" w:cs="宋体"/>
                <w:color w:val="auto"/>
                <w:szCs w:val="21"/>
                <w:highlight w:val="none"/>
              </w:rPr>
            </w:pPr>
          </w:p>
        </w:tc>
        <w:tc>
          <w:tcPr>
            <w:tcW w:w="6299" w:type="dxa"/>
            <w:tcBorders>
              <w:top w:val="nil"/>
              <w:left w:val="nil"/>
              <w:bottom w:val="single" w:color="000000" w:sz="4" w:space="0"/>
              <w:right w:val="single" w:color="000000" w:sz="4" w:space="0"/>
            </w:tcBorders>
            <w:vAlign w:val="center"/>
          </w:tcPr>
          <w:p w14:paraId="3CCBDA80">
            <w:pPr>
              <w:rPr>
                <w:rFonts w:ascii="宋体" w:hAnsi="宋体" w:cs="宋体"/>
                <w:color w:val="auto"/>
                <w:szCs w:val="21"/>
                <w:highlight w:val="none"/>
              </w:rPr>
            </w:pPr>
            <w:r>
              <w:rPr>
                <w:rFonts w:hint="eastAsia" w:ascii="宋体" w:hAnsi="宋体" w:cs="宋体"/>
                <w:color w:val="auto"/>
                <w:szCs w:val="21"/>
                <w:highlight w:val="none"/>
              </w:rPr>
              <w:t>5.食堂内所有的桌椅、案台、售饭窗口等必须保持干净无积垢。</w:t>
            </w:r>
          </w:p>
        </w:tc>
        <w:tc>
          <w:tcPr>
            <w:tcW w:w="932" w:type="dxa"/>
            <w:tcBorders>
              <w:top w:val="nil"/>
              <w:left w:val="nil"/>
              <w:bottom w:val="single" w:color="000000" w:sz="4" w:space="0"/>
              <w:right w:val="single" w:color="000000" w:sz="4" w:space="0"/>
            </w:tcBorders>
            <w:vAlign w:val="center"/>
          </w:tcPr>
          <w:p w14:paraId="738A43ED">
            <w:pPr>
              <w:jc w:val="center"/>
              <w:rPr>
                <w:rFonts w:ascii="宋体" w:hAnsi="宋体" w:cs="宋体"/>
                <w:color w:val="auto"/>
                <w:szCs w:val="21"/>
                <w:highlight w:val="none"/>
              </w:rPr>
            </w:pPr>
            <w:r>
              <w:rPr>
                <w:rFonts w:hint="eastAsia" w:ascii="宋体" w:hAnsi="宋体" w:cs="宋体"/>
                <w:color w:val="auto"/>
                <w:szCs w:val="21"/>
                <w:highlight w:val="none"/>
              </w:rPr>
              <w:t>3</w:t>
            </w:r>
          </w:p>
        </w:tc>
        <w:tc>
          <w:tcPr>
            <w:tcW w:w="932" w:type="dxa"/>
            <w:tcBorders>
              <w:top w:val="nil"/>
              <w:left w:val="nil"/>
              <w:bottom w:val="single" w:color="000000" w:sz="4" w:space="0"/>
              <w:right w:val="single" w:color="000000" w:sz="4" w:space="0"/>
            </w:tcBorders>
            <w:vAlign w:val="center"/>
          </w:tcPr>
          <w:p w14:paraId="1A5CDCBA">
            <w:pPr>
              <w:jc w:val="center"/>
              <w:rPr>
                <w:rFonts w:ascii="宋体" w:hAnsi="宋体" w:cs="宋体"/>
                <w:color w:val="auto"/>
                <w:szCs w:val="21"/>
                <w:highlight w:val="none"/>
              </w:rPr>
            </w:pPr>
          </w:p>
        </w:tc>
      </w:tr>
      <w:tr w14:paraId="3C4FF24F">
        <w:tblPrEx>
          <w:tblCellMar>
            <w:top w:w="0" w:type="dxa"/>
            <w:left w:w="108" w:type="dxa"/>
            <w:bottom w:w="0" w:type="dxa"/>
            <w:right w:w="108" w:type="dxa"/>
          </w:tblCellMar>
        </w:tblPrEx>
        <w:trPr>
          <w:trHeight w:val="494" w:hRule="atLeast"/>
        </w:trPr>
        <w:tc>
          <w:tcPr>
            <w:tcW w:w="498" w:type="dxa"/>
            <w:vMerge w:val="restart"/>
            <w:tcBorders>
              <w:top w:val="nil"/>
              <w:left w:val="single" w:color="000000" w:sz="4" w:space="0"/>
              <w:bottom w:val="nil"/>
              <w:right w:val="single" w:color="000000" w:sz="4" w:space="0"/>
            </w:tcBorders>
            <w:vAlign w:val="center"/>
          </w:tcPr>
          <w:p w14:paraId="655730FE">
            <w:pPr>
              <w:jc w:val="center"/>
              <w:rPr>
                <w:rFonts w:ascii="宋体" w:hAnsi="宋体" w:cs="宋体"/>
                <w:color w:val="auto"/>
                <w:szCs w:val="21"/>
                <w:highlight w:val="none"/>
              </w:rPr>
            </w:pPr>
            <w:r>
              <w:rPr>
                <w:rFonts w:hint="eastAsia" w:ascii="宋体" w:hAnsi="宋体" w:cs="宋体"/>
                <w:color w:val="auto"/>
                <w:szCs w:val="21"/>
                <w:highlight w:val="none"/>
              </w:rPr>
              <w:t>5</w:t>
            </w:r>
          </w:p>
        </w:tc>
        <w:tc>
          <w:tcPr>
            <w:tcW w:w="1295" w:type="dxa"/>
            <w:vMerge w:val="restart"/>
            <w:tcBorders>
              <w:top w:val="nil"/>
              <w:left w:val="single" w:color="000000" w:sz="4" w:space="0"/>
              <w:bottom w:val="nil"/>
              <w:right w:val="single" w:color="000000" w:sz="4" w:space="0"/>
            </w:tcBorders>
            <w:vAlign w:val="center"/>
          </w:tcPr>
          <w:p w14:paraId="5CFF73E3">
            <w:pPr>
              <w:jc w:val="center"/>
              <w:rPr>
                <w:rFonts w:ascii="宋体" w:hAnsi="宋体" w:cs="宋体"/>
                <w:color w:val="auto"/>
                <w:szCs w:val="21"/>
                <w:highlight w:val="none"/>
              </w:rPr>
            </w:pPr>
            <w:r>
              <w:rPr>
                <w:rFonts w:hint="eastAsia" w:ascii="宋体" w:hAnsi="宋体" w:cs="宋体"/>
                <w:color w:val="auto"/>
                <w:szCs w:val="21"/>
                <w:highlight w:val="none"/>
              </w:rPr>
              <w:t>备餐间</w:t>
            </w:r>
          </w:p>
        </w:tc>
        <w:tc>
          <w:tcPr>
            <w:tcW w:w="6299" w:type="dxa"/>
            <w:tcBorders>
              <w:top w:val="nil"/>
              <w:left w:val="nil"/>
              <w:bottom w:val="single" w:color="000000" w:sz="4" w:space="0"/>
              <w:right w:val="single" w:color="000000" w:sz="4" w:space="0"/>
            </w:tcBorders>
            <w:vAlign w:val="center"/>
          </w:tcPr>
          <w:p w14:paraId="4F0DAFB8">
            <w:pPr>
              <w:rPr>
                <w:rFonts w:ascii="宋体" w:hAnsi="宋体" w:cs="宋体"/>
                <w:color w:val="auto"/>
                <w:szCs w:val="21"/>
                <w:highlight w:val="none"/>
              </w:rPr>
            </w:pPr>
            <w:r>
              <w:rPr>
                <w:rFonts w:hint="eastAsia" w:ascii="宋体" w:hAnsi="宋体" w:cs="宋体"/>
                <w:color w:val="auto"/>
                <w:szCs w:val="21"/>
                <w:highlight w:val="none"/>
              </w:rPr>
              <w:t>1.备餐间不能放置任何杂物，桌面、地面应保持干净清洁。</w:t>
            </w:r>
          </w:p>
        </w:tc>
        <w:tc>
          <w:tcPr>
            <w:tcW w:w="932" w:type="dxa"/>
            <w:tcBorders>
              <w:top w:val="nil"/>
              <w:left w:val="nil"/>
              <w:bottom w:val="single" w:color="000000" w:sz="4" w:space="0"/>
              <w:right w:val="single" w:color="000000" w:sz="4" w:space="0"/>
            </w:tcBorders>
            <w:vAlign w:val="center"/>
          </w:tcPr>
          <w:p w14:paraId="5B1B0108">
            <w:pPr>
              <w:jc w:val="center"/>
              <w:rPr>
                <w:rFonts w:ascii="宋体" w:hAnsi="宋体" w:cs="宋体"/>
                <w:color w:val="auto"/>
                <w:szCs w:val="21"/>
                <w:highlight w:val="none"/>
              </w:rPr>
            </w:pPr>
            <w:r>
              <w:rPr>
                <w:rFonts w:hint="eastAsia" w:ascii="宋体" w:hAnsi="宋体" w:cs="宋体"/>
                <w:color w:val="auto"/>
                <w:szCs w:val="21"/>
                <w:highlight w:val="none"/>
              </w:rPr>
              <w:t>3</w:t>
            </w:r>
          </w:p>
        </w:tc>
        <w:tc>
          <w:tcPr>
            <w:tcW w:w="932" w:type="dxa"/>
            <w:tcBorders>
              <w:top w:val="nil"/>
              <w:left w:val="nil"/>
              <w:bottom w:val="single" w:color="000000" w:sz="4" w:space="0"/>
              <w:right w:val="single" w:color="000000" w:sz="4" w:space="0"/>
            </w:tcBorders>
            <w:vAlign w:val="center"/>
          </w:tcPr>
          <w:p w14:paraId="36036BEB">
            <w:pPr>
              <w:jc w:val="center"/>
              <w:rPr>
                <w:rFonts w:ascii="宋体" w:hAnsi="宋体" w:cs="宋体"/>
                <w:color w:val="auto"/>
                <w:szCs w:val="21"/>
                <w:highlight w:val="none"/>
              </w:rPr>
            </w:pPr>
          </w:p>
        </w:tc>
      </w:tr>
      <w:tr w14:paraId="4D2061FE">
        <w:tblPrEx>
          <w:tblCellMar>
            <w:top w:w="0" w:type="dxa"/>
            <w:left w:w="108" w:type="dxa"/>
            <w:bottom w:w="0" w:type="dxa"/>
            <w:right w:w="108" w:type="dxa"/>
          </w:tblCellMar>
        </w:tblPrEx>
        <w:trPr>
          <w:trHeight w:val="494" w:hRule="atLeast"/>
        </w:trPr>
        <w:tc>
          <w:tcPr>
            <w:tcW w:w="498" w:type="dxa"/>
            <w:vMerge w:val="continue"/>
            <w:tcBorders>
              <w:top w:val="nil"/>
              <w:left w:val="single" w:color="000000" w:sz="4" w:space="0"/>
              <w:bottom w:val="nil"/>
              <w:right w:val="single" w:color="000000" w:sz="4" w:space="0"/>
            </w:tcBorders>
            <w:vAlign w:val="center"/>
          </w:tcPr>
          <w:p w14:paraId="620F95AB">
            <w:pPr>
              <w:jc w:val="center"/>
              <w:rPr>
                <w:rFonts w:ascii="宋体" w:hAnsi="宋体" w:cs="宋体"/>
                <w:color w:val="auto"/>
                <w:szCs w:val="21"/>
                <w:highlight w:val="none"/>
              </w:rPr>
            </w:pPr>
          </w:p>
        </w:tc>
        <w:tc>
          <w:tcPr>
            <w:tcW w:w="1295" w:type="dxa"/>
            <w:vMerge w:val="continue"/>
            <w:tcBorders>
              <w:top w:val="nil"/>
              <w:left w:val="single" w:color="000000" w:sz="4" w:space="0"/>
              <w:bottom w:val="nil"/>
              <w:right w:val="single" w:color="000000" w:sz="4" w:space="0"/>
            </w:tcBorders>
            <w:vAlign w:val="center"/>
          </w:tcPr>
          <w:p w14:paraId="0AED9A37">
            <w:pPr>
              <w:jc w:val="center"/>
              <w:rPr>
                <w:rFonts w:ascii="宋体" w:hAnsi="宋体" w:cs="宋体"/>
                <w:color w:val="auto"/>
                <w:szCs w:val="21"/>
                <w:highlight w:val="none"/>
              </w:rPr>
            </w:pPr>
          </w:p>
        </w:tc>
        <w:tc>
          <w:tcPr>
            <w:tcW w:w="6299" w:type="dxa"/>
            <w:tcBorders>
              <w:top w:val="nil"/>
              <w:left w:val="nil"/>
              <w:bottom w:val="single" w:color="000000" w:sz="4" w:space="0"/>
              <w:right w:val="single" w:color="000000" w:sz="4" w:space="0"/>
            </w:tcBorders>
            <w:vAlign w:val="center"/>
          </w:tcPr>
          <w:p w14:paraId="5841E255">
            <w:pPr>
              <w:rPr>
                <w:rFonts w:ascii="宋体" w:hAnsi="宋体" w:cs="宋体"/>
                <w:color w:val="auto"/>
                <w:szCs w:val="21"/>
                <w:highlight w:val="none"/>
              </w:rPr>
            </w:pPr>
            <w:r>
              <w:rPr>
                <w:rFonts w:hint="eastAsia" w:ascii="宋体" w:hAnsi="宋体" w:cs="宋体"/>
                <w:color w:val="auto"/>
                <w:szCs w:val="21"/>
                <w:highlight w:val="none"/>
              </w:rPr>
              <w:t>2.进入备餐间工作时要先对手部进行清洁消毒，二次更衣并佩戴一次性手套等。</w:t>
            </w:r>
          </w:p>
        </w:tc>
        <w:tc>
          <w:tcPr>
            <w:tcW w:w="932" w:type="dxa"/>
            <w:tcBorders>
              <w:top w:val="nil"/>
              <w:left w:val="nil"/>
              <w:bottom w:val="single" w:color="000000" w:sz="4" w:space="0"/>
              <w:right w:val="single" w:color="000000" w:sz="4" w:space="0"/>
            </w:tcBorders>
            <w:vAlign w:val="center"/>
          </w:tcPr>
          <w:p w14:paraId="7294B31D">
            <w:pPr>
              <w:jc w:val="center"/>
              <w:rPr>
                <w:rFonts w:ascii="宋体" w:hAnsi="宋体" w:cs="宋体"/>
                <w:color w:val="auto"/>
                <w:szCs w:val="21"/>
                <w:highlight w:val="none"/>
              </w:rPr>
            </w:pPr>
            <w:r>
              <w:rPr>
                <w:rFonts w:hint="eastAsia" w:ascii="宋体" w:hAnsi="宋体" w:cs="宋体"/>
                <w:color w:val="auto"/>
                <w:szCs w:val="21"/>
                <w:highlight w:val="none"/>
              </w:rPr>
              <w:t>3</w:t>
            </w:r>
          </w:p>
        </w:tc>
        <w:tc>
          <w:tcPr>
            <w:tcW w:w="932" w:type="dxa"/>
            <w:tcBorders>
              <w:top w:val="nil"/>
              <w:left w:val="nil"/>
              <w:bottom w:val="single" w:color="000000" w:sz="4" w:space="0"/>
              <w:right w:val="single" w:color="000000" w:sz="4" w:space="0"/>
            </w:tcBorders>
            <w:vAlign w:val="center"/>
          </w:tcPr>
          <w:p w14:paraId="4DA85060">
            <w:pPr>
              <w:jc w:val="center"/>
              <w:rPr>
                <w:rFonts w:ascii="宋体" w:hAnsi="宋体" w:cs="宋体"/>
                <w:color w:val="auto"/>
                <w:szCs w:val="21"/>
                <w:highlight w:val="none"/>
              </w:rPr>
            </w:pPr>
          </w:p>
        </w:tc>
      </w:tr>
      <w:tr w14:paraId="2FB3B230">
        <w:tblPrEx>
          <w:tblCellMar>
            <w:top w:w="0" w:type="dxa"/>
            <w:left w:w="108" w:type="dxa"/>
            <w:bottom w:w="0" w:type="dxa"/>
            <w:right w:w="108" w:type="dxa"/>
          </w:tblCellMar>
        </w:tblPrEx>
        <w:trPr>
          <w:trHeight w:val="552" w:hRule="atLeast"/>
        </w:trPr>
        <w:tc>
          <w:tcPr>
            <w:tcW w:w="498" w:type="dxa"/>
            <w:vMerge w:val="continue"/>
            <w:tcBorders>
              <w:top w:val="nil"/>
              <w:left w:val="single" w:color="000000" w:sz="4" w:space="0"/>
              <w:bottom w:val="nil"/>
              <w:right w:val="single" w:color="000000" w:sz="4" w:space="0"/>
            </w:tcBorders>
            <w:vAlign w:val="center"/>
          </w:tcPr>
          <w:p w14:paraId="6E5C356C">
            <w:pPr>
              <w:jc w:val="center"/>
              <w:rPr>
                <w:rFonts w:ascii="宋体" w:hAnsi="宋体" w:cs="宋体"/>
                <w:color w:val="auto"/>
                <w:szCs w:val="21"/>
                <w:highlight w:val="none"/>
              </w:rPr>
            </w:pPr>
          </w:p>
        </w:tc>
        <w:tc>
          <w:tcPr>
            <w:tcW w:w="1295" w:type="dxa"/>
            <w:vMerge w:val="continue"/>
            <w:tcBorders>
              <w:top w:val="nil"/>
              <w:left w:val="single" w:color="000000" w:sz="4" w:space="0"/>
              <w:bottom w:val="nil"/>
              <w:right w:val="single" w:color="000000" w:sz="4" w:space="0"/>
            </w:tcBorders>
            <w:vAlign w:val="center"/>
          </w:tcPr>
          <w:p w14:paraId="627A5C81">
            <w:pPr>
              <w:jc w:val="center"/>
              <w:rPr>
                <w:rFonts w:ascii="宋体" w:hAnsi="宋体" w:cs="宋体"/>
                <w:color w:val="auto"/>
                <w:szCs w:val="21"/>
                <w:highlight w:val="none"/>
              </w:rPr>
            </w:pPr>
          </w:p>
        </w:tc>
        <w:tc>
          <w:tcPr>
            <w:tcW w:w="6299" w:type="dxa"/>
            <w:tcBorders>
              <w:top w:val="nil"/>
              <w:left w:val="nil"/>
              <w:bottom w:val="single" w:color="000000" w:sz="4" w:space="0"/>
              <w:right w:val="single" w:color="000000" w:sz="4" w:space="0"/>
            </w:tcBorders>
            <w:vAlign w:val="center"/>
          </w:tcPr>
          <w:p w14:paraId="0B3BACD7">
            <w:pPr>
              <w:rPr>
                <w:rFonts w:ascii="宋体" w:hAnsi="宋体" w:cs="宋体"/>
                <w:color w:val="auto"/>
                <w:szCs w:val="21"/>
                <w:highlight w:val="none"/>
              </w:rPr>
            </w:pPr>
            <w:r>
              <w:rPr>
                <w:rFonts w:hint="eastAsia" w:ascii="宋体" w:hAnsi="宋体" w:cs="宋体"/>
                <w:color w:val="auto"/>
                <w:szCs w:val="21"/>
                <w:highlight w:val="none"/>
              </w:rPr>
              <w:t>3.售饭时备餐间应配备专用抹布和专用消毒水，以用于售饭过程中擦手和浸泡抹布。</w:t>
            </w:r>
          </w:p>
        </w:tc>
        <w:tc>
          <w:tcPr>
            <w:tcW w:w="932" w:type="dxa"/>
            <w:tcBorders>
              <w:top w:val="nil"/>
              <w:left w:val="nil"/>
              <w:bottom w:val="single" w:color="000000" w:sz="4" w:space="0"/>
              <w:right w:val="single" w:color="000000" w:sz="4" w:space="0"/>
            </w:tcBorders>
            <w:vAlign w:val="center"/>
          </w:tcPr>
          <w:p w14:paraId="0B625DC5">
            <w:pPr>
              <w:jc w:val="center"/>
              <w:rPr>
                <w:rFonts w:ascii="宋体" w:hAnsi="宋体" w:cs="宋体"/>
                <w:color w:val="auto"/>
                <w:szCs w:val="21"/>
                <w:highlight w:val="none"/>
              </w:rPr>
            </w:pPr>
            <w:r>
              <w:rPr>
                <w:rFonts w:hint="eastAsia" w:ascii="宋体" w:hAnsi="宋体" w:cs="宋体"/>
                <w:color w:val="auto"/>
                <w:szCs w:val="21"/>
                <w:highlight w:val="none"/>
              </w:rPr>
              <w:t>3</w:t>
            </w:r>
          </w:p>
        </w:tc>
        <w:tc>
          <w:tcPr>
            <w:tcW w:w="932" w:type="dxa"/>
            <w:tcBorders>
              <w:top w:val="nil"/>
              <w:left w:val="nil"/>
              <w:bottom w:val="single" w:color="000000" w:sz="4" w:space="0"/>
              <w:right w:val="single" w:color="000000" w:sz="4" w:space="0"/>
            </w:tcBorders>
            <w:vAlign w:val="center"/>
          </w:tcPr>
          <w:p w14:paraId="57B401BE">
            <w:pPr>
              <w:jc w:val="center"/>
              <w:rPr>
                <w:rFonts w:ascii="宋体" w:hAnsi="宋体" w:cs="宋体"/>
                <w:color w:val="auto"/>
                <w:szCs w:val="21"/>
                <w:highlight w:val="none"/>
              </w:rPr>
            </w:pPr>
          </w:p>
        </w:tc>
      </w:tr>
      <w:tr w14:paraId="3497099E">
        <w:tblPrEx>
          <w:tblCellMar>
            <w:top w:w="0" w:type="dxa"/>
            <w:left w:w="108" w:type="dxa"/>
            <w:bottom w:w="0" w:type="dxa"/>
            <w:right w:w="108" w:type="dxa"/>
          </w:tblCellMar>
        </w:tblPrEx>
        <w:trPr>
          <w:trHeight w:val="391" w:hRule="atLeast"/>
        </w:trPr>
        <w:tc>
          <w:tcPr>
            <w:tcW w:w="498" w:type="dxa"/>
            <w:vMerge w:val="continue"/>
            <w:tcBorders>
              <w:top w:val="nil"/>
              <w:left w:val="single" w:color="000000" w:sz="4" w:space="0"/>
              <w:bottom w:val="single" w:color="000000" w:sz="4" w:space="0"/>
              <w:right w:val="single" w:color="000000" w:sz="4" w:space="0"/>
            </w:tcBorders>
            <w:vAlign w:val="center"/>
          </w:tcPr>
          <w:p w14:paraId="1BC79EF3">
            <w:pPr>
              <w:jc w:val="center"/>
              <w:rPr>
                <w:rFonts w:ascii="宋体" w:hAnsi="宋体" w:cs="宋体"/>
                <w:color w:val="auto"/>
                <w:szCs w:val="21"/>
                <w:highlight w:val="none"/>
              </w:rPr>
            </w:pPr>
          </w:p>
        </w:tc>
        <w:tc>
          <w:tcPr>
            <w:tcW w:w="1295" w:type="dxa"/>
            <w:vMerge w:val="continue"/>
            <w:tcBorders>
              <w:top w:val="nil"/>
              <w:left w:val="single" w:color="000000" w:sz="4" w:space="0"/>
              <w:bottom w:val="single" w:color="000000" w:sz="4" w:space="0"/>
              <w:right w:val="single" w:color="000000" w:sz="4" w:space="0"/>
            </w:tcBorders>
            <w:vAlign w:val="center"/>
          </w:tcPr>
          <w:p w14:paraId="54299D01">
            <w:pPr>
              <w:jc w:val="center"/>
              <w:rPr>
                <w:rFonts w:ascii="宋体" w:hAnsi="宋体" w:cs="宋体"/>
                <w:color w:val="auto"/>
                <w:szCs w:val="21"/>
                <w:highlight w:val="none"/>
              </w:rPr>
            </w:pPr>
          </w:p>
        </w:tc>
        <w:tc>
          <w:tcPr>
            <w:tcW w:w="6299" w:type="dxa"/>
            <w:tcBorders>
              <w:top w:val="nil"/>
              <w:left w:val="nil"/>
              <w:bottom w:val="single" w:color="000000" w:sz="4" w:space="0"/>
              <w:right w:val="single" w:color="000000" w:sz="4" w:space="0"/>
            </w:tcBorders>
            <w:vAlign w:val="center"/>
          </w:tcPr>
          <w:p w14:paraId="5B790933">
            <w:pPr>
              <w:rPr>
                <w:rFonts w:ascii="宋体" w:hAnsi="宋体" w:cs="宋体"/>
                <w:color w:val="auto"/>
                <w:szCs w:val="21"/>
                <w:highlight w:val="none"/>
              </w:rPr>
            </w:pPr>
            <w:r>
              <w:rPr>
                <w:rFonts w:hint="eastAsia" w:ascii="宋体" w:hAnsi="宋体" w:cs="宋体"/>
                <w:color w:val="auto"/>
                <w:szCs w:val="21"/>
                <w:highlight w:val="none"/>
              </w:rPr>
              <w:t>4.售饭时保持玻璃门关闭，不开启。</w:t>
            </w:r>
          </w:p>
        </w:tc>
        <w:tc>
          <w:tcPr>
            <w:tcW w:w="932" w:type="dxa"/>
            <w:tcBorders>
              <w:top w:val="nil"/>
              <w:left w:val="nil"/>
              <w:bottom w:val="single" w:color="000000" w:sz="4" w:space="0"/>
              <w:right w:val="single" w:color="000000" w:sz="4" w:space="0"/>
            </w:tcBorders>
            <w:vAlign w:val="center"/>
          </w:tcPr>
          <w:p w14:paraId="4D62E190">
            <w:pPr>
              <w:jc w:val="center"/>
              <w:rPr>
                <w:rFonts w:ascii="宋体" w:hAnsi="宋体" w:cs="宋体"/>
                <w:color w:val="auto"/>
                <w:szCs w:val="21"/>
                <w:highlight w:val="none"/>
              </w:rPr>
            </w:pPr>
            <w:r>
              <w:rPr>
                <w:rFonts w:hint="eastAsia" w:ascii="宋体" w:hAnsi="宋体" w:cs="宋体"/>
                <w:color w:val="auto"/>
                <w:szCs w:val="21"/>
                <w:highlight w:val="none"/>
              </w:rPr>
              <w:t>1</w:t>
            </w:r>
          </w:p>
        </w:tc>
        <w:tc>
          <w:tcPr>
            <w:tcW w:w="932" w:type="dxa"/>
            <w:tcBorders>
              <w:top w:val="nil"/>
              <w:left w:val="nil"/>
              <w:bottom w:val="single" w:color="000000" w:sz="4" w:space="0"/>
              <w:right w:val="single" w:color="000000" w:sz="4" w:space="0"/>
            </w:tcBorders>
            <w:vAlign w:val="center"/>
          </w:tcPr>
          <w:p w14:paraId="65742AB3">
            <w:pPr>
              <w:jc w:val="center"/>
              <w:rPr>
                <w:rFonts w:ascii="宋体" w:hAnsi="宋体" w:cs="宋体"/>
                <w:color w:val="auto"/>
                <w:szCs w:val="21"/>
                <w:highlight w:val="none"/>
              </w:rPr>
            </w:pPr>
          </w:p>
        </w:tc>
      </w:tr>
      <w:tr w14:paraId="15EAB312">
        <w:tblPrEx>
          <w:tblCellMar>
            <w:top w:w="0" w:type="dxa"/>
            <w:left w:w="108" w:type="dxa"/>
            <w:bottom w:w="0" w:type="dxa"/>
            <w:right w:w="108" w:type="dxa"/>
          </w:tblCellMar>
        </w:tblPrEx>
        <w:trPr>
          <w:trHeight w:val="435" w:hRule="atLeast"/>
        </w:trPr>
        <w:tc>
          <w:tcPr>
            <w:tcW w:w="498" w:type="dxa"/>
            <w:vMerge w:val="restart"/>
            <w:tcBorders>
              <w:top w:val="nil"/>
              <w:left w:val="single" w:color="000000" w:sz="4" w:space="0"/>
              <w:bottom w:val="nil"/>
              <w:right w:val="single" w:color="000000" w:sz="4" w:space="0"/>
            </w:tcBorders>
            <w:vAlign w:val="center"/>
          </w:tcPr>
          <w:p w14:paraId="2158BE27">
            <w:pPr>
              <w:jc w:val="center"/>
              <w:rPr>
                <w:rFonts w:ascii="宋体" w:hAnsi="宋体" w:cs="宋体"/>
                <w:color w:val="auto"/>
                <w:szCs w:val="21"/>
                <w:highlight w:val="none"/>
              </w:rPr>
            </w:pPr>
            <w:r>
              <w:rPr>
                <w:rFonts w:hint="eastAsia" w:ascii="宋体" w:hAnsi="宋体" w:cs="宋体"/>
                <w:color w:val="auto"/>
                <w:szCs w:val="21"/>
                <w:highlight w:val="none"/>
              </w:rPr>
              <w:t>6</w:t>
            </w:r>
          </w:p>
        </w:tc>
        <w:tc>
          <w:tcPr>
            <w:tcW w:w="1295" w:type="dxa"/>
            <w:vMerge w:val="restart"/>
            <w:tcBorders>
              <w:top w:val="nil"/>
              <w:left w:val="single" w:color="000000" w:sz="4" w:space="0"/>
              <w:bottom w:val="single" w:color="000000" w:sz="4" w:space="0"/>
              <w:right w:val="single" w:color="000000" w:sz="4" w:space="0"/>
            </w:tcBorders>
            <w:vAlign w:val="center"/>
          </w:tcPr>
          <w:p w14:paraId="6483AA25">
            <w:pPr>
              <w:jc w:val="center"/>
              <w:rPr>
                <w:rFonts w:ascii="宋体" w:hAnsi="宋体" w:cs="宋体"/>
                <w:color w:val="auto"/>
                <w:szCs w:val="21"/>
                <w:highlight w:val="none"/>
              </w:rPr>
            </w:pPr>
            <w:r>
              <w:rPr>
                <w:rFonts w:hint="eastAsia" w:ascii="宋体" w:hAnsi="宋体" w:cs="宋体"/>
                <w:color w:val="auto"/>
                <w:szCs w:val="21"/>
                <w:highlight w:val="none"/>
              </w:rPr>
              <w:t>器具卫生</w:t>
            </w:r>
          </w:p>
        </w:tc>
        <w:tc>
          <w:tcPr>
            <w:tcW w:w="6299" w:type="dxa"/>
            <w:tcBorders>
              <w:top w:val="nil"/>
              <w:left w:val="nil"/>
              <w:bottom w:val="single" w:color="000000" w:sz="4" w:space="0"/>
              <w:right w:val="single" w:color="000000" w:sz="4" w:space="0"/>
            </w:tcBorders>
            <w:vAlign w:val="center"/>
          </w:tcPr>
          <w:p w14:paraId="2A232E53">
            <w:pPr>
              <w:rPr>
                <w:rFonts w:ascii="宋体" w:hAnsi="宋体" w:cs="宋体"/>
                <w:color w:val="auto"/>
                <w:szCs w:val="21"/>
                <w:highlight w:val="none"/>
              </w:rPr>
            </w:pPr>
            <w:r>
              <w:rPr>
                <w:rFonts w:hint="eastAsia" w:ascii="宋体" w:hAnsi="宋体" w:cs="宋体"/>
                <w:color w:val="auto"/>
                <w:szCs w:val="21"/>
                <w:highlight w:val="none"/>
              </w:rPr>
              <w:t>1.蒸饭箱定期清洁，内板无食物残渣。蒸饭水定期更换，保证干净。</w:t>
            </w:r>
          </w:p>
        </w:tc>
        <w:tc>
          <w:tcPr>
            <w:tcW w:w="932" w:type="dxa"/>
            <w:tcBorders>
              <w:top w:val="nil"/>
              <w:left w:val="nil"/>
              <w:bottom w:val="single" w:color="000000" w:sz="4" w:space="0"/>
              <w:right w:val="single" w:color="000000" w:sz="4" w:space="0"/>
            </w:tcBorders>
            <w:vAlign w:val="center"/>
          </w:tcPr>
          <w:p w14:paraId="22B4FAAC">
            <w:pPr>
              <w:jc w:val="center"/>
              <w:rPr>
                <w:rFonts w:ascii="宋体" w:hAnsi="宋体" w:cs="宋体"/>
                <w:color w:val="auto"/>
                <w:szCs w:val="21"/>
                <w:highlight w:val="none"/>
              </w:rPr>
            </w:pPr>
            <w:r>
              <w:rPr>
                <w:rFonts w:hint="eastAsia" w:ascii="宋体" w:hAnsi="宋体" w:cs="宋体"/>
                <w:color w:val="auto"/>
                <w:szCs w:val="21"/>
                <w:highlight w:val="none"/>
              </w:rPr>
              <w:t>2</w:t>
            </w:r>
          </w:p>
        </w:tc>
        <w:tc>
          <w:tcPr>
            <w:tcW w:w="932" w:type="dxa"/>
            <w:tcBorders>
              <w:top w:val="nil"/>
              <w:left w:val="nil"/>
              <w:bottom w:val="single" w:color="000000" w:sz="4" w:space="0"/>
              <w:right w:val="single" w:color="000000" w:sz="4" w:space="0"/>
            </w:tcBorders>
            <w:vAlign w:val="center"/>
          </w:tcPr>
          <w:p w14:paraId="14016E21">
            <w:pPr>
              <w:jc w:val="center"/>
              <w:rPr>
                <w:rFonts w:ascii="宋体" w:hAnsi="宋体" w:cs="宋体"/>
                <w:color w:val="auto"/>
                <w:szCs w:val="21"/>
                <w:highlight w:val="none"/>
              </w:rPr>
            </w:pPr>
          </w:p>
        </w:tc>
      </w:tr>
      <w:tr w14:paraId="79685784">
        <w:tblPrEx>
          <w:tblCellMar>
            <w:top w:w="0" w:type="dxa"/>
            <w:left w:w="108" w:type="dxa"/>
            <w:bottom w:w="0" w:type="dxa"/>
            <w:right w:w="108" w:type="dxa"/>
          </w:tblCellMar>
        </w:tblPrEx>
        <w:trPr>
          <w:trHeight w:val="495" w:hRule="atLeast"/>
        </w:trPr>
        <w:tc>
          <w:tcPr>
            <w:tcW w:w="498" w:type="dxa"/>
            <w:vMerge w:val="continue"/>
            <w:tcBorders>
              <w:top w:val="nil"/>
              <w:left w:val="single" w:color="000000" w:sz="4" w:space="0"/>
              <w:bottom w:val="nil"/>
              <w:right w:val="single" w:color="000000" w:sz="4" w:space="0"/>
            </w:tcBorders>
            <w:vAlign w:val="center"/>
          </w:tcPr>
          <w:p w14:paraId="67E46D2A">
            <w:pPr>
              <w:jc w:val="center"/>
              <w:rPr>
                <w:rFonts w:ascii="宋体" w:hAnsi="宋体" w:cs="宋体"/>
                <w:color w:val="auto"/>
                <w:szCs w:val="21"/>
                <w:highlight w:val="none"/>
              </w:rPr>
            </w:pPr>
          </w:p>
        </w:tc>
        <w:tc>
          <w:tcPr>
            <w:tcW w:w="1295" w:type="dxa"/>
            <w:vMerge w:val="continue"/>
            <w:tcBorders>
              <w:top w:val="nil"/>
              <w:left w:val="single" w:color="000000" w:sz="4" w:space="0"/>
              <w:bottom w:val="single" w:color="000000" w:sz="4" w:space="0"/>
              <w:right w:val="single" w:color="000000" w:sz="4" w:space="0"/>
            </w:tcBorders>
            <w:vAlign w:val="center"/>
          </w:tcPr>
          <w:p w14:paraId="413CC3DE">
            <w:pPr>
              <w:jc w:val="center"/>
              <w:rPr>
                <w:rFonts w:ascii="宋体" w:hAnsi="宋体" w:cs="宋体"/>
                <w:color w:val="auto"/>
                <w:szCs w:val="21"/>
                <w:highlight w:val="none"/>
              </w:rPr>
            </w:pPr>
          </w:p>
        </w:tc>
        <w:tc>
          <w:tcPr>
            <w:tcW w:w="6299" w:type="dxa"/>
            <w:tcBorders>
              <w:top w:val="nil"/>
              <w:left w:val="nil"/>
              <w:bottom w:val="single" w:color="000000" w:sz="4" w:space="0"/>
              <w:right w:val="single" w:color="000000" w:sz="4" w:space="0"/>
            </w:tcBorders>
            <w:vAlign w:val="center"/>
          </w:tcPr>
          <w:p w14:paraId="5332ECCC">
            <w:pPr>
              <w:rPr>
                <w:rFonts w:ascii="宋体" w:hAnsi="宋体" w:cs="宋体"/>
                <w:color w:val="auto"/>
                <w:szCs w:val="21"/>
                <w:highlight w:val="none"/>
              </w:rPr>
            </w:pPr>
            <w:r>
              <w:rPr>
                <w:rFonts w:hint="eastAsia" w:ascii="宋体" w:hAnsi="宋体" w:cs="宋体"/>
                <w:color w:val="auto"/>
                <w:szCs w:val="21"/>
                <w:highlight w:val="none"/>
              </w:rPr>
              <w:t>2.油、调料盒必须定期保洁。</w:t>
            </w:r>
          </w:p>
        </w:tc>
        <w:tc>
          <w:tcPr>
            <w:tcW w:w="932" w:type="dxa"/>
            <w:tcBorders>
              <w:top w:val="nil"/>
              <w:left w:val="nil"/>
              <w:bottom w:val="single" w:color="000000" w:sz="4" w:space="0"/>
              <w:right w:val="single" w:color="000000" w:sz="4" w:space="0"/>
            </w:tcBorders>
            <w:vAlign w:val="center"/>
          </w:tcPr>
          <w:p w14:paraId="63B31D15">
            <w:pPr>
              <w:jc w:val="center"/>
              <w:rPr>
                <w:rFonts w:ascii="宋体" w:hAnsi="宋体" w:cs="宋体"/>
                <w:color w:val="auto"/>
                <w:szCs w:val="21"/>
                <w:highlight w:val="none"/>
              </w:rPr>
            </w:pPr>
            <w:r>
              <w:rPr>
                <w:rFonts w:hint="eastAsia" w:ascii="宋体" w:hAnsi="宋体" w:cs="宋体"/>
                <w:color w:val="auto"/>
                <w:szCs w:val="21"/>
                <w:highlight w:val="none"/>
              </w:rPr>
              <w:t>2</w:t>
            </w:r>
          </w:p>
        </w:tc>
        <w:tc>
          <w:tcPr>
            <w:tcW w:w="932" w:type="dxa"/>
            <w:tcBorders>
              <w:top w:val="nil"/>
              <w:left w:val="nil"/>
              <w:bottom w:val="single" w:color="000000" w:sz="4" w:space="0"/>
              <w:right w:val="single" w:color="000000" w:sz="4" w:space="0"/>
            </w:tcBorders>
            <w:vAlign w:val="center"/>
          </w:tcPr>
          <w:p w14:paraId="696F99B3">
            <w:pPr>
              <w:jc w:val="center"/>
              <w:rPr>
                <w:rFonts w:ascii="宋体" w:hAnsi="宋体" w:cs="宋体"/>
                <w:color w:val="auto"/>
                <w:szCs w:val="21"/>
                <w:highlight w:val="none"/>
              </w:rPr>
            </w:pPr>
          </w:p>
        </w:tc>
      </w:tr>
      <w:tr w14:paraId="55E99AEE">
        <w:tblPrEx>
          <w:tblCellMar>
            <w:top w:w="0" w:type="dxa"/>
            <w:left w:w="108" w:type="dxa"/>
            <w:bottom w:w="0" w:type="dxa"/>
            <w:right w:w="108" w:type="dxa"/>
          </w:tblCellMar>
        </w:tblPrEx>
        <w:trPr>
          <w:trHeight w:val="493" w:hRule="atLeast"/>
        </w:trPr>
        <w:tc>
          <w:tcPr>
            <w:tcW w:w="498" w:type="dxa"/>
            <w:vMerge w:val="continue"/>
            <w:tcBorders>
              <w:top w:val="nil"/>
              <w:left w:val="single" w:color="000000" w:sz="4" w:space="0"/>
              <w:bottom w:val="nil"/>
              <w:right w:val="single" w:color="000000" w:sz="4" w:space="0"/>
            </w:tcBorders>
            <w:vAlign w:val="center"/>
          </w:tcPr>
          <w:p w14:paraId="32F26DF2">
            <w:pPr>
              <w:jc w:val="center"/>
              <w:rPr>
                <w:rFonts w:ascii="宋体" w:hAnsi="宋体" w:cs="宋体"/>
                <w:color w:val="auto"/>
                <w:szCs w:val="21"/>
                <w:highlight w:val="none"/>
              </w:rPr>
            </w:pPr>
          </w:p>
        </w:tc>
        <w:tc>
          <w:tcPr>
            <w:tcW w:w="1295" w:type="dxa"/>
            <w:vMerge w:val="continue"/>
            <w:tcBorders>
              <w:top w:val="nil"/>
              <w:left w:val="single" w:color="000000" w:sz="4" w:space="0"/>
              <w:bottom w:val="single" w:color="000000" w:sz="4" w:space="0"/>
              <w:right w:val="single" w:color="000000" w:sz="4" w:space="0"/>
            </w:tcBorders>
            <w:vAlign w:val="center"/>
          </w:tcPr>
          <w:p w14:paraId="1970B4A8">
            <w:pPr>
              <w:jc w:val="center"/>
              <w:rPr>
                <w:rFonts w:ascii="宋体" w:hAnsi="宋体" w:cs="宋体"/>
                <w:color w:val="auto"/>
                <w:szCs w:val="21"/>
                <w:highlight w:val="none"/>
              </w:rPr>
            </w:pPr>
          </w:p>
        </w:tc>
        <w:tc>
          <w:tcPr>
            <w:tcW w:w="6299" w:type="dxa"/>
            <w:tcBorders>
              <w:top w:val="nil"/>
              <w:left w:val="nil"/>
              <w:bottom w:val="single" w:color="000000" w:sz="4" w:space="0"/>
              <w:right w:val="single" w:color="000000" w:sz="4" w:space="0"/>
            </w:tcBorders>
            <w:vAlign w:val="center"/>
          </w:tcPr>
          <w:p w14:paraId="13CF5F69">
            <w:pPr>
              <w:rPr>
                <w:rFonts w:ascii="宋体" w:hAnsi="宋体" w:cs="宋体"/>
                <w:color w:val="auto"/>
                <w:szCs w:val="21"/>
                <w:highlight w:val="none"/>
              </w:rPr>
            </w:pPr>
            <w:r>
              <w:rPr>
                <w:rFonts w:hint="eastAsia" w:ascii="宋体" w:hAnsi="宋体" w:cs="宋体"/>
                <w:color w:val="auto"/>
                <w:szCs w:val="21"/>
                <w:highlight w:val="none"/>
              </w:rPr>
              <w:t>3.由专业公司清洗油烟管道，厨房员工负责柜台表面的清洁。</w:t>
            </w:r>
          </w:p>
        </w:tc>
        <w:tc>
          <w:tcPr>
            <w:tcW w:w="932" w:type="dxa"/>
            <w:tcBorders>
              <w:top w:val="nil"/>
              <w:left w:val="nil"/>
              <w:bottom w:val="single" w:color="000000" w:sz="4" w:space="0"/>
              <w:right w:val="single" w:color="000000" w:sz="4" w:space="0"/>
            </w:tcBorders>
            <w:vAlign w:val="center"/>
          </w:tcPr>
          <w:p w14:paraId="158BF279">
            <w:pPr>
              <w:jc w:val="center"/>
              <w:rPr>
                <w:rFonts w:ascii="宋体" w:hAnsi="宋体" w:cs="宋体"/>
                <w:color w:val="auto"/>
                <w:szCs w:val="21"/>
                <w:highlight w:val="none"/>
              </w:rPr>
            </w:pPr>
            <w:r>
              <w:rPr>
                <w:rFonts w:hint="eastAsia" w:ascii="宋体" w:hAnsi="宋体" w:cs="宋体"/>
                <w:color w:val="auto"/>
                <w:szCs w:val="21"/>
                <w:highlight w:val="none"/>
              </w:rPr>
              <w:t>2</w:t>
            </w:r>
          </w:p>
        </w:tc>
        <w:tc>
          <w:tcPr>
            <w:tcW w:w="932" w:type="dxa"/>
            <w:tcBorders>
              <w:top w:val="nil"/>
              <w:left w:val="nil"/>
              <w:bottom w:val="single" w:color="000000" w:sz="4" w:space="0"/>
              <w:right w:val="single" w:color="000000" w:sz="4" w:space="0"/>
            </w:tcBorders>
            <w:vAlign w:val="center"/>
          </w:tcPr>
          <w:p w14:paraId="34E1CFB1">
            <w:pPr>
              <w:jc w:val="center"/>
              <w:rPr>
                <w:rFonts w:ascii="宋体" w:hAnsi="宋体" w:cs="宋体"/>
                <w:color w:val="auto"/>
                <w:szCs w:val="21"/>
                <w:highlight w:val="none"/>
              </w:rPr>
            </w:pPr>
          </w:p>
        </w:tc>
      </w:tr>
      <w:tr w14:paraId="7C9E0706">
        <w:tblPrEx>
          <w:tblCellMar>
            <w:top w:w="0" w:type="dxa"/>
            <w:left w:w="108" w:type="dxa"/>
            <w:bottom w:w="0" w:type="dxa"/>
            <w:right w:w="108" w:type="dxa"/>
          </w:tblCellMar>
        </w:tblPrEx>
        <w:trPr>
          <w:trHeight w:val="1097" w:hRule="atLeast"/>
        </w:trPr>
        <w:tc>
          <w:tcPr>
            <w:tcW w:w="498" w:type="dxa"/>
            <w:vMerge w:val="continue"/>
            <w:tcBorders>
              <w:top w:val="nil"/>
              <w:left w:val="single" w:color="000000" w:sz="4" w:space="0"/>
              <w:bottom w:val="nil"/>
              <w:right w:val="single" w:color="000000" w:sz="4" w:space="0"/>
            </w:tcBorders>
            <w:vAlign w:val="center"/>
          </w:tcPr>
          <w:p w14:paraId="7DE9904C">
            <w:pPr>
              <w:jc w:val="center"/>
              <w:rPr>
                <w:rFonts w:ascii="宋体" w:hAnsi="宋体" w:cs="宋体"/>
                <w:color w:val="auto"/>
                <w:szCs w:val="21"/>
                <w:highlight w:val="none"/>
              </w:rPr>
            </w:pPr>
          </w:p>
        </w:tc>
        <w:tc>
          <w:tcPr>
            <w:tcW w:w="1295" w:type="dxa"/>
            <w:vMerge w:val="continue"/>
            <w:tcBorders>
              <w:top w:val="nil"/>
              <w:left w:val="single" w:color="000000" w:sz="4" w:space="0"/>
              <w:bottom w:val="single" w:color="000000" w:sz="4" w:space="0"/>
              <w:right w:val="single" w:color="000000" w:sz="4" w:space="0"/>
            </w:tcBorders>
            <w:vAlign w:val="center"/>
          </w:tcPr>
          <w:p w14:paraId="0451ACC6">
            <w:pPr>
              <w:jc w:val="center"/>
              <w:rPr>
                <w:rFonts w:ascii="宋体" w:hAnsi="宋体" w:cs="宋体"/>
                <w:color w:val="auto"/>
                <w:szCs w:val="21"/>
                <w:highlight w:val="none"/>
              </w:rPr>
            </w:pPr>
          </w:p>
        </w:tc>
        <w:tc>
          <w:tcPr>
            <w:tcW w:w="6299" w:type="dxa"/>
            <w:tcBorders>
              <w:top w:val="nil"/>
              <w:left w:val="nil"/>
              <w:bottom w:val="single" w:color="000000" w:sz="4" w:space="0"/>
              <w:right w:val="single" w:color="000000" w:sz="4" w:space="0"/>
            </w:tcBorders>
            <w:vAlign w:val="center"/>
          </w:tcPr>
          <w:p w14:paraId="4C5DD077">
            <w:pPr>
              <w:rPr>
                <w:rFonts w:ascii="宋体" w:hAnsi="宋体" w:cs="宋体"/>
                <w:color w:val="auto"/>
                <w:szCs w:val="21"/>
                <w:highlight w:val="none"/>
              </w:rPr>
            </w:pPr>
            <w:r>
              <w:rPr>
                <w:rFonts w:hint="eastAsia" w:ascii="宋体" w:hAnsi="宋体" w:cs="宋体"/>
                <w:color w:val="auto"/>
                <w:szCs w:val="21"/>
                <w:highlight w:val="none"/>
              </w:rPr>
              <w:t>4.服务柜台保持清洁、光亮。保温池和汤桶，定期于饭市结束后排空水并进行清洁；再次饭市前30分钟内加入干净的水，并开保温池加热。食品盘盖需保持清洁，保温池内有食物的需在员工到来前加盖，非服务时间也应加盖。</w:t>
            </w:r>
          </w:p>
        </w:tc>
        <w:tc>
          <w:tcPr>
            <w:tcW w:w="932" w:type="dxa"/>
            <w:tcBorders>
              <w:top w:val="nil"/>
              <w:left w:val="nil"/>
              <w:bottom w:val="single" w:color="000000" w:sz="4" w:space="0"/>
              <w:right w:val="single" w:color="000000" w:sz="4" w:space="0"/>
            </w:tcBorders>
            <w:vAlign w:val="center"/>
          </w:tcPr>
          <w:p w14:paraId="46134956">
            <w:pPr>
              <w:jc w:val="center"/>
              <w:rPr>
                <w:rFonts w:ascii="宋体" w:hAnsi="宋体" w:cs="宋体"/>
                <w:color w:val="auto"/>
                <w:szCs w:val="21"/>
                <w:highlight w:val="none"/>
              </w:rPr>
            </w:pPr>
            <w:r>
              <w:rPr>
                <w:rFonts w:hint="eastAsia" w:ascii="宋体" w:hAnsi="宋体" w:cs="宋体"/>
                <w:color w:val="auto"/>
                <w:szCs w:val="21"/>
                <w:highlight w:val="none"/>
              </w:rPr>
              <w:t>2</w:t>
            </w:r>
          </w:p>
        </w:tc>
        <w:tc>
          <w:tcPr>
            <w:tcW w:w="932" w:type="dxa"/>
            <w:tcBorders>
              <w:top w:val="nil"/>
              <w:left w:val="nil"/>
              <w:bottom w:val="single" w:color="000000" w:sz="4" w:space="0"/>
              <w:right w:val="single" w:color="000000" w:sz="4" w:space="0"/>
            </w:tcBorders>
            <w:vAlign w:val="center"/>
          </w:tcPr>
          <w:p w14:paraId="6CF1357E">
            <w:pPr>
              <w:jc w:val="center"/>
              <w:rPr>
                <w:rFonts w:ascii="宋体" w:hAnsi="宋体" w:cs="宋体"/>
                <w:color w:val="auto"/>
                <w:szCs w:val="21"/>
                <w:highlight w:val="none"/>
              </w:rPr>
            </w:pPr>
          </w:p>
        </w:tc>
      </w:tr>
      <w:tr w14:paraId="79C5D619">
        <w:tblPrEx>
          <w:tblCellMar>
            <w:top w:w="0" w:type="dxa"/>
            <w:left w:w="108" w:type="dxa"/>
            <w:bottom w:w="0" w:type="dxa"/>
            <w:right w:w="108" w:type="dxa"/>
          </w:tblCellMar>
        </w:tblPrEx>
        <w:trPr>
          <w:trHeight w:val="579" w:hRule="atLeast"/>
        </w:trPr>
        <w:tc>
          <w:tcPr>
            <w:tcW w:w="498" w:type="dxa"/>
            <w:vMerge w:val="continue"/>
            <w:tcBorders>
              <w:top w:val="nil"/>
              <w:left w:val="single" w:color="000000" w:sz="4" w:space="0"/>
              <w:bottom w:val="nil"/>
              <w:right w:val="single" w:color="000000" w:sz="4" w:space="0"/>
            </w:tcBorders>
            <w:vAlign w:val="center"/>
          </w:tcPr>
          <w:p w14:paraId="558072E1">
            <w:pPr>
              <w:jc w:val="center"/>
              <w:rPr>
                <w:rFonts w:ascii="宋体" w:hAnsi="宋体" w:cs="宋体"/>
                <w:color w:val="auto"/>
                <w:szCs w:val="21"/>
                <w:highlight w:val="none"/>
              </w:rPr>
            </w:pPr>
          </w:p>
        </w:tc>
        <w:tc>
          <w:tcPr>
            <w:tcW w:w="1295" w:type="dxa"/>
            <w:vMerge w:val="continue"/>
            <w:tcBorders>
              <w:top w:val="nil"/>
              <w:left w:val="single" w:color="000000" w:sz="4" w:space="0"/>
              <w:bottom w:val="single" w:color="000000" w:sz="4" w:space="0"/>
              <w:right w:val="single" w:color="000000" w:sz="4" w:space="0"/>
            </w:tcBorders>
            <w:vAlign w:val="center"/>
          </w:tcPr>
          <w:p w14:paraId="3BC40BC3">
            <w:pPr>
              <w:jc w:val="center"/>
              <w:rPr>
                <w:rFonts w:ascii="宋体" w:hAnsi="宋体" w:cs="宋体"/>
                <w:color w:val="auto"/>
                <w:szCs w:val="21"/>
                <w:highlight w:val="none"/>
              </w:rPr>
            </w:pPr>
          </w:p>
        </w:tc>
        <w:tc>
          <w:tcPr>
            <w:tcW w:w="6299" w:type="dxa"/>
            <w:tcBorders>
              <w:top w:val="nil"/>
              <w:left w:val="nil"/>
              <w:bottom w:val="single" w:color="000000" w:sz="4" w:space="0"/>
              <w:right w:val="single" w:color="000000" w:sz="4" w:space="0"/>
            </w:tcBorders>
            <w:vAlign w:val="center"/>
          </w:tcPr>
          <w:p w14:paraId="6B041280">
            <w:pPr>
              <w:rPr>
                <w:rFonts w:ascii="宋体" w:hAnsi="宋体" w:cs="宋体"/>
                <w:color w:val="auto"/>
                <w:szCs w:val="21"/>
                <w:highlight w:val="none"/>
              </w:rPr>
            </w:pPr>
            <w:r>
              <w:rPr>
                <w:rFonts w:hint="eastAsia" w:ascii="宋体" w:hAnsi="宋体" w:cs="宋体"/>
                <w:color w:val="auto"/>
                <w:szCs w:val="21"/>
                <w:highlight w:val="none"/>
              </w:rPr>
              <w:t>5.餐盘、碗、器皿、筷子保持清洁、干燥无水迹。 每日开饭前消毒柜消毒或蒸饭箱高温消毒20分钟。</w:t>
            </w:r>
          </w:p>
        </w:tc>
        <w:tc>
          <w:tcPr>
            <w:tcW w:w="932" w:type="dxa"/>
            <w:tcBorders>
              <w:top w:val="nil"/>
              <w:left w:val="nil"/>
              <w:bottom w:val="single" w:color="000000" w:sz="4" w:space="0"/>
              <w:right w:val="single" w:color="000000" w:sz="4" w:space="0"/>
            </w:tcBorders>
            <w:vAlign w:val="center"/>
          </w:tcPr>
          <w:p w14:paraId="1646B077">
            <w:pPr>
              <w:jc w:val="center"/>
              <w:rPr>
                <w:rFonts w:ascii="宋体" w:hAnsi="宋体" w:cs="宋体"/>
                <w:color w:val="auto"/>
                <w:szCs w:val="21"/>
                <w:highlight w:val="none"/>
              </w:rPr>
            </w:pPr>
            <w:r>
              <w:rPr>
                <w:rFonts w:hint="eastAsia" w:ascii="宋体" w:hAnsi="宋体" w:cs="宋体"/>
                <w:color w:val="auto"/>
                <w:szCs w:val="21"/>
                <w:highlight w:val="none"/>
              </w:rPr>
              <w:t>2</w:t>
            </w:r>
          </w:p>
        </w:tc>
        <w:tc>
          <w:tcPr>
            <w:tcW w:w="932" w:type="dxa"/>
            <w:tcBorders>
              <w:top w:val="nil"/>
              <w:left w:val="nil"/>
              <w:bottom w:val="single" w:color="000000" w:sz="4" w:space="0"/>
              <w:right w:val="single" w:color="000000" w:sz="4" w:space="0"/>
            </w:tcBorders>
            <w:vAlign w:val="center"/>
          </w:tcPr>
          <w:p w14:paraId="30EC715D">
            <w:pPr>
              <w:jc w:val="center"/>
              <w:rPr>
                <w:rFonts w:ascii="宋体" w:hAnsi="宋体" w:cs="宋体"/>
                <w:color w:val="auto"/>
                <w:szCs w:val="21"/>
                <w:highlight w:val="none"/>
              </w:rPr>
            </w:pPr>
          </w:p>
        </w:tc>
      </w:tr>
      <w:tr w14:paraId="78B69428">
        <w:tblPrEx>
          <w:tblCellMar>
            <w:top w:w="0" w:type="dxa"/>
            <w:left w:w="108" w:type="dxa"/>
            <w:bottom w:w="0" w:type="dxa"/>
            <w:right w:w="108" w:type="dxa"/>
          </w:tblCellMar>
        </w:tblPrEx>
        <w:trPr>
          <w:trHeight w:val="617" w:hRule="atLeast"/>
        </w:trPr>
        <w:tc>
          <w:tcPr>
            <w:tcW w:w="498" w:type="dxa"/>
            <w:vMerge w:val="continue"/>
            <w:tcBorders>
              <w:top w:val="nil"/>
              <w:left w:val="single" w:color="000000" w:sz="4" w:space="0"/>
              <w:bottom w:val="nil"/>
              <w:right w:val="single" w:color="000000" w:sz="4" w:space="0"/>
            </w:tcBorders>
            <w:vAlign w:val="center"/>
          </w:tcPr>
          <w:p w14:paraId="35B36AB4">
            <w:pPr>
              <w:jc w:val="center"/>
              <w:rPr>
                <w:rFonts w:ascii="宋体" w:hAnsi="宋体" w:cs="宋体"/>
                <w:color w:val="auto"/>
                <w:szCs w:val="21"/>
                <w:highlight w:val="none"/>
              </w:rPr>
            </w:pPr>
          </w:p>
        </w:tc>
        <w:tc>
          <w:tcPr>
            <w:tcW w:w="1295" w:type="dxa"/>
            <w:vMerge w:val="continue"/>
            <w:tcBorders>
              <w:top w:val="nil"/>
              <w:left w:val="single" w:color="000000" w:sz="4" w:space="0"/>
              <w:bottom w:val="single" w:color="000000" w:sz="4" w:space="0"/>
              <w:right w:val="single" w:color="000000" w:sz="4" w:space="0"/>
            </w:tcBorders>
            <w:vAlign w:val="center"/>
          </w:tcPr>
          <w:p w14:paraId="3F114B57">
            <w:pPr>
              <w:jc w:val="center"/>
              <w:rPr>
                <w:rFonts w:ascii="宋体" w:hAnsi="宋体" w:cs="宋体"/>
                <w:color w:val="auto"/>
                <w:szCs w:val="21"/>
                <w:highlight w:val="none"/>
              </w:rPr>
            </w:pPr>
          </w:p>
        </w:tc>
        <w:tc>
          <w:tcPr>
            <w:tcW w:w="6299" w:type="dxa"/>
            <w:tcBorders>
              <w:top w:val="nil"/>
              <w:left w:val="nil"/>
              <w:bottom w:val="single" w:color="000000" w:sz="4" w:space="0"/>
              <w:right w:val="single" w:color="000000" w:sz="4" w:space="0"/>
            </w:tcBorders>
            <w:vAlign w:val="center"/>
          </w:tcPr>
          <w:p w14:paraId="15841B2E">
            <w:pPr>
              <w:rPr>
                <w:rFonts w:ascii="宋体" w:hAnsi="宋体" w:cs="宋体"/>
                <w:color w:val="auto"/>
                <w:szCs w:val="21"/>
                <w:highlight w:val="none"/>
              </w:rPr>
            </w:pPr>
            <w:r>
              <w:rPr>
                <w:rFonts w:hint="eastAsia" w:ascii="宋体" w:hAnsi="宋体" w:cs="宋体"/>
                <w:color w:val="auto"/>
                <w:szCs w:val="21"/>
                <w:highlight w:val="none"/>
              </w:rPr>
              <w:t xml:space="preserve">6.切片机和搅拌机每次使用后需进行清洗消毒。切片机及搅拌机在不使用时应刀片拆开，拔下插头。 </w:t>
            </w:r>
          </w:p>
        </w:tc>
        <w:tc>
          <w:tcPr>
            <w:tcW w:w="932" w:type="dxa"/>
            <w:tcBorders>
              <w:top w:val="nil"/>
              <w:left w:val="nil"/>
              <w:bottom w:val="single" w:color="000000" w:sz="4" w:space="0"/>
              <w:right w:val="single" w:color="000000" w:sz="4" w:space="0"/>
            </w:tcBorders>
            <w:vAlign w:val="center"/>
          </w:tcPr>
          <w:p w14:paraId="08136DA2">
            <w:pPr>
              <w:jc w:val="center"/>
              <w:rPr>
                <w:rFonts w:ascii="宋体" w:hAnsi="宋体" w:cs="宋体"/>
                <w:color w:val="auto"/>
                <w:szCs w:val="21"/>
                <w:highlight w:val="none"/>
              </w:rPr>
            </w:pPr>
            <w:r>
              <w:rPr>
                <w:rFonts w:hint="eastAsia" w:ascii="宋体" w:hAnsi="宋体" w:cs="宋体"/>
                <w:color w:val="auto"/>
                <w:szCs w:val="21"/>
                <w:highlight w:val="none"/>
              </w:rPr>
              <w:t>3</w:t>
            </w:r>
          </w:p>
        </w:tc>
        <w:tc>
          <w:tcPr>
            <w:tcW w:w="932" w:type="dxa"/>
            <w:tcBorders>
              <w:top w:val="nil"/>
              <w:left w:val="nil"/>
              <w:bottom w:val="single" w:color="000000" w:sz="4" w:space="0"/>
              <w:right w:val="single" w:color="000000" w:sz="4" w:space="0"/>
            </w:tcBorders>
            <w:vAlign w:val="center"/>
          </w:tcPr>
          <w:p w14:paraId="6C61A2FC">
            <w:pPr>
              <w:jc w:val="center"/>
              <w:rPr>
                <w:rFonts w:ascii="宋体" w:hAnsi="宋体" w:cs="宋体"/>
                <w:color w:val="auto"/>
                <w:szCs w:val="21"/>
                <w:highlight w:val="none"/>
              </w:rPr>
            </w:pPr>
          </w:p>
        </w:tc>
      </w:tr>
      <w:tr w14:paraId="0F3B7681">
        <w:tblPrEx>
          <w:tblCellMar>
            <w:top w:w="0" w:type="dxa"/>
            <w:left w:w="108" w:type="dxa"/>
            <w:bottom w:w="0" w:type="dxa"/>
            <w:right w:w="108" w:type="dxa"/>
          </w:tblCellMar>
        </w:tblPrEx>
        <w:trPr>
          <w:trHeight w:val="729" w:hRule="atLeast"/>
        </w:trPr>
        <w:tc>
          <w:tcPr>
            <w:tcW w:w="498" w:type="dxa"/>
            <w:vMerge w:val="continue"/>
            <w:tcBorders>
              <w:top w:val="nil"/>
              <w:left w:val="single" w:color="000000" w:sz="4" w:space="0"/>
              <w:bottom w:val="nil"/>
              <w:right w:val="single" w:color="000000" w:sz="4" w:space="0"/>
            </w:tcBorders>
            <w:vAlign w:val="center"/>
          </w:tcPr>
          <w:p w14:paraId="0F5EB10E">
            <w:pPr>
              <w:jc w:val="center"/>
              <w:rPr>
                <w:rFonts w:ascii="宋体" w:hAnsi="宋体" w:cs="宋体"/>
                <w:color w:val="auto"/>
                <w:szCs w:val="21"/>
                <w:highlight w:val="none"/>
              </w:rPr>
            </w:pPr>
          </w:p>
        </w:tc>
        <w:tc>
          <w:tcPr>
            <w:tcW w:w="1295" w:type="dxa"/>
            <w:vMerge w:val="continue"/>
            <w:tcBorders>
              <w:top w:val="nil"/>
              <w:left w:val="single" w:color="000000" w:sz="4" w:space="0"/>
              <w:bottom w:val="single" w:color="000000" w:sz="4" w:space="0"/>
              <w:right w:val="single" w:color="000000" w:sz="4" w:space="0"/>
            </w:tcBorders>
            <w:vAlign w:val="center"/>
          </w:tcPr>
          <w:p w14:paraId="3EBB1691">
            <w:pPr>
              <w:jc w:val="center"/>
              <w:rPr>
                <w:rFonts w:ascii="宋体" w:hAnsi="宋体" w:cs="宋体"/>
                <w:color w:val="auto"/>
                <w:szCs w:val="21"/>
                <w:highlight w:val="none"/>
              </w:rPr>
            </w:pPr>
          </w:p>
        </w:tc>
        <w:tc>
          <w:tcPr>
            <w:tcW w:w="6299" w:type="dxa"/>
            <w:tcBorders>
              <w:top w:val="nil"/>
              <w:left w:val="nil"/>
              <w:bottom w:val="single" w:color="000000" w:sz="4" w:space="0"/>
              <w:right w:val="single" w:color="000000" w:sz="4" w:space="0"/>
            </w:tcBorders>
            <w:vAlign w:val="center"/>
          </w:tcPr>
          <w:p w14:paraId="2A5D8029">
            <w:pPr>
              <w:rPr>
                <w:rFonts w:ascii="宋体" w:hAnsi="宋体" w:cs="宋体"/>
                <w:color w:val="auto"/>
                <w:szCs w:val="21"/>
                <w:highlight w:val="none"/>
              </w:rPr>
            </w:pPr>
            <w:r>
              <w:rPr>
                <w:rFonts w:hint="eastAsia" w:ascii="宋体" w:hAnsi="宋体" w:cs="宋体"/>
                <w:color w:val="auto"/>
                <w:szCs w:val="21"/>
                <w:highlight w:val="none"/>
              </w:rPr>
              <w:t>7.水池和工作台每次使用后清洁，刀具不得插在工作台或水管背后。 洗碗池与下水道保持通畅无赃污。定期清洁推车及垃圾桶，保持干净卫生。</w:t>
            </w:r>
          </w:p>
        </w:tc>
        <w:tc>
          <w:tcPr>
            <w:tcW w:w="932" w:type="dxa"/>
            <w:tcBorders>
              <w:top w:val="nil"/>
              <w:left w:val="nil"/>
              <w:bottom w:val="single" w:color="000000" w:sz="4" w:space="0"/>
              <w:right w:val="single" w:color="000000" w:sz="4" w:space="0"/>
            </w:tcBorders>
            <w:vAlign w:val="center"/>
          </w:tcPr>
          <w:p w14:paraId="600A634F">
            <w:pPr>
              <w:jc w:val="center"/>
              <w:rPr>
                <w:rFonts w:ascii="宋体" w:hAnsi="宋体" w:cs="宋体"/>
                <w:color w:val="auto"/>
                <w:szCs w:val="21"/>
                <w:highlight w:val="none"/>
              </w:rPr>
            </w:pPr>
            <w:r>
              <w:rPr>
                <w:rFonts w:hint="eastAsia" w:ascii="宋体" w:hAnsi="宋体" w:cs="宋体"/>
                <w:color w:val="auto"/>
                <w:szCs w:val="21"/>
                <w:highlight w:val="none"/>
              </w:rPr>
              <w:t>3</w:t>
            </w:r>
          </w:p>
        </w:tc>
        <w:tc>
          <w:tcPr>
            <w:tcW w:w="932" w:type="dxa"/>
            <w:tcBorders>
              <w:top w:val="nil"/>
              <w:left w:val="nil"/>
              <w:bottom w:val="single" w:color="000000" w:sz="4" w:space="0"/>
              <w:right w:val="single" w:color="000000" w:sz="4" w:space="0"/>
            </w:tcBorders>
            <w:vAlign w:val="center"/>
          </w:tcPr>
          <w:p w14:paraId="0990B34E">
            <w:pPr>
              <w:jc w:val="center"/>
              <w:rPr>
                <w:rFonts w:ascii="宋体" w:hAnsi="宋体" w:cs="宋体"/>
                <w:color w:val="auto"/>
                <w:szCs w:val="21"/>
                <w:highlight w:val="none"/>
              </w:rPr>
            </w:pPr>
          </w:p>
        </w:tc>
      </w:tr>
      <w:tr w14:paraId="316ADEDB">
        <w:tblPrEx>
          <w:tblCellMar>
            <w:top w:w="0" w:type="dxa"/>
            <w:left w:w="108" w:type="dxa"/>
            <w:bottom w:w="0" w:type="dxa"/>
            <w:right w:w="108" w:type="dxa"/>
          </w:tblCellMar>
        </w:tblPrEx>
        <w:trPr>
          <w:trHeight w:val="544" w:hRule="atLeast"/>
        </w:trPr>
        <w:tc>
          <w:tcPr>
            <w:tcW w:w="498" w:type="dxa"/>
            <w:vMerge w:val="continue"/>
            <w:tcBorders>
              <w:top w:val="nil"/>
              <w:left w:val="single" w:color="000000" w:sz="4" w:space="0"/>
              <w:bottom w:val="nil"/>
              <w:right w:val="single" w:color="000000" w:sz="4" w:space="0"/>
            </w:tcBorders>
            <w:vAlign w:val="center"/>
          </w:tcPr>
          <w:p w14:paraId="773DEB0E">
            <w:pPr>
              <w:jc w:val="center"/>
              <w:rPr>
                <w:rFonts w:ascii="宋体" w:hAnsi="宋体" w:cs="宋体"/>
                <w:color w:val="auto"/>
                <w:szCs w:val="21"/>
                <w:highlight w:val="none"/>
              </w:rPr>
            </w:pPr>
          </w:p>
        </w:tc>
        <w:tc>
          <w:tcPr>
            <w:tcW w:w="1295" w:type="dxa"/>
            <w:vMerge w:val="continue"/>
            <w:tcBorders>
              <w:top w:val="nil"/>
              <w:left w:val="single" w:color="000000" w:sz="4" w:space="0"/>
              <w:bottom w:val="single" w:color="000000" w:sz="4" w:space="0"/>
              <w:right w:val="single" w:color="000000" w:sz="4" w:space="0"/>
            </w:tcBorders>
            <w:vAlign w:val="center"/>
          </w:tcPr>
          <w:p w14:paraId="1D6F8122">
            <w:pPr>
              <w:jc w:val="center"/>
              <w:rPr>
                <w:rFonts w:ascii="宋体" w:hAnsi="宋体" w:cs="宋体"/>
                <w:color w:val="auto"/>
                <w:szCs w:val="21"/>
                <w:highlight w:val="none"/>
              </w:rPr>
            </w:pPr>
          </w:p>
        </w:tc>
        <w:tc>
          <w:tcPr>
            <w:tcW w:w="6299" w:type="dxa"/>
            <w:tcBorders>
              <w:top w:val="nil"/>
              <w:left w:val="nil"/>
              <w:bottom w:val="single" w:color="000000" w:sz="4" w:space="0"/>
              <w:right w:val="single" w:color="000000" w:sz="4" w:space="0"/>
            </w:tcBorders>
            <w:vAlign w:val="center"/>
          </w:tcPr>
          <w:p w14:paraId="59B9B15E">
            <w:pPr>
              <w:rPr>
                <w:rFonts w:ascii="宋体" w:hAnsi="宋体" w:cs="宋体"/>
                <w:color w:val="auto"/>
                <w:szCs w:val="21"/>
                <w:highlight w:val="none"/>
              </w:rPr>
            </w:pPr>
            <w:r>
              <w:rPr>
                <w:rFonts w:hint="eastAsia" w:ascii="宋体" w:hAnsi="宋体" w:cs="宋体"/>
                <w:color w:val="auto"/>
                <w:szCs w:val="21"/>
                <w:highlight w:val="none"/>
              </w:rPr>
              <w:t xml:space="preserve">8.货架保持干净、整洁。架层和墙壁之间无食物残渣。 </w:t>
            </w:r>
          </w:p>
        </w:tc>
        <w:tc>
          <w:tcPr>
            <w:tcW w:w="932" w:type="dxa"/>
            <w:tcBorders>
              <w:top w:val="nil"/>
              <w:left w:val="nil"/>
              <w:bottom w:val="single" w:color="000000" w:sz="4" w:space="0"/>
              <w:right w:val="single" w:color="000000" w:sz="4" w:space="0"/>
            </w:tcBorders>
            <w:vAlign w:val="center"/>
          </w:tcPr>
          <w:p w14:paraId="43D64FF2">
            <w:pPr>
              <w:jc w:val="center"/>
              <w:rPr>
                <w:rFonts w:ascii="宋体" w:hAnsi="宋体" w:cs="宋体"/>
                <w:color w:val="auto"/>
                <w:szCs w:val="21"/>
                <w:highlight w:val="none"/>
              </w:rPr>
            </w:pPr>
            <w:r>
              <w:rPr>
                <w:rFonts w:hint="eastAsia" w:ascii="宋体" w:hAnsi="宋体" w:cs="宋体"/>
                <w:color w:val="auto"/>
                <w:szCs w:val="21"/>
                <w:highlight w:val="none"/>
              </w:rPr>
              <w:t>3</w:t>
            </w:r>
          </w:p>
        </w:tc>
        <w:tc>
          <w:tcPr>
            <w:tcW w:w="932" w:type="dxa"/>
            <w:tcBorders>
              <w:top w:val="nil"/>
              <w:left w:val="nil"/>
              <w:bottom w:val="single" w:color="000000" w:sz="4" w:space="0"/>
              <w:right w:val="single" w:color="000000" w:sz="4" w:space="0"/>
            </w:tcBorders>
            <w:vAlign w:val="center"/>
          </w:tcPr>
          <w:p w14:paraId="0FC5C6DE">
            <w:pPr>
              <w:jc w:val="center"/>
              <w:rPr>
                <w:rFonts w:ascii="宋体" w:hAnsi="宋体" w:cs="宋体"/>
                <w:color w:val="auto"/>
                <w:szCs w:val="21"/>
                <w:highlight w:val="none"/>
              </w:rPr>
            </w:pPr>
          </w:p>
        </w:tc>
      </w:tr>
      <w:tr w14:paraId="4600B263">
        <w:tblPrEx>
          <w:tblCellMar>
            <w:top w:w="0" w:type="dxa"/>
            <w:left w:w="108" w:type="dxa"/>
            <w:bottom w:w="0" w:type="dxa"/>
            <w:right w:w="108" w:type="dxa"/>
          </w:tblCellMar>
        </w:tblPrEx>
        <w:trPr>
          <w:trHeight w:val="729" w:hRule="atLeast"/>
        </w:trPr>
        <w:tc>
          <w:tcPr>
            <w:tcW w:w="498" w:type="dxa"/>
            <w:vMerge w:val="continue"/>
            <w:tcBorders>
              <w:top w:val="nil"/>
              <w:left w:val="single" w:color="000000" w:sz="4" w:space="0"/>
              <w:bottom w:val="nil"/>
              <w:right w:val="single" w:color="000000" w:sz="4" w:space="0"/>
            </w:tcBorders>
            <w:vAlign w:val="center"/>
          </w:tcPr>
          <w:p w14:paraId="6BF457D7">
            <w:pPr>
              <w:jc w:val="center"/>
              <w:rPr>
                <w:rFonts w:ascii="宋体" w:hAnsi="宋体" w:cs="宋体"/>
                <w:color w:val="auto"/>
                <w:szCs w:val="21"/>
                <w:highlight w:val="none"/>
              </w:rPr>
            </w:pPr>
          </w:p>
        </w:tc>
        <w:tc>
          <w:tcPr>
            <w:tcW w:w="1295" w:type="dxa"/>
            <w:vMerge w:val="continue"/>
            <w:tcBorders>
              <w:top w:val="nil"/>
              <w:left w:val="single" w:color="000000" w:sz="4" w:space="0"/>
              <w:bottom w:val="single" w:color="000000" w:sz="4" w:space="0"/>
              <w:right w:val="single" w:color="000000" w:sz="4" w:space="0"/>
            </w:tcBorders>
            <w:vAlign w:val="center"/>
          </w:tcPr>
          <w:p w14:paraId="17DABC9B">
            <w:pPr>
              <w:jc w:val="center"/>
              <w:rPr>
                <w:rFonts w:ascii="宋体" w:hAnsi="宋体" w:cs="宋体"/>
                <w:color w:val="auto"/>
                <w:szCs w:val="21"/>
                <w:highlight w:val="none"/>
              </w:rPr>
            </w:pPr>
          </w:p>
        </w:tc>
        <w:tc>
          <w:tcPr>
            <w:tcW w:w="6299" w:type="dxa"/>
            <w:tcBorders>
              <w:top w:val="nil"/>
              <w:left w:val="nil"/>
              <w:bottom w:val="single" w:color="000000" w:sz="4" w:space="0"/>
              <w:right w:val="single" w:color="000000" w:sz="4" w:space="0"/>
            </w:tcBorders>
            <w:vAlign w:val="center"/>
          </w:tcPr>
          <w:p w14:paraId="3D82568F">
            <w:pPr>
              <w:rPr>
                <w:rFonts w:ascii="宋体" w:hAnsi="宋体" w:cs="宋体"/>
                <w:color w:val="auto"/>
                <w:szCs w:val="21"/>
                <w:highlight w:val="none"/>
              </w:rPr>
            </w:pPr>
            <w:r>
              <w:rPr>
                <w:rFonts w:hint="eastAsia" w:ascii="宋体" w:hAnsi="宋体" w:cs="宋体"/>
                <w:color w:val="auto"/>
                <w:szCs w:val="21"/>
                <w:highlight w:val="none"/>
              </w:rPr>
              <w:t xml:space="preserve">9.砧板保持干净，每次切食品前清洗消毒。不同的食品使用不同的砧板。不用时竖立以便沥干。 </w:t>
            </w:r>
          </w:p>
        </w:tc>
        <w:tc>
          <w:tcPr>
            <w:tcW w:w="932" w:type="dxa"/>
            <w:tcBorders>
              <w:top w:val="nil"/>
              <w:left w:val="nil"/>
              <w:bottom w:val="single" w:color="000000" w:sz="4" w:space="0"/>
              <w:right w:val="single" w:color="000000" w:sz="4" w:space="0"/>
            </w:tcBorders>
            <w:vAlign w:val="center"/>
          </w:tcPr>
          <w:p w14:paraId="4C3F7408">
            <w:pPr>
              <w:jc w:val="center"/>
              <w:rPr>
                <w:rFonts w:ascii="宋体" w:hAnsi="宋体" w:cs="宋体"/>
                <w:color w:val="auto"/>
                <w:szCs w:val="21"/>
                <w:highlight w:val="none"/>
              </w:rPr>
            </w:pPr>
            <w:r>
              <w:rPr>
                <w:rFonts w:hint="eastAsia" w:ascii="宋体" w:hAnsi="宋体" w:cs="宋体"/>
                <w:color w:val="auto"/>
                <w:szCs w:val="21"/>
                <w:highlight w:val="none"/>
              </w:rPr>
              <w:t>3</w:t>
            </w:r>
          </w:p>
        </w:tc>
        <w:tc>
          <w:tcPr>
            <w:tcW w:w="932" w:type="dxa"/>
            <w:tcBorders>
              <w:top w:val="nil"/>
              <w:left w:val="nil"/>
              <w:bottom w:val="single" w:color="000000" w:sz="4" w:space="0"/>
              <w:right w:val="single" w:color="000000" w:sz="4" w:space="0"/>
            </w:tcBorders>
            <w:vAlign w:val="center"/>
          </w:tcPr>
          <w:p w14:paraId="395326B5">
            <w:pPr>
              <w:jc w:val="center"/>
              <w:rPr>
                <w:rFonts w:ascii="宋体" w:hAnsi="宋体" w:cs="宋体"/>
                <w:color w:val="auto"/>
                <w:szCs w:val="21"/>
                <w:highlight w:val="none"/>
              </w:rPr>
            </w:pPr>
          </w:p>
        </w:tc>
      </w:tr>
      <w:tr w14:paraId="66199A60">
        <w:tblPrEx>
          <w:tblCellMar>
            <w:top w:w="0" w:type="dxa"/>
            <w:left w:w="108" w:type="dxa"/>
            <w:bottom w:w="0" w:type="dxa"/>
            <w:right w:w="108" w:type="dxa"/>
          </w:tblCellMar>
        </w:tblPrEx>
        <w:trPr>
          <w:trHeight w:val="720" w:hRule="atLeast"/>
        </w:trPr>
        <w:tc>
          <w:tcPr>
            <w:tcW w:w="498" w:type="dxa"/>
            <w:vMerge w:val="continue"/>
            <w:tcBorders>
              <w:top w:val="nil"/>
              <w:left w:val="single" w:color="000000" w:sz="4" w:space="0"/>
              <w:bottom w:val="nil"/>
              <w:right w:val="single" w:color="000000" w:sz="4" w:space="0"/>
            </w:tcBorders>
            <w:vAlign w:val="center"/>
          </w:tcPr>
          <w:p w14:paraId="23C8687E">
            <w:pPr>
              <w:jc w:val="center"/>
              <w:rPr>
                <w:rFonts w:ascii="宋体" w:hAnsi="宋体" w:cs="宋体"/>
                <w:color w:val="auto"/>
                <w:szCs w:val="21"/>
                <w:highlight w:val="none"/>
              </w:rPr>
            </w:pPr>
          </w:p>
        </w:tc>
        <w:tc>
          <w:tcPr>
            <w:tcW w:w="1295" w:type="dxa"/>
            <w:vMerge w:val="continue"/>
            <w:tcBorders>
              <w:top w:val="nil"/>
              <w:left w:val="single" w:color="000000" w:sz="4" w:space="0"/>
              <w:bottom w:val="single" w:color="000000" w:sz="4" w:space="0"/>
              <w:right w:val="single" w:color="000000" w:sz="4" w:space="0"/>
            </w:tcBorders>
            <w:vAlign w:val="center"/>
          </w:tcPr>
          <w:p w14:paraId="5A5D6C29">
            <w:pPr>
              <w:jc w:val="center"/>
              <w:rPr>
                <w:rFonts w:ascii="宋体" w:hAnsi="宋体" w:cs="宋体"/>
                <w:color w:val="auto"/>
                <w:szCs w:val="21"/>
                <w:highlight w:val="none"/>
              </w:rPr>
            </w:pPr>
          </w:p>
        </w:tc>
        <w:tc>
          <w:tcPr>
            <w:tcW w:w="6299" w:type="dxa"/>
            <w:tcBorders>
              <w:top w:val="nil"/>
              <w:left w:val="nil"/>
              <w:bottom w:val="single" w:color="000000" w:sz="4" w:space="0"/>
              <w:right w:val="single" w:color="000000" w:sz="4" w:space="0"/>
            </w:tcBorders>
            <w:vAlign w:val="center"/>
          </w:tcPr>
          <w:p w14:paraId="4D0B382F">
            <w:pPr>
              <w:rPr>
                <w:rFonts w:ascii="宋体" w:hAnsi="宋体" w:cs="宋体"/>
                <w:color w:val="auto"/>
                <w:szCs w:val="21"/>
                <w:highlight w:val="none"/>
              </w:rPr>
            </w:pPr>
            <w:r>
              <w:rPr>
                <w:rFonts w:hint="eastAsia" w:ascii="宋体" w:hAnsi="宋体" w:cs="宋体"/>
                <w:color w:val="auto"/>
                <w:szCs w:val="21"/>
                <w:highlight w:val="none"/>
              </w:rPr>
              <w:t>10.冷库、冷藏柜内应保持干净清洁，有明显的温度标识，并在要求范围内，无污迹杂物。</w:t>
            </w:r>
          </w:p>
        </w:tc>
        <w:tc>
          <w:tcPr>
            <w:tcW w:w="932" w:type="dxa"/>
            <w:tcBorders>
              <w:top w:val="nil"/>
              <w:left w:val="nil"/>
              <w:bottom w:val="single" w:color="000000" w:sz="4" w:space="0"/>
              <w:right w:val="single" w:color="000000" w:sz="4" w:space="0"/>
            </w:tcBorders>
            <w:vAlign w:val="center"/>
          </w:tcPr>
          <w:p w14:paraId="4277545E">
            <w:pPr>
              <w:jc w:val="center"/>
              <w:rPr>
                <w:rFonts w:ascii="宋体" w:hAnsi="宋体" w:cs="宋体"/>
                <w:color w:val="auto"/>
                <w:szCs w:val="21"/>
                <w:highlight w:val="none"/>
              </w:rPr>
            </w:pPr>
            <w:r>
              <w:rPr>
                <w:rFonts w:hint="eastAsia" w:ascii="宋体" w:hAnsi="宋体" w:cs="宋体"/>
                <w:color w:val="auto"/>
                <w:szCs w:val="21"/>
                <w:highlight w:val="none"/>
              </w:rPr>
              <w:t>3</w:t>
            </w:r>
          </w:p>
        </w:tc>
        <w:tc>
          <w:tcPr>
            <w:tcW w:w="932" w:type="dxa"/>
            <w:tcBorders>
              <w:top w:val="nil"/>
              <w:left w:val="nil"/>
              <w:bottom w:val="single" w:color="000000" w:sz="4" w:space="0"/>
              <w:right w:val="single" w:color="000000" w:sz="4" w:space="0"/>
            </w:tcBorders>
            <w:vAlign w:val="center"/>
          </w:tcPr>
          <w:p w14:paraId="76EC6633">
            <w:pPr>
              <w:jc w:val="center"/>
              <w:rPr>
                <w:rFonts w:ascii="宋体" w:hAnsi="宋体" w:cs="宋体"/>
                <w:color w:val="auto"/>
                <w:szCs w:val="21"/>
                <w:highlight w:val="none"/>
              </w:rPr>
            </w:pPr>
          </w:p>
        </w:tc>
      </w:tr>
      <w:tr w14:paraId="29080A6B">
        <w:tblPrEx>
          <w:tblCellMar>
            <w:top w:w="0" w:type="dxa"/>
            <w:left w:w="108" w:type="dxa"/>
            <w:bottom w:w="0" w:type="dxa"/>
            <w:right w:w="108" w:type="dxa"/>
          </w:tblCellMar>
        </w:tblPrEx>
        <w:trPr>
          <w:trHeight w:val="382" w:hRule="atLeast"/>
        </w:trPr>
        <w:tc>
          <w:tcPr>
            <w:tcW w:w="498" w:type="dxa"/>
            <w:vMerge w:val="continue"/>
            <w:tcBorders>
              <w:top w:val="nil"/>
              <w:left w:val="single" w:color="000000" w:sz="4" w:space="0"/>
              <w:bottom w:val="single" w:color="000000" w:sz="4" w:space="0"/>
              <w:right w:val="single" w:color="000000" w:sz="4" w:space="0"/>
            </w:tcBorders>
            <w:vAlign w:val="center"/>
          </w:tcPr>
          <w:p w14:paraId="7F444BC8">
            <w:pPr>
              <w:jc w:val="center"/>
              <w:rPr>
                <w:rFonts w:ascii="宋体" w:hAnsi="宋体" w:cs="宋体"/>
                <w:color w:val="auto"/>
                <w:szCs w:val="21"/>
                <w:highlight w:val="none"/>
              </w:rPr>
            </w:pPr>
          </w:p>
        </w:tc>
        <w:tc>
          <w:tcPr>
            <w:tcW w:w="1295" w:type="dxa"/>
            <w:vMerge w:val="continue"/>
            <w:tcBorders>
              <w:top w:val="nil"/>
              <w:left w:val="single" w:color="000000" w:sz="4" w:space="0"/>
              <w:bottom w:val="single" w:color="000000" w:sz="4" w:space="0"/>
              <w:right w:val="single" w:color="000000" w:sz="4" w:space="0"/>
            </w:tcBorders>
            <w:vAlign w:val="center"/>
          </w:tcPr>
          <w:p w14:paraId="7A1C41F8">
            <w:pPr>
              <w:jc w:val="center"/>
              <w:rPr>
                <w:rFonts w:ascii="宋体" w:hAnsi="宋体" w:cs="宋体"/>
                <w:color w:val="auto"/>
                <w:szCs w:val="21"/>
                <w:highlight w:val="none"/>
              </w:rPr>
            </w:pPr>
          </w:p>
        </w:tc>
        <w:tc>
          <w:tcPr>
            <w:tcW w:w="6299" w:type="dxa"/>
            <w:tcBorders>
              <w:top w:val="nil"/>
              <w:left w:val="nil"/>
              <w:bottom w:val="single" w:color="000000" w:sz="4" w:space="0"/>
              <w:right w:val="single" w:color="000000" w:sz="4" w:space="0"/>
            </w:tcBorders>
            <w:vAlign w:val="center"/>
          </w:tcPr>
          <w:p w14:paraId="291BD349">
            <w:pPr>
              <w:rPr>
                <w:rFonts w:ascii="宋体" w:hAnsi="宋体" w:cs="宋体"/>
                <w:color w:val="auto"/>
                <w:szCs w:val="21"/>
                <w:highlight w:val="none"/>
              </w:rPr>
            </w:pPr>
            <w:r>
              <w:rPr>
                <w:rFonts w:hint="eastAsia" w:ascii="宋体" w:hAnsi="宋体" w:cs="宋体"/>
                <w:color w:val="auto"/>
                <w:szCs w:val="21"/>
                <w:highlight w:val="none"/>
              </w:rPr>
              <w:t xml:space="preserve">11.生食品容器储存在架上或操作台下，远离熟食品。 </w:t>
            </w:r>
          </w:p>
        </w:tc>
        <w:tc>
          <w:tcPr>
            <w:tcW w:w="932" w:type="dxa"/>
            <w:tcBorders>
              <w:top w:val="nil"/>
              <w:left w:val="nil"/>
              <w:bottom w:val="single" w:color="000000" w:sz="4" w:space="0"/>
              <w:right w:val="single" w:color="000000" w:sz="4" w:space="0"/>
            </w:tcBorders>
            <w:vAlign w:val="center"/>
          </w:tcPr>
          <w:p w14:paraId="2B856BAA">
            <w:pPr>
              <w:jc w:val="center"/>
              <w:rPr>
                <w:rFonts w:ascii="宋体" w:hAnsi="宋体" w:cs="宋体"/>
                <w:color w:val="auto"/>
                <w:szCs w:val="21"/>
                <w:highlight w:val="none"/>
              </w:rPr>
            </w:pPr>
            <w:r>
              <w:rPr>
                <w:rFonts w:hint="eastAsia" w:ascii="宋体" w:hAnsi="宋体" w:cs="宋体"/>
                <w:color w:val="auto"/>
                <w:szCs w:val="21"/>
                <w:highlight w:val="none"/>
              </w:rPr>
              <w:t>3</w:t>
            </w:r>
          </w:p>
        </w:tc>
        <w:tc>
          <w:tcPr>
            <w:tcW w:w="932" w:type="dxa"/>
            <w:tcBorders>
              <w:top w:val="nil"/>
              <w:left w:val="nil"/>
              <w:bottom w:val="single" w:color="000000" w:sz="4" w:space="0"/>
              <w:right w:val="single" w:color="000000" w:sz="4" w:space="0"/>
            </w:tcBorders>
            <w:vAlign w:val="center"/>
          </w:tcPr>
          <w:p w14:paraId="388031EC">
            <w:pPr>
              <w:jc w:val="center"/>
              <w:rPr>
                <w:rFonts w:ascii="宋体" w:hAnsi="宋体" w:cs="宋体"/>
                <w:color w:val="auto"/>
                <w:szCs w:val="21"/>
                <w:highlight w:val="none"/>
              </w:rPr>
            </w:pPr>
          </w:p>
        </w:tc>
      </w:tr>
      <w:tr w14:paraId="360476A7">
        <w:tblPrEx>
          <w:tblCellMar>
            <w:top w:w="0" w:type="dxa"/>
            <w:left w:w="108" w:type="dxa"/>
            <w:bottom w:w="0" w:type="dxa"/>
            <w:right w:w="108" w:type="dxa"/>
          </w:tblCellMar>
        </w:tblPrEx>
        <w:trPr>
          <w:trHeight w:val="1088" w:hRule="atLeast"/>
        </w:trPr>
        <w:tc>
          <w:tcPr>
            <w:tcW w:w="498" w:type="dxa"/>
            <w:vMerge w:val="restart"/>
            <w:tcBorders>
              <w:top w:val="nil"/>
              <w:left w:val="single" w:color="000000" w:sz="4" w:space="0"/>
              <w:bottom w:val="nil"/>
              <w:right w:val="single" w:color="000000" w:sz="4" w:space="0"/>
            </w:tcBorders>
            <w:vAlign w:val="center"/>
          </w:tcPr>
          <w:p w14:paraId="348482FD">
            <w:pPr>
              <w:jc w:val="center"/>
              <w:rPr>
                <w:rFonts w:ascii="宋体" w:hAnsi="宋体" w:cs="宋体"/>
                <w:color w:val="auto"/>
                <w:szCs w:val="21"/>
                <w:highlight w:val="none"/>
              </w:rPr>
            </w:pPr>
            <w:r>
              <w:rPr>
                <w:rFonts w:hint="eastAsia" w:ascii="宋体" w:hAnsi="宋体" w:cs="宋体"/>
                <w:color w:val="auto"/>
                <w:szCs w:val="21"/>
                <w:highlight w:val="none"/>
              </w:rPr>
              <w:t>7</w:t>
            </w:r>
          </w:p>
        </w:tc>
        <w:tc>
          <w:tcPr>
            <w:tcW w:w="1295" w:type="dxa"/>
            <w:vMerge w:val="restart"/>
            <w:tcBorders>
              <w:top w:val="nil"/>
              <w:left w:val="single" w:color="000000" w:sz="4" w:space="0"/>
              <w:bottom w:val="nil"/>
              <w:right w:val="single" w:color="000000" w:sz="4" w:space="0"/>
            </w:tcBorders>
            <w:vAlign w:val="center"/>
          </w:tcPr>
          <w:p w14:paraId="5AA1EEC3">
            <w:pPr>
              <w:jc w:val="center"/>
              <w:rPr>
                <w:rFonts w:ascii="宋体" w:hAnsi="宋体" w:cs="宋体"/>
                <w:color w:val="auto"/>
                <w:szCs w:val="21"/>
                <w:highlight w:val="none"/>
              </w:rPr>
            </w:pPr>
            <w:r>
              <w:rPr>
                <w:rFonts w:hint="eastAsia" w:ascii="宋体" w:hAnsi="宋体" w:cs="宋体"/>
                <w:color w:val="auto"/>
                <w:szCs w:val="21"/>
                <w:highlight w:val="none"/>
              </w:rPr>
              <w:t>库  存</w:t>
            </w:r>
          </w:p>
        </w:tc>
        <w:tc>
          <w:tcPr>
            <w:tcW w:w="6299" w:type="dxa"/>
            <w:tcBorders>
              <w:top w:val="nil"/>
              <w:left w:val="nil"/>
              <w:bottom w:val="single" w:color="000000" w:sz="4" w:space="0"/>
              <w:right w:val="single" w:color="000000" w:sz="4" w:space="0"/>
            </w:tcBorders>
            <w:vAlign w:val="center"/>
          </w:tcPr>
          <w:p w14:paraId="11519A4A">
            <w:pPr>
              <w:rPr>
                <w:rFonts w:ascii="宋体" w:hAnsi="宋体" w:cs="宋体"/>
                <w:color w:val="auto"/>
                <w:szCs w:val="21"/>
                <w:highlight w:val="none"/>
              </w:rPr>
            </w:pPr>
            <w:r>
              <w:rPr>
                <w:rFonts w:hint="eastAsia" w:ascii="宋体" w:hAnsi="宋体" w:cs="宋体"/>
                <w:color w:val="auto"/>
                <w:szCs w:val="21"/>
                <w:highlight w:val="none"/>
              </w:rPr>
              <w:t>1.贮存食品原料的场所、设备应当保持清洁，禁止存放有毒、有害物品及个人生活物品，应当分类、分架、隔墙、离地存放食品原料，并定期检查、处理变质或者超过保质期限的食品。冰箱生、熟食应分离储存。</w:t>
            </w:r>
          </w:p>
        </w:tc>
        <w:tc>
          <w:tcPr>
            <w:tcW w:w="932" w:type="dxa"/>
            <w:tcBorders>
              <w:top w:val="nil"/>
              <w:left w:val="nil"/>
              <w:bottom w:val="single" w:color="000000" w:sz="4" w:space="0"/>
              <w:right w:val="single" w:color="000000" w:sz="4" w:space="0"/>
            </w:tcBorders>
            <w:vAlign w:val="center"/>
          </w:tcPr>
          <w:p w14:paraId="0298CE7F">
            <w:pPr>
              <w:jc w:val="center"/>
              <w:rPr>
                <w:rFonts w:ascii="宋体" w:hAnsi="宋体" w:cs="宋体"/>
                <w:color w:val="auto"/>
                <w:szCs w:val="21"/>
                <w:highlight w:val="none"/>
              </w:rPr>
            </w:pPr>
            <w:r>
              <w:rPr>
                <w:rFonts w:hint="eastAsia" w:ascii="宋体" w:hAnsi="宋体" w:cs="宋体"/>
                <w:color w:val="auto"/>
                <w:szCs w:val="21"/>
                <w:highlight w:val="none"/>
              </w:rPr>
              <w:t>4</w:t>
            </w:r>
          </w:p>
        </w:tc>
        <w:tc>
          <w:tcPr>
            <w:tcW w:w="932" w:type="dxa"/>
            <w:tcBorders>
              <w:top w:val="nil"/>
              <w:left w:val="nil"/>
              <w:bottom w:val="single" w:color="000000" w:sz="4" w:space="0"/>
              <w:right w:val="single" w:color="000000" w:sz="4" w:space="0"/>
            </w:tcBorders>
            <w:vAlign w:val="center"/>
          </w:tcPr>
          <w:p w14:paraId="3B3687CC">
            <w:pPr>
              <w:jc w:val="center"/>
              <w:rPr>
                <w:rFonts w:ascii="宋体" w:hAnsi="宋体" w:cs="宋体"/>
                <w:color w:val="auto"/>
                <w:szCs w:val="21"/>
                <w:highlight w:val="none"/>
              </w:rPr>
            </w:pPr>
          </w:p>
        </w:tc>
      </w:tr>
      <w:tr w14:paraId="69765D3F">
        <w:tblPrEx>
          <w:tblCellMar>
            <w:top w:w="0" w:type="dxa"/>
            <w:left w:w="108" w:type="dxa"/>
            <w:bottom w:w="0" w:type="dxa"/>
            <w:right w:w="108" w:type="dxa"/>
          </w:tblCellMar>
        </w:tblPrEx>
        <w:trPr>
          <w:trHeight w:val="965" w:hRule="atLeast"/>
        </w:trPr>
        <w:tc>
          <w:tcPr>
            <w:tcW w:w="498" w:type="dxa"/>
            <w:vMerge w:val="continue"/>
            <w:tcBorders>
              <w:top w:val="nil"/>
              <w:left w:val="single" w:color="000000" w:sz="4" w:space="0"/>
              <w:bottom w:val="nil"/>
              <w:right w:val="single" w:color="000000" w:sz="4" w:space="0"/>
            </w:tcBorders>
            <w:vAlign w:val="center"/>
          </w:tcPr>
          <w:p w14:paraId="6448B178">
            <w:pPr>
              <w:jc w:val="center"/>
              <w:rPr>
                <w:rFonts w:ascii="宋体" w:hAnsi="宋体" w:cs="宋体"/>
                <w:color w:val="auto"/>
                <w:szCs w:val="21"/>
                <w:highlight w:val="none"/>
              </w:rPr>
            </w:pPr>
          </w:p>
        </w:tc>
        <w:tc>
          <w:tcPr>
            <w:tcW w:w="1295" w:type="dxa"/>
            <w:vMerge w:val="continue"/>
            <w:tcBorders>
              <w:top w:val="nil"/>
              <w:left w:val="single" w:color="000000" w:sz="4" w:space="0"/>
              <w:bottom w:val="nil"/>
              <w:right w:val="single" w:color="000000" w:sz="4" w:space="0"/>
            </w:tcBorders>
            <w:vAlign w:val="center"/>
          </w:tcPr>
          <w:p w14:paraId="53CD2966">
            <w:pPr>
              <w:jc w:val="center"/>
              <w:rPr>
                <w:rFonts w:ascii="宋体" w:hAnsi="宋体" w:cs="宋体"/>
                <w:color w:val="auto"/>
                <w:szCs w:val="21"/>
                <w:highlight w:val="none"/>
              </w:rPr>
            </w:pPr>
          </w:p>
        </w:tc>
        <w:tc>
          <w:tcPr>
            <w:tcW w:w="6299" w:type="dxa"/>
            <w:tcBorders>
              <w:top w:val="nil"/>
              <w:left w:val="nil"/>
              <w:bottom w:val="single" w:color="000000" w:sz="4" w:space="0"/>
              <w:right w:val="single" w:color="000000" w:sz="4" w:space="0"/>
            </w:tcBorders>
            <w:vAlign w:val="center"/>
          </w:tcPr>
          <w:p w14:paraId="00BA21F9">
            <w:pPr>
              <w:rPr>
                <w:rFonts w:ascii="宋体" w:hAnsi="宋体" w:cs="宋体"/>
                <w:color w:val="auto"/>
                <w:szCs w:val="21"/>
                <w:highlight w:val="none"/>
              </w:rPr>
            </w:pPr>
            <w:r>
              <w:rPr>
                <w:rFonts w:hint="eastAsia" w:ascii="宋体" w:hAnsi="宋体" w:cs="宋体"/>
                <w:color w:val="auto"/>
                <w:szCs w:val="21"/>
                <w:highlight w:val="none"/>
              </w:rPr>
              <w:t>2.定型包装物品按类别、品种上架堆放，挂牌标注食用质量及进货日期，生产日期、有效期。食盐、食糖等散装食品容器上应有明显的标记，防止拿错用错。</w:t>
            </w:r>
          </w:p>
        </w:tc>
        <w:tc>
          <w:tcPr>
            <w:tcW w:w="932" w:type="dxa"/>
            <w:tcBorders>
              <w:top w:val="nil"/>
              <w:left w:val="nil"/>
              <w:bottom w:val="single" w:color="000000" w:sz="4" w:space="0"/>
              <w:right w:val="single" w:color="000000" w:sz="4" w:space="0"/>
            </w:tcBorders>
            <w:vAlign w:val="center"/>
          </w:tcPr>
          <w:p w14:paraId="7FB600DB">
            <w:pPr>
              <w:jc w:val="center"/>
              <w:rPr>
                <w:rFonts w:ascii="宋体" w:hAnsi="宋体" w:cs="宋体"/>
                <w:color w:val="auto"/>
                <w:szCs w:val="21"/>
                <w:highlight w:val="none"/>
              </w:rPr>
            </w:pPr>
            <w:r>
              <w:rPr>
                <w:rFonts w:hint="eastAsia" w:ascii="宋体" w:hAnsi="宋体" w:cs="宋体"/>
                <w:color w:val="auto"/>
                <w:szCs w:val="21"/>
                <w:highlight w:val="none"/>
              </w:rPr>
              <w:t>3</w:t>
            </w:r>
          </w:p>
        </w:tc>
        <w:tc>
          <w:tcPr>
            <w:tcW w:w="932" w:type="dxa"/>
            <w:tcBorders>
              <w:top w:val="nil"/>
              <w:left w:val="nil"/>
              <w:bottom w:val="single" w:color="000000" w:sz="4" w:space="0"/>
              <w:right w:val="single" w:color="000000" w:sz="4" w:space="0"/>
            </w:tcBorders>
            <w:vAlign w:val="center"/>
          </w:tcPr>
          <w:p w14:paraId="044BC2A1">
            <w:pPr>
              <w:jc w:val="center"/>
              <w:rPr>
                <w:rFonts w:ascii="宋体" w:hAnsi="宋体" w:cs="宋体"/>
                <w:color w:val="auto"/>
                <w:szCs w:val="21"/>
                <w:highlight w:val="none"/>
              </w:rPr>
            </w:pPr>
          </w:p>
        </w:tc>
      </w:tr>
      <w:tr w14:paraId="04E1C528">
        <w:tblPrEx>
          <w:tblCellMar>
            <w:top w:w="0" w:type="dxa"/>
            <w:left w:w="108" w:type="dxa"/>
            <w:bottom w:w="0" w:type="dxa"/>
            <w:right w:w="108" w:type="dxa"/>
          </w:tblCellMar>
        </w:tblPrEx>
        <w:trPr>
          <w:trHeight w:val="758" w:hRule="atLeast"/>
        </w:trPr>
        <w:tc>
          <w:tcPr>
            <w:tcW w:w="498" w:type="dxa"/>
            <w:vMerge w:val="continue"/>
            <w:tcBorders>
              <w:top w:val="nil"/>
              <w:left w:val="single" w:color="000000" w:sz="4" w:space="0"/>
              <w:bottom w:val="single" w:color="000000" w:sz="4" w:space="0"/>
              <w:right w:val="single" w:color="000000" w:sz="4" w:space="0"/>
            </w:tcBorders>
            <w:vAlign w:val="center"/>
          </w:tcPr>
          <w:p w14:paraId="7CE43404">
            <w:pPr>
              <w:jc w:val="center"/>
              <w:rPr>
                <w:rFonts w:ascii="宋体" w:hAnsi="宋体" w:cs="宋体"/>
                <w:color w:val="auto"/>
                <w:szCs w:val="21"/>
                <w:highlight w:val="none"/>
              </w:rPr>
            </w:pPr>
          </w:p>
        </w:tc>
        <w:tc>
          <w:tcPr>
            <w:tcW w:w="1295" w:type="dxa"/>
            <w:vMerge w:val="continue"/>
            <w:tcBorders>
              <w:top w:val="nil"/>
              <w:left w:val="single" w:color="000000" w:sz="4" w:space="0"/>
              <w:bottom w:val="single" w:color="000000" w:sz="4" w:space="0"/>
              <w:right w:val="single" w:color="000000" w:sz="4" w:space="0"/>
            </w:tcBorders>
            <w:vAlign w:val="center"/>
          </w:tcPr>
          <w:p w14:paraId="59AC8080">
            <w:pPr>
              <w:jc w:val="center"/>
              <w:rPr>
                <w:rFonts w:ascii="宋体" w:hAnsi="宋体" w:cs="宋体"/>
                <w:color w:val="auto"/>
                <w:szCs w:val="21"/>
                <w:highlight w:val="none"/>
              </w:rPr>
            </w:pPr>
          </w:p>
        </w:tc>
        <w:tc>
          <w:tcPr>
            <w:tcW w:w="6299" w:type="dxa"/>
            <w:tcBorders>
              <w:top w:val="nil"/>
              <w:left w:val="nil"/>
              <w:bottom w:val="single" w:color="000000" w:sz="4" w:space="0"/>
              <w:right w:val="single" w:color="000000" w:sz="4" w:space="0"/>
            </w:tcBorders>
            <w:vAlign w:val="center"/>
          </w:tcPr>
          <w:p w14:paraId="49CAA2DD">
            <w:pPr>
              <w:rPr>
                <w:rFonts w:ascii="宋体" w:hAnsi="宋体" w:cs="宋体"/>
                <w:color w:val="auto"/>
                <w:szCs w:val="21"/>
                <w:highlight w:val="none"/>
              </w:rPr>
            </w:pPr>
            <w:r>
              <w:rPr>
                <w:rFonts w:hint="eastAsia" w:ascii="宋体" w:hAnsi="宋体" w:cs="宋体"/>
                <w:color w:val="auto"/>
                <w:szCs w:val="21"/>
                <w:highlight w:val="none"/>
              </w:rPr>
              <w:t>3.冰箱内保存食品，需生食、熟食分开存放，并放进专用器皿保存，并标注了生产时间和报废时间</w:t>
            </w:r>
          </w:p>
        </w:tc>
        <w:tc>
          <w:tcPr>
            <w:tcW w:w="932" w:type="dxa"/>
            <w:tcBorders>
              <w:top w:val="nil"/>
              <w:left w:val="nil"/>
              <w:bottom w:val="single" w:color="000000" w:sz="4" w:space="0"/>
              <w:right w:val="single" w:color="000000" w:sz="4" w:space="0"/>
            </w:tcBorders>
            <w:vAlign w:val="center"/>
          </w:tcPr>
          <w:p w14:paraId="7DD6D57E">
            <w:pPr>
              <w:jc w:val="center"/>
              <w:rPr>
                <w:rFonts w:ascii="宋体" w:hAnsi="宋体" w:cs="宋体"/>
                <w:color w:val="auto"/>
                <w:szCs w:val="21"/>
                <w:highlight w:val="none"/>
              </w:rPr>
            </w:pPr>
            <w:r>
              <w:rPr>
                <w:rFonts w:hint="eastAsia" w:ascii="宋体" w:hAnsi="宋体" w:cs="宋体"/>
                <w:color w:val="auto"/>
                <w:szCs w:val="21"/>
                <w:highlight w:val="none"/>
              </w:rPr>
              <w:t>3</w:t>
            </w:r>
          </w:p>
        </w:tc>
        <w:tc>
          <w:tcPr>
            <w:tcW w:w="932" w:type="dxa"/>
            <w:tcBorders>
              <w:top w:val="nil"/>
              <w:left w:val="nil"/>
              <w:bottom w:val="single" w:color="000000" w:sz="4" w:space="0"/>
              <w:right w:val="single" w:color="000000" w:sz="4" w:space="0"/>
            </w:tcBorders>
            <w:vAlign w:val="center"/>
          </w:tcPr>
          <w:p w14:paraId="35C9417A">
            <w:pPr>
              <w:jc w:val="center"/>
              <w:rPr>
                <w:rFonts w:ascii="宋体" w:hAnsi="宋体" w:cs="宋体"/>
                <w:color w:val="auto"/>
                <w:szCs w:val="21"/>
                <w:highlight w:val="none"/>
              </w:rPr>
            </w:pPr>
          </w:p>
        </w:tc>
      </w:tr>
      <w:tr w14:paraId="03F90F9C">
        <w:tblPrEx>
          <w:tblCellMar>
            <w:top w:w="0" w:type="dxa"/>
            <w:left w:w="108" w:type="dxa"/>
            <w:bottom w:w="0" w:type="dxa"/>
            <w:right w:w="108" w:type="dxa"/>
          </w:tblCellMar>
        </w:tblPrEx>
        <w:trPr>
          <w:trHeight w:val="709" w:hRule="atLeast"/>
        </w:trPr>
        <w:tc>
          <w:tcPr>
            <w:tcW w:w="498" w:type="dxa"/>
            <w:vMerge w:val="restart"/>
            <w:tcBorders>
              <w:top w:val="single" w:color="000000" w:sz="4" w:space="0"/>
              <w:left w:val="single" w:color="000000" w:sz="4" w:space="0"/>
              <w:bottom w:val="nil"/>
              <w:right w:val="single" w:color="000000" w:sz="4" w:space="0"/>
            </w:tcBorders>
            <w:vAlign w:val="center"/>
          </w:tcPr>
          <w:p w14:paraId="64554F38">
            <w:pPr>
              <w:jc w:val="center"/>
              <w:rPr>
                <w:rFonts w:ascii="宋体" w:hAnsi="宋体" w:cs="宋体"/>
                <w:color w:val="auto"/>
                <w:szCs w:val="21"/>
                <w:highlight w:val="none"/>
              </w:rPr>
            </w:pPr>
            <w:r>
              <w:rPr>
                <w:rFonts w:hint="eastAsia" w:ascii="宋体" w:hAnsi="宋体" w:cs="宋体"/>
                <w:color w:val="auto"/>
                <w:szCs w:val="21"/>
                <w:highlight w:val="none"/>
              </w:rPr>
              <w:t>8</w:t>
            </w:r>
          </w:p>
        </w:tc>
        <w:tc>
          <w:tcPr>
            <w:tcW w:w="1295" w:type="dxa"/>
            <w:vMerge w:val="restart"/>
            <w:tcBorders>
              <w:top w:val="single" w:color="000000" w:sz="4" w:space="0"/>
              <w:left w:val="single" w:color="000000" w:sz="4" w:space="0"/>
              <w:bottom w:val="single" w:color="000000" w:sz="4" w:space="0"/>
              <w:right w:val="single" w:color="000000" w:sz="4" w:space="0"/>
            </w:tcBorders>
            <w:vAlign w:val="center"/>
          </w:tcPr>
          <w:p w14:paraId="37CD0052">
            <w:pPr>
              <w:jc w:val="center"/>
              <w:rPr>
                <w:rFonts w:ascii="宋体" w:hAnsi="宋体" w:cs="宋体"/>
                <w:color w:val="auto"/>
                <w:szCs w:val="21"/>
                <w:highlight w:val="none"/>
              </w:rPr>
            </w:pPr>
            <w:r>
              <w:rPr>
                <w:rFonts w:hint="eastAsia" w:ascii="宋体" w:hAnsi="宋体" w:cs="宋体"/>
                <w:color w:val="auto"/>
                <w:szCs w:val="21"/>
                <w:highlight w:val="none"/>
              </w:rPr>
              <w:t>餐饮卫生</w:t>
            </w:r>
          </w:p>
        </w:tc>
        <w:tc>
          <w:tcPr>
            <w:tcW w:w="6299" w:type="dxa"/>
            <w:tcBorders>
              <w:top w:val="nil"/>
              <w:left w:val="nil"/>
              <w:bottom w:val="single" w:color="000000" w:sz="4" w:space="0"/>
              <w:right w:val="single" w:color="000000" w:sz="4" w:space="0"/>
            </w:tcBorders>
            <w:vAlign w:val="center"/>
          </w:tcPr>
          <w:p w14:paraId="4E920F9F">
            <w:pPr>
              <w:rPr>
                <w:rFonts w:ascii="宋体" w:hAnsi="宋体" w:cs="宋体"/>
                <w:color w:val="auto"/>
                <w:szCs w:val="21"/>
                <w:highlight w:val="none"/>
              </w:rPr>
            </w:pPr>
            <w:r>
              <w:rPr>
                <w:rFonts w:hint="eastAsia" w:ascii="宋体" w:hAnsi="宋体" w:cs="宋体"/>
                <w:color w:val="auto"/>
                <w:szCs w:val="21"/>
                <w:highlight w:val="none"/>
              </w:rPr>
              <w:t>1.在制作加工过程中检查待加工的食品及食品原料，发现有腐败变质或者其他感官性状异常的，不得加工或使用。</w:t>
            </w:r>
          </w:p>
        </w:tc>
        <w:tc>
          <w:tcPr>
            <w:tcW w:w="932" w:type="dxa"/>
            <w:tcBorders>
              <w:top w:val="nil"/>
              <w:left w:val="nil"/>
              <w:bottom w:val="single" w:color="000000" w:sz="4" w:space="0"/>
              <w:right w:val="single" w:color="000000" w:sz="4" w:space="0"/>
            </w:tcBorders>
            <w:vAlign w:val="center"/>
          </w:tcPr>
          <w:p w14:paraId="546E2BB0">
            <w:pPr>
              <w:jc w:val="center"/>
              <w:rPr>
                <w:rFonts w:ascii="宋体" w:hAnsi="宋体" w:cs="宋体"/>
                <w:color w:val="auto"/>
                <w:szCs w:val="21"/>
                <w:highlight w:val="none"/>
              </w:rPr>
            </w:pPr>
            <w:r>
              <w:rPr>
                <w:rFonts w:hint="eastAsia" w:ascii="宋体" w:hAnsi="宋体" w:cs="宋体"/>
                <w:color w:val="auto"/>
                <w:szCs w:val="21"/>
                <w:highlight w:val="none"/>
              </w:rPr>
              <w:t>5</w:t>
            </w:r>
          </w:p>
        </w:tc>
        <w:tc>
          <w:tcPr>
            <w:tcW w:w="932" w:type="dxa"/>
            <w:tcBorders>
              <w:top w:val="nil"/>
              <w:left w:val="nil"/>
              <w:bottom w:val="single" w:color="000000" w:sz="4" w:space="0"/>
              <w:right w:val="single" w:color="000000" w:sz="4" w:space="0"/>
            </w:tcBorders>
            <w:vAlign w:val="center"/>
          </w:tcPr>
          <w:p w14:paraId="218EF27B">
            <w:pPr>
              <w:jc w:val="center"/>
              <w:rPr>
                <w:rFonts w:ascii="宋体" w:hAnsi="宋体" w:cs="宋体"/>
                <w:color w:val="auto"/>
                <w:szCs w:val="21"/>
                <w:highlight w:val="none"/>
              </w:rPr>
            </w:pPr>
          </w:p>
        </w:tc>
      </w:tr>
      <w:tr w14:paraId="07802BAE">
        <w:tblPrEx>
          <w:tblCellMar>
            <w:top w:w="0" w:type="dxa"/>
            <w:left w:w="108" w:type="dxa"/>
            <w:bottom w:w="0" w:type="dxa"/>
            <w:right w:w="108" w:type="dxa"/>
          </w:tblCellMar>
        </w:tblPrEx>
        <w:trPr>
          <w:trHeight w:val="632" w:hRule="atLeast"/>
        </w:trPr>
        <w:tc>
          <w:tcPr>
            <w:tcW w:w="498" w:type="dxa"/>
            <w:vMerge w:val="continue"/>
            <w:tcBorders>
              <w:top w:val="nil"/>
              <w:left w:val="single" w:color="000000" w:sz="4" w:space="0"/>
              <w:bottom w:val="nil"/>
              <w:right w:val="single" w:color="000000" w:sz="4" w:space="0"/>
            </w:tcBorders>
            <w:vAlign w:val="center"/>
          </w:tcPr>
          <w:p w14:paraId="04D88C9F">
            <w:pPr>
              <w:jc w:val="center"/>
              <w:rPr>
                <w:rFonts w:ascii="宋体" w:hAnsi="宋体" w:cs="宋体"/>
                <w:color w:val="auto"/>
                <w:szCs w:val="21"/>
                <w:highlight w:val="none"/>
              </w:rPr>
            </w:pPr>
          </w:p>
        </w:tc>
        <w:tc>
          <w:tcPr>
            <w:tcW w:w="1295" w:type="dxa"/>
            <w:vMerge w:val="continue"/>
            <w:tcBorders>
              <w:top w:val="single" w:color="000000" w:sz="4" w:space="0"/>
              <w:left w:val="single" w:color="000000" w:sz="4" w:space="0"/>
              <w:bottom w:val="single" w:color="000000" w:sz="4" w:space="0"/>
              <w:right w:val="single" w:color="000000" w:sz="4" w:space="0"/>
            </w:tcBorders>
            <w:vAlign w:val="center"/>
          </w:tcPr>
          <w:p w14:paraId="0297650A">
            <w:pPr>
              <w:jc w:val="center"/>
              <w:rPr>
                <w:rFonts w:ascii="宋体" w:hAnsi="宋体" w:cs="宋体"/>
                <w:color w:val="auto"/>
                <w:szCs w:val="21"/>
                <w:highlight w:val="none"/>
              </w:rPr>
            </w:pPr>
          </w:p>
        </w:tc>
        <w:tc>
          <w:tcPr>
            <w:tcW w:w="6299" w:type="dxa"/>
            <w:tcBorders>
              <w:top w:val="nil"/>
              <w:left w:val="nil"/>
              <w:bottom w:val="single" w:color="000000" w:sz="4" w:space="0"/>
              <w:right w:val="single" w:color="000000" w:sz="4" w:space="0"/>
            </w:tcBorders>
            <w:vAlign w:val="center"/>
          </w:tcPr>
          <w:p w14:paraId="050BE9BB">
            <w:pPr>
              <w:rPr>
                <w:rFonts w:ascii="宋体" w:hAnsi="宋体" w:cs="宋体"/>
                <w:color w:val="auto"/>
                <w:szCs w:val="21"/>
                <w:highlight w:val="none"/>
              </w:rPr>
            </w:pPr>
            <w:r>
              <w:rPr>
                <w:rFonts w:hint="eastAsia" w:ascii="宋体" w:hAnsi="宋体" w:cs="宋体"/>
                <w:color w:val="auto"/>
                <w:szCs w:val="21"/>
                <w:highlight w:val="none"/>
              </w:rPr>
              <w:t xml:space="preserve">2.解冻食品时应注意用多少解冻多少，不允许一次解冻过多用不完，再次复冻。 </w:t>
            </w:r>
          </w:p>
        </w:tc>
        <w:tc>
          <w:tcPr>
            <w:tcW w:w="932" w:type="dxa"/>
            <w:tcBorders>
              <w:top w:val="nil"/>
              <w:left w:val="nil"/>
              <w:bottom w:val="single" w:color="000000" w:sz="4" w:space="0"/>
              <w:right w:val="single" w:color="000000" w:sz="4" w:space="0"/>
            </w:tcBorders>
            <w:vAlign w:val="center"/>
          </w:tcPr>
          <w:p w14:paraId="35126E26">
            <w:pPr>
              <w:jc w:val="center"/>
              <w:rPr>
                <w:rFonts w:ascii="宋体" w:hAnsi="宋体" w:cs="宋体"/>
                <w:color w:val="auto"/>
                <w:szCs w:val="21"/>
                <w:highlight w:val="none"/>
              </w:rPr>
            </w:pPr>
            <w:r>
              <w:rPr>
                <w:rFonts w:hint="eastAsia" w:ascii="宋体" w:hAnsi="宋体" w:cs="宋体"/>
                <w:color w:val="auto"/>
                <w:szCs w:val="21"/>
                <w:highlight w:val="none"/>
              </w:rPr>
              <w:t>2</w:t>
            </w:r>
          </w:p>
        </w:tc>
        <w:tc>
          <w:tcPr>
            <w:tcW w:w="932" w:type="dxa"/>
            <w:tcBorders>
              <w:top w:val="nil"/>
              <w:left w:val="nil"/>
              <w:bottom w:val="single" w:color="000000" w:sz="4" w:space="0"/>
              <w:right w:val="single" w:color="000000" w:sz="4" w:space="0"/>
            </w:tcBorders>
            <w:vAlign w:val="center"/>
          </w:tcPr>
          <w:p w14:paraId="1F186FA7">
            <w:pPr>
              <w:jc w:val="center"/>
              <w:rPr>
                <w:rFonts w:ascii="宋体" w:hAnsi="宋体" w:cs="宋体"/>
                <w:color w:val="auto"/>
                <w:szCs w:val="21"/>
                <w:highlight w:val="none"/>
              </w:rPr>
            </w:pPr>
          </w:p>
        </w:tc>
      </w:tr>
      <w:tr w14:paraId="6F6967E6">
        <w:tblPrEx>
          <w:tblCellMar>
            <w:top w:w="0" w:type="dxa"/>
            <w:left w:w="108" w:type="dxa"/>
            <w:bottom w:w="0" w:type="dxa"/>
            <w:right w:w="108" w:type="dxa"/>
          </w:tblCellMar>
        </w:tblPrEx>
        <w:trPr>
          <w:trHeight w:val="654" w:hRule="atLeast"/>
        </w:trPr>
        <w:tc>
          <w:tcPr>
            <w:tcW w:w="498" w:type="dxa"/>
            <w:vMerge w:val="continue"/>
            <w:tcBorders>
              <w:top w:val="nil"/>
              <w:left w:val="single" w:color="000000" w:sz="4" w:space="0"/>
              <w:bottom w:val="nil"/>
              <w:right w:val="single" w:color="000000" w:sz="4" w:space="0"/>
            </w:tcBorders>
            <w:vAlign w:val="center"/>
          </w:tcPr>
          <w:p w14:paraId="5B187169">
            <w:pPr>
              <w:jc w:val="center"/>
              <w:rPr>
                <w:rFonts w:ascii="宋体" w:hAnsi="宋体" w:cs="宋体"/>
                <w:color w:val="auto"/>
                <w:szCs w:val="21"/>
                <w:highlight w:val="none"/>
              </w:rPr>
            </w:pPr>
          </w:p>
        </w:tc>
        <w:tc>
          <w:tcPr>
            <w:tcW w:w="1295" w:type="dxa"/>
            <w:vMerge w:val="continue"/>
            <w:tcBorders>
              <w:top w:val="single" w:color="000000" w:sz="4" w:space="0"/>
              <w:left w:val="single" w:color="000000" w:sz="4" w:space="0"/>
              <w:bottom w:val="single" w:color="000000" w:sz="4" w:space="0"/>
              <w:right w:val="single" w:color="000000" w:sz="4" w:space="0"/>
            </w:tcBorders>
            <w:vAlign w:val="center"/>
          </w:tcPr>
          <w:p w14:paraId="53C3BE5E">
            <w:pPr>
              <w:jc w:val="center"/>
              <w:rPr>
                <w:rFonts w:ascii="宋体" w:hAnsi="宋体" w:cs="宋体"/>
                <w:color w:val="auto"/>
                <w:szCs w:val="21"/>
                <w:highlight w:val="none"/>
              </w:rPr>
            </w:pPr>
          </w:p>
        </w:tc>
        <w:tc>
          <w:tcPr>
            <w:tcW w:w="6299" w:type="dxa"/>
            <w:tcBorders>
              <w:top w:val="nil"/>
              <w:left w:val="nil"/>
              <w:bottom w:val="single" w:color="000000" w:sz="4" w:space="0"/>
              <w:right w:val="single" w:color="000000" w:sz="4" w:space="0"/>
            </w:tcBorders>
            <w:vAlign w:val="center"/>
          </w:tcPr>
          <w:p w14:paraId="176B0FFE">
            <w:pPr>
              <w:rPr>
                <w:rFonts w:ascii="宋体" w:hAnsi="宋体" w:cs="宋体"/>
                <w:color w:val="auto"/>
                <w:szCs w:val="21"/>
                <w:highlight w:val="none"/>
              </w:rPr>
            </w:pPr>
            <w:r>
              <w:rPr>
                <w:rFonts w:hint="eastAsia" w:ascii="宋体" w:hAnsi="宋体" w:cs="宋体"/>
                <w:color w:val="auto"/>
                <w:szCs w:val="21"/>
                <w:highlight w:val="none"/>
              </w:rPr>
              <w:t>3.食品粗加工场所，应有带盖的废物桶，垃圾桶随时加盖，加工下来的废弃物、污物应及时倒入废物桶或箱内，废弃物应当日清除。</w:t>
            </w:r>
          </w:p>
        </w:tc>
        <w:tc>
          <w:tcPr>
            <w:tcW w:w="932" w:type="dxa"/>
            <w:tcBorders>
              <w:top w:val="nil"/>
              <w:left w:val="nil"/>
              <w:bottom w:val="single" w:color="000000" w:sz="4" w:space="0"/>
              <w:right w:val="single" w:color="000000" w:sz="4" w:space="0"/>
            </w:tcBorders>
            <w:vAlign w:val="center"/>
          </w:tcPr>
          <w:p w14:paraId="01512FB6">
            <w:pPr>
              <w:jc w:val="center"/>
              <w:rPr>
                <w:rFonts w:ascii="宋体" w:hAnsi="宋体" w:cs="宋体"/>
                <w:color w:val="auto"/>
                <w:szCs w:val="21"/>
                <w:highlight w:val="none"/>
              </w:rPr>
            </w:pPr>
            <w:r>
              <w:rPr>
                <w:rFonts w:hint="eastAsia" w:ascii="宋体" w:hAnsi="宋体" w:cs="宋体"/>
                <w:color w:val="auto"/>
                <w:szCs w:val="21"/>
                <w:highlight w:val="none"/>
              </w:rPr>
              <w:t>3</w:t>
            </w:r>
          </w:p>
        </w:tc>
        <w:tc>
          <w:tcPr>
            <w:tcW w:w="932" w:type="dxa"/>
            <w:tcBorders>
              <w:top w:val="nil"/>
              <w:left w:val="nil"/>
              <w:bottom w:val="single" w:color="000000" w:sz="4" w:space="0"/>
              <w:right w:val="single" w:color="000000" w:sz="4" w:space="0"/>
            </w:tcBorders>
            <w:vAlign w:val="center"/>
          </w:tcPr>
          <w:p w14:paraId="22A00195">
            <w:pPr>
              <w:jc w:val="center"/>
              <w:rPr>
                <w:rFonts w:ascii="宋体" w:hAnsi="宋体" w:cs="宋体"/>
                <w:color w:val="auto"/>
                <w:szCs w:val="21"/>
                <w:highlight w:val="none"/>
              </w:rPr>
            </w:pPr>
          </w:p>
        </w:tc>
      </w:tr>
      <w:tr w14:paraId="0B955C28">
        <w:tblPrEx>
          <w:tblCellMar>
            <w:top w:w="0" w:type="dxa"/>
            <w:left w:w="108" w:type="dxa"/>
            <w:bottom w:w="0" w:type="dxa"/>
            <w:right w:w="108" w:type="dxa"/>
          </w:tblCellMar>
        </w:tblPrEx>
        <w:trPr>
          <w:trHeight w:val="490" w:hRule="atLeast"/>
        </w:trPr>
        <w:tc>
          <w:tcPr>
            <w:tcW w:w="498" w:type="dxa"/>
            <w:vMerge w:val="continue"/>
            <w:tcBorders>
              <w:top w:val="nil"/>
              <w:left w:val="single" w:color="000000" w:sz="4" w:space="0"/>
              <w:bottom w:val="nil"/>
              <w:right w:val="single" w:color="000000" w:sz="4" w:space="0"/>
            </w:tcBorders>
            <w:vAlign w:val="center"/>
          </w:tcPr>
          <w:p w14:paraId="39C3E5CB">
            <w:pPr>
              <w:jc w:val="center"/>
              <w:rPr>
                <w:rFonts w:ascii="宋体" w:hAnsi="宋体" w:cs="宋体"/>
                <w:color w:val="auto"/>
                <w:szCs w:val="21"/>
                <w:highlight w:val="none"/>
              </w:rPr>
            </w:pPr>
          </w:p>
        </w:tc>
        <w:tc>
          <w:tcPr>
            <w:tcW w:w="1295" w:type="dxa"/>
            <w:vMerge w:val="continue"/>
            <w:tcBorders>
              <w:top w:val="single" w:color="000000" w:sz="4" w:space="0"/>
              <w:left w:val="single" w:color="000000" w:sz="4" w:space="0"/>
              <w:bottom w:val="single" w:color="000000" w:sz="4" w:space="0"/>
              <w:right w:val="single" w:color="000000" w:sz="4" w:space="0"/>
            </w:tcBorders>
            <w:vAlign w:val="center"/>
          </w:tcPr>
          <w:p w14:paraId="2B5368F3">
            <w:pPr>
              <w:jc w:val="center"/>
              <w:rPr>
                <w:rFonts w:ascii="宋体" w:hAnsi="宋体" w:cs="宋体"/>
                <w:color w:val="auto"/>
                <w:szCs w:val="21"/>
                <w:highlight w:val="none"/>
              </w:rPr>
            </w:pPr>
          </w:p>
        </w:tc>
        <w:tc>
          <w:tcPr>
            <w:tcW w:w="6299" w:type="dxa"/>
            <w:tcBorders>
              <w:top w:val="nil"/>
              <w:left w:val="nil"/>
              <w:bottom w:val="single" w:color="000000" w:sz="4" w:space="0"/>
              <w:right w:val="single" w:color="000000" w:sz="4" w:space="0"/>
            </w:tcBorders>
            <w:vAlign w:val="center"/>
          </w:tcPr>
          <w:p w14:paraId="39EE01B4">
            <w:pPr>
              <w:rPr>
                <w:rFonts w:ascii="宋体" w:hAnsi="宋体" w:cs="宋体"/>
                <w:color w:val="auto"/>
                <w:szCs w:val="21"/>
                <w:highlight w:val="none"/>
              </w:rPr>
            </w:pPr>
            <w:r>
              <w:rPr>
                <w:rFonts w:hint="eastAsia" w:ascii="宋体" w:hAnsi="宋体" w:cs="宋体"/>
                <w:color w:val="auto"/>
                <w:szCs w:val="21"/>
                <w:highlight w:val="none"/>
              </w:rPr>
              <w:t>4.所有食材不得未洗干净、未处理干净使用。</w:t>
            </w:r>
          </w:p>
        </w:tc>
        <w:tc>
          <w:tcPr>
            <w:tcW w:w="932" w:type="dxa"/>
            <w:tcBorders>
              <w:top w:val="nil"/>
              <w:left w:val="nil"/>
              <w:bottom w:val="single" w:color="000000" w:sz="4" w:space="0"/>
              <w:right w:val="single" w:color="000000" w:sz="4" w:space="0"/>
            </w:tcBorders>
            <w:vAlign w:val="center"/>
          </w:tcPr>
          <w:p w14:paraId="7AC41E8B">
            <w:pPr>
              <w:jc w:val="center"/>
              <w:rPr>
                <w:rFonts w:ascii="宋体" w:hAnsi="宋体" w:cs="宋体"/>
                <w:color w:val="auto"/>
                <w:szCs w:val="21"/>
                <w:highlight w:val="none"/>
              </w:rPr>
            </w:pPr>
            <w:r>
              <w:rPr>
                <w:rFonts w:hint="eastAsia" w:ascii="宋体" w:hAnsi="宋体" w:cs="宋体"/>
                <w:color w:val="auto"/>
                <w:szCs w:val="21"/>
                <w:highlight w:val="none"/>
              </w:rPr>
              <w:t>5</w:t>
            </w:r>
          </w:p>
        </w:tc>
        <w:tc>
          <w:tcPr>
            <w:tcW w:w="932" w:type="dxa"/>
            <w:tcBorders>
              <w:top w:val="nil"/>
              <w:left w:val="nil"/>
              <w:bottom w:val="single" w:color="000000" w:sz="4" w:space="0"/>
              <w:right w:val="single" w:color="000000" w:sz="4" w:space="0"/>
            </w:tcBorders>
            <w:vAlign w:val="center"/>
          </w:tcPr>
          <w:p w14:paraId="50D4B7A0">
            <w:pPr>
              <w:jc w:val="center"/>
              <w:rPr>
                <w:rFonts w:ascii="宋体" w:hAnsi="宋体" w:cs="宋体"/>
                <w:color w:val="auto"/>
                <w:szCs w:val="21"/>
                <w:highlight w:val="none"/>
              </w:rPr>
            </w:pPr>
          </w:p>
        </w:tc>
      </w:tr>
      <w:tr w14:paraId="1973D9C2">
        <w:tblPrEx>
          <w:tblCellMar>
            <w:top w:w="0" w:type="dxa"/>
            <w:left w:w="108" w:type="dxa"/>
            <w:bottom w:w="0" w:type="dxa"/>
            <w:right w:w="108" w:type="dxa"/>
          </w:tblCellMar>
        </w:tblPrEx>
        <w:trPr>
          <w:trHeight w:val="494" w:hRule="atLeast"/>
        </w:trPr>
        <w:tc>
          <w:tcPr>
            <w:tcW w:w="498" w:type="dxa"/>
            <w:vMerge w:val="continue"/>
            <w:tcBorders>
              <w:top w:val="nil"/>
              <w:left w:val="single" w:color="000000" w:sz="4" w:space="0"/>
              <w:bottom w:val="nil"/>
              <w:right w:val="single" w:color="000000" w:sz="4" w:space="0"/>
            </w:tcBorders>
            <w:vAlign w:val="center"/>
          </w:tcPr>
          <w:p w14:paraId="7BFD14A3">
            <w:pPr>
              <w:jc w:val="center"/>
              <w:rPr>
                <w:rFonts w:ascii="宋体" w:hAnsi="宋体" w:cs="宋体"/>
                <w:color w:val="auto"/>
                <w:szCs w:val="21"/>
                <w:highlight w:val="none"/>
              </w:rPr>
            </w:pPr>
          </w:p>
        </w:tc>
        <w:tc>
          <w:tcPr>
            <w:tcW w:w="1295" w:type="dxa"/>
            <w:vMerge w:val="continue"/>
            <w:tcBorders>
              <w:top w:val="single" w:color="000000" w:sz="4" w:space="0"/>
              <w:left w:val="single" w:color="000000" w:sz="4" w:space="0"/>
              <w:bottom w:val="single" w:color="000000" w:sz="4" w:space="0"/>
              <w:right w:val="single" w:color="000000" w:sz="4" w:space="0"/>
            </w:tcBorders>
            <w:vAlign w:val="center"/>
          </w:tcPr>
          <w:p w14:paraId="370DB491">
            <w:pPr>
              <w:jc w:val="center"/>
              <w:rPr>
                <w:rFonts w:ascii="宋体" w:hAnsi="宋体" w:cs="宋体"/>
                <w:color w:val="auto"/>
                <w:szCs w:val="21"/>
                <w:highlight w:val="none"/>
              </w:rPr>
            </w:pPr>
          </w:p>
        </w:tc>
        <w:tc>
          <w:tcPr>
            <w:tcW w:w="6299" w:type="dxa"/>
            <w:tcBorders>
              <w:top w:val="nil"/>
              <w:left w:val="nil"/>
              <w:bottom w:val="single" w:color="000000" w:sz="4" w:space="0"/>
              <w:right w:val="single" w:color="000000" w:sz="4" w:space="0"/>
            </w:tcBorders>
            <w:vAlign w:val="center"/>
          </w:tcPr>
          <w:p w14:paraId="23D4E230">
            <w:pPr>
              <w:rPr>
                <w:rFonts w:ascii="宋体" w:hAnsi="宋体" w:cs="宋体"/>
                <w:color w:val="auto"/>
                <w:szCs w:val="21"/>
                <w:highlight w:val="none"/>
              </w:rPr>
            </w:pPr>
            <w:r>
              <w:rPr>
                <w:rFonts w:hint="eastAsia" w:ascii="宋体" w:hAnsi="宋体" w:cs="宋体"/>
                <w:color w:val="auto"/>
                <w:szCs w:val="21"/>
                <w:highlight w:val="none"/>
              </w:rPr>
              <w:t>5.餐品不得有杂物（苍蝇、烟头、头发、清洁球丝等）或夹生。</w:t>
            </w:r>
          </w:p>
        </w:tc>
        <w:tc>
          <w:tcPr>
            <w:tcW w:w="932" w:type="dxa"/>
            <w:tcBorders>
              <w:top w:val="nil"/>
              <w:left w:val="nil"/>
              <w:bottom w:val="single" w:color="000000" w:sz="4" w:space="0"/>
              <w:right w:val="single" w:color="000000" w:sz="4" w:space="0"/>
            </w:tcBorders>
            <w:vAlign w:val="center"/>
          </w:tcPr>
          <w:p w14:paraId="38F6182A">
            <w:pPr>
              <w:jc w:val="center"/>
              <w:rPr>
                <w:rFonts w:ascii="宋体" w:hAnsi="宋体" w:cs="宋体"/>
                <w:color w:val="auto"/>
                <w:szCs w:val="21"/>
                <w:highlight w:val="none"/>
              </w:rPr>
            </w:pPr>
            <w:r>
              <w:rPr>
                <w:rFonts w:hint="eastAsia" w:ascii="宋体" w:hAnsi="宋体" w:cs="宋体"/>
                <w:color w:val="auto"/>
                <w:szCs w:val="21"/>
                <w:highlight w:val="none"/>
              </w:rPr>
              <w:t>5</w:t>
            </w:r>
          </w:p>
        </w:tc>
        <w:tc>
          <w:tcPr>
            <w:tcW w:w="932" w:type="dxa"/>
            <w:tcBorders>
              <w:top w:val="nil"/>
              <w:left w:val="nil"/>
              <w:bottom w:val="single" w:color="000000" w:sz="4" w:space="0"/>
              <w:right w:val="single" w:color="000000" w:sz="4" w:space="0"/>
            </w:tcBorders>
            <w:vAlign w:val="center"/>
          </w:tcPr>
          <w:p w14:paraId="5409DD19">
            <w:pPr>
              <w:jc w:val="center"/>
              <w:rPr>
                <w:rFonts w:ascii="宋体" w:hAnsi="宋体" w:cs="宋体"/>
                <w:color w:val="auto"/>
                <w:szCs w:val="21"/>
                <w:highlight w:val="none"/>
              </w:rPr>
            </w:pPr>
          </w:p>
        </w:tc>
      </w:tr>
      <w:tr w14:paraId="577A0775">
        <w:tblPrEx>
          <w:tblCellMar>
            <w:top w:w="0" w:type="dxa"/>
            <w:left w:w="108" w:type="dxa"/>
            <w:bottom w:w="0" w:type="dxa"/>
            <w:right w:w="108" w:type="dxa"/>
          </w:tblCellMar>
        </w:tblPrEx>
        <w:trPr>
          <w:trHeight w:val="488" w:hRule="atLeast"/>
        </w:trPr>
        <w:tc>
          <w:tcPr>
            <w:tcW w:w="498" w:type="dxa"/>
            <w:vMerge w:val="continue"/>
            <w:tcBorders>
              <w:top w:val="nil"/>
              <w:left w:val="single" w:color="000000" w:sz="4" w:space="0"/>
              <w:bottom w:val="nil"/>
              <w:right w:val="single" w:color="000000" w:sz="4" w:space="0"/>
            </w:tcBorders>
            <w:vAlign w:val="center"/>
          </w:tcPr>
          <w:p w14:paraId="0C759A82">
            <w:pPr>
              <w:widowControl/>
              <w:jc w:val="center"/>
              <w:rPr>
                <w:rFonts w:ascii="宋体" w:hAnsi="宋体" w:cs="宋体"/>
                <w:b/>
                <w:color w:val="auto"/>
                <w:szCs w:val="21"/>
                <w:highlight w:val="none"/>
              </w:rPr>
            </w:pPr>
          </w:p>
        </w:tc>
        <w:tc>
          <w:tcPr>
            <w:tcW w:w="1295" w:type="dxa"/>
            <w:vMerge w:val="continue"/>
            <w:tcBorders>
              <w:top w:val="single" w:color="000000" w:sz="4" w:space="0"/>
              <w:left w:val="single" w:color="000000" w:sz="4" w:space="0"/>
              <w:bottom w:val="single" w:color="000000" w:sz="4" w:space="0"/>
              <w:right w:val="single" w:color="000000" w:sz="4" w:space="0"/>
            </w:tcBorders>
            <w:vAlign w:val="center"/>
          </w:tcPr>
          <w:p w14:paraId="16B51517">
            <w:pPr>
              <w:widowControl/>
              <w:jc w:val="center"/>
              <w:rPr>
                <w:rFonts w:ascii="宋体" w:hAnsi="宋体" w:cs="宋体"/>
                <w:b/>
                <w:color w:val="auto"/>
                <w:szCs w:val="21"/>
                <w:highlight w:val="none"/>
              </w:rPr>
            </w:pPr>
          </w:p>
        </w:tc>
        <w:tc>
          <w:tcPr>
            <w:tcW w:w="6299" w:type="dxa"/>
            <w:tcBorders>
              <w:top w:val="single" w:color="000000" w:sz="4" w:space="0"/>
              <w:left w:val="single" w:color="000000" w:sz="4" w:space="0"/>
              <w:bottom w:val="single" w:color="000000" w:sz="4" w:space="0"/>
              <w:right w:val="single" w:color="000000" w:sz="4" w:space="0"/>
            </w:tcBorders>
            <w:vAlign w:val="center"/>
          </w:tcPr>
          <w:p w14:paraId="3BF6DF1C">
            <w:pPr>
              <w:widowControl/>
              <w:jc w:val="left"/>
              <w:rPr>
                <w:rFonts w:ascii="宋体" w:hAnsi="宋体" w:cs="宋体"/>
                <w:color w:val="auto"/>
                <w:szCs w:val="21"/>
                <w:highlight w:val="none"/>
              </w:rPr>
            </w:pPr>
            <w:r>
              <w:rPr>
                <w:rFonts w:hint="eastAsia" w:ascii="宋体" w:hAnsi="宋体" w:cs="宋体"/>
                <w:color w:val="auto"/>
                <w:szCs w:val="21"/>
                <w:highlight w:val="none"/>
              </w:rPr>
              <w:t>6.每日做好定量、验收和退换货工作</w:t>
            </w:r>
          </w:p>
        </w:tc>
        <w:tc>
          <w:tcPr>
            <w:tcW w:w="932" w:type="dxa"/>
            <w:tcBorders>
              <w:top w:val="single" w:color="000000" w:sz="4" w:space="0"/>
              <w:left w:val="single" w:color="000000" w:sz="4" w:space="0"/>
              <w:bottom w:val="single" w:color="000000" w:sz="4" w:space="0"/>
              <w:right w:val="single" w:color="000000" w:sz="4" w:space="0"/>
            </w:tcBorders>
            <w:vAlign w:val="center"/>
          </w:tcPr>
          <w:p w14:paraId="08DA0127">
            <w:pPr>
              <w:widowControl/>
              <w:jc w:val="center"/>
              <w:rPr>
                <w:rFonts w:ascii="宋体" w:hAnsi="宋体" w:cs="宋体"/>
                <w:color w:val="auto"/>
                <w:szCs w:val="21"/>
                <w:highlight w:val="none"/>
              </w:rPr>
            </w:pPr>
            <w:r>
              <w:rPr>
                <w:rFonts w:hint="eastAsia" w:ascii="宋体" w:hAnsi="宋体" w:cs="宋体"/>
                <w:color w:val="auto"/>
                <w:szCs w:val="21"/>
                <w:highlight w:val="none"/>
              </w:rPr>
              <w:t>5</w:t>
            </w:r>
          </w:p>
        </w:tc>
        <w:tc>
          <w:tcPr>
            <w:tcW w:w="932" w:type="dxa"/>
            <w:tcBorders>
              <w:top w:val="single" w:color="000000" w:sz="4" w:space="0"/>
              <w:left w:val="single" w:color="000000" w:sz="4" w:space="0"/>
              <w:bottom w:val="single" w:color="000000" w:sz="4" w:space="0"/>
              <w:right w:val="single" w:color="000000" w:sz="4" w:space="0"/>
            </w:tcBorders>
            <w:vAlign w:val="center"/>
          </w:tcPr>
          <w:p w14:paraId="2E6AEFB0">
            <w:pPr>
              <w:widowControl/>
              <w:jc w:val="center"/>
              <w:rPr>
                <w:rFonts w:ascii="宋体" w:hAnsi="宋体" w:cs="宋体"/>
                <w:color w:val="auto"/>
                <w:szCs w:val="21"/>
                <w:highlight w:val="none"/>
              </w:rPr>
            </w:pPr>
          </w:p>
        </w:tc>
      </w:tr>
      <w:tr w14:paraId="6AA0B728">
        <w:tblPrEx>
          <w:tblCellMar>
            <w:top w:w="0" w:type="dxa"/>
            <w:left w:w="108" w:type="dxa"/>
            <w:bottom w:w="0" w:type="dxa"/>
            <w:right w:w="108" w:type="dxa"/>
          </w:tblCellMar>
        </w:tblPrEx>
        <w:trPr>
          <w:trHeight w:val="476" w:hRule="atLeast"/>
        </w:trPr>
        <w:tc>
          <w:tcPr>
            <w:tcW w:w="498" w:type="dxa"/>
            <w:vMerge w:val="continue"/>
            <w:tcBorders>
              <w:top w:val="nil"/>
              <w:left w:val="single" w:color="000000" w:sz="4" w:space="0"/>
              <w:bottom w:val="single" w:color="000000" w:sz="4" w:space="0"/>
              <w:right w:val="single" w:color="000000" w:sz="4" w:space="0"/>
            </w:tcBorders>
            <w:vAlign w:val="center"/>
          </w:tcPr>
          <w:p w14:paraId="7F7CE925">
            <w:pPr>
              <w:widowControl/>
              <w:jc w:val="center"/>
              <w:rPr>
                <w:rFonts w:ascii="宋体" w:hAnsi="宋体" w:cs="宋体"/>
                <w:b/>
                <w:color w:val="auto"/>
                <w:szCs w:val="21"/>
                <w:highlight w:val="none"/>
              </w:rPr>
            </w:pPr>
          </w:p>
        </w:tc>
        <w:tc>
          <w:tcPr>
            <w:tcW w:w="1295" w:type="dxa"/>
            <w:vMerge w:val="continue"/>
            <w:tcBorders>
              <w:top w:val="single" w:color="000000" w:sz="4" w:space="0"/>
              <w:left w:val="single" w:color="000000" w:sz="4" w:space="0"/>
              <w:bottom w:val="single" w:color="000000" w:sz="4" w:space="0"/>
              <w:right w:val="single" w:color="000000" w:sz="4" w:space="0"/>
            </w:tcBorders>
            <w:vAlign w:val="center"/>
          </w:tcPr>
          <w:p w14:paraId="760921E1">
            <w:pPr>
              <w:widowControl/>
              <w:jc w:val="center"/>
              <w:rPr>
                <w:rFonts w:ascii="宋体" w:hAnsi="宋体" w:cs="宋体"/>
                <w:b/>
                <w:color w:val="auto"/>
                <w:szCs w:val="21"/>
                <w:highlight w:val="none"/>
              </w:rPr>
            </w:pPr>
          </w:p>
        </w:tc>
        <w:tc>
          <w:tcPr>
            <w:tcW w:w="6299" w:type="dxa"/>
            <w:tcBorders>
              <w:top w:val="single" w:color="000000" w:sz="4" w:space="0"/>
              <w:left w:val="single" w:color="000000" w:sz="4" w:space="0"/>
              <w:bottom w:val="single" w:color="000000" w:sz="4" w:space="0"/>
              <w:right w:val="single" w:color="000000" w:sz="4" w:space="0"/>
            </w:tcBorders>
            <w:vAlign w:val="center"/>
          </w:tcPr>
          <w:p w14:paraId="5765B53D">
            <w:pPr>
              <w:widowControl/>
              <w:jc w:val="left"/>
              <w:rPr>
                <w:rFonts w:ascii="宋体" w:hAnsi="宋体" w:cs="宋体"/>
                <w:color w:val="auto"/>
                <w:szCs w:val="21"/>
                <w:highlight w:val="none"/>
              </w:rPr>
            </w:pPr>
            <w:r>
              <w:rPr>
                <w:rFonts w:hint="eastAsia" w:ascii="宋体" w:hAnsi="宋体" w:cs="宋体"/>
                <w:color w:val="auto"/>
                <w:szCs w:val="21"/>
                <w:highlight w:val="none"/>
              </w:rPr>
              <w:t>7.每餐定量适量，不浪费</w:t>
            </w:r>
          </w:p>
        </w:tc>
        <w:tc>
          <w:tcPr>
            <w:tcW w:w="932" w:type="dxa"/>
            <w:tcBorders>
              <w:top w:val="single" w:color="000000" w:sz="4" w:space="0"/>
              <w:left w:val="single" w:color="000000" w:sz="4" w:space="0"/>
              <w:bottom w:val="single" w:color="000000" w:sz="4" w:space="0"/>
              <w:right w:val="single" w:color="000000" w:sz="4" w:space="0"/>
            </w:tcBorders>
            <w:vAlign w:val="center"/>
          </w:tcPr>
          <w:p w14:paraId="73E6D2C7">
            <w:pPr>
              <w:widowControl/>
              <w:jc w:val="center"/>
              <w:rPr>
                <w:rFonts w:ascii="宋体" w:hAnsi="宋体" w:cs="宋体"/>
                <w:color w:val="auto"/>
                <w:szCs w:val="21"/>
                <w:highlight w:val="none"/>
              </w:rPr>
            </w:pPr>
            <w:r>
              <w:rPr>
                <w:rFonts w:hint="eastAsia" w:ascii="宋体" w:hAnsi="宋体" w:cs="宋体"/>
                <w:color w:val="auto"/>
                <w:szCs w:val="21"/>
                <w:highlight w:val="none"/>
              </w:rPr>
              <w:t>1</w:t>
            </w:r>
          </w:p>
        </w:tc>
        <w:tc>
          <w:tcPr>
            <w:tcW w:w="932" w:type="dxa"/>
            <w:tcBorders>
              <w:top w:val="single" w:color="000000" w:sz="4" w:space="0"/>
              <w:left w:val="single" w:color="000000" w:sz="4" w:space="0"/>
              <w:bottom w:val="single" w:color="000000" w:sz="4" w:space="0"/>
              <w:right w:val="single" w:color="000000" w:sz="4" w:space="0"/>
            </w:tcBorders>
            <w:vAlign w:val="center"/>
          </w:tcPr>
          <w:p w14:paraId="79311287">
            <w:pPr>
              <w:widowControl/>
              <w:jc w:val="center"/>
              <w:rPr>
                <w:rFonts w:ascii="宋体" w:hAnsi="宋体" w:cs="宋体"/>
                <w:color w:val="auto"/>
                <w:szCs w:val="21"/>
                <w:highlight w:val="none"/>
              </w:rPr>
            </w:pPr>
          </w:p>
        </w:tc>
      </w:tr>
      <w:tr w14:paraId="317FD6F7">
        <w:tblPrEx>
          <w:tblCellMar>
            <w:top w:w="0" w:type="dxa"/>
            <w:left w:w="108" w:type="dxa"/>
            <w:bottom w:w="0" w:type="dxa"/>
            <w:right w:w="108" w:type="dxa"/>
          </w:tblCellMar>
        </w:tblPrEx>
        <w:trPr>
          <w:trHeight w:val="571" w:hRule="atLeast"/>
        </w:trPr>
        <w:tc>
          <w:tcPr>
            <w:tcW w:w="8092" w:type="dxa"/>
            <w:gridSpan w:val="3"/>
            <w:tcBorders>
              <w:top w:val="single" w:color="000000" w:sz="4" w:space="0"/>
              <w:left w:val="single" w:color="000000" w:sz="4" w:space="0"/>
              <w:bottom w:val="single" w:color="000000" w:sz="4" w:space="0"/>
              <w:right w:val="single" w:color="000000" w:sz="4" w:space="0"/>
            </w:tcBorders>
            <w:vAlign w:val="center"/>
          </w:tcPr>
          <w:p w14:paraId="329F6BF3">
            <w:pPr>
              <w:widowControl/>
              <w:jc w:val="center"/>
              <w:rPr>
                <w:rFonts w:ascii="宋体" w:hAnsi="宋体" w:cs="宋体"/>
                <w:b/>
                <w:color w:val="auto"/>
                <w:szCs w:val="21"/>
                <w:highlight w:val="none"/>
              </w:rPr>
            </w:pPr>
            <w:r>
              <w:rPr>
                <w:rFonts w:hint="eastAsia" w:ascii="宋体" w:hAnsi="宋体" w:cs="宋体"/>
                <w:b/>
                <w:color w:val="auto"/>
                <w:szCs w:val="21"/>
                <w:highlight w:val="none"/>
              </w:rPr>
              <w:t>总分</w:t>
            </w:r>
          </w:p>
        </w:tc>
        <w:tc>
          <w:tcPr>
            <w:tcW w:w="932" w:type="dxa"/>
            <w:tcBorders>
              <w:top w:val="single" w:color="000000" w:sz="4" w:space="0"/>
              <w:left w:val="nil"/>
              <w:bottom w:val="single" w:color="000000" w:sz="4" w:space="0"/>
              <w:right w:val="single" w:color="000000" w:sz="4" w:space="0"/>
            </w:tcBorders>
            <w:vAlign w:val="center"/>
          </w:tcPr>
          <w:p w14:paraId="28FD0AC4">
            <w:pPr>
              <w:widowControl/>
              <w:jc w:val="center"/>
              <w:rPr>
                <w:rFonts w:ascii="宋体" w:hAnsi="宋体" w:cs="宋体"/>
                <w:b/>
                <w:color w:val="auto"/>
                <w:szCs w:val="21"/>
                <w:highlight w:val="none"/>
              </w:rPr>
            </w:pPr>
            <w:r>
              <w:rPr>
                <w:rFonts w:hint="eastAsia" w:ascii="宋体" w:hAnsi="宋体" w:cs="宋体"/>
                <w:b/>
                <w:color w:val="auto"/>
                <w:szCs w:val="21"/>
                <w:highlight w:val="none"/>
              </w:rPr>
              <w:t>100</w:t>
            </w:r>
          </w:p>
        </w:tc>
        <w:tc>
          <w:tcPr>
            <w:tcW w:w="932" w:type="dxa"/>
            <w:tcBorders>
              <w:top w:val="single" w:color="000000" w:sz="4" w:space="0"/>
              <w:left w:val="nil"/>
              <w:bottom w:val="single" w:color="000000" w:sz="4" w:space="0"/>
              <w:right w:val="single" w:color="000000" w:sz="4" w:space="0"/>
            </w:tcBorders>
            <w:vAlign w:val="center"/>
          </w:tcPr>
          <w:p w14:paraId="0E92D19B">
            <w:pPr>
              <w:widowControl/>
              <w:jc w:val="center"/>
              <w:rPr>
                <w:rFonts w:ascii="宋体" w:hAnsi="宋体" w:cs="宋体"/>
                <w:b/>
                <w:color w:val="auto"/>
                <w:szCs w:val="21"/>
                <w:highlight w:val="none"/>
              </w:rPr>
            </w:pPr>
          </w:p>
        </w:tc>
      </w:tr>
    </w:tbl>
    <w:p w14:paraId="1066894A">
      <w:pPr>
        <w:rPr>
          <w:rFonts w:ascii="宋体" w:hAnsi="宋体" w:cs="宋体"/>
          <w:color w:val="auto"/>
          <w:highlight w:val="none"/>
        </w:rPr>
      </w:pPr>
      <w:r>
        <w:rPr>
          <w:rFonts w:hint="eastAsia" w:ascii="宋体" w:hAnsi="宋体" w:cs="宋体"/>
          <w:color w:val="auto"/>
          <w:highlight w:val="none"/>
        </w:rPr>
        <w:br w:type="page"/>
      </w:r>
    </w:p>
    <w:p w14:paraId="48ADA144">
      <w:pPr>
        <w:pStyle w:val="63"/>
        <w:spacing w:before="0" w:line="360" w:lineRule="auto"/>
        <w:jc w:val="left"/>
        <w:rPr>
          <w:rFonts w:ascii="宋体" w:hAnsi="宋体" w:cs="宋体"/>
          <w:color w:val="auto"/>
          <w:highlight w:val="none"/>
        </w:rPr>
      </w:pPr>
      <w:r>
        <w:rPr>
          <w:rFonts w:hint="eastAsia" w:ascii="宋体" w:hAnsi="宋体" w:cs="宋体"/>
          <w:color w:val="auto"/>
          <w:highlight w:val="none"/>
        </w:rPr>
        <w:t>五、 附件</w:t>
      </w:r>
      <w:bookmarkEnd w:id="119"/>
      <w:bookmarkEnd w:id="895"/>
    </w:p>
    <w:p w14:paraId="48108F2F">
      <w:pPr>
        <w:spacing w:line="360" w:lineRule="auto"/>
        <w:jc w:val="left"/>
        <w:rPr>
          <w:rFonts w:ascii="宋体" w:hAnsi="宋体"/>
          <w:bCs/>
          <w:color w:val="auto"/>
          <w:sz w:val="40"/>
          <w:szCs w:val="40"/>
          <w:highlight w:val="none"/>
        </w:rPr>
      </w:pPr>
      <w:bookmarkStart w:id="902" w:name="一．报价函（格式）"/>
      <w:bookmarkEnd w:id="902"/>
      <w:r>
        <w:rPr>
          <w:rFonts w:hint="eastAsia" w:ascii="宋体" w:hAnsi="宋体"/>
          <w:b/>
          <w:color w:val="auto"/>
          <w:sz w:val="32"/>
          <w:szCs w:val="32"/>
          <w:highlight w:val="none"/>
        </w:rPr>
        <w:t xml:space="preserve"> </w:t>
      </w:r>
    </w:p>
    <w:p w14:paraId="3E51E3FA">
      <w:pPr>
        <w:spacing w:line="360" w:lineRule="auto"/>
        <w:jc w:val="center"/>
        <w:rPr>
          <w:rFonts w:ascii="宋体" w:hAnsi="宋体"/>
          <w:bCs/>
          <w:color w:val="auto"/>
          <w:sz w:val="52"/>
          <w:szCs w:val="52"/>
          <w:highlight w:val="none"/>
        </w:rPr>
      </w:pPr>
      <w:r>
        <w:rPr>
          <w:rFonts w:hint="eastAsia" w:ascii="宋体" w:hAnsi="宋体"/>
          <w:bCs/>
          <w:color w:val="auto"/>
          <w:sz w:val="52"/>
          <w:szCs w:val="52"/>
          <w:highlight w:val="none"/>
        </w:rPr>
        <w:t>投</w:t>
      </w:r>
    </w:p>
    <w:p w14:paraId="66A3C8DB">
      <w:pPr>
        <w:spacing w:line="360" w:lineRule="auto"/>
        <w:jc w:val="center"/>
        <w:rPr>
          <w:rFonts w:ascii="宋体" w:hAnsi="宋体"/>
          <w:bCs/>
          <w:color w:val="auto"/>
          <w:sz w:val="72"/>
          <w:highlight w:val="none"/>
        </w:rPr>
      </w:pPr>
      <w:r>
        <w:rPr>
          <w:rFonts w:hint="eastAsia" w:ascii="宋体" w:hAnsi="宋体"/>
          <w:bCs/>
          <w:color w:val="auto"/>
          <w:sz w:val="72"/>
          <w:highlight w:val="none"/>
        </w:rPr>
        <w:t xml:space="preserve">     </w:t>
      </w:r>
    </w:p>
    <w:p w14:paraId="345D6E00">
      <w:pPr>
        <w:spacing w:line="360" w:lineRule="auto"/>
        <w:jc w:val="center"/>
        <w:rPr>
          <w:rFonts w:ascii="宋体" w:hAnsi="宋体"/>
          <w:bCs/>
          <w:color w:val="auto"/>
          <w:sz w:val="52"/>
          <w:szCs w:val="52"/>
          <w:highlight w:val="none"/>
        </w:rPr>
      </w:pPr>
      <w:r>
        <w:rPr>
          <w:rFonts w:hint="eastAsia" w:ascii="宋体" w:hAnsi="宋体"/>
          <w:bCs/>
          <w:color w:val="auto"/>
          <w:sz w:val="52"/>
          <w:szCs w:val="52"/>
          <w:highlight w:val="none"/>
        </w:rPr>
        <w:t>标</w:t>
      </w:r>
    </w:p>
    <w:p w14:paraId="7F51B3D0">
      <w:pPr>
        <w:spacing w:line="360" w:lineRule="auto"/>
        <w:jc w:val="center"/>
        <w:rPr>
          <w:rFonts w:ascii="宋体" w:hAnsi="宋体"/>
          <w:bCs/>
          <w:color w:val="auto"/>
          <w:sz w:val="72"/>
          <w:highlight w:val="none"/>
        </w:rPr>
      </w:pPr>
    </w:p>
    <w:p w14:paraId="7C6C2D24">
      <w:pPr>
        <w:spacing w:line="360" w:lineRule="auto"/>
        <w:jc w:val="center"/>
        <w:rPr>
          <w:rFonts w:ascii="宋体" w:hAnsi="宋体"/>
          <w:bCs/>
          <w:color w:val="auto"/>
          <w:sz w:val="52"/>
          <w:szCs w:val="52"/>
          <w:highlight w:val="none"/>
        </w:rPr>
      </w:pPr>
      <w:r>
        <w:rPr>
          <w:rFonts w:hint="eastAsia" w:ascii="宋体" w:hAnsi="宋体"/>
          <w:bCs/>
          <w:color w:val="auto"/>
          <w:sz w:val="52"/>
          <w:szCs w:val="52"/>
          <w:highlight w:val="none"/>
        </w:rPr>
        <w:t>文</w:t>
      </w:r>
    </w:p>
    <w:p w14:paraId="5D0CC493">
      <w:pPr>
        <w:spacing w:line="360" w:lineRule="auto"/>
        <w:jc w:val="center"/>
        <w:rPr>
          <w:rFonts w:ascii="宋体" w:hAnsi="宋体"/>
          <w:bCs/>
          <w:color w:val="auto"/>
          <w:sz w:val="52"/>
          <w:szCs w:val="52"/>
          <w:highlight w:val="none"/>
        </w:rPr>
      </w:pPr>
      <w:r>
        <w:rPr>
          <w:rFonts w:hint="eastAsia" w:ascii="宋体" w:hAnsi="宋体"/>
          <w:bCs/>
          <w:color w:val="auto"/>
          <w:sz w:val="52"/>
          <w:szCs w:val="52"/>
          <w:highlight w:val="none"/>
        </w:rPr>
        <w:t xml:space="preserve"> </w:t>
      </w:r>
    </w:p>
    <w:p w14:paraId="4DDE170A">
      <w:pPr>
        <w:spacing w:line="360" w:lineRule="auto"/>
        <w:jc w:val="center"/>
        <w:rPr>
          <w:rFonts w:ascii="宋体" w:hAnsi="宋体"/>
          <w:bCs/>
          <w:color w:val="auto"/>
          <w:sz w:val="40"/>
          <w:szCs w:val="11"/>
          <w:highlight w:val="none"/>
        </w:rPr>
      </w:pPr>
      <w:r>
        <w:rPr>
          <w:rFonts w:hint="eastAsia" w:ascii="宋体" w:hAnsi="宋体"/>
          <w:bCs/>
          <w:color w:val="auto"/>
          <w:sz w:val="52"/>
          <w:szCs w:val="52"/>
          <w:highlight w:val="none"/>
        </w:rPr>
        <w:t>件</w:t>
      </w:r>
    </w:p>
    <w:p w14:paraId="5C26BA17">
      <w:pPr>
        <w:spacing w:line="360" w:lineRule="auto"/>
        <w:ind w:firstLine="1274"/>
        <w:rPr>
          <w:rFonts w:ascii="宋体" w:hAnsi="宋体"/>
          <w:bCs/>
          <w:color w:val="auto"/>
          <w:sz w:val="32"/>
          <w:szCs w:val="8"/>
          <w:highlight w:val="none"/>
        </w:rPr>
      </w:pPr>
    </w:p>
    <w:p w14:paraId="54BDEDEE">
      <w:pPr>
        <w:spacing w:line="360" w:lineRule="auto"/>
        <w:ind w:firstLine="1274"/>
        <w:rPr>
          <w:rFonts w:ascii="宋体" w:hAnsi="宋体"/>
          <w:bCs/>
          <w:color w:val="auto"/>
          <w:sz w:val="32"/>
          <w:szCs w:val="8"/>
          <w:highlight w:val="none"/>
        </w:rPr>
      </w:pPr>
    </w:p>
    <w:p w14:paraId="155D9AAE">
      <w:pPr>
        <w:spacing w:line="360" w:lineRule="auto"/>
        <w:ind w:firstLine="1274"/>
        <w:rPr>
          <w:rFonts w:ascii="宋体" w:hAnsi="宋体"/>
          <w:bCs/>
          <w:color w:val="auto"/>
          <w:sz w:val="32"/>
          <w:szCs w:val="8"/>
          <w:highlight w:val="none"/>
        </w:rPr>
      </w:pPr>
      <w:r>
        <w:rPr>
          <w:rFonts w:hint="eastAsia" w:ascii="宋体" w:hAnsi="宋体"/>
          <w:bCs/>
          <w:color w:val="auto"/>
          <w:sz w:val="32"/>
          <w:szCs w:val="8"/>
          <w:highlight w:val="none"/>
        </w:rPr>
        <w:t>项 目 名 称：               </w:t>
      </w:r>
    </w:p>
    <w:p w14:paraId="4303C92C">
      <w:pPr>
        <w:spacing w:line="360" w:lineRule="auto"/>
        <w:ind w:firstLine="1274"/>
        <w:rPr>
          <w:rFonts w:ascii="宋体" w:hAnsi="宋体"/>
          <w:bCs/>
          <w:color w:val="auto"/>
          <w:sz w:val="32"/>
          <w:szCs w:val="8"/>
          <w:highlight w:val="none"/>
        </w:rPr>
      </w:pPr>
      <w:r>
        <w:rPr>
          <w:rFonts w:hint="eastAsia" w:ascii="宋体" w:hAnsi="宋体"/>
          <w:bCs/>
          <w:color w:val="auto"/>
          <w:sz w:val="32"/>
          <w:szCs w:val="8"/>
          <w:highlight w:val="none"/>
        </w:rPr>
        <w:t>招 标 编 号：               </w:t>
      </w:r>
    </w:p>
    <w:p w14:paraId="03496D29">
      <w:pPr>
        <w:spacing w:line="360" w:lineRule="auto"/>
        <w:ind w:firstLine="1274"/>
        <w:rPr>
          <w:rFonts w:ascii="宋体" w:hAnsi="宋体"/>
          <w:bCs/>
          <w:color w:val="auto"/>
          <w:sz w:val="32"/>
          <w:szCs w:val="8"/>
          <w:highlight w:val="none"/>
        </w:rPr>
      </w:pPr>
      <w:r>
        <w:rPr>
          <w:rFonts w:hint="eastAsia" w:ascii="宋体" w:hAnsi="宋体"/>
          <w:bCs/>
          <w:color w:val="auto"/>
          <w:sz w:val="32"/>
          <w:szCs w:val="8"/>
          <w:highlight w:val="none"/>
        </w:rPr>
        <w:t>投标供应商名称 ：（加盖CA电子公章）</w:t>
      </w:r>
    </w:p>
    <w:p w14:paraId="32ED7F02">
      <w:pPr>
        <w:spacing w:line="360" w:lineRule="auto"/>
        <w:ind w:firstLine="1274"/>
        <w:rPr>
          <w:rFonts w:ascii="宋体" w:hAnsi="宋体"/>
          <w:bCs/>
          <w:color w:val="auto"/>
          <w:sz w:val="32"/>
          <w:szCs w:val="8"/>
          <w:highlight w:val="none"/>
        </w:rPr>
      </w:pPr>
      <w:r>
        <w:rPr>
          <w:rFonts w:hint="eastAsia" w:ascii="宋体" w:hAnsi="宋体"/>
          <w:bCs/>
          <w:color w:val="auto"/>
          <w:sz w:val="32"/>
          <w:szCs w:val="8"/>
          <w:highlight w:val="none"/>
        </w:rPr>
        <w:t>日      期 ：               </w:t>
      </w:r>
    </w:p>
    <w:p w14:paraId="5C2E43A6">
      <w:pPr>
        <w:pageBreakBefore/>
        <w:spacing w:line="360" w:lineRule="auto"/>
        <w:outlineLvl w:val="0"/>
        <w:rPr>
          <w:rFonts w:ascii="宋体" w:hAnsi="宋体"/>
          <w:bCs/>
          <w:color w:val="auto"/>
          <w:sz w:val="24"/>
          <w:szCs w:val="24"/>
          <w:highlight w:val="none"/>
        </w:rPr>
      </w:pPr>
      <w:bookmarkStart w:id="903" w:name="_Toc116946345"/>
      <w:bookmarkStart w:id="904" w:name="_Toc39873230"/>
      <w:bookmarkStart w:id="905" w:name="_Toc36850797"/>
      <w:bookmarkStart w:id="906" w:name="_Toc39873185"/>
      <w:bookmarkStart w:id="907" w:name="_Toc98277373"/>
      <w:r>
        <w:rPr>
          <w:rFonts w:hint="eastAsia" w:ascii="宋体" w:hAnsi="宋体"/>
          <w:bCs/>
          <w:color w:val="auto"/>
          <w:sz w:val="24"/>
          <w:szCs w:val="24"/>
          <w:highlight w:val="none"/>
        </w:rPr>
        <w:t>（一）投标函（格式）：</w:t>
      </w:r>
      <w:bookmarkEnd w:id="903"/>
      <w:bookmarkEnd w:id="904"/>
      <w:bookmarkEnd w:id="905"/>
      <w:bookmarkEnd w:id="906"/>
      <w:bookmarkEnd w:id="907"/>
    </w:p>
    <w:p w14:paraId="75E61290">
      <w:pPr>
        <w:spacing w:line="360" w:lineRule="auto"/>
        <w:jc w:val="center"/>
        <w:rPr>
          <w:rFonts w:ascii="宋体" w:hAnsi="宋体"/>
          <w:b/>
          <w:color w:val="auto"/>
          <w:sz w:val="24"/>
          <w:szCs w:val="24"/>
          <w:highlight w:val="none"/>
        </w:rPr>
      </w:pPr>
      <w:r>
        <w:rPr>
          <w:rFonts w:hint="eastAsia" w:ascii="宋体" w:hAnsi="宋体"/>
          <w:b/>
          <w:color w:val="auto"/>
          <w:sz w:val="28"/>
          <w:szCs w:val="28"/>
          <w:highlight w:val="none"/>
        </w:rPr>
        <w:t>投标函</w:t>
      </w:r>
    </w:p>
    <w:p w14:paraId="166327A9">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致：无锡市惠山区阳山镇人民政府：</w:t>
      </w:r>
    </w:p>
    <w:p w14:paraId="74F52FEB">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我方收到贵方项目编号</w:t>
      </w:r>
      <w:r>
        <w:rPr>
          <w:rFonts w:hint="eastAsia" w:ascii="宋体" w:hAnsi="宋体"/>
          <w:bCs/>
          <w:color w:val="auto"/>
          <w:sz w:val="24"/>
          <w:szCs w:val="24"/>
          <w:highlight w:val="none"/>
          <w:lang w:eastAsia="zh-CN"/>
        </w:rPr>
        <w:t>JSZC-320206-JXCZ-G2026-0004</w:t>
      </w:r>
      <w:r>
        <w:rPr>
          <w:rFonts w:hint="eastAsia" w:ascii="宋体" w:hAnsi="宋体"/>
          <w:bCs/>
          <w:color w:val="auto"/>
          <w:sz w:val="24"/>
          <w:szCs w:val="24"/>
          <w:highlight w:val="none"/>
        </w:rPr>
        <w:t>招标文件，经仔细阅读和研究，我方决定参加此次2026-2027年度度假区(阳山镇)机关食堂外包服务项目的投标。</w:t>
      </w:r>
    </w:p>
    <w:p w14:paraId="7D3C4D0B">
      <w:pPr>
        <w:numPr>
          <w:ilvl w:val="0"/>
          <w:numId w:val="19"/>
        </w:numPr>
        <w:tabs>
          <w:tab w:val="left" w:pos="315"/>
          <w:tab w:val="left" w:pos="840"/>
          <w:tab w:val="left" w:pos="945"/>
          <w:tab w:val="left" w:pos="1050"/>
          <w:tab w:val="left" w:pos="1260"/>
        </w:tabs>
        <w:spacing w:line="360" w:lineRule="auto"/>
        <w:ind w:left="0" w:firstLine="525"/>
        <w:rPr>
          <w:rFonts w:ascii="宋体" w:hAns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0D6496CF">
      <w:pPr>
        <w:numPr>
          <w:ilvl w:val="0"/>
          <w:numId w:val="19"/>
        </w:numPr>
        <w:tabs>
          <w:tab w:val="left" w:pos="0"/>
          <w:tab w:val="left" w:pos="315"/>
          <w:tab w:val="left" w:pos="525"/>
          <w:tab w:val="left" w:pos="840"/>
          <w:tab w:val="left" w:pos="945"/>
          <w:tab w:val="left" w:pos="1050"/>
        </w:tabs>
        <w:spacing w:line="360" w:lineRule="auto"/>
        <w:ind w:left="0" w:firstLine="523"/>
        <w:rPr>
          <w:rFonts w:ascii="宋体" w:hAnsi="宋体" w:cs="宋体"/>
          <w:bCs/>
          <w:color w:val="auto"/>
          <w:sz w:val="24"/>
          <w:szCs w:val="24"/>
          <w:highlight w:val="none"/>
        </w:rPr>
      </w:pPr>
      <w:r>
        <w:rPr>
          <w:rFonts w:hint="eastAsia" w:ascii="宋体" w:hAnsi="宋体"/>
          <w:bCs/>
          <w:color w:val="auto"/>
          <w:sz w:val="24"/>
          <w:szCs w:val="24"/>
          <w:highlight w:val="none"/>
        </w:rPr>
        <w:t>我方愿意提供无锡市惠山区阳山镇人民政府在招标文件中要求的文件、资料</w:t>
      </w:r>
      <w:r>
        <w:rPr>
          <w:rFonts w:hint="eastAsia" w:ascii="宋体" w:hAnsi="宋体"/>
          <w:bCs/>
          <w:color w:val="auto"/>
          <w:highlight w:val="none"/>
        </w:rPr>
        <w:t>（</w:t>
      </w:r>
      <w:r>
        <w:rPr>
          <w:rFonts w:hint="eastAsia" w:ascii="宋体" w:hAnsi="宋体"/>
          <w:bCs/>
          <w:color w:val="auto"/>
          <w:sz w:val="24"/>
          <w:szCs w:val="24"/>
          <w:highlight w:val="none"/>
        </w:rPr>
        <w:t>具体内容如下</w:t>
      </w:r>
      <w:r>
        <w:rPr>
          <w:rFonts w:hint="eastAsia" w:ascii="宋体" w:hAnsi="宋体"/>
          <w:bCs/>
          <w:color w:val="auto"/>
          <w:highlight w:val="none"/>
        </w:rPr>
        <w:t>）</w:t>
      </w:r>
      <w:r>
        <w:rPr>
          <w:rFonts w:hint="eastAsia" w:ascii="宋体" w:hAnsi="宋体" w:cs="宋体"/>
          <w:color w:val="auto"/>
          <w:sz w:val="24"/>
          <w:szCs w:val="24"/>
          <w:highlight w:val="none"/>
        </w:rPr>
        <w:t>：</w:t>
      </w:r>
    </w:p>
    <w:p w14:paraId="66FA47C2">
      <w:pPr>
        <w:spacing w:line="360" w:lineRule="auto"/>
        <w:ind w:firstLine="482"/>
        <w:rPr>
          <w:rFonts w:ascii="宋体" w:hAnsi="宋体"/>
          <w:bCs/>
          <w:color w:val="auto"/>
          <w:sz w:val="24"/>
          <w:szCs w:val="24"/>
          <w:highlight w:val="none"/>
        </w:rPr>
      </w:pPr>
      <w:r>
        <w:rPr>
          <w:rFonts w:hint="eastAsia" w:ascii="宋体" w:hAnsi="宋体"/>
          <w:b/>
          <w:bCs/>
          <w:color w:val="auto"/>
          <w:sz w:val="24"/>
          <w:szCs w:val="24"/>
          <w:highlight w:val="none"/>
        </w:rPr>
        <w:t>第一部分</w:t>
      </w:r>
      <w:r>
        <w:rPr>
          <w:rFonts w:ascii="宋体" w:hAnsi="宋体"/>
          <w:b/>
          <w:bCs/>
          <w:color w:val="auto"/>
          <w:sz w:val="24"/>
          <w:szCs w:val="24"/>
          <w:highlight w:val="none"/>
        </w:rPr>
        <w:t>：</w:t>
      </w:r>
      <w:r>
        <w:rPr>
          <w:rFonts w:hint="eastAsia" w:ascii="宋体" w:hAnsi="宋体"/>
          <w:b/>
          <w:bCs/>
          <w:color w:val="auto"/>
          <w:sz w:val="24"/>
          <w:szCs w:val="24"/>
          <w:highlight w:val="none"/>
        </w:rPr>
        <w:t>商务标</w:t>
      </w:r>
    </w:p>
    <w:p w14:paraId="2A9FBF09">
      <w:pPr>
        <w:numPr>
          <w:ilvl w:val="0"/>
          <w:numId w:val="20"/>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投标函（</w:t>
      </w:r>
      <w:r>
        <w:rPr>
          <w:rFonts w:hint="eastAsia" w:ascii="宋体" w:hAnsi="宋体"/>
          <w:b/>
          <w:bCs/>
          <w:color w:val="auto"/>
          <w:sz w:val="24"/>
          <w:szCs w:val="24"/>
          <w:highlight w:val="none"/>
        </w:rPr>
        <w:t>格式见附件）</w:t>
      </w:r>
    </w:p>
    <w:p w14:paraId="4D7082C7">
      <w:pPr>
        <w:numPr>
          <w:ilvl w:val="0"/>
          <w:numId w:val="20"/>
        </w:numPr>
        <w:tabs>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证明文件：</w:t>
      </w:r>
    </w:p>
    <w:p w14:paraId="7055E335">
      <w:pPr>
        <w:numPr>
          <w:ilvl w:val="1"/>
          <w:numId w:val="20"/>
        </w:numPr>
        <w:tabs>
          <w:tab w:val="left" w:pos="525"/>
          <w:tab w:val="left" w:pos="945"/>
          <w:tab w:val="clear" w:pos="990"/>
        </w:tabs>
        <w:spacing w:line="360" w:lineRule="auto"/>
        <w:ind w:hanging="564"/>
        <w:rPr>
          <w:rFonts w:ascii="宋体" w:hAnsi="宋体"/>
          <w:bCs/>
          <w:color w:val="auto"/>
          <w:sz w:val="24"/>
          <w:szCs w:val="24"/>
          <w:highlight w:val="none"/>
        </w:rPr>
      </w:pPr>
      <w:r>
        <w:rPr>
          <w:rFonts w:hint="eastAsia" w:ascii="宋体" w:hAnsi="宋体"/>
          <w:bCs/>
          <w:color w:val="auto"/>
          <w:sz w:val="24"/>
          <w:szCs w:val="24"/>
          <w:highlight w:val="none"/>
        </w:rPr>
        <w:t>资格、资信证明文件</w:t>
      </w:r>
    </w:p>
    <w:p w14:paraId="29FA5D12">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①关于资格的声明函（格式见附件）；</w:t>
      </w:r>
    </w:p>
    <w:p w14:paraId="04D135EA">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②具有独立承担民事责任能力的投标供应商营业执照副本或事业单位法人证书或民办非企业单位登记证书或社会团体法人登记证书或基金会法人登记证书或其他组织的营业执照等证明文件原件扫描件并加盖公章或签电子公章（投标供应商如是允许以分支机构身份参加投标的，提供投标供应商分支机构的营业执照原件扫描件）；</w:t>
      </w:r>
    </w:p>
    <w:p w14:paraId="690DF23A">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③供应商有效的餐饮服务许可证或者食品经营许可证（原件扫描件）；</w:t>
      </w:r>
    </w:p>
    <w:p w14:paraId="571278F4">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④投标供应商法定代表人授权委托书（格式见附件，法定代表人亲自参加投标的除外）（投标供应商如是允许以分支机构身份参加投标的，请自行将“法定代表人”更改为“负责人”，分支机构投标时涉及招标文件“法定代表人”要求的部分，其具体要求视同本条规定）；</w:t>
      </w:r>
    </w:p>
    <w:p w14:paraId="7AB71954">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⑤投标供应商法定代表人身份证原件扫描件（身份证应为正、反面）；</w:t>
      </w:r>
    </w:p>
    <w:p w14:paraId="5D53B2E9">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⑥投标供应商法定代表人授权代表身份证原件扫描件（身份证应为正、反面，法定代表人亲自参加投标的除外）；</w:t>
      </w:r>
    </w:p>
    <w:p w14:paraId="6F03772C">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⑦投标供应商提供近三个月中任意一个月份（不含开标当月）的财务状况报告（资产负债表和利润表）或由会计师事务所出具的2025年度的财务审计报告原件扫描件并加盖公章或签电子公章；</w:t>
      </w:r>
    </w:p>
    <w:p w14:paraId="72FFCDB7">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⑧投标供应商近三个月中任意一个月份（不含开标当月）的依法缴纳税收的相关材料（提供相关主管部门证明或银行代扣证明，或者提供依法免税的主管部门出具的相应证明材料）扫描件并加盖公章或签电子公章；</w:t>
      </w:r>
    </w:p>
    <w:p w14:paraId="5A83D3B3">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⑨投标供应商近三个月中任意一个月份（不含开标当月）的依法缴纳社会保障资金的相关材料（提供相关主管部门证明或银行代扣证明，或者提供依法不需要缴纳社会保障资金的主管部门出具的证明材料）扫描件并加盖公章或签电子公章；</w:t>
      </w:r>
    </w:p>
    <w:p w14:paraId="0E5D5B5D">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⑩政府采购投标及履约承诺函（格式见附件）；</w:t>
      </w:r>
    </w:p>
    <w:p w14:paraId="2E86B064">
      <w:pPr>
        <w:tabs>
          <w:tab w:val="left" w:pos="0"/>
          <w:tab w:val="left" w:pos="945"/>
        </w:tabs>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⑪授权代理人提供由法定的社保收缴部门出具的2026年</w:t>
      </w: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月—2026年</w:t>
      </w: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rPr>
        <w:t>月的投标供应商依法为其缴纳社会保险证明（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加盖公章或签电子公章或带二维码验证的扫描件）；</w:t>
      </w:r>
    </w:p>
    <w:p w14:paraId="0029A940">
      <w:pPr>
        <w:tabs>
          <w:tab w:val="left" w:pos="0"/>
          <w:tab w:val="left" w:pos="945"/>
        </w:tabs>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⑫拟派项目负责人提供由法定的社保收缴部门出具的2026年</w:t>
      </w: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rPr>
        <w:t>月—2026年</w:t>
      </w:r>
      <w:r>
        <w:rPr>
          <w:rFonts w:hint="eastAsia" w:ascii="宋体" w:hAnsi="宋体" w:cs="宋体"/>
          <w:bCs/>
          <w:color w:val="auto"/>
          <w:sz w:val="24"/>
          <w:szCs w:val="24"/>
          <w:highlight w:val="none"/>
          <w:lang w:val="en-US" w:eastAsia="zh-CN"/>
        </w:rPr>
        <w:t>6</w:t>
      </w:r>
      <w:r>
        <w:rPr>
          <w:rFonts w:hint="eastAsia" w:ascii="宋体" w:hAnsi="宋体" w:cs="宋体"/>
          <w:bCs/>
          <w:color w:val="auto"/>
          <w:sz w:val="24"/>
          <w:szCs w:val="24"/>
          <w:highlight w:val="none"/>
        </w:rPr>
        <w:t>月的投标供应商依法为其缴纳社会保险证明（由相关主管部门出具，如投标供应商成立时间迟于要求开始的时间，则时间要求为投标供应商成立时间至截止时间；法定代表人担任本项目的项目负责人的除外；社保缴费证明必须提交带有社保部门红章的或含有县（区）级及以上社保部门电子加盖公章或签电子公章或带二维码验证的扫描件）；</w:t>
      </w:r>
    </w:p>
    <w:p w14:paraId="594EA336">
      <w:pPr>
        <w:tabs>
          <w:tab w:val="left" w:pos="0"/>
          <w:tab w:val="left" w:pos="945"/>
        </w:tabs>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⑬供应商必须是中小微企业或监狱企业或残疾人福利性单位；供应商如为中小微企业的提供《中小企业声明函》原件扫描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原件扫描件；</w:t>
      </w:r>
    </w:p>
    <w:p w14:paraId="38D839D8">
      <w:pPr>
        <w:tabs>
          <w:tab w:val="left" w:pos="0"/>
          <w:tab w:val="left" w:pos="945"/>
        </w:tabs>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⑭参加政府采购活动前3年内在经营活动中没有重大违法记录的书面声明（格式见附件）；</w:t>
      </w:r>
    </w:p>
    <w:p w14:paraId="5A2FD28F">
      <w:pPr>
        <w:tabs>
          <w:tab w:val="left" w:pos="0"/>
          <w:tab w:val="left" w:pos="945"/>
        </w:tabs>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⑮供应商未被列入“信用中国”网站（www.creditchina.gov.cn）“失信被执行人、重大税收违法失信主体名单、严重失信主体名单”（有上述处罚记录但处罚期已届满的，视为无记录，以代理机构评标当日查询结果为准）；</w:t>
      </w:r>
    </w:p>
    <w:p w14:paraId="77AD8F8A">
      <w:pPr>
        <w:tabs>
          <w:tab w:val="left" w:pos="0"/>
          <w:tab w:val="left" w:pos="945"/>
        </w:tabs>
        <w:spacing w:line="360" w:lineRule="auto"/>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⑯本项目不接受联合体投标；不允许分包、转包；</w:t>
      </w:r>
    </w:p>
    <w:p w14:paraId="586887EF">
      <w:pPr>
        <w:tabs>
          <w:tab w:val="left" w:pos="0"/>
          <w:tab w:val="left" w:pos="945"/>
        </w:tabs>
        <w:spacing w:line="360" w:lineRule="auto"/>
        <w:ind w:firstLine="480"/>
        <w:rPr>
          <w:color w:val="auto"/>
          <w:highlight w:val="none"/>
        </w:rPr>
      </w:pPr>
      <w:r>
        <w:rPr>
          <w:rFonts w:hint="eastAsia" w:ascii="宋体" w:hAnsi="宋体" w:cs="宋体"/>
          <w:bCs/>
          <w:color w:val="auto"/>
          <w:sz w:val="24"/>
          <w:szCs w:val="24"/>
          <w:highlight w:val="none"/>
        </w:rPr>
        <w:t>⑰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相关承诺要求内容。</w:t>
      </w:r>
    </w:p>
    <w:p w14:paraId="3D33BDC2">
      <w:pPr>
        <w:tabs>
          <w:tab w:val="left" w:pos="420"/>
          <w:tab w:val="left" w:pos="945"/>
          <w:tab w:val="left" w:pos="1155"/>
          <w:tab w:val="left" w:pos="1378"/>
        </w:tabs>
        <w:spacing w:line="360" w:lineRule="auto"/>
        <w:ind w:firstLine="482"/>
        <w:rPr>
          <w:rFonts w:ascii="宋体" w:hAnsi="宋体"/>
          <w:b/>
          <w:bCs/>
          <w:color w:val="auto"/>
          <w:sz w:val="24"/>
          <w:szCs w:val="24"/>
          <w:highlight w:val="none"/>
        </w:rPr>
      </w:pPr>
      <w:r>
        <w:rPr>
          <w:rFonts w:hint="eastAsia" w:ascii="宋体" w:hAnsi="宋体"/>
          <w:b/>
          <w:bCs/>
          <w:color w:val="auto"/>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05037E77">
      <w:pPr>
        <w:numPr>
          <w:ilvl w:val="1"/>
          <w:numId w:val="20"/>
        </w:numPr>
        <w:tabs>
          <w:tab w:val="left" w:pos="525"/>
          <w:tab w:val="left" w:pos="945"/>
          <w:tab w:val="clear" w:pos="990"/>
        </w:tabs>
        <w:spacing w:line="360" w:lineRule="auto"/>
        <w:ind w:hanging="564"/>
        <w:rPr>
          <w:rFonts w:ascii="宋体" w:hAnsi="宋体"/>
          <w:bCs/>
          <w:color w:val="auto"/>
          <w:sz w:val="24"/>
          <w:szCs w:val="24"/>
          <w:highlight w:val="none"/>
        </w:rPr>
      </w:pPr>
      <w:r>
        <w:rPr>
          <w:rFonts w:hint="eastAsia" w:ascii="宋体" w:hAnsi="宋体"/>
          <w:bCs/>
          <w:color w:val="auto"/>
          <w:sz w:val="24"/>
          <w:szCs w:val="24"/>
          <w:highlight w:val="none"/>
        </w:rPr>
        <w:t>补充性文件</w:t>
      </w:r>
    </w:p>
    <w:p w14:paraId="72175D8A">
      <w:pPr>
        <w:tabs>
          <w:tab w:val="left" w:pos="420"/>
          <w:tab w:val="left" w:pos="1155"/>
        </w:tabs>
        <w:spacing w:line="360" w:lineRule="auto"/>
        <w:ind w:left="523"/>
        <w:rPr>
          <w:rFonts w:ascii="宋体" w:hAnsi="宋体"/>
          <w:color w:val="auto"/>
          <w:sz w:val="24"/>
          <w:szCs w:val="24"/>
          <w:highlight w:val="none"/>
        </w:rPr>
      </w:pPr>
      <w:r>
        <w:rPr>
          <w:rFonts w:hint="eastAsia" w:ascii="宋体" w:hAnsi="宋体"/>
          <w:color w:val="auto"/>
          <w:sz w:val="24"/>
          <w:szCs w:val="24"/>
          <w:highlight w:val="none"/>
        </w:rPr>
        <w:t>①企业简介和经营情况说明；</w:t>
      </w:r>
    </w:p>
    <w:p w14:paraId="056C6DD3">
      <w:pPr>
        <w:tabs>
          <w:tab w:val="left" w:pos="420"/>
          <w:tab w:val="left" w:pos="1155"/>
        </w:tabs>
        <w:spacing w:line="360" w:lineRule="auto"/>
        <w:ind w:left="523"/>
        <w:rPr>
          <w:rFonts w:ascii="宋体" w:hAnsi="宋体"/>
          <w:color w:val="auto"/>
          <w:sz w:val="24"/>
          <w:szCs w:val="24"/>
          <w:highlight w:val="none"/>
        </w:rPr>
      </w:pPr>
      <w:r>
        <w:rPr>
          <w:rFonts w:hint="eastAsia" w:ascii="宋体" w:hAnsi="宋体"/>
          <w:color w:val="auto"/>
          <w:sz w:val="24"/>
          <w:szCs w:val="24"/>
          <w:highlight w:val="none"/>
        </w:rPr>
        <w:t>②投标供应商认为必须提供的其他证明材料。</w:t>
      </w:r>
    </w:p>
    <w:p w14:paraId="2BBDE057">
      <w:pPr>
        <w:tabs>
          <w:tab w:val="left" w:pos="420"/>
          <w:tab w:val="left" w:pos="945"/>
          <w:tab w:val="left" w:pos="1155"/>
        </w:tabs>
        <w:spacing w:line="360" w:lineRule="auto"/>
        <w:ind w:firstLine="523"/>
        <w:rPr>
          <w:color w:val="auto"/>
          <w:highlight w:val="none"/>
        </w:rPr>
      </w:pPr>
      <w:r>
        <w:rPr>
          <w:rFonts w:hint="eastAsia" w:ascii="宋体" w:hAnsi="宋体"/>
          <w:b/>
          <w:bCs/>
          <w:color w:val="auto"/>
          <w:sz w:val="24"/>
          <w:szCs w:val="24"/>
          <w:highlight w:val="none"/>
        </w:rPr>
        <w:t>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color w:val="auto"/>
          <w:sz w:val="24"/>
          <w:szCs w:val="24"/>
          <w:highlight w:val="none"/>
        </w:rPr>
        <w:t>或其他</w:t>
      </w:r>
      <w:r>
        <w:rPr>
          <w:rFonts w:hint="eastAsia" w:ascii="宋体" w:hAnsi="宋体"/>
          <w:b/>
          <w:bCs/>
          <w:color w:val="auto"/>
          <w:sz w:val="24"/>
          <w:szCs w:val="24"/>
          <w:highlight w:val="none"/>
        </w:rPr>
        <w:t>可在中国大陆有效居留的许可证明。投标供应商所提交的证明文件的完整、清晰与否，将直接影响其投标文件的审核和评分结果。</w:t>
      </w:r>
    </w:p>
    <w:p w14:paraId="2E543549">
      <w:pPr>
        <w:numPr>
          <w:ilvl w:val="0"/>
          <w:numId w:val="20"/>
        </w:numPr>
        <w:tabs>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开标一览表（格式见附件）</w:t>
      </w:r>
    </w:p>
    <w:p w14:paraId="6F8CF687">
      <w:pPr>
        <w:numPr>
          <w:ilvl w:val="0"/>
          <w:numId w:val="20"/>
        </w:numPr>
        <w:tabs>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明细报价表（格式见附件）</w:t>
      </w:r>
    </w:p>
    <w:p w14:paraId="0DDA7E0D">
      <w:pPr>
        <w:spacing w:line="360" w:lineRule="auto"/>
        <w:ind w:firstLine="523"/>
        <w:rPr>
          <w:rFonts w:ascii="宋体" w:hAnsi="宋体"/>
          <w:b/>
          <w:bCs/>
          <w:color w:val="auto"/>
          <w:sz w:val="24"/>
          <w:szCs w:val="24"/>
          <w:highlight w:val="none"/>
        </w:rPr>
      </w:pPr>
      <w:r>
        <w:rPr>
          <w:rFonts w:hint="eastAsia" w:ascii="宋体" w:hAnsi="宋体"/>
          <w:b/>
          <w:bCs/>
          <w:color w:val="auto"/>
          <w:sz w:val="24"/>
          <w:szCs w:val="24"/>
          <w:highlight w:val="none"/>
        </w:rPr>
        <w:t>注：经评标委员会认定投标供应商的投标报价明显低于其他通过符合性审查投标供应商的报价，有可能影响产品质量或者不能诚信履约，投标供应商必须在30分钟内提供书面说明，必要时提交相关证明材料以证明其报价合理性。投标供应商不能证明其报价合理性的，评标委员会应当将其作为无效投标处理。</w:t>
      </w:r>
    </w:p>
    <w:p w14:paraId="12226682">
      <w:pPr>
        <w:numPr>
          <w:ilvl w:val="0"/>
          <w:numId w:val="20"/>
        </w:numPr>
        <w:tabs>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偏离表</w:t>
      </w:r>
      <w:r>
        <w:rPr>
          <w:rFonts w:hint="eastAsia" w:ascii="宋体" w:hAnsi="宋体"/>
          <w:b/>
          <w:bCs/>
          <w:color w:val="auto"/>
          <w:sz w:val="24"/>
          <w:szCs w:val="24"/>
          <w:highlight w:val="none"/>
        </w:rPr>
        <w:t>（格式见附件）</w:t>
      </w:r>
    </w:p>
    <w:p w14:paraId="4CC33C07">
      <w:pPr>
        <w:numPr>
          <w:ilvl w:val="0"/>
          <w:numId w:val="20"/>
        </w:numPr>
        <w:tabs>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企业业绩一览表</w:t>
      </w:r>
      <w:r>
        <w:rPr>
          <w:rFonts w:hint="eastAsia" w:ascii="宋体" w:hAnsi="宋体"/>
          <w:b/>
          <w:bCs/>
          <w:color w:val="auto"/>
          <w:sz w:val="24"/>
          <w:szCs w:val="24"/>
          <w:highlight w:val="none"/>
        </w:rPr>
        <w:t>（格式见附件）</w:t>
      </w:r>
    </w:p>
    <w:p w14:paraId="78E2B839">
      <w:pPr>
        <w:numPr>
          <w:ilvl w:val="0"/>
          <w:numId w:val="20"/>
        </w:numPr>
        <w:tabs>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投标供应商拟投入本项目人员一览表</w:t>
      </w:r>
      <w:r>
        <w:rPr>
          <w:rFonts w:hint="eastAsia" w:ascii="宋体" w:hAnsi="宋体"/>
          <w:b/>
          <w:bCs/>
          <w:color w:val="auto"/>
          <w:sz w:val="24"/>
          <w:szCs w:val="24"/>
          <w:highlight w:val="none"/>
        </w:rPr>
        <w:t>（格式见附件）</w:t>
      </w:r>
    </w:p>
    <w:p w14:paraId="2CC26130">
      <w:pPr>
        <w:numPr>
          <w:ilvl w:val="0"/>
          <w:numId w:val="20"/>
        </w:numPr>
        <w:tabs>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评分标准中对应</w:t>
      </w:r>
      <w:r>
        <w:rPr>
          <w:rFonts w:ascii="宋体" w:hAnsi="宋体"/>
          <w:bCs/>
          <w:color w:val="auto"/>
          <w:sz w:val="24"/>
          <w:szCs w:val="24"/>
          <w:highlight w:val="none"/>
        </w:rPr>
        <w:t>的其他</w:t>
      </w:r>
      <w:r>
        <w:rPr>
          <w:rFonts w:hint="eastAsia" w:ascii="宋体" w:hAnsi="宋体"/>
          <w:bCs/>
          <w:color w:val="auto"/>
          <w:sz w:val="24"/>
          <w:szCs w:val="24"/>
          <w:highlight w:val="none"/>
        </w:rPr>
        <w:t>所需证明材料（</w:t>
      </w:r>
      <w:r>
        <w:rPr>
          <w:rFonts w:hint="eastAsia" w:ascii="宋体" w:hAnsi="宋体"/>
          <w:b/>
          <w:bCs/>
          <w:color w:val="auto"/>
          <w:sz w:val="24"/>
          <w:szCs w:val="24"/>
          <w:highlight w:val="none"/>
        </w:rPr>
        <w:t>如有自行添加</w:t>
      </w:r>
      <w:r>
        <w:rPr>
          <w:rFonts w:hint="eastAsia" w:ascii="宋体" w:hAnsi="宋体"/>
          <w:bCs/>
          <w:color w:val="auto"/>
          <w:sz w:val="24"/>
          <w:szCs w:val="24"/>
          <w:highlight w:val="none"/>
        </w:rPr>
        <w:t>）</w:t>
      </w:r>
    </w:p>
    <w:p w14:paraId="3817394B">
      <w:pPr>
        <w:numPr>
          <w:ilvl w:val="0"/>
          <w:numId w:val="20"/>
        </w:numPr>
        <w:tabs>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要求采购人提供的配合（</w:t>
      </w:r>
      <w:r>
        <w:rPr>
          <w:rFonts w:hint="eastAsia" w:ascii="宋体" w:hAnsi="宋体"/>
          <w:b/>
          <w:bCs/>
          <w:color w:val="auto"/>
          <w:sz w:val="24"/>
          <w:szCs w:val="24"/>
          <w:highlight w:val="none"/>
        </w:rPr>
        <w:t>如有自拟并自行添加</w:t>
      </w:r>
      <w:r>
        <w:rPr>
          <w:rFonts w:hint="eastAsia" w:ascii="宋体" w:hAnsi="宋体"/>
          <w:bCs/>
          <w:color w:val="auto"/>
          <w:sz w:val="24"/>
          <w:szCs w:val="24"/>
          <w:highlight w:val="none"/>
        </w:rPr>
        <w:t>）</w:t>
      </w:r>
    </w:p>
    <w:p w14:paraId="6DFDB754">
      <w:pPr>
        <w:numPr>
          <w:ilvl w:val="0"/>
          <w:numId w:val="20"/>
        </w:numPr>
        <w:tabs>
          <w:tab w:val="left" w:pos="525"/>
          <w:tab w:val="left" w:pos="945"/>
        </w:tabs>
        <w:spacing w:line="360" w:lineRule="auto"/>
        <w:ind w:left="0" w:firstLine="523"/>
        <w:rPr>
          <w:rFonts w:ascii="宋体" w:hAnsi="宋体"/>
          <w:b/>
          <w:color w:val="auto"/>
          <w:sz w:val="24"/>
          <w:szCs w:val="24"/>
          <w:highlight w:val="none"/>
        </w:rPr>
      </w:pPr>
      <w:r>
        <w:rPr>
          <w:rFonts w:hint="eastAsia" w:ascii="宋体" w:hAnsi="宋体"/>
          <w:bCs/>
          <w:color w:val="auto"/>
          <w:sz w:val="24"/>
          <w:szCs w:val="24"/>
          <w:highlight w:val="none"/>
        </w:rPr>
        <w:t>关于符合本国产品标准的声明函</w:t>
      </w:r>
      <w:r>
        <w:rPr>
          <w:rFonts w:hint="eastAsia" w:ascii="宋体" w:hAnsi="宋体"/>
          <w:b/>
          <w:color w:val="auto"/>
          <w:sz w:val="24"/>
          <w:szCs w:val="24"/>
          <w:highlight w:val="none"/>
        </w:rPr>
        <w:t>（如有，格式见附件）</w:t>
      </w:r>
    </w:p>
    <w:p w14:paraId="396EFD7D">
      <w:pPr>
        <w:spacing w:line="360" w:lineRule="auto"/>
        <w:ind w:firstLine="482"/>
        <w:rPr>
          <w:rFonts w:ascii="宋体" w:hAnsi="宋体"/>
          <w:b/>
          <w:bCs/>
          <w:color w:val="auto"/>
          <w:sz w:val="24"/>
          <w:szCs w:val="24"/>
          <w:highlight w:val="none"/>
        </w:rPr>
      </w:pPr>
      <w:r>
        <w:rPr>
          <w:rFonts w:hint="eastAsia" w:ascii="宋体" w:hAnsi="宋体"/>
          <w:color w:val="auto"/>
          <w:sz w:val="24"/>
          <w:szCs w:val="24"/>
          <w:highlight w:val="none"/>
        </w:rPr>
        <w:t>11.其他</w:t>
      </w:r>
      <w:r>
        <w:rPr>
          <w:rFonts w:hint="eastAsia" w:ascii="宋体" w:hAnsi="宋体"/>
          <w:b/>
          <w:bCs/>
          <w:color w:val="auto"/>
          <w:sz w:val="24"/>
          <w:szCs w:val="24"/>
          <w:highlight w:val="none"/>
        </w:rPr>
        <w:t>（投标供应商认为有必要提供的声明和文件，如有自拟并自行添加）</w:t>
      </w:r>
    </w:p>
    <w:p w14:paraId="71FF7481">
      <w:pPr>
        <w:spacing w:line="360" w:lineRule="auto"/>
        <w:ind w:firstLine="482"/>
        <w:rPr>
          <w:rFonts w:ascii="宋体" w:hAnsi="宋体"/>
          <w:b/>
          <w:bCs/>
          <w:color w:val="auto"/>
          <w:sz w:val="24"/>
          <w:szCs w:val="24"/>
          <w:highlight w:val="none"/>
        </w:rPr>
      </w:pPr>
      <w:r>
        <w:rPr>
          <w:rFonts w:hint="eastAsia" w:ascii="宋体" w:hAnsi="宋体"/>
          <w:b/>
          <w:bCs/>
          <w:color w:val="auto"/>
          <w:sz w:val="24"/>
          <w:szCs w:val="24"/>
          <w:highlight w:val="none"/>
        </w:rPr>
        <w:t>第二部分：技术标（暗标）</w:t>
      </w:r>
    </w:p>
    <w:p w14:paraId="70257FBB">
      <w:pPr>
        <w:spacing w:line="360" w:lineRule="auto"/>
        <w:ind w:firstLine="482"/>
        <w:rPr>
          <w:rFonts w:ascii="宋体" w:hAnsi="宋体" w:cs="宋体"/>
          <w:bCs/>
          <w:color w:val="auto"/>
          <w:sz w:val="24"/>
          <w:highlight w:val="none"/>
        </w:rPr>
      </w:pPr>
      <w:r>
        <w:rPr>
          <w:rFonts w:hint="eastAsia" w:ascii="宋体" w:hAnsi="宋体" w:cs="宋体"/>
          <w:bCs/>
          <w:color w:val="auto"/>
          <w:sz w:val="24"/>
          <w:highlight w:val="none"/>
        </w:rPr>
        <w:t>1.餐饮服务管理工作实施方案；</w:t>
      </w:r>
    </w:p>
    <w:p w14:paraId="69A22756">
      <w:pPr>
        <w:spacing w:line="360" w:lineRule="auto"/>
        <w:ind w:firstLine="482"/>
        <w:rPr>
          <w:rFonts w:ascii="宋体" w:hAnsi="宋体" w:cs="宋体"/>
          <w:bCs/>
          <w:color w:val="auto"/>
          <w:sz w:val="24"/>
          <w:highlight w:val="none"/>
        </w:rPr>
      </w:pPr>
      <w:r>
        <w:rPr>
          <w:rFonts w:hint="eastAsia" w:ascii="宋体" w:hAnsi="宋体" w:cs="宋体"/>
          <w:bCs/>
          <w:color w:val="auto"/>
          <w:sz w:val="24"/>
          <w:highlight w:val="none"/>
        </w:rPr>
        <w:t>2.日常管理流程图；</w:t>
      </w:r>
    </w:p>
    <w:p w14:paraId="0CCBF892">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3.日常管理制度和工作标准；</w:t>
      </w:r>
    </w:p>
    <w:p w14:paraId="080BA2DA">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4.防火、防食物中毒等突发事件的应急预案；</w:t>
      </w:r>
    </w:p>
    <w:p w14:paraId="4173464F">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5.保障应急任务后备人员充足的承诺；</w:t>
      </w:r>
    </w:p>
    <w:p w14:paraId="7E5D189E">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6.供餐模式及品种方案；</w:t>
      </w:r>
    </w:p>
    <w:p w14:paraId="5486500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7.协调及投诉处理方案；</w:t>
      </w:r>
    </w:p>
    <w:p w14:paraId="3FB8BBF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8.正式接管前具体措施；</w:t>
      </w:r>
    </w:p>
    <w:p w14:paraId="2D0EC42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9.针对食品安全和消防安全的培训方案及实施细则；</w:t>
      </w:r>
    </w:p>
    <w:p w14:paraId="2A87B71B">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10.特色服务和创新服务方案；</w:t>
      </w:r>
    </w:p>
    <w:p w14:paraId="33883D5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11.食品质量及食品安全控制方案。</w:t>
      </w:r>
    </w:p>
    <w:p w14:paraId="0CA6AEE4">
      <w:pPr>
        <w:tabs>
          <w:tab w:val="left" w:pos="525"/>
          <w:tab w:val="left" w:pos="945"/>
        </w:tabs>
        <w:spacing w:line="360" w:lineRule="auto"/>
        <w:ind w:firstLine="480"/>
        <w:rPr>
          <w:rFonts w:ascii="宋体" w:hAnsi="宋体"/>
          <w:b/>
          <w:color w:val="auto"/>
          <w:sz w:val="24"/>
          <w:szCs w:val="24"/>
          <w:highlight w:val="none"/>
        </w:rPr>
      </w:pPr>
      <w:r>
        <w:rPr>
          <w:rFonts w:hint="eastAsia" w:ascii="宋体" w:hAnsi="宋体"/>
          <w:b/>
          <w:color w:val="auto"/>
          <w:sz w:val="24"/>
          <w:szCs w:val="24"/>
          <w:highlight w:val="none"/>
          <w:u w:val="single"/>
        </w:rPr>
        <w:t>特别注意：本项目采用暗标形式，投标供应商须参照评标办法的相关要求对商务部分和技术文件部分分别进行制作。其中技术文件部分属于暗标，投标供应商在制作技术文件部分相关内容时不得有体现投标供应商身份的内容，否则投标无效。</w:t>
      </w:r>
    </w:p>
    <w:p w14:paraId="71902AB4">
      <w:pPr>
        <w:tabs>
          <w:tab w:val="left" w:pos="525"/>
          <w:tab w:val="left" w:pos="945"/>
        </w:tabs>
        <w:spacing w:line="360" w:lineRule="auto"/>
        <w:ind w:firstLine="480"/>
        <w:rPr>
          <w:rFonts w:ascii="宋体" w:hAnsi="宋体"/>
          <w:b/>
          <w:color w:val="auto"/>
          <w:sz w:val="24"/>
          <w:szCs w:val="24"/>
          <w:highlight w:val="none"/>
        </w:rPr>
      </w:pPr>
      <w:r>
        <w:rPr>
          <w:rFonts w:hint="eastAsia" w:ascii="宋体" w:hAnsi="宋体"/>
          <w:b/>
          <w:color w:val="auto"/>
          <w:sz w:val="24"/>
          <w:szCs w:val="24"/>
          <w:highlight w:val="none"/>
        </w:rPr>
        <w:t>不得有体现投标供应商身份的内容是指：</w:t>
      </w:r>
    </w:p>
    <w:p w14:paraId="42C33F57">
      <w:pPr>
        <w:tabs>
          <w:tab w:val="left" w:pos="525"/>
          <w:tab w:val="left" w:pos="945"/>
        </w:tabs>
        <w:spacing w:line="360" w:lineRule="auto"/>
        <w:ind w:firstLine="480"/>
        <w:rPr>
          <w:rFonts w:ascii="宋体" w:hAnsi="宋体"/>
          <w:b/>
          <w:color w:val="auto"/>
          <w:sz w:val="24"/>
          <w:szCs w:val="24"/>
          <w:highlight w:val="none"/>
        </w:rPr>
      </w:pPr>
      <w:r>
        <w:rPr>
          <w:rFonts w:hint="eastAsia" w:ascii="宋体" w:hAnsi="宋体"/>
          <w:b/>
          <w:color w:val="auto"/>
          <w:sz w:val="24"/>
          <w:szCs w:val="24"/>
          <w:highlight w:val="none"/>
        </w:rPr>
        <w:t>①技术部分不得出现能够体现投标供应商身份、名称的相关描述、材料、文件等内容；</w:t>
      </w:r>
    </w:p>
    <w:p w14:paraId="5761C180">
      <w:pPr>
        <w:tabs>
          <w:tab w:val="left" w:pos="525"/>
          <w:tab w:val="left" w:pos="945"/>
        </w:tabs>
        <w:spacing w:line="360" w:lineRule="auto"/>
        <w:ind w:firstLine="480"/>
        <w:rPr>
          <w:rFonts w:ascii="宋体" w:hAnsi="宋体"/>
          <w:b/>
          <w:color w:val="auto"/>
          <w:sz w:val="24"/>
          <w:szCs w:val="24"/>
          <w:highlight w:val="none"/>
        </w:rPr>
      </w:pPr>
      <w:r>
        <w:rPr>
          <w:rFonts w:hint="eastAsia" w:ascii="宋体" w:hAnsi="宋体"/>
          <w:b/>
          <w:color w:val="auto"/>
          <w:sz w:val="24"/>
          <w:szCs w:val="24"/>
          <w:highlight w:val="none"/>
        </w:rPr>
        <w:t>②技术部分不得更改，不得在其中涂改、标注或做任何可以辨认投标供应商及所属人员身份的名称、印章、商标等标记；</w:t>
      </w:r>
    </w:p>
    <w:p w14:paraId="5C491D9F">
      <w:pPr>
        <w:tabs>
          <w:tab w:val="left" w:pos="525"/>
          <w:tab w:val="left" w:pos="945"/>
        </w:tabs>
        <w:spacing w:line="360" w:lineRule="auto"/>
        <w:ind w:firstLine="480"/>
        <w:rPr>
          <w:rFonts w:ascii="宋体" w:hAnsi="宋体"/>
          <w:b/>
          <w:color w:val="auto"/>
          <w:sz w:val="24"/>
          <w:szCs w:val="24"/>
          <w:highlight w:val="none"/>
        </w:rPr>
      </w:pPr>
      <w:r>
        <w:rPr>
          <w:rFonts w:hint="eastAsia" w:ascii="宋体" w:hAnsi="宋体"/>
          <w:b/>
          <w:color w:val="auto"/>
          <w:sz w:val="24"/>
          <w:szCs w:val="24"/>
          <w:highlight w:val="none"/>
        </w:rPr>
        <w:t>③技术部分应当版面整洁、字迹清楚、不许批注或进行底纹、阴影、水印等特殊设置，不得采用任何不符合常规、有别于其他投标供应商的特殊做法；</w:t>
      </w:r>
    </w:p>
    <w:p w14:paraId="7C023998">
      <w:pPr>
        <w:tabs>
          <w:tab w:val="left" w:pos="525"/>
          <w:tab w:val="left" w:pos="945"/>
        </w:tabs>
        <w:spacing w:line="360" w:lineRule="auto"/>
        <w:ind w:firstLine="480"/>
        <w:rPr>
          <w:color w:val="auto"/>
          <w:highlight w:val="none"/>
        </w:rPr>
      </w:pPr>
      <w:r>
        <w:rPr>
          <w:rFonts w:hint="eastAsia" w:ascii="宋体" w:hAnsi="宋体"/>
          <w:b/>
          <w:color w:val="auto"/>
          <w:sz w:val="24"/>
          <w:szCs w:val="24"/>
          <w:highlight w:val="none"/>
        </w:rPr>
        <w:t>④不得有其他体现投标供应商身份的内容。</w:t>
      </w:r>
    </w:p>
    <w:p w14:paraId="7C687E71">
      <w:pPr>
        <w:numPr>
          <w:ilvl w:val="0"/>
          <w:numId w:val="19"/>
        </w:numPr>
        <w:tabs>
          <w:tab w:val="left" w:pos="0"/>
          <w:tab w:val="left" w:pos="315"/>
          <w:tab w:val="left" w:pos="525"/>
          <w:tab w:val="left" w:pos="945"/>
          <w:tab w:val="left" w:pos="1050"/>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我方同意按招标文件中的规定，本投标文件投标的有效期限为开标之日起90天。</w:t>
      </w:r>
    </w:p>
    <w:p w14:paraId="4FC7A990">
      <w:pPr>
        <w:numPr>
          <w:ilvl w:val="0"/>
          <w:numId w:val="19"/>
        </w:numPr>
        <w:tabs>
          <w:tab w:val="left" w:pos="0"/>
          <w:tab w:val="left" w:pos="315"/>
          <w:tab w:val="left" w:pos="525"/>
          <w:tab w:val="left" w:pos="945"/>
          <w:tab w:val="left" w:pos="1050"/>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如果我方的投标文件被接受，我方将履行招标文件中规定的每一项要求，按期、按质、按量，履行合同义务。</w:t>
      </w:r>
    </w:p>
    <w:p w14:paraId="39C0E489">
      <w:pPr>
        <w:numPr>
          <w:ilvl w:val="0"/>
          <w:numId w:val="19"/>
        </w:numPr>
        <w:tabs>
          <w:tab w:val="left" w:pos="0"/>
          <w:tab w:val="left" w:pos="315"/>
          <w:tab w:val="left" w:pos="525"/>
          <w:tab w:val="left" w:pos="945"/>
          <w:tab w:val="left" w:pos="1050"/>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我方认为贵方有权决定中标者。</w:t>
      </w:r>
    </w:p>
    <w:p w14:paraId="380C32D6">
      <w:pPr>
        <w:numPr>
          <w:ilvl w:val="0"/>
          <w:numId w:val="19"/>
        </w:numPr>
        <w:tabs>
          <w:tab w:val="left" w:pos="0"/>
          <w:tab w:val="left" w:pos="315"/>
          <w:tab w:val="left" w:pos="525"/>
          <w:tab w:val="left" w:pos="945"/>
          <w:tab w:val="left" w:pos="1050"/>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我方愿意遵守《中华人民共和国政府采购法》，并按照《中华人民共和国民法典》、财政部《政府采购货物和服务招标投标管理办法》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合同条款履行自己的全部责任。在合同履行过程中，双方如有争议，同意由单位协调解决，并按相关法规和有关文件规定处理。</w:t>
      </w:r>
    </w:p>
    <w:p w14:paraId="47071821">
      <w:pPr>
        <w:numPr>
          <w:ilvl w:val="0"/>
          <w:numId w:val="19"/>
        </w:numPr>
        <w:tabs>
          <w:tab w:val="left" w:pos="0"/>
          <w:tab w:val="left" w:pos="315"/>
          <w:tab w:val="left" w:pos="525"/>
          <w:tab w:val="left" w:pos="945"/>
          <w:tab w:val="left" w:pos="1050"/>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我方认可并遵守招标文件的所有规定，放弃对招标文件提出质疑的权利。</w:t>
      </w:r>
    </w:p>
    <w:p w14:paraId="76358267">
      <w:pPr>
        <w:numPr>
          <w:ilvl w:val="0"/>
          <w:numId w:val="19"/>
        </w:numPr>
        <w:tabs>
          <w:tab w:val="left" w:pos="0"/>
          <w:tab w:val="left" w:pos="315"/>
          <w:tab w:val="left" w:pos="525"/>
          <w:tab w:val="left" w:pos="945"/>
          <w:tab w:val="left" w:pos="1050"/>
          <w:tab w:val="clear" w:pos="552"/>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如果我方被确定为中标供应商，且我方无不可抗力，又未履行招标文件、投标文件和合同条款的，一经查实，我方愿意赔偿由此而造成的一切损失，并同意接受按招标文件的相关要求对我方进行的处理。</w:t>
      </w:r>
    </w:p>
    <w:p w14:paraId="7DD89024">
      <w:pPr>
        <w:numPr>
          <w:ilvl w:val="0"/>
          <w:numId w:val="19"/>
        </w:numPr>
        <w:tabs>
          <w:tab w:val="left" w:pos="0"/>
          <w:tab w:val="left" w:pos="315"/>
          <w:tab w:val="left" w:pos="525"/>
          <w:tab w:val="left" w:pos="945"/>
          <w:tab w:val="left" w:pos="1050"/>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w:t>
      </w:r>
      <w:r>
        <w:rPr>
          <w:rFonts w:ascii="宋体" w:hAnsi="宋体"/>
          <w:bCs/>
          <w:color w:val="auto"/>
          <w:sz w:val="24"/>
          <w:szCs w:val="24"/>
          <w:highlight w:val="none"/>
        </w:rPr>
        <w:t>其他</w:t>
      </w:r>
      <w:r>
        <w:rPr>
          <w:rFonts w:hint="eastAsia" w:ascii="宋体" w:hAnsi="宋体"/>
          <w:bCs/>
          <w:color w:val="auto"/>
          <w:sz w:val="24"/>
          <w:szCs w:val="24"/>
          <w:highlight w:val="none"/>
        </w:rPr>
        <w:t>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781EB67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     </w:t>
      </w:r>
    </w:p>
    <w:p w14:paraId="4D4B5AD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法定代表人（或无锡市级机构负责人）或法定代表人授权代表签字或盖章：</w:t>
      </w:r>
    </w:p>
    <w:p w14:paraId="5EE8889A">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电话：                              传真：</w:t>
      </w:r>
    </w:p>
    <w:p w14:paraId="19CD530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通讯地址：                          邮编：</w:t>
      </w:r>
    </w:p>
    <w:p w14:paraId="74F6767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 xml:space="preserve">开户行： </w:t>
      </w:r>
      <w:r>
        <w:rPr>
          <w:rFonts w:ascii="宋体" w:hAnsi="宋体"/>
          <w:bCs/>
          <w:color w:val="auto"/>
          <w:sz w:val="24"/>
          <w:szCs w:val="24"/>
          <w:highlight w:val="none"/>
        </w:rPr>
        <w:t xml:space="preserve">                           </w:t>
      </w:r>
      <w:r>
        <w:rPr>
          <w:rFonts w:hint="eastAsia" w:ascii="宋体" w:hAnsi="宋体"/>
          <w:bCs/>
          <w:color w:val="auto"/>
          <w:sz w:val="24"/>
          <w:szCs w:val="24"/>
          <w:highlight w:val="none"/>
        </w:rPr>
        <w:t>开户行账号：</w:t>
      </w:r>
    </w:p>
    <w:p w14:paraId="2E2BFEBD">
      <w:pPr>
        <w:pageBreakBefore/>
        <w:spacing w:line="360" w:lineRule="auto"/>
        <w:outlineLvl w:val="0"/>
        <w:rPr>
          <w:rFonts w:ascii="宋体" w:hAnsi="宋体"/>
          <w:bCs/>
          <w:color w:val="auto"/>
          <w:sz w:val="24"/>
          <w:szCs w:val="24"/>
          <w:highlight w:val="none"/>
        </w:rPr>
      </w:pPr>
      <w:bookmarkStart w:id="908" w:name="_Toc98277374"/>
      <w:bookmarkStart w:id="909" w:name="_Toc39873186"/>
      <w:bookmarkStart w:id="910" w:name="_Toc39873231"/>
      <w:bookmarkStart w:id="911" w:name="_Toc36850798"/>
      <w:bookmarkStart w:id="912" w:name="_Toc116946354"/>
      <w:bookmarkStart w:id="913" w:name="_Toc39873232"/>
      <w:bookmarkStart w:id="914" w:name="_Toc39873187"/>
      <w:bookmarkStart w:id="915" w:name="_Toc36850799"/>
      <w:r>
        <w:rPr>
          <w:rFonts w:hint="eastAsia" w:ascii="宋体" w:hAnsi="宋体"/>
          <w:bCs/>
          <w:color w:val="auto"/>
          <w:sz w:val="24"/>
          <w:szCs w:val="24"/>
          <w:highlight w:val="none"/>
        </w:rPr>
        <w:t>（二）（投标供应商）关于资格的声明函（格式）：</w:t>
      </w:r>
      <w:bookmarkEnd w:id="908"/>
      <w:bookmarkEnd w:id="909"/>
      <w:bookmarkEnd w:id="910"/>
      <w:bookmarkEnd w:id="911"/>
      <w:bookmarkEnd w:id="912"/>
    </w:p>
    <w:p w14:paraId="68D85905">
      <w:pPr>
        <w:spacing w:line="360" w:lineRule="auto"/>
        <w:jc w:val="center"/>
        <w:rPr>
          <w:rFonts w:ascii="宋体" w:hAnsi="宋体"/>
          <w:b/>
          <w:color w:val="auto"/>
          <w:sz w:val="28"/>
          <w:szCs w:val="28"/>
          <w:highlight w:val="none"/>
        </w:rPr>
      </w:pPr>
      <w:bookmarkStart w:id="916" w:name="报价方关于资格的声明函（格式）"/>
      <w:bookmarkEnd w:id="916"/>
    </w:p>
    <w:p w14:paraId="4EDC1624">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关于资格的声明函</w:t>
      </w:r>
    </w:p>
    <w:p w14:paraId="6C4A508C">
      <w:pPr>
        <w:spacing w:line="360" w:lineRule="auto"/>
        <w:jc w:val="center"/>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采购项目编号：</w:t>
      </w:r>
      <w:r>
        <w:rPr>
          <w:rFonts w:hint="eastAsia" w:ascii="宋体" w:hAnsi="宋体"/>
          <w:bCs/>
          <w:color w:val="auto"/>
          <w:sz w:val="24"/>
          <w:szCs w:val="24"/>
          <w:highlight w:val="none"/>
          <w:lang w:eastAsia="zh-CN"/>
        </w:rPr>
        <w:t>JSZC-320206-JXCZ-G2026-0004</w:t>
      </w:r>
    </w:p>
    <w:p w14:paraId="7A00F328">
      <w:pPr>
        <w:tabs>
          <w:tab w:val="left" w:pos="6300"/>
        </w:tabs>
        <w:spacing w:line="360" w:lineRule="auto"/>
        <w:jc w:val="left"/>
        <w:rPr>
          <w:rFonts w:ascii="宋体" w:hAnsi="宋体"/>
          <w:bCs/>
          <w:color w:val="auto"/>
          <w:sz w:val="24"/>
          <w:szCs w:val="24"/>
          <w:highlight w:val="none"/>
        </w:rPr>
      </w:pPr>
      <w:r>
        <w:rPr>
          <w:rFonts w:hint="eastAsia" w:ascii="宋体" w:hAnsi="宋体"/>
          <w:bCs/>
          <w:color w:val="auto"/>
          <w:sz w:val="24"/>
          <w:szCs w:val="24"/>
          <w:highlight w:val="none"/>
        </w:rPr>
        <w:t>无锡市惠山区阳山镇人民政府：</w:t>
      </w:r>
    </w:p>
    <w:p w14:paraId="117D3FB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参加本次项目（2026-2027年度度假区(阳山镇)机关食堂外包服务项目）政府采购活动前三年内，在经营活动中没有重大违法记录，我公司（单位）愿针对本次项目（2026-2027年度度假区(阳山镇)机关食堂外包服务项目）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愿意承担由此而产生的一切后果。</w:t>
      </w:r>
    </w:p>
    <w:p w14:paraId="0D031965">
      <w:pPr>
        <w:spacing w:line="360" w:lineRule="auto"/>
        <w:rPr>
          <w:rFonts w:ascii="宋体" w:hAnsi="宋体"/>
          <w:bCs/>
          <w:color w:val="auto"/>
          <w:sz w:val="24"/>
          <w:szCs w:val="24"/>
          <w:highlight w:val="none"/>
        </w:rPr>
      </w:pPr>
    </w:p>
    <w:p w14:paraId="4AF1E21A">
      <w:pPr>
        <w:spacing w:line="360" w:lineRule="auto"/>
        <w:ind w:firstLine="4200"/>
        <w:jc w:val="left"/>
        <w:rPr>
          <w:color w:val="auto"/>
          <w:sz w:val="24"/>
          <w:szCs w:val="24"/>
          <w:highlight w:val="none"/>
        </w:rPr>
      </w:pPr>
      <w:r>
        <w:rPr>
          <w:rFonts w:hint="eastAsia"/>
          <w:color w:val="auto"/>
          <w:sz w:val="24"/>
          <w:szCs w:val="24"/>
          <w:highlight w:val="none"/>
        </w:rPr>
        <w:t>投标供应商（盖章）：</w:t>
      </w:r>
    </w:p>
    <w:p w14:paraId="3C7BD1F1">
      <w:pPr>
        <w:spacing w:line="360" w:lineRule="auto"/>
        <w:ind w:firstLine="3480"/>
        <w:jc w:val="left"/>
        <w:rPr>
          <w:color w:val="auto"/>
          <w:sz w:val="24"/>
          <w:szCs w:val="24"/>
          <w:highlight w:val="none"/>
        </w:rPr>
      </w:pPr>
      <w:r>
        <w:rPr>
          <w:rFonts w:hint="eastAsia"/>
          <w:color w:val="auto"/>
          <w:sz w:val="24"/>
          <w:szCs w:val="24"/>
          <w:highlight w:val="none"/>
        </w:rPr>
        <w:t>法定代表人（签字或盖章）：</w:t>
      </w:r>
    </w:p>
    <w:p w14:paraId="7531E3DD">
      <w:pPr>
        <w:spacing w:line="360" w:lineRule="auto"/>
        <w:ind w:firstLine="5640"/>
        <w:rPr>
          <w:color w:val="auto"/>
          <w:sz w:val="24"/>
          <w:szCs w:val="24"/>
          <w:highlight w:val="none"/>
        </w:rPr>
      </w:pPr>
    </w:p>
    <w:p w14:paraId="15FF82E8">
      <w:pPr>
        <w:spacing w:line="360" w:lineRule="auto"/>
        <w:ind w:firstLine="5640"/>
        <w:rPr>
          <w:color w:val="auto"/>
          <w:highlight w:val="none"/>
        </w:rPr>
      </w:pPr>
      <w:r>
        <w:rPr>
          <w:rFonts w:hint="eastAsia"/>
          <w:color w:val="auto"/>
          <w:sz w:val="24"/>
          <w:szCs w:val="24"/>
          <w:highlight w:val="none"/>
        </w:rPr>
        <w:t>日  期：    年     月     日</w:t>
      </w:r>
    </w:p>
    <w:p w14:paraId="064DCE3C">
      <w:pPr>
        <w:spacing w:line="360" w:lineRule="auto"/>
        <w:rPr>
          <w:color w:val="auto"/>
          <w:highlight w:val="none"/>
        </w:rPr>
      </w:pPr>
    </w:p>
    <w:p w14:paraId="71ED8000">
      <w:pPr>
        <w:pageBreakBefore/>
        <w:spacing w:line="360" w:lineRule="auto"/>
        <w:outlineLvl w:val="0"/>
        <w:rPr>
          <w:rFonts w:ascii="宋体" w:hAnsi="宋体"/>
          <w:bCs/>
          <w:color w:val="auto"/>
          <w:sz w:val="24"/>
          <w:szCs w:val="24"/>
          <w:highlight w:val="none"/>
        </w:rPr>
      </w:pPr>
      <w:bookmarkStart w:id="917" w:name="_Toc98277375"/>
      <w:bookmarkStart w:id="918" w:name="_Toc116946355"/>
      <w:r>
        <w:rPr>
          <w:rFonts w:hint="eastAsia" w:ascii="宋体" w:hAnsi="宋体"/>
          <w:bCs/>
          <w:color w:val="auto"/>
          <w:sz w:val="24"/>
          <w:szCs w:val="24"/>
          <w:highlight w:val="none"/>
        </w:rPr>
        <w:t>（三）（投标供应商）法定代表人授权委托书（格式）：</w:t>
      </w:r>
      <w:bookmarkEnd w:id="913"/>
      <w:bookmarkEnd w:id="914"/>
      <w:bookmarkEnd w:id="915"/>
      <w:bookmarkEnd w:id="917"/>
      <w:bookmarkEnd w:id="918"/>
    </w:p>
    <w:p w14:paraId="3F5486A6">
      <w:pPr>
        <w:spacing w:line="360" w:lineRule="auto"/>
        <w:rPr>
          <w:color w:val="auto"/>
          <w:highlight w:val="none"/>
        </w:rPr>
      </w:pPr>
    </w:p>
    <w:p w14:paraId="28BE5184">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法定代表人授权委托书</w:t>
      </w:r>
    </w:p>
    <w:p w14:paraId="284A0C2C">
      <w:pPr>
        <w:spacing w:line="360" w:lineRule="auto"/>
        <w:jc w:val="center"/>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采购项目编号：</w:t>
      </w:r>
      <w:r>
        <w:rPr>
          <w:rFonts w:hint="eastAsia" w:ascii="宋体" w:hAnsi="宋体"/>
          <w:bCs/>
          <w:color w:val="auto"/>
          <w:sz w:val="24"/>
          <w:szCs w:val="24"/>
          <w:highlight w:val="none"/>
          <w:lang w:eastAsia="zh-CN"/>
        </w:rPr>
        <w:t>JSZC-320206-JXCZ-G2026-0004</w:t>
      </w:r>
    </w:p>
    <w:p w14:paraId="3BC1B7F2">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无锡市惠山区阳山镇人民政府：</w:t>
      </w:r>
    </w:p>
    <w:p w14:paraId="11BA8F17">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代表我公司（单位）全权办理针对本项目（2026-2027年度度假区(阳山镇)机关食堂外包服务项目）的投标、参与开标、评标、签约等具体工作，并签署全部有关的文件、协议及合同。</w:t>
      </w:r>
    </w:p>
    <w:p w14:paraId="3D102678">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我公司（单位）对被授权代表的签名负全部责任。</w:t>
      </w:r>
    </w:p>
    <w:p w14:paraId="2FA09D8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在撤销授权的书面通知送达你处以前，本授权书一直有效，被授权代表签署的所有文件（在授权书有效期内签署的）不因授权的撤销而失效。</w:t>
      </w:r>
    </w:p>
    <w:p w14:paraId="3FC79537">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被授权代表情况：</w:t>
      </w:r>
    </w:p>
    <w:p w14:paraId="66B424A9">
      <w:pPr>
        <w:spacing w:line="360" w:lineRule="auto"/>
        <w:ind w:firstLine="525"/>
        <w:rPr>
          <w:rFonts w:ascii="宋体" w:hAnsi="宋体"/>
          <w:bCs/>
          <w:color w:val="auto"/>
          <w:sz w:val="24"/>
          <w:szCs w:val="24"/>
          <w:highlight w:val="none"/>
        </w:rPr>
      </w:pPr>
      <w:r>
        <w:rPr>
          <w:rFonts w:hint="eastAsia" w:ascii="宋体" w:hAnsi="宋体"/>
          <w:bCs/>
          <w:color w:val="auto"/>
          <w:sz w:val="24"/>
          <w:szCs w:val="24"/>
          <w:highlight w:val="none"/>
        </w:rPr>
        <w:t>姓名：         性别：       电话：</w:t>
      </w:r>
    </w:p>
    <w:p w14:paraId="27EF64C0">
      <w:pPr>
        <w:spacing w:line="360" w:lineRule="auto"/>
        <w:ind w:firstLine="3240"/>
        <w:rPr>
          <w:rFonts w:ascii="宋体" w:hAnsi="宋体"/>
          <w:bCs/>
          <w:color w:val="auto"/>
          <w:sz w:val="24"/>
          <w:szCs w:val="24"/>
          <w:highlight w:val="none"/>
        </w:rPr>
      </w:pPr>
    </w:p>
    <w:p w14:paraId="25F8EF2C">
      <w:pPr>
        <w:spacing w:line="360" w:lineRule="auto"/>
        <w:ind w:firstLine="3240"/>
        <w:rPr>
          <w:rFonts w:ascii="宋体" w:hAnsi="宋体"/>
          <w:bCs/>
          <w:color w:val="auto"/>
          <w:sz w:val="24"/>
          <w:szCs w:val="24"/>
          <w:highlight w:val="none"/>
        </w:rPr>
      </w:pPr>
    </w:p>
    <w:p w14:paraId="59FC2128">
      <w:pPr>
        <w:spacing w:line="360" w:lineRule="auto"/>
        <w:ind w:firstLine="4200"/>
        <w:jc w:val="left"/>
        <w:rPr>
          <w:color w:val="auto"/>
          <w:sz w:val="24"/>
          <w:szCs w:val="24"/>
          <w:highlight w:val="none"/>
        </w:rPr>
      </w:pPr>
      <w:r>
        <w:rPr>
          <w:rFonts w:hint="eastAsia"/>
          <w:color w:val="auto"/>
          <w:sz w:val="24"/>
          <w:szCs w:val="24"/>
          <w:highlight w:val="none"/>
        </w:rPr>
        <w:t>投标供应商（盖章）：</w:t>
      </w:r>
    </w:p>
    <w:p w14:paraId="3890E1E2">
      <w:pPr>
        <w:spacing w:line="360" w:lineRule="auto"/>
        <w:ind w:firstLine="3480"/>
        <w:jc w:val="left"/>
        <w:rPr>
          <w:color w:val="auto"/>
          <w:sz w:val="24"/>
          <w:szCs w:val="24"/>
          <w:highlight w:val="none"/>
        </w:rPr>
      </w:pPr>
      <w:r>
        <w:rPr>
          <w:rFonts w:hint="eastAsia"/>
          <w:color w:val="auto"/>
          <w:sz w:val="24"/>
          <w:szCs w:val="24"/>
          <w:highlight w:val="none"/>
        </w:rPr>
        <w:t>法定代表人（签字或盖章）：</w:t>
      </w:r>
    </w:p>
    <w:p w14:paraId="29367996">
      <w:pPr>
        <w:spacing w:line="360" w:lineRule="auto"/>
        <w:ind w:firstLine="5640"/>
        <w:jc w:val="left"/>
        <w:rPr>
          <w:color w:val="auto"/>
          <w:highlight w:val="none"/>
        </w:rPr>
      </w:pPr>
      <w:r>
        <w:rPr>
          <w:rFonts w:hint="eastAsia"/>
          <w:color w:val="auto"/>
          <w:sz w:val="24"/>
          <w:szCs w:val="24"/>
          <w:highlight w:val="none"/>
        </w:rPr>
        <w:t>日  期：    年     月     日</w:t>
      </w:r>
    </w:p>
    <w:p w14:paraId="29E34B35">
      <w:pPr>
        <w:spacing w:line="360" w:lineRule="auto"/>
        <w:ind w:firstLine="480"/>
        <w:rPr>
          <w:color w:val="auto"/>
          <w:sz w:val="24"/>
          <w:szCs w:val="24"/>
          <w:highlight w:val="none"/>
        </w:rPr>
      </w:pPr>
    </w:p>
    <w:p w14:paraId="0FC8F052">
      <w:pPr>
        <w:spacing w:line="360" w:lineRule="auto"/>
        <w:rPr>
          <w:color w:val="auto"/>
          <w:highlight w:val="none"/>
        </w:rPr>
      </w:pPr>
    </w:p>
    <w:tbl>
      <w:tblPr>
        <w:tblStyle w:val="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23ED9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2AB838E1">
            <w:pPr>
              <w:widowControl/>
              <w:spacing w:before="4" w:line="360" w:lineRule="auto"/>
              <w:rPr>
                <w:rFonts w:ascii="宋体" w:hAnsi="宋体"/>
                <w:color w:val="auto"/>
                <w:sz w:val="24"/>
                <w:highlight w:val="none"/>
              </w:rPr>
            </w:pPr>
          </w:p>
          <w:p w14:paraId="786AE754">
            <w:pPr>
              <w:widowControl/>
              <w:spacing w:before="4" w:line="360" w:lineRule="auto"/>
              <w:rPr>
                <w:rFonts w:ascii="宋体" w:hAnsi="宋体"/>
                <w:color w:val="auto"/>
                <w:sz w:val="24"/>
                <w:highlight w:val="none"/>
              </w:rPr>
            </w:pPr>
          </w:p>
          <w:p w14:paraId="38396851">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法定代表人身份证复印件</w:t>
            </w:r>
          </w:p>
          <w:p w14:paraId="0D63CD5C">
            <w:pPr>
              <w:widowControl/>
              <w:spacing w:before="4" w:line="360" w:lineRule="auto"/>
              <w:jc w:val="center"/>
              <w:rPr>
                <w:rFonts w:ascii="宋体" w:hAnsi="宋体"/>
                <w:color w:val="auto"/>
                <w:sz w:val="24"/>
                <w:highlight w:val="none"/>
              </w:rPr>
            </w:pPr>
          </w:p>
        </w:tc>
        <w:tc>
          <w:tcPr>
            <w:tcW w:w="720" w:type="dxa"/>
            <w:tcBorders>
              <w:top w:val="nil"/>
              <w:bottom w:val="nil"/>
            </w:tcBorders>
          </w:tcPr>
          <w:p w14:paraId="48CA0568">
            <w:pPr>
              <w:widowControl/>
              <w:spacing w:line="360" w:lineRule="auto"/>
              <w:jc w:val="left"/>
              <w:rPr>
                <w:rFonts w:ascii="宋体" w:hAnsi="宋体"/>
                <w:color w:val="auto"/>
                <w:sz w:val="24"/>
                <w:highlight w:val="none"/>
              </w:rPr>
            </w:pPr>
          </w:p>
        </w:tc>
        <w:tc>
          <w:tcPr>
            <w:tcW w:w="5040" w:type="dxa"/>
          </w:tcPr>
          <w:p w14:paraId="093E4F76">
            <w:pPr>
              <w:widowControl/>
              <w:spacing w:before="4" w:line="360" w:lineRule="auto"/>
              <w:rPr>
                <w:rFonts w:ascii="宋体" w:hAnsi="宋体"/>
                <w:color w:val="auto"/>
                <w:sz w:val="24"/>
                <w:highlight w:val="none"/>
              </w:rPr>
            </w:pPr>
          </w:p>
          <w:p w14:paraId="367B0BD4">
            <w:pPr>
              <w:widowControl/>
              <w:spacing w:before="4" w:line="360" w:lineRule="auto"/>
              <w:rPr>
                <w:rFonts w:ascii="宋体" w:hAnsi="宋体"/>
                <w:color w:val="auto"/>
                <w:sz w:val="24"/>
                <w:highlight w:val="none"/>
              </w:rPr>
            </w:pPr>
          </w:p>
          <w:p w14:paraId="29819311">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法定代表人身份证复印件</w:t>
            </w:r>
          </w:p>
          <w:p w14:paraId="6AF3BEDA">
            <w:pPr>
              <w:widowControl/>
              <w:spacing w:before="4" w:line="360" w:lineRule="auto"/>
              <w:jc w:val="center"/>
              <w:rPr>
                <w:rFonts w:ascii="宋体" w:hAnsi="宋体"/>
                <w:color w:val="auto"/>
                <w:sz w:val="24"/>
                <w:highlight w:val="none"/>
              </w:rPr>
            </w:pPr>
          </w:p>
        </w:tc>
      </w:tr>
    </w:tbl>
    <w:p w14:paraId="6D9C4BC0">
      <w:pPr>
        <w:spacing w:line="360" w:lineRule="auto"/>
        <w:jc w:val="left"/>
        <w:rPr>
          <w:rFonts w:ascii="宋体" w:hAnsi="宋体"/>
          <w:bCs/>
          <w:color w:val="auto"/>
          <w:sz w:val="24"/>
          <w:szCs w:val="24"/>
          <w:highlight w:val="none"/>
        </w:rPr>
      </w:pPr>
    </w:p>
    <w:tbl>
      <w:tblPr>
        <w:tblStyle w:val="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45701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2013063A">
            <w:pPr>
              <w:widowControl/>
              <w:spacing w:before="4" w:line="360" w:lineRule="auto"/>
              <w:rPr>
                <w:rFonts w:ascii="宋体" w:hAnsi="宋体"/>
                <w:color w:val="auto"/>
                <w:sz w:val="24"/>
                <w:highlight w:val="none"/>
              </w:rPr>
            </w:pPr>
          </w:p>
          <w:p w14:paraId="14E2B41E">
            <w:pPr>
              <w:widowControl/>
              <w:spacing w:before="4" w:line="360" w:lineRule="auto"/>
              <w:rPr>
                <w:rFonts w:ascii="宋体" w:hAnsi="宋体"/>
                <w:color w:val="auto"/>
                <w:sz w:val="24"/>
                <w:highlight w:val="none"/>
              </w:rPr>
            </w:pPr>
          </w:p>
          <w:p w14:paraId="58249C98">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被授权代表身份证复印件</w:t>
            </w:r>
          </w:p>
          <w:p w14:paraId="0F9847D1">
            <w:pPr>
              <w:widowControl/>
              <w:spacing w:before="4" w:line="360" w:lineRule="auto"/>
              <w:jc w:val="center"/>
              <w:rPr>
                <w:rFonts w:ascii="宋体" w:hAnsi="宋体"/>
                <w:color w:val="auto"/>
                <w:sz w:val="24"/>
                <w:highlight w:val="none"/>
              </w:rPr>
            </w:pPr>
          </w:p>
        </w:tc>
        <w:tc>
          <w:tcPr>
            <w:tcW w:w="720" w:type="dxa"/>
            <w:tcBorders>
              <w:top w:val="nil"/>
              <w:bottom w:val="nil"/>
            </w:tcBorders>
          </w:tcPr>
          <w:p w14:paraId="6007D32C">
            <w:pPr>
              <w:widowControl/>
              <w:spacing w:line="360" w:lineRule="auto"/>
              <w:jc w:val="left"/>
              <w:rPr>
                <w:rFonts w:ascii="宋体" w:hAnsi="宋体"/>
                <w:color w:val="auto"/>
                <w:sz w:val="24"/>
                <w:highlight w:val="none"/>
              </w:rPr>
            </w:pPr>
          </w:p>
        </w:tc>
        <w:tc>
          <w:tcPr>
            <w:tcW w:w="5040" w:type="dxa"/>
          </w:tcPr>
          <w:p w14:paraId="273D2C4E">
            <w:pPr>
              <w:widowControl/>
              <w:spacing w:before="4" w:line="360" w:lineRule="auto"/>
              <w:rPr>
                <w:rFonts w:ascii="宋体" w:hAnsi="宋体"/>
                <w:color w:val="auto"/>
                <w:sz w:val="24"/>
                <w:highlight w:val="none"/>
              </w:rPr>
            </w:pPr>
          </w:p>
          <w:p w14:paraId="70D986B2">
            <w:pPr>
              <w:widowControl/>
              <w:spacing w:before="4" w:line="360" w:lineRule="auto"/>
              <w:rPr>
                <w:rFonts w:ascii="宋体" w:hAnsi="宋体"/>
                <w:color w:val="auto"/>
                <w:sz w:val="24"/>
                <w:highlight w:val="none"/>
              </w:rPr>
            </w:pPr>
          </w:p>
          <w:p w14:paraId="64115D1D">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被授权代表身份证复印件</w:t>
            </w:r>
          </w:p>
          <w:p w14:paraId="092E0485">
            <w:pPr>
              <w:widowControl/>
              <w:spacing w:before="4" w:line="360" w:lineRule="auto"/>
              <w:jc w:val="center"/>
              <w:rPr>
                <w:rFonts w:ascii="宋体" w:hAnsi="宋体"/>
                <w:color w:val="auto"/>
                <w:sz w:val="24"/>
                <w:highlight w:val="none"/>
              </w:rPr>
            </w:pPr>
          </w:p>
        </w:tc>
      </w:tr>
    </w:tbl>
    <w:p w14:paraId="77B341E8">
      <w:pPr>
        <w:spacing w:line="360" w:lineRule="auto"/>
        <w:jc w:val="left"/>
        <w:rPr>
          <w:rFonts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法定代表人亲自参加投标的需提供：</w:t>
      </w:r>
    </w:p>
    <w:p w14:paraId="32F45D37">
      <w:pPr>
        <w:spacing w:line="360" w:lineRule="auto"/>
        <w:jc w:val="center"/>
        <w:rPr>
          <w:rFonts w:ascii="宋体" w:hAnsi="宋体"/>
          <w:b/>
          <w:color w:val="auto"/>
          <w:sz w:val="28"/>
          <w:szCs w:val="28"/>
          <w:highlight w:val="none"/>
        </w:rPr>
      </w:pPr>
    </w:p>
    <w:p w14:paraId="63A8CB3D">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法定代表人身份证明书（格式）</w:t>
      </w:r>
    </w:p>
    <w:p w14:paraId="5D89CF35">
      <w:pPr>
        <w:spacing w:line="360" w:lineRule="auto"/>
        <w:ind w:firstLine="612"/>
        <w:rPr>
          <w:rFonts w:ascii="宋体" w:hAnsi="宋体"/>
          <w:color w:val="auto"/>
          <w:sz w:val="24"/>
          <w:szCs w:val="24"/>
          <w:highlight w:val="none"/>
        </w:rPr>
      </w:pPr>
      <w:r>
        <w:rPr>
          <w:rFonts w:hint="eastAsia" w:ascii="宋体" w:hAnsi="宋体"/>
          <w:color w:val="auto"/>
          <w:sz w:val="24"/>
          <w:szCs w:val="24"/>
          <w:highlight w:val="none"/>
        </w:rPr>
        <w:t>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p>
    <w:p w14:paraId="0ADEFB40">
      <w:pPr>
        <w:spacing w:line="360" w:lineRule="auto"/>
        <w:ind w:firstLine="612"/>
        <w:rPr>
          <w:rFonts w:ascii="宋体" w:hAnsi="宋体"/>
          <w:color w:val="auto"/>
          <w:sz w:val="24"/>
          <w:szCs w:val="24"/>
          <w:highlight w:val="none"/>
        </w:rPr>
      </w:pPr>
    </w:p>
    <w:p w14:paraId="2759754F">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p>
    <w:p w14:paraId="2DF60DE0">
      <w:pPr>
        <w:spacing w:line="360" w:lineRule="auto"/>
        <w:ind w:firstLine="610"/>
        <w:rPr>
          <w:rFonts w:ascii="宋体" w:hAnsi="宋体"/>
          <w:color w:val="auto"/>
          <w:sz w:val="24"/>
          <w:szCs w:val="24"/>
          <w:highlight w:val="none"/>
        </w:rPr>
      </w:pPr>
    </w:p>
    <w:p w14:paraId="537F0A5D">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p>
    <w:p w14:paraId="4BBD7045">
      <w:pPr>
        <w:spacing w:line="360" w:lineRule="auto"/>
        <w:ind w:firstLine="610"/>
        <w:rPr>
          <w:rFonts w:ascii="宋体" w:hAnsi="宋体"/>
          <w:color w:val="auto"/>
          <w:sz w:val="24"/>
          <w:szCs w:val="24"/>
          <w:highlight w:val="none"/>
        </w:rPr>
      </w:pPr>
    </w:p>
    <w:p w14:paraId="3D88E2C7">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成立时间：年月日</w:t>
      </w:r>
    </w:p>
    <w:p w14:paraId="4770D2B8">
      <w:pPr>
        <w:spacing w:line="360" w:lineRule="auto"/>
        <w:ind w:firstLine="610"/>
        <w:rPr>
          <w:rFonts w:ascii="宋体" w:hAnsi="宋体"/>
          <w:color w:val="auto"/>
          <w:sz w:val="24"/>
          <w:szCs w:val="24"/>
          <w:highlight w:val="none"/>
        </w:rPr>
      </w:pPr>
    </w:p>
    <w:p w14:paraId="4E50C24C">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p>
    <w:p w14:paraId="0B3AB534">
      <w:pPr>
        <w:spacing w:line="360" w:lineRule="auto"/>
        <w:ind w:firstLine="610"/>
        <w:rPr>
          <w:rFonts w:ascii="宋体" w:hAnsi="宋体"/>
          <w:color w:val="auto"/>
          <w:sz w:val="24"/>
          <w:szCs w:val="24"/>
          <w:highlight w:val="none"/>
        </w:rPr>
      </w:pPr>
    </w:p>
    <w:p w14:paraId="66464C54">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姓    名： 性别：年龄： 职务：</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p>
    <w:p w14:paraId="31EB1473">
      <w:pPr>
        <w:spacing w:line="360" w:lineRule="auto"/>
        <w:ind w:firstLine="610"/>
        <w:rPr>
          <w:rFonts w:ascii="宋体" w:hAnsi="宋体"/>
          <w:color w:val="auto"/>
          <w:sz w:val="24"/>
          <w:szCs w:val="24"/>
          <w:highlight w:val="none"/>
        </w:rPr>
      </w:pPr>
    </w:p>
    <w:p w14:paraId="227C42C4">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系的法定代表人。</w:t>
      </w:r>
    </w:p>
    <w:p w14:paraId="141A1B85">
      <w:pPr>
        <w:spacing w:line="360" w:lineRule="auto"/>
        <w:ind w:firstLine="610"/>
        <w:rPr>
          <w:rFonts w:ascii="宋体" w:hAnsi="宋体"/>
          <w:color w:val="auto"/>
          <w:sz w:val="24"/>
          <w:szCs w:val="24"/>
          <w:highlight w:val="none"/>
        </w:rPr>
      </w:pPr>
    </w:p>
    <w:p w14:paraId="489E6747">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特此证明。</w:t>
      </w:r>
    </w:p>
    <w:p w14:paraId="7FECDDD7">
      <w:pPr>
        <w:tabs>
          <w:tab w:val="left" w:pos="720"/>
          <w:tab w:val="left" w:pos="900"/>
        </w:tabs>
        <w:spacing w:line="360" w:lineRule="auto"/>
        <w:ind w:firstLine="4560"/>
        <w:rPr>
          <w:rFonts w:ascii="宋体" w:hAnsi="宋体"/>
          <w:color w:val="auto"/>
          <w:sz w:val="24"/>
          <w:szCs w:val="24"/>
          <w:highlight w:val="none"/>
        </w:rPr>
      </w:pPr>
    </w:p>
    <w:p w14:paraId="3D077326">
      <w:pPr>
        <w:tabs>
          <w:tab w:val="left" w:pos="720"/>
          <w:tab w:val="left" w:pos="900"/>
        </w:tabs>
        <w:spacing w:line="360" w:lineRule="auto"/>
        <w:ind w:firstLine="4800"/>
        <w:rPr>
          <w:rFonts w:ascii="宋体" w:hAnsi="宋体"/>
          <w:color w:val="auto"/>
          <w:sz w:val="24"/>
          <w:szCs w:val="24"/>
          <w:highlight w:val="none"/>
        </w:rPr>
      </w:pPr>
      <w:r>
        <w:rPr>
          <w:rFonts w:hint="eastAsia" w:ascii="宋体" w:hAnsi="宋体"/>
          <w:color w:val="auto"/>
          <w:sz w:val="24"/>
          <w:szCs w:val="24"/>
          <w:highlight w:val="none"/>
        </w:rPr>
        <w:t>投标供应商：</w:t>
      </w:r>
      <w:r>
        <w:rPr>
          <w:rFonts w:hint="eastAsia" w:ascii="宋体" w:hAnsi="宋体"/>
          <w:color w:val="auto"/>
          <w:sz w:val="24"/>
          <w:szCs w:val="24"/>
          <w:highlight w:val="none"/>
          <w:u w:val="single"/>
        </w:rPr>
        <w:t xml:space="preserve">             （盖公章）</w:t>
      </w:r>
    </w:p>
    <w:p w14:paraId="61D93DF6">
      <w:pPr>
        <w:widowControl/>
        <w:spacing w:line="360" w:lineRule="auto"/>
        <w:ind w:right="480" w:firstLine="5280"/>
        <w:rPr>
          <w:rFonts w:ascii="宋体" w:hAnsi="宋体"/>
          <w:color w:val="auto"/>
          <w:sz w:val="24"/>
          <w:szCs w:val="24"/>
          <w:highlight w:val="none"/>
        </w:rPr>
      </w:pPr>
      <w:r>
        <w:rPr>
          <w:rFonts w:hint="eastAsia" w:ascii="宋体" w:hAnsi="宋体"/>
          <w:color w:val="auto"/>
          <w:sz w:val="24"/>
          <w:szCs w:val="24"/>
          <w:highlight w:val="none"/>
        </w:rPr>
        <w:t>日  期：  年  月  日</w:t>
      </w:r>
    </w:p>
    <w:tbl>
      <w:tblPr>
        <w:tblStyle w:val="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17168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662AF94E">
            <w:pPr>
              <w:widowControl/>
              <w:spacing w:before="4" w:line="360" w:lineRule="auto"/>
              <w:rPr>
                <w:rFonts w:ascii="宋体" w:hAnsi="宋体"/>
                <w:color w:val="auto"/>
                <w:sz w:val="24"/>
                <w:highlight w:val="none"/>
              </w:rPr>
            </w:pPr>
          </w:p>
          <w:p w14:paraId="19AB179B">
            <w:pPr>
              <w:widowControl/>
              <w:spacing w:before="4" w:line="360" w:lineRule="auto"/>
              <w:rPr>
                <w:rFonts w:ascii="宋体" w:hAnsi="宋体"/>
                <w:color w:val="auto"/>
                <w:sz w:val="24"/>
                <w:highlight w:val="none"/>
              </w:rPr>
            </w:pPr>
          </w:p>
          <w:p w14:paraId="53B548DC">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法定代表人身份证复印件</w:t>
            </w:r>
          </w:p>
          <w:p w14:paraId="6CB8F88F">
            <w:pPr>
              <w:widowControl/>
              <w:spacing w:before="4" w:line="360" w:lineRule="auto"/>
              <w:jc w:val="center"/>
              <w:rPr>
                <w:rFonts w:ascii="宋体" w:hAnsi="宋体"/>
                <w:color w:val="auto"/>
                <w:sz w:val="24"/>
                <w:highlight w:val="none"/>
              </w:rPr>
            </w:pPr>
          </w:p>
        </w:tc>
        <w:tc>
          <w:tcPr>
            <w:tcW w:w="720" w:type="dxa"/>
            <w:tcBorders>
              <w:top w:val="nil"/>
              <w:bottom w:val="nil"/>
            </w:tcBorders>
          </w:tcPr>
          <w:p w14:paraId="0F248196">
            <w:pPr>
              <w:widowControl/>
              <w:spacing w:line="360" w:lineRule="auto"/>
              <w:jc w:val="left"/>
              <w:rPr>
                <w:rFonts w:ascii="宋体" w:hAnsi="宋体"/>
                <w:color w:val="auto"/>
                <w:sz w:val="24"/>
                <w:highlight w:val="none"/>
              </w:rPr>
            </w:pPr>
          </w:p>
        </w:tc>
        <w:tc>
          <w:tcPr>
            <w:tcW w:w="5040" w:type="dxa"/>
          </w:tcPr>
          <w:p w14:paraId="068BFFE2">
            <w:pPr>
              <w:widowControl/>
              <w:spacing w:before="4" w:line="360" w:lineRule="auto"/>
              <w:rPr>
                <w:rFonts w:ascii="宋体" w:hAnsi="宋体"/>
                <w:color w:val="auto"/>
                <w:sz w:val="24"/>
                <w:highlight w:val="none"/>
              </w:rPr>
            </w:pPr>
          </w:p>
          <w:p w14:paraId="43E430E8">
            <w:pPr>
              <w:widowControl/>
              <w:spacing w:before="4" w:line="360" w:lineRule="auto"/>
              <w:rPr>
                <w:rFonts w:ascii="宋体" w:hAnsi="宋体"/>
                <w:color w:val="auto"/>
                <w:sz w:val="24"/>
                <w:highlight w:val="none"/>
              </w:rPr>
            </w:pPr>
          </w:p>
          <w:p w14:paraId="243509C7">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法定代表人身份证复印件</w:t>
            </w:r>
          </w:p>
          <w:p w14:paraId="21C4D470">
            <w:pPr>
              <w:widowControl/>
              <w:spacing w:before="4" w:line="360" w:lineRule="auto"/>
              <w:jc w:val="center"/>
              <w:rPr>
                <w:rFonts w:ascii="宋体" w:hAnsi="宋体"/>
                <w:color w:val="auto"/>
                <w:sz w:val="24"/>
                <w:highlight w:val="none"/>
              </w:rPr>
            </w:pPr>
          </w:p>
        </w:tc>
      </w:tr>
    </w:tbl>
    <w:p w14:paraId="56818E72">
      <w:pPr>
        <w:widowControl/>
        <w:spacing w:line="360" w:lineRule="auto"/>
        <w:ind w:right="240"/>
        <w:jc w:val="left"/>
        <w:rPr>
          <w:rFonts w:ascii="宋体" w:hAnsi="宋体"/>
          <w:bCs/>
          <w:color w:val="auto"/>
          <w:sz w:val="24"/>
          <w:szCs w:val="24"/>
          <w:highlight w:val="none"/>
        </w:rPr>
      </w:pPr>
      <w:r>
        <w:rPr>
          <w:rFonts w:ascii="宋体" w:hAnsi="宋体"/>
          <w:bCs/>
          <w:color w:val="auto"/>
          <w:sz w:val="24"/>
          <w:szCs w:val="24"/>
          <w:highlight w:val="none"/>
        </w:rPr>
        <w:br w:type="page" w:clear="all"/>
      </w:r>
    </w:p>
    <w:p w14:paraId="4342839B">
      <w:pPr>
        <w:pageBreakBefore/>
        <w:spacing w:line="360" w:lineRule="auto"/>
        <w:outlineLvl w:val="0"/>
        <w:rPr>
          <w:rFonts w:ascii="宋体" w:hAnsi="宋体"/>
          <w:bCs/>
          <w:color w:val="auto"/>
          <w:sz w:val="24"/>
          <w:szCs w:val="24"/>
          <w:highlight w:val="none"/>
        </w:rPr>
      </w:pPr>
      <w:bookmarkStart w:id="919" w:name="_Toc39873233"/>
      <w:bookmarkStart w:id="920" w:name="_Toc39873188"/>
      <w:bookmarkStart w:id="921" w:name="_Toc36850800"/>
      <w:bookmarkStart w:id="922" w:name="_Toc98277376"/>
      <w:bookmarkStart w:id="923" w:name="_Toc116946356"/>
      <w:r>
        <w:rPr>
          <w:rFonts w:hint="eastAsia" w:ascii="宋体" w:hAnsi="宋体"/>
          <w:bCs/>
          <w:color w:val="auto"/>
          <w:sz w:val="24"/>
          <w:szCs w:val="24"/>
          <w:highlight w:val="none"/>
        </w:rPr>
        <w:t>（四）政府采购投标及履约承诺函（格式）：</w:t>
      </w:r>
      <w:bookmarkEnd w:id="919"/>
      <w:bookmarkEnd w:id="920"/>
      <w:bookmarkEnd w:id="921"/>
      <w:bookmarkEnd w:id="922"/>
      <w:bookmarkEnd w:id="923"/>
    </w:p>
    <w:p w14:paraId="69BFA321">
      <w:pPr>
        <w:spacing w:line="360" w:lineRule="auto"/>
        <w:rPr>
          <w:color w:val="auto"/>
          <w:highlight w:val="none"/>
        </w:rPr>
      </w:pPr>
    </w:p>
    <w:p w14:paraId="77E21050">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政府采购投标及履约承诺函</w:t>
      </w:r>
    </w:p>
    <w:p w14:paraId="3698B969">
      <w:pPr>
        <w:spacing w:line="360" w:lineRule="auto"/>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highlight w:val="none"/>
        </w:rPr>
        <w:t>投标供应商</w:t>
      </w:r>
      <w:r>
        <w:rPr>
          <w:rFonts w:hint="eastAsia" w:ascii="宋体" w:hAnsi="宋体"/>
          <w:color w:val="auto"/>
          <w:sz w:val="24"/>
          <w:szCs w:val="24"/>
          <w:highlight w:val="none"/>
        </w:rPr>
        <w:t>名称）在此承诺：</w:t>
      </w:r>
    </w:p>
    <w:p w14:paraId="1C0DBDCC">
      <w:pPr>
        <w:spacing w:line="360" w:lineRule="auto"/>
        <w:ind w:firstLine="482"/>
        <w:jc w:val="left"/>
        <w:rPr>
          <w:rFonts w:ascii="宋体" w:hAnsi="宋体"/>
          <w:bCs/>
          <w:color w:val="auto"/>
          <w:sz w:val="24"/>
          <w:szCs w:val="24"/>
          <w:highlight w:val="none"/>
        </w:rPr>
      </w:pPr>
      <w:r>
        <w:rPr>
          <w:rFonts w:ascii="宋体" w:hAnsi="宋体"/>
          <w:bCs/>
          <w:color w:val="auto"/>
          <w:sz w:val="24"/>
          <w:szCs w:val="24"/>
          <w:highlight w:val="none"/>
        </w:rPr>
        <w:t>我公司</w:t>
      </w:r>
      <w:r>
        <w:rPr>
          <w:rFonts w:hint="eastAsia" w:ascii="宋体" w:hAnsi="宋体"/>
          <w:bCs/>
          <w:color w:val="auto"/>
          <w:sz w:val="24"/>
          <w:szCs w:val="24"/>
          <w:highlight w:val="none"/>
        </w:rPr>
        <w:t>（</w:t>
      </w:r>
      <w:r>
        <w:rPr>
          <w:rFonts w:ascii="宋体" w:hAnsi="宋体"/>
          <w:bCs/>
          <w:color w:val="auto"/>
          <w:sz w:val="24"/>
          <w:szCs w:val="24"/>
          <w:highlight w:val="none"/>
        </w:rPr>
        <w:t>单位</w:t>
      </w:r>
      <w:r>
        <w:rPr>
          <w:rFonts w:hint="eastAsia" w:ascii="宋体" w:hAnsi="宋体"/>
          <w:bCs/>
          <w:color w:val="auto"/>
          <w:sz w:val="24"/>
          <w:szCs w:val="24"/>
          <w:highlight w:val="none"/>
        </w:rPr>
        <w:t>）</w:t>
      </w:r>
      <w:r>
        <w:rPr>
          <w:rFonts w:ascii="宋体" w:hAnsi="宋体"/>
          <w:bCs/>
          <w:color w:val="auto"/>
          <w:sz w:val="24"/>
          <w:szCs w:val="24"/>
          <w:highlight w:val="none"/>
        </w:rPr>
        <w:t>愿针对此次</w:t>
      </w:r>
      <w:r>
        <w:rPr>
          <w:rFonts w:hint="eastAsia" w:ascii="宋体" w:hAnsi="宋体"/>
          <w:b/>
          <w:color w:val="auto"/>
          <w:sz w:val="24"/>
          <w:szCs w:val="24"/>
          <w:highlight w:val="none"/>
          <w:u w:val="single"/>
        </w:rPr>
        <w:t>2026-2027年度度假区(阳山镇)机关食堂外包服务项目</w:t>
      </w:r>
      <w:r>
        <w:rPr>
          <w:rFonts w:hint="eastAsia" w:ascii="宋体" w:hAnsi="宋体"/>
          <w:bCs/>
          <w:color w:val="auto"/>
          <w:sz w:val="24"/>
          <w:szCs w:val="24"/>
          <w:highlight w:val="none"/>
        </w:rPr>
        <w:t>（项目名称）</w:t>
      </w:r>
      <w:r>
        <w:rPr>
          <w:rFonts w:ascii="宋体" w:hAnsi="宋体"/>
          <w:bCs/>
          <w:color w:val="auto"/>
          <w:sz w:val="24"/>
          <w:szCs w:val="24"/>
          <w:highlight w:val="none"/>
        </w:rPr>
        <w:t>进行投标。</w:t>
      </w:r>
      <w:r>
        <w:rPr>
          <w:rFonts w:hint="eastAsia" w:ascii="宋体" w:hAnsi="宋体"/>
          <w:bCs/>
          <w:color w:val="auto"/>
          <w:sz w:val="24"/>
          <w:szCs w:val="24"/>
          <w:highlight w:val="none"/>
        </w:rPr>
        <w:t>我单位承诺如下：</w:t>
      </w:r>
      <w:r>
        <w:rPr>
          <w:rFonts w:ascii="宋体" w:hAnsi="宋体"/>
          <w:bCs/>
          <w:color w:val="auto"/>
          <w:sz w:val="24"/>
          <w:szCs w:val="24"/>
          <w:highlight w:val="none"/>
        </w:rPr>
        <w:br w:type="textWrapping"/>
      </w:r>
      <w:r>
        <w:rPr>
          <w:rFonts w:hint="eastAsia" w:ascii="宋体" w:hAnsi="宋体"/>
          <w:bCs/>
          <w:color w:val="auto"/>
          <w:sz w:val="24"/>
          <w:szCs w:val="24"/>
          <w:highlight w:val="none"/>
        </w:rPr>
        <w:t xml:space="preserve">    1.我单位本招标项目所提供的货物或服务未侵犯知识产权。</w:t>
      </w:r>
    </w:p>
    <w:p w14:paraId="56370DFB">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2.我单位参与本项目投标前三年内，在经营活动中没有违法记录。</w:t>
      </w:r>
    </w:p>
    <w:p w14:paraId="19202BFB">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3.我单位参与本项目政府采购活动时不存在被有关部门禁止参与政府采购活动且在有效期内的情况。</w:t>
      </w:r>
    </w:p>
    <w:p w14:paraId="0243EED7">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4.我单位具备《中华人民共和国政府采购法》第二十二条规定的条件，承诺如下：</w:t>
      </w:r>
    </w:p>
    <w:p w14:paraId="032E597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242BF0C6">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（2）我方符合法律、行政法规规定的其他条件。</w:t>
      </w:r>
    </w:p>
    <w:p w14:paraId="44C096AB">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5.我单位未被列入失信被执行人、税收违法案件当事人名单、政府采购严重违法失信行为记录名单。</w:t>
      </w:r>
    </w:p>
    <w:p w14:paraId="2B60FFE7">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6</w:t>
      </w:r>
      <w:r>
        <w:rPr>
          <w:rFonts w:ascii="宋体" w:hAnsi="宋体"/>
          <w:bCs/>
          <w:color w:val="auto"/>
          <w:sz w:val="24"/>
          <w:szCs w:val="24"/>
          <w:highlight w:val="none"/>
        </w:rPr>
        <w:t>.</w:t>
      </w:r>
      <w:r>
        <w:rPr>
          <w:rFonts w:hint="eastAsia" w:ascii="宋体" w:hAnsi="宋体"/>
          <w:bCs/>
          <w:color w:val="auto"/>
          <w:sz w:val="24"/>
          <w:szCs w:val="24"/>
          <w:highlight w:val="none"/>
        </w:rPr>
        <w:t>我方愿意向贵方提供任何与本项报价有关的数据、情况和技术资料。若贵方需要，我方愿意提供我方作出的一切承诺的证明材料。</w:t>
      </w:r>
    </w:p>
    <w:p w14:paraId="43461C5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7</w:t>
      </w:r>
      <w:r>
        <w:rPr>
          <w:rFonts w:ascii="宋体" w:hAnsi="宋体"/>
          <w:bCs/>
          <w:color w:val="auto"/>
          <w:sz w:val="24"/>
          <w:szCs w:val="24"/>
          <w:highlight w:val="none"/>
        </w:rPr>
        <w:t>.</w:t>
      </w:r>
      <w:r>
        <w:rPr>
          <w:rFonts w:hint="eastAsia" w:ascii="宋体" w:hAnsi="宋体"/>
          <w:bCs/>
          <w:color w:val="auto"/>
          <w:sz w:val="24"/>
          <w:szCs w:val="24"/>
          <w:highlight w:val="none"/>
        </w:rPr>
        <w:t>我方与其他供应商不存在单位负责人为同一人或者存在直接控股、管理关系。</w:t>
      </w:r>
    </w:p>
    <w:p w14:paraId="73B9B36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8</w:t>
      </w:r>
      <w:r>
        <w:rPr>
          <w:rFonts w:ascii="宋体" w:hAnsi="宋体"/>
          <w:bCs/>
          <w:color w:val="auto"/>
          <w:sz w:val="24"/>
          <w:szCs w:val="24"/>
          <w:highlight w:val="none"/>
        </w:rPr>
        <w:t>.</w:t>
      </w:r>
      <w:r>
        <w:rPr>
          <w:rFonts w:hint="eastAsia" w:ascii="宋体" w:hAnsi="宋体"/>
          <w:bCs/>
          <w:color w:val="auto"/>
          <w:sz w:val="24"/>
          <w:szCs w:val="24"/>
          <w:highlight w:val="none"/>
        </w:rPr>
        <w:t>我方承诺未为本项目提供整体设计、规范编制或者项目管理、监理、检测等服务。</w:t>
      </w:r>
    </w:p>
    <w:p w14:paraId="362578E6">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9</w:t>
      </w:r>
      <w:r>
        <w:rPr>
          <w:rFonts w:hint="eastAsia" w:ascii="宋体" w:hAnsi="宋体"/>
          <w:bCs/>
          <w:color w:val="auto"/>
          <w:sz w:val="24"/>
          <w:szCs w:val="24"/>
          <w:highlight w:val="none"/>
        </w:rPr>
        <w:t>.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569BE5CC">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10</w:t>
      </w:r>
      <w:r>
        <w:rPr>
          <w:rFonts w:hint="eastAsia" w:ascii="宋体" w:hAnsi="宋体"/>
          <w:bCs/>
          <w:color w:val="auto"/>
          <w:sz w:val="24"/>
          <w:szCs w:val="24"/>
          <w:highlight w:val="none"/>
        </w:rPr>
        <w:t>.我单位如果中标，做到诚实守信，依照本项目招标文件需求内容、签署的采购合同及本单位在投标中所做的一切承诺履约。</w:t>
      </w:r>
    </w:p>
    <w:p w14:paraId="35CB9F92">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11</w:t>
      </w:r>
      <w:r>
        <w:rPr>
          <w:rFonts w:hint="eastAsia" w:ascii="宋体" w:hAnsi="宋体"/>
          <w:bCs/>
          <w:color w:val="auto"/>
          <w:sz w:val="24"/>
          <w:szCs w:val="24"/>
          <w:highlight w:val="none"/>
        </w:rPr>
        <w:t>.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5FB5836C">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12</w:t>
      </w:r>
      <w:r>
        <w:rPr>
          <w:rFonts w:hint="eastAsia" w:ascii="宋体" w:hAnsi="宋体"/>
          <w:bCs/>
          <w:color w:val="auto"/>
          <w:sz w:val="24"/>
          <w:szCs w:val="24"/>
          <w:highlight w:val="none"/>
        </w:rPr>
        <w:t>.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517FA8D7">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3</w:t>
      </w:r>
      <w:r>
        <w:rPr>
          <w:rFonts w:hint="eastAsia" w:ascii="宋体" w:hAnsi="宋体"/>
          <w:bCs/>
          <w:color w:val="auto"/>
          <w:sz w:val="24"/>
          <w:szCs w:val="24"/>
          <w:highlight w:val="none"/>
        </w:rPr>
        <w:t>.我单位承诺不非法转包、分包。</w:t>
      </w:r>
    </w:p>
    <w:p w14:paraId="297D1B7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4</w:t>
      </w:r>
      <w:r>
        <w:rPr>
          <w:rFonts w:hint="eastAsia" w:ascii="宋体" w:hAnsi="宋体"/>
          <w:bCs/>
          <w:color w:val="auto"/>
          <w:sz w:val="24"/>
          <w:szCs w:val="24"/>
          <w:highlight w:val="none"/>
        </w:rPr>
        <w:t>.我单位承诺未参与本项目的采购需求、技术指标、商务指标等内容的设定，不存在对其他投标供应商不公平的行为。</w:t>
      </w:r>
    </w:p>
    <w:p w14:paraId="3F92A800">
      <w:pPr>
        <w:spacing w:line="360" w:lineRule="auto"/>
        <w:ind w:firstLine="480"/>
        <w:rPr>
          <w:rFonts w:ascii="宋体" w:hAnsi="宋体"/>
          <w:bCs/>
          <w:color w:val="auto"/>
          <w:sz w:val="24"/>
          <w:highlight w:val="none"/>
        </w:rPr>
      </w:pPr>
      <w:r>
        <w:rPr>
          <w:rFonts w:hint="eastAsia" w:ascii="宋体" w:hAnsi="宋体"/>
          <w:bCs/>
          <w:color w:val="auto"/>
          <w:sz w:val="24"/>
          <w:szCs w:val="24"/>
          <w:highlight w:val="none"/>
        </w:rPr>
        <w:t>以上承诺，如有违反，愿依照国家相关法律处理，并承担由此给采购人带来的损失</w:t>
      </w:r>
      <w:r>
        <w:rPr>
          <w:rFonts w:hint="eastAsia" w:ascii="宋体" w:hAnsi="宋体"/>
          <w:bCs/>
          <w:color w:val="auto"/>
          <w:sz w:val="24"/>
          <w:highlight w:val="none"/>
        </w:rPr>
        <w:t>。</w:t>
      </w:r>
    </w:p>
    <w:p w14:paraId="7843DBB1">
      <w:pPr>
        <w:spacing w:line="360" w:lineRule="auto"/>
        <w:ind w:firstLine="480"/>
        <w:rPr>
          <w:rFonts w:ascii="宋体" w:hAnsi="宋体"/>
          <w:bCs/>
          <w:color w:val="auto"/>
          <w:sz w:val="24"/>
          <w:highlight w:val="none"/>
        </w:rPr>
      </w:pPr>
      <w:r>
        <w:rPr>
          <w:rFonts w:hint="eastAsia" w:ascii="宋体" w:hAnsi="宋体"/>
          <w:bCs/>
          <w:color w:val="auto"/>
          <w:sz w:val="24"/>
          <w:highlight w:val="none"/>
        </w:rPr>
        <w:t>1</w:t>
      </w:r>
      <w:r>
        <w:rPr>
          <w:rFonts w:ascii="宋体" w:hAnsi="宋体"/>
          <w:bCs/>
          <w:color w:val="auto"/>
          <w:sz w:val="24"/>
          <w:highlight w:val="none"/>
        </w:rPr>
        <w:t>5.所有与本</w:t>
      </w:r>
      <w:r>
        <w:rPr>
          <w:rFonts w:hint="eastAsia" w:ascii="宋体" w:hAnsi="宋体"/>
          <w:bCs/>
          <w:color w:val="auto"/>
          <w:sz w:val="24"/>
          <w:highlight w:val="none"/>
        </w:rPr>
        <w:t>项目</w:t>
      </w:r>
      <w:r>
        <w:rPr>
          <w:rFonts w:ascii="宋体" w:hAnsi="宋体"/>
          <w:bCs/>
          <w:color w:val="auto"/>
          <w:sz w:val="24"/>
          <w:highlight w:val="none"/>
        </w:rPr>
        <w:t>有关的函件请发往下列地址：</w:t>
      </w:r>
    </w:p>
    <w:p w14:paraId="5E501161">
      <w:pPr>
        <w:spacing w:line="360" w:lineRule="auto"/>
        <w:ind w:firstLine="480"/>
        <w:rPr>
          <w:rFonts w:ascii="宋体" w:hAnsi="宋体"/>
          <w:bCs/>
          <w:color w:val="auto"/>
          <w:sz w:val="24"/>
          <w:highlight w:val="none"/>
        </w:rPr>
      </w:pPr>
      <w:r>
        <w:rPr>
          <w:rFonts w:ascii="宋体" w:hAnsi="宋体"/>
          <w:bCs/>
          <w:color w:val="auto"/>
          <w:sz w:val="24"/>
          <w:highlight w:val="none"/>
        </w:rPr>
        <w:t>地 址：__________________，邮政编码：__________________</w:t>
      </w:r>
    </w:p>
    <w:p w14:paraId="40B7AEA6">
      <w:pPr>
        <w:spacing w:line="360" w:lineRule="auto"/>
        <w:ind w:firstLine="480"/>
        <w:rPr>
          <w:rFonts w:ascii="宋体" w:hAnsi="宋体"/>
          <w:bCs/>
          <w:color w:val="auto"/>
          <w:sz w:val="24"/>
          <w:highlight w:val="none"/>
        </w:rPr>
      </w:pPr>
      <w:r>
        <w:rPr>
          <w:rFonts w:ascii="宋体" w:hAnsi="宋体"/>
          <w:bCs/>
          <w:color w:val="auto"/>
          <w:sz w:val="24"/>
          <w:highlight w:val="none"/>
        </w:rPr>
        <w:t>电 话：__________________</w:t>
      </w:r>
      <w:r>
        <w:rPr>
          <w:rFonts w:hint="eastAsia" w:ascii="宋体" w:hAnsi="宋体"/>
          <w:bCs/>
          <w:color w:val="auto"/>
          <w:sz w:val="24"/>
          <w:highlight w:val="none"/>
        </w:rPr>
        <w:t>，</w:t>
      </w:r>
      <w:r>
        <w:rPr>
          <w:rFonts w:ascii="宋体" w:hAnsi="宋体"/>
          <w:bCs/>
          <w:color w:val="auto"/>
          <w:sz w:val="24"/>
          <w:highlight w:val="none"/>
        </w:rPr>
        <w:t>传 真：__________________</w:t>
      </w:r>
    </w:p>
    <w:p w14:paraId="61B3EC2C">
      <w:pPr>
        <w:spacing w:line="360" w:lineRule="auto"/>
        <w:ind w:firstLine="480"/>
        <w:rPr>
          <w:rFonts w:ascii="宋体" w:hAnsi="宋体"/>
          <w:bCs/>
          <w:color w:val="auto"/>
          <w:sz w:val="24"/>
          <w:highlight w:val="none"/>
        </w:rPr>
      </w:pPr>
      <w:r>
        <w:rPr>
          <w:rFonts w:ascii="宋体" w:hAnsi="宋体"/>
          <w:bCs/>
          <w:color w:val="auto"/>
          <w:sz w:val="24"/>
          <w:highlight w:val="none"/>
        </w:rPr>
        <w:t>代表姓名：_______________，职 务：__________________</w:t>
      </w:r>
    </w:p>
    <w:p w14:paraId="4E7833F8">
      <w:pPr>
        <w:spacing w:line="360" w:lineRule="auto"/>
        <w:ind w:firstLine="480"/>
        <w:rPr>
          <w:rFonts w:ascii="宋体" w:hAnsi="宋体"/>
          <w:bCs/>
          <w:color w:val="auto"/>
          <w:sz w:val="24"/>
          <w:szCs w:val="24"/>
          <w:highlight w:val="none"/>
        </w:rPr>
      </w:pPr>
    </w:p>
    <w:p w14:paraId="746E7EB7">
      <w:pPr>
        <w:spacing w:line="360" w:lineRule="auto"/>
        <w:ind w:firstLine="5400"/>
        <w:rPr>
          <w:rFonts w:ascii="宋体" w:hAnsi="宋体"/>
          <w:bCs/>
          <w:color w:val="auto"/>
          <w:sz w:val="24"/>
          <w:szCs w:val="24"/>
          <w:highlight w:val="none"/>
        </w:rPr>
      </w:pPr>
    </w:p>
    <w:p w14:paraId="4E003993">
      <w:pPr>
        <w:spacing w:line="360" w:lineRule="auto"/>
        <w:ind w:firstLine="3720"/>
        <w:rPr>
          <w:rFonts w:ascii="宋体" w:hAnsi="宋体"/>
          <w:bCs/>
          <w:color w:val="auto"/>
          <w:sz w:val="24"/>
          <w:szCs w:val="24"/>
          <w:highlight w:val="none"/>
        </w:rPr>
      </w:pPr>
      <w:r>
        <w:rPr>
          <w:rFonts w:hint="eastAsia" w:ascii="宋体" w:hAnsi="宋体"/>
          <w:bCs/>
          <w:color w:val="auto"/>
          <w:sz w:val="24"/>
          <w:szCs w:val="24"/>
          <w:highlight w:val="none"/>
        </w:rPr>
        <w:t>投标供应商（盖章）：</w:t>
      </w:r>
    </w:p>
    <w:p w14:paraId="79ADA96B">
      <w:pPr>
        <w:spacing w:line="360" w:lineRule="auto"/>
        <w:ind w:firstLine="1080"/>
        <w:rPr>
          <w:rFonts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16497917">
      <w:pPr>
        <w:spacing w:line="360" w:lineRule="auto"/>
        <w:ind w:firstLine="5160"/>
        <w:rPr>
          <w:rFonts w:ascii="宋体" w:hAnsi="宋体"/>
          <w:bCs/>
          <w:color w:val="auto"/>
          <w:sz w:val="24"/>
          <w:szCs w:val="24"/>
          <w:highlight w:val="none"/>
        </w:rPr>
      </w:pPr>
      <w:r>
        <w:rPr>
          <w:rFonts w:hint="eastAsia" w:ascii="宋体" w:hAnsi="宋体"/>
          <w:bCs/>
          <w:color w:val="auto"/>
          <w:sz w:val="24"/>
          <w:szCs w:val="24"/>
          <w:highlight w:val="none"/>
        </w:rPr>
        <w:t>日  期：</w:t>
      </w:r>
    </w:p>
    <w:p w14:paraId="1BB72DB7">
      <w:pPr>
        <w:widowControl/>
        <w:spacing w:line="360" w:lineRule="auto"/>
        <w:jc w:val="left"/>
        <w:rPr>
          <w:rFonts w:ascii="宋体" w:hAnsi="宋体"/>
          <w:bCs/>
          <w:color w:val="auto"/>
          <w:sz w:val="24"/>
          <w:szCs w:val="24"/>
          <w:highlight w:val="none"/>
        </w:rPr>
      </w:pPr>
      <w:r>
        <w:rPr>
          <w:rFonts w:ascii="宋体" w:hAnsi="宋体"/>
          <w:bCs/>
          <w:color w:val="auto"/>
          <w:sz w:val="24"/>
          <w:szCs w:val="24"/>
          <w:highlight w:val="none"/>
        </w:rPr>
        <w:br w:type="page" w:clear="all"/>
      </w:r>
    </w:p>
    <w:p w14:paraId="5D618E76">
      <w:pPr>
        <w:pageBreakBefore/>
        <w:spacing w:line="360" w:lineRule="auto"/>
        <w:outlineLvl w:val="0"/>
        <w:rPr>
          <w:rFonts w:ascii="宋体" w:hAnsi="宋体"/>
          <w:bCs/>
          <w:color w:val="auto"/>
          <w:sz w:val="24"/>
          <w:szCs w:val="24"/>
          <w:highlight w:val="none"/>
        </w:rPr>
      </w:pPr>
      <w:bookmarkStart w:id="924" w:name="_Toc98277377"/>
      <w:bookmarkStart w:id="925" w:name="_Toc39873234"/>
      <w:bookmarkStart w:id="926" w:name="_Toc36850801"/>
      <w:bookmarkStart w:id="927" w:name="_Toc116946357"/>
      <w:bookmarkStart w:id="928" w:name="_Toc39873189"/>
      <w:r>
        <w:rPr>
          <w:rFonts w:hint="eastAsia" w:ascii="宋体" w:hAnsi="宋体"/>
          <w:bCs/>
          <w:color w:val="auto"/>
          <w:sz w:val="24"/>
          <w:szCs w:val="24"/>
          <w:highlight w:val="none"/>
        </w:rPr>
        <w:t>（五）开标一览表（格式）：</w:t>
      </w:r>
      <w:bookmarkEnd w:id="924"/>
      <w:bookmarkEnd w:id="925"/>
      <w:bookmarkEnd w:id="926"/>
      <w:bookmarkEnd w:id="927"/>
      <w:bookmarkEnd w:id="928"/>
    </w:p>
    <w:p w14:paraId="02A31B90">
      <w:pPr>
        <w:spacing w:line="360" w:lineRule="auto"/>
        <w:jc w:val="center"/>
        <w:rPr>
          <w:rFonts w:ascii="宋体" w:hAnsi="宋体"/>
          <w:b/>
          <w:color w:val="auto"/>
          <w:sz w:val="28"/>
          <w:szCs w:val="28"/>
          <w:highlight w:val="none"/>
        </w:rPr>
      </w:pPr>
      <w:r>
        <w:rPr>
          <w:rFonts w:ascii="宋体" w:hAnsi="宋体"/>
          <w:b/>
          <w:color w:val="auto"/>
          <w:sz w:val="28"/>
          <w:szCs w:val="28"/>
          <w:highlight w:val="none"/>
        </w:rPr>
        <w:t>开标一览表（总价）</w:t>
      </w:r>
    </w:p>
    <w:p w14:paraId="46651CDB">
      <w:pPr>
        <w:spacing w:line="360" w:lineRule="auto"/>
        <w:ind w:firstLine="120"/>
        <w:rPr>
          <w:rFonts w:ascii="宋体" w:hAnsi="宋体"/>
          <w:bCs/>
          <w:color w:val="auto"/>
          <w:sz w:val="24"/>
          <w:szCs w:val="24"/>
          <w:highlight w:val="none"/>
        </w:rPr>
      </w:pPr>
      <w:r>
        <w:rPr>
          <w:rFonts w:hint="eastAsia" w:ascii="宋体" w:hAnsi="宋体"/>
          <w:bCs/>
          <w:color w:val="auto"/>
          <w:sz w:val="24"/>
          <w:szCs w:val="24"/>
          <w:highlight w:val="none"/>
        </w:rPr>
        <w:t>投标供应商全称（CA公章）： </w:t>
      </w:r>
    </w:p>
    <w:p w14:paraId="3010EA95">
      <w:pPr>
        <w:spacing w:line="360" w:lineRule="auto"/>
        <w:ind w:firstLine="120"/>
        <w:rPr>
          <w:rFonts w:ascii="宋体" w:hAnsi="宋体"/>
          <w:bCs/>
          <w:color w:val="auto"/>
          <w:sz w:val="24"/>
          <w:szCs w:val="24"/>
          <w:highlight w:val="none"/>
        </w:rPr>
      </w:pPr>
      <w:r>
        <w:rPr>
          <w:rFonts w:hint="eastAsia" w:ascii="宋体" w:hAnsi="宋体"/>
          <w:bCs/>
          <w:color w:val="auto"/>
          <w:sz w:val="24"/>
          <w:szCs w:val="24"/>
          <w:highlight w:val="none"/>
        </w:rPr>
        <w:t>项目名称：2026-2027年度度假区(阳山镇)机关食堂外包服务项目 </w:t>
      </w:r>
    </w:p>
    <w:p w14:paraId="14042BA0">
      <w:pPr>
        <w:spacing w:line="360" w:lineRule="auto"/>
        <w:ind w:firstLine="12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采购项目编号：</w:t>
      </w:r>
      <w:r>
        <w:rPr>
          <w:rFonts w:hint="eastAsia" w:ascii="宋体" w:hAnsi="宋体"/>
          <w:bCs/>
          <w:color w:val="auto"/>
          <w:sz w:val="24"/>
          <w:szCs w:val="24"/>
          <w:highlight w:val="none"/>
          <w:lang w:eastAsia="zh-CN"/>
        </w:rPr>
        <w:t>JSZC-320206-JXCZ-G2026-0004</w:t>
      </w:r>
    </w:p>
    <w:tbl>
      <w:tblPr>
        <w:tblStyle w:val="67"/>
        <w:tblW w:w="10121" w:type="dxa"/>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928"/>
        <w:gridCol w:w="1187"/>
        <w:gridCol w:w="3854"/>
        <w:gridCol w:w="3440"/>
      </w:tblGrid>
      <w:tr w14:paraId="619E5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712" w:type="dxa"/>
            <w:tcBorders>
              <w:top w:val="single" w:color="auto" w:sz="4" w:space="0"/>
              <w:left w:val="single" w:color="auto" w:sz="4" w:space="0"/>
              <w:bottom w:val="single" w:color="auto" w:sz="4" w:space="0"/>
              <w:right w:val="single" w:color="auto" w:sz="4" w:space="0"/>
            </w:tcBorders>
            <w:vAlign w:val="center"/>
          </w:tcPr>
          <w:p w14:paraId="7F0A5643">
            <w:pPr>
              <w:spacing w:line="400" w:lineRule="exact"/>
              <w:jc w:val="center"/>
              <w:rPr>
                <w:rFonts w:ascii="宋体" w:hAnsi="宋体" w:cs="宋体"/>
                <w:color w:val="auto"/>
                <w:sz w:val="24"/>
                <w:highlight w:val="none"/>
              </w:rPr>
            </w:pPr>
            <w:r>
              <w:rPr>
                <w:rFonts w:hint="eastAsia" w:ascii="宋体" w:hAnsi="宋体" w:cs="宋体"/>
                <w:bCs/>
                <w:color w:val="auto"/>
                <w:sz w:val="24"/>
                <w:highlight w:val="none"/>
              </w:rPr>
              <w:t>序号</w:t>
            </w:r>
          </w:p>
        </w:tc>
        <w:tc>
          <w:tcPr>
            <w:tcW w:w="2115" w:type="dxa"/>
            <w:gridSpan w:val="2"/>
            <w:tcBorders>
              <w:top w:val="single" w:color="auto" w:sz="4" w:space="0"/>
              <w:left w:val="single" w:color="auto" w:sz="4" w:space="0"/>
              <w:bottom w:val="single" w:color="auto" w:sz="4" w:space="0"/>
              <w:right w:val="single" w:color="auto" w:sz="4" w:space="0"/>
            </w:tcBorders>
            <w:vAlign w:val="center"/>
          </w:tcPr>
          <w:p w14:paraId="4A9C50EF">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名称</w:t>
            </w:r>
          </w:p>
        </w:tc>
        <w:tc>
          <w:tcPr>
            <w:tcW w:w="7294" w:type="dxa"/>
            <w:gridSpan w:val="2"/>
            <w:tcBorders>
              <w:top w:val="single" w:color="auto" w:sz="4" w:space="0"/>
              <w:left w:val="single" w:color="auto" w:sz="4" w:space="0"/>
              <w:bottom w:val="single" w:color="auto" w:sz="4" w:space="0"/>
              <w:right w:val="single" w:color="auto" w:sz="4" w:space="0"/>
            </w:tcBorders>
            <w:vAlign w:val="center"/>
          </w:tcPr>
          <w:p w14:paraId="69D9BFC2">
            <w:pPr>
              <w:spacing w:line="400" w:lineRule="exact"/>
              <w:jc w:val="center"/>
              <w:rPr>
                <w:rFonts w:ascii="宋体" w:hAnsi="宋体" w:cs="宋体"/>
                <w:bCs/>
                <w:color w:val="auto"/>
                <w:sz w:val="24"/>
                <w:highlight w:val="none"/>
              </w:rPr>
            </w:pPr>
            <w:r>
              <w:rPr>
                <w:rFonts w:hint="eastAsia" w:ascii="宋体" w:hAnsi="宋体" w:cs="宋体"/>
                <w:bCs/>
                <w:color w:val="auto"/>
                <w:sz w:val="24"/>
                <w:highlight w:val="none"/>
              </w:rPr>
              <w:t>承诺内容</w:t>
            </w:r>
          </w:p>
        </w:tc>
      </w:tr>
      <w:tr w14:paraId="3890F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3" w:hRule="atLeast"/>
        </w:trPr>
        <w:tc>
          <w:tcPr>
            <w:tcW w:w="712" w:type="dxa"/>
            <w:tcBorders>
              <w:top w:val="single" w:color="auto" w:sz="4" w:space="0"/>
              <w:left w:val="single" w:color="auto" w:sz="4" w:space="0"/>
              <w:bottom w:val="single" w:color="auto" w:sz="4" w:space="0"/>
              <w:right w:val="single" w:color="auto" w:sz="4" w:space="0"/>
            </w:tcBorders>
            <w:vAlign w:val="center"/>
          </w:tcPr>
          <w:p w14:paraId="1221BEEB">
            <w:pPr>
              <w:jc w:val="center"/>
              <w:rPr>
                <w:rFonts w:ascii="宋体" w:hAnsi="宋体" w:cs="宋体"/>
                <w:color w:val="auto"/>
                <w:sz w:val="24"/>
                <w:highlight w:val="none"/>
              </w:rPr>
            </w:pPr>
            <w:r>
              <w:rPr>
                <w:rFonts w:hint="eastAsia" w:ascii="宋体" w:hAnsi="宋体" w:cs="宋体"/>
                <w:color w:val="auto"/>
                <w:sz w:val="24"/>
                <w:highlight w:val="none"/>
              </w:rPr>
              <w:t>1</w:t>
            </w:r>
          </w:p>
        </w:tc>
        <w:tc>
          <w:tcPr>
            <w:tcW w:w="2115" w:type="dxa"/>
            <w:gridSpan w:val="2"/>
            <w:tcBorders>
              <w:top w:val="single" w:color="auto" w:sz="4" w:space="0"/>
              <w:left w:val="single" w:color="auto" w:sz="4" w:space="0"/>
              <w:bottom w:val="single" w:color="auto" w:sz="4" w:space="0"/>
              <w:right w:val="single" w:color="auto" w:sz="4" w:space="0"/>
            </w:tcBorders>
            <w:vAlign w:val="center"/>
          </w:tcPr>
          <w:p w14:paraId="33A5FEB6">
            <w:pPr>
              <w:widowControl/>
              <w:jc w:val="center"/>
              <w:rPr>
                <w:rFonts w:ascii="宋体" w:hAnsi="宋体" w:cs="宋体"/>
                <w:color w:val="auto"/>
                <w:sz w:val="24"/>
                <w:highlight w:val="none"/>
              </w:rPr>
            </w:pPr>
            <w:r>
              <w:rPr>
                <w:rFonts w:hint="eastAsia" w:ascii="宋体" w:hAnsi="宋体" w:cs="宋体"/>
                <w:color w:val="auto"/>
                <w:sz w:val="24"/>
                <w:highlight w:val="none"/>
              </w:rPr>
              <w:t>投标总价</w:t>
            </w:r>
          </w:p>
          <w:p w14:paraId="02294E95">
            <w:pPr>
              <w:widowControl/>
              <w:jc w:val="center"/>
              <w:rPr>
                <w:rFonts w:ascii="宋体" w:hAnsi="宋体" w:cs="宋体"/>
                <w:color w:val="auto"/>
                <w:sz w:val="24"/>
                <w:highlight w:val="none"/>
              </w:rPr>
            </w:pPr>
            <w:r>
              <w:rPr>
                <w:rFonts w:hint="eastAsia" w:ascii="宋体" w:hAnsi="宋体" w:cs="宋体"/>
                <w:color w:val="auto"/>
                <w:sz w:val="24"/>
                <w:highlight w:val="none"/>
              </w:rPr>
              <w:t>（两年）</w:t>
            </w:r>
          </w:p>
        </w:tc>
        <w:tc>
          <w:tcPr>
            <w:tcW w:w="7294" w:type="dxa"/>
            <w:gridSpan w:val="2"/>
            <w:tcBorders>
              <w:top w:val="single" w:color="auto" w:sz="4" w:space="0"/>
              <w:left w:val="single" w:color="auto" w:sz="4" w:space="0"/>
              <w:bottom w:val="single" w:color="auto" w:sz="4" w:space="0"/>
              <w:right w:val="single" w:color="auto" w:sz="4" w:space="0"/>
            </w:tcBorders>
            <w:vAlign w:val="center"/>
          </w:tcPr>
          <w:p w14:paraId="05B86208">
            <w:pPr>
              <w:widowControl/>
              <w:jc w:val="left"/>
              <w:rPr>
                <w:rFonts w:ascii="宋体" w:hAnsi="宋体" w:cs="宋体"/>
                <w:color w:val="auto"/>
                <w:sz w:val="24"/>
                <w:highlight w:val="none"/>
              </w:rPr>
            </w:pPr>
            <w:r>
              <w:rPr>
                <w:rFonts w:hint="eastAsia" w:ascii="宋体" w:hAnsi="宋体" w:cs="宋体"/>
                <w:color w:val="auto"/>
                <w:sz w:val="24"/>
                <w:highlight w:val="none"/>
              </w:rPr>
              <w:t xml:space="preserve">小写：            </w:t>
            </w:r>
          </w:p>
          <w:p w14:paraId="0D956D5B">
            <w:pPr>
              <w:widowControl/>
              <w:jc w:val="left"/>
              <w:rPr>
                <w:rFonts w:ascii="宋体" w:hAnsi="宋体" w:cs="宋体"/>
                <w:color w:val="auto"/>
                <w:sz w:val="24"/>
                <w:highlight w:val="none"/>
              </w:rPr>
            </w:pPr>
            <w:r>
              <w:rPr>
                <w:rFonts w:hint="eastAsia" w:ascii="宋体" w:hAnsi="宋体" w:cs="宋体"/>
                <w:color w:val="auto"/>
                <w:sz w:val="24"/>
                <w:highlight w:val="none"/>
              </w:rPr>
              <w:t xml:space="preserve">大写：     </w:t>
            </w:r>
          </w:p>
        </w:tc>
      </w:tr>
      <w:tr w14:paraId="7A216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9" w:hRule="atLeast"/>
        </w:trPr>
        <w:tc>
          <w:tcPr>
            <w:tcW w:w="712" w:type="dxa"/>
            <w:vMerge w:val="restart"/>
            <w:tcBorders>
              <w:top w:val="single" w:color="auto" w:sz="4" w:space="0"/>
              <w:left w:val="single" w:color="auto" w:sz="4" w:space="0"/>
              <w:right w:val="single" w:color="auto" w:sz="4" w:space="0"/>
            </w:tcBorders>
            <w:vAlign w:val="center"/>
          </w:tcPr>
          <w:p w14:paraId="2CB1BFEA">
            <w:pPr>
              <w:jc w:val="center"/>
              <w:rPr>
                <w:rFonts w:ascii="宋体" w:hAnsi="宋体" w:cs="宋体"/>
                <w:color w:val="auto"/>
                <w:sz w:val="24"/>
                <w:highlight w:val="none"/>
              </w:rPr>
            </w:pPr>
            <w:r>
              <w:rPr>
                <w:rFonts w:hint="eastAsia" w:ascii="宋体" w:hAnsi="宋体" w:cs="宋体"/>
                <w:color w:val="auto"/>
                <w:sz w:val="24"/>
                <w:highlight w:val="none"/>
              </w:rPr>
              <w:t>1.1</w:t>
            </w:r>
          </w:p>
        </w:tc>
        <w:tc>
          <w:tcPr>
            <w:tcW w:w="928" w:type="dxa"/>
            <w:vMerge w:val="restart"/>
            <w:tcBorders>
              <w:top w:val="single" w:color="auto" w:sz="4" w:space="0"/>
              <w:left w:val="single" w:color="auto" w:sz="4" w:space="0"/>
              <w:right w:val="single" w:color="000000" w:sz="4" w:space="0"/>
            </w:tcBorders>
            <w:vAlign w:val="center"/>
          </w:tcPr>
          <w:p w14:paraId="3A1C453B">
            <w:pPr>
              <w:widowControl/>
              <w:jc w:val="center"/>
              <w:rPr>
                <w:rFonts w:ascii="宋体" w:hAnsi="宋体" w:cs="宋体"/>
                <w:color w:val="auto"/>
                <w:sz w:val="24"/>
                <w:highlight w:val="none"/>
              </w:rPr>
            </w:pPr>
            <w:r>
              <w:rPr>
                <w:rFonts w:hint="eastAsia" w:ascii="宋体" w:hAnsi="宋体" w:cs="宋体"/>
                <w:color w:val="auto"/>
                <w:sz w:val="24"/>
                <w:highlight w:val="none"/>
              </w:rPr>
              <w:t>分项报价</w:t>
            </w:r>
          </w:p>
        </w:tc>
        <w:tc>
          <w:tcPr>
            <w:tcW w:w="1187" w:type="dxa"/>
            <w:tcBorders>
              <w:top w:val="single" w:color="auto" w:sz="4" w:space="0"/>
              <w:left w:val="single" w:color="000000" w:sz="4" w:space="0"/>
              <w:bottom w:val="single" w:color="auto" w:sz="4" w:space="0"/>
              <w:right w:val="single" w:color="auto" w:sz="4" w:space="0"/>
            </w:tcBorders>
            <w:vAlign w:val="center"/>
          </w:tcPr>
          <w:p w14:paraId="6998BE60">
            <w:pPr>
              <w:widowControl/>
              <w:jc w:val="center"/>
              <w:rPr>
                <w:rFonts w:ascii="宋体" w:hAnsi="宋体" w:cs="宋体"/>
                <w:color w:val="auto"/>
                <w:sz w:val="24"/>
                <w:highlight w:val="none"/>
              </w:rPr>
            </w:pPr>
            <w:r>
              <w:rPr>
                <w:rFonts w:hint="eastAsia" w:ascii="宋体" w:hAnsi="宋体" w:cs="宋体"/>
                <w:color w:val="auto"/>
                <w:sz w:val="24"/>
                <w:highlight w:val="none"/>
              </w:rPr>
              <w:t>食堂运营及管理</w:t>
            </w:r>
          </w:p>
        </w:tc>
        <w:tc>
          <w:tcPr>
            <w:tcW w:w="3854" w:type="dxa"/>
            <w:tcBorders>
              <w:top w:val="single" w:color="auto" w:sz="4" w:space="0"/>
              <w:left w:val="single" w:color="auto" w:sz="4" w:space="0"/>
              <w:bottom w:val="single" w:color="auto" w:sz="4" w:space="0"/>
              <w:right w:val="single" w:color="000000" w:sz="4" w:space="0"/>
            </w:tcBorders>
            <w:vAlign w:val="center"/>
          </w:tcPr>
          <w:p w14:paraId="23CC4FD4">
            <w:pPr>
              <w:widowControl/>
              <w:jc w:val="left"/>
              <w:rPr>
                <w:rFonts w:ascii="宋体" w:hAnsi="宋体" w:cs="宋体"/>
                <w:color w:val="auto"/>
                <w:sz w:val="24"/>
                <w:highlight w:val="none"/>
              </w:rPr>
            </w:pPr>
            <w:r>
              <w:rPr>
                <w:rFonts w:hint="eastAsia" w:ascii="宋体" w:hAnsi="宋体" w:cs="宋体"/>
                <w:color w:val="auto"/>
                <w:sz w:val="24"/>
                <w:highlight w:val="none"/>
              </w:rPr>
              <w:t>投标报价</w:t>
            </w:r>
            <w:r>
              <w:rPr>
                <w:rFonts w:hint="eastAsia" w:ascii="宋体" w:hAnsi="宋体" w:cs="宋体"/>
                <w:bCs/>
                <w:color w:val="auto"/>
                <w:sz w:val="24"/>
                <w:highlight w:val="none"/>
              </w:rPr>
              <w:t>：</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元/两年（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元/年；折合成每月为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元/月）</w:t>
            </w:r>
          </w:p>
        </w:tc>
        <w:tc>
          <w:tcPr>
            <w:tcW w:w="3440" w:type="dxa"/>
            <w:tcBorders>
              <w:top w:val="single" w:color="auto" w:sz="4" w:space="0"/>
              <w:left w:val="single" w:color="000000" w:sz="4" w:space="0"/>
              <w:bottom w:val="single" w:color="auto" w:sz="4" w:space="0"/>
              <w:right w:val="single" w:color="auto" w:sz="4" w:space="0"/>
            </w:tcBorders>
            <w:vAlign w:val="center"/>
          </w:tcPr>
          <w:p w14:paraId="701F4185">
            <w:pPr>
              <w:widowControl/>
              <w:ind w:left="720" w:hanging="720" w:hangingChars="300"/>
              <w:jc w:val="left"/>
              <w:rPr>
                <w:rFonts w:ascii="宋体" w:hAnsi="宋体" w:cs="宋体"/>
                <w:color w:val="auto"/>
                <w:sz w:val="24"/>
                <w:highlight w:val="none"/>
              </w:rPr>
            </w:pPr>
            <w:r>
              <w:rPr>
                <w:rFonts w:hint="eastAsia" w:ascii="宋体" w:hAnsi="宋体" w:cs="宋体"/>
                <w:color w:val="auto"/>
                <w:sz w:val="24"/>
                <w:highlight w:val="none"/>
              </w:rPr>
              <w:t>备注：该部分费用最高限价2819184.00元/两年，总价包干。</w:t>
            </w:r>
          </w:p>
        </w:tc>
      </w:tr>
      <w:tr w14:paraId="729C0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0" w:hRule="atLeast"/>
        </w:trPr>
        <w:tc>
          <w:tcPr>
            <w:tcW w:w="712" w:type="dxa"/>
            <w:vMerge w:val="continue"/>
            <w:tcBorders>
              <w:left w:val="single" w:color="auto" w:sz="4" w:space="0"/>
              <w:bottom w:val="single" w:color="auto" w:sz="4" w:space="0"/>
              <w:right w:val="single" w:color="auto" w:sz="4" w:space="0"/>
            </w:tcBorders>
            <w:vAlign w:val="center"/>
          </w:tcPr>
          <w:p w14:paraId="6F4954A8">
            <w:pPr>
              <w:jc w:val="center"/>
              <w:rPr>
                <w:rFonts w:ascii="宋体" w:hAnsi="宋体" w:cs="宋体"/>
                <w:color w:val="auto"/>
                <w:sz w:val="24"/>
                <w:highlight w:val="none"/>
              </w:rPr>
            </w:pPr>
          </w:p>
        </w:tc>
        <w:tc>
          <w:tcPr>
            <w:tcW w:w="928" w:type="dxa"/>
            <w:vMerge w:val="continue"/>
            <w:tcBorders>
              <w:left w:val="single" w:color="auto" w:sz="4" w:space="0"/>
              <w:bottom w:val="single" w:color="auto" w:sz="4" w:space="0"/>
              <w:right w:val="single" w:color="000000" w:sz="4" w:space="0"/>
            </w:tcBorders>
            <w:vAlign w:val="center"/>
          </w:tcPr>
          <w:p w14:paraId="6B41A0BF">
            <w:pPr>
              <w:widowControl/>
              <w:jc w:val="center"/>
              <w:rPr>
                <w:rFonts w:ascii="宋体" w:hAnsi="宋体" w:cs="宋体"/>
                <w:color w:val="auto"/>
                <w:sz w:val="24"/>
                <w:highlight w:val="none"/>
              </w:rPr>
            </w:pPr>
          </w:p>
        </w:tc>
        <w:tc>
          <w:tcPr>
            <w:tcW w:w="1187" w:type="dxa"/>
            <w:vMerge w:val="restart"/>
            <w:tcBorders>
              <w:top w:val="single" w:color="auto" w:sz="4" w:space="0"/>
              <w:left w:val="single" w:color="000000" w:sz="4" w:space="0"/>
              <w:right w:val="single" w:color="auto" w:sz="4" w:space="0"/>
            </w:tcBorders>
            <w:vAlign w:val="center"/>
          </w:tcPr>
          <w:p w14:paraId="4FC0B8FF">
            <w:pPr>
              <w:widowControl/>
              <w:jc w:val="center"/>
              <w:rPr>
                <w:rFonts w:ascii="宋体" w:hAnsi="宋体" w:cs="宋体"/>
                <w:color w:val="auto"/>
                <w:sz w:val="24"/>
                <w:highlight w:val="none"/>
              </w:rPr>
            </w:pPr>
            <w:r>
              <w:rPr>
                <w:rFonts w:hint="eastAsia" w:ascii="宋体" w:hAnsi="宋体" w:cs="宋体"/>
                <w:bCs/>
                <w:color w:val="auto"/>
                <w:sz w:val="24"/>
                <w:highlight w:val="none"/>
              </w:rPr>
              <w:t>食材采购及配送</w:t>
            </w:r>
          </w:p>
        </w:tc>
        <w:tc>
          <w:tcPr>
            <w:tcW w:w="3854" w:type="dxa"/>
            <w:tcBorders>
              <w:top w:val="single" w:color="auto" w:sz="4" w:space="0"/>
              <w:left w:val="single" w:color="auto" w:sz="4" w:space="0"/>
              <w:bottom w:val="single" w:color="auto" w:sz="4" w:space="0"/>
              <w:right w:val="single" w:color="000000" w:sz="4" w:space="0"/>
            </w:tcBorders>
            <w:vAlign w:val="center"/>
          </w:tcPr>
          <w:p w14:paraId="2F85E0FC">
            <w:pPr>
              <w:widowControl/>
              <w:jc w:val="left"/>
              <w:rPr>
                <w:rFonts w:ascii="宋体" w:hAnsi="宋体" w:cs="宋体"/>
                <w:bCs/>
                <w:color w:val="auto"/>
                <w:sz w:val="24"/>
                <w:highlight w:val="none"/>
              </w:rPr>
            </w:pPr>
            <w:r>
              <w:rPr>
                <w:rFonts w:hint="eastAsia" w:ascii="宋体" w:hAnsi="宋体" w:cs="宋体"/>
                <w:color w:val="auto"/>
                <w:sz w:val="24"/>
                <w:highlight w:val="none"/>
              </w:rPr>
              <w:t>投标报价</w:t>
            </w:r>
            <w:r>
              <w:rPr>
                <w:rFonts w:hint="eastAsia" w:ascii="宋体" w:hAnsi="宋体" w:cs="宋体"/>
                <w:color w:val="auto"/>
                <w:sz w:val="24"/>
                <w:highlight w:val="none"/>
                <w:u w:val="single"/>
              </w:rPr>
              <w:t>5076960.00</w:t>
            </w:r>
            <w:r>
              <w:rPr>
                <w:rFonts w:hint="eastAsia" w:ascii="宋体" w:hAnsi="宋体" w:cs="宋体"/>
                <w:bCs/>
                <w:color w:val="auto"/>
                <w:sz w:val="24"/>
                <w:highlight w:val="none"/>
              </w:rPr>
              <w:t>元/两年（</w:t>
            </w:r>
            <w:r>
              <w:rPr>
                <w:rFonts w:hint="eastAsia" w:ascii="宋体" w:hAnsi="宋体" w:cs="宋体"/>
                <w:bCs/>
                <w:color w:val="auto"/>
                <w:sz w:val="24"/>
                <w:highlight w:val="none"/>
                <w:u w:val="single"/>
              </w:rPr>
              <w:t xml:space="preserve">2538480.00 </w:t>
            </w:r>
            <w:r>
              <w:rPr>
                <w:rFonts w:hint="eastAsia" w:ascii="宋体" w:hAnsi="宋体" w:cs="宋体"/>
                <w:bCs/>
                <w:color w:val="auto"/>
                <w:sz w:val="24"/>
                <w:highlight w:val="none"/>
              </w:rPr>
              <w:t>元/年）</w:t>
            </w:r>
          </w:p>
          <w:p w14:paraId="3E14EEED">
            <w:pPr>
              <w:pStyle w:val="79"/>
              <w:ind w:left="0"/>
              <w:rPr>
                <w:rFonts w:ascii="宋体" w:hAnsi="宋体" w:cs="宋体"/>
                <w:color w:val="auto"/>
                <w:highlight w:val="none"/>
              </w:rPr>
            </w:pPr>
            <w:r>
              <w:rPr>
                <w:rFonts w:hint="eastAsia" w:ascii="宋体" w:hAnsi="宋体" w:cs="宋体"/>
                <w:bCs/>
                <w:color w:val="auto"/>
                <w:sz w:val="24"/>
                <w:highlight w:val="none"/>
              </w:rPr>
              <w:t>注：食材采购及配送</w:t>
            </w:r>
            <w:r>
              <w:rPr>
                <w:rFonts w:hint="eastAsia" w:ascii="宋体" w:hAnsi="宋体" w:cs="宋体"/>
                <w:color w:val="auto"/>
                <w:sz w:val="24"/>
                <w:highlight w:val="none"/>
              </w:rPr>
              <w:t>报价为固定金额（不可竞争费用），投标供应商不得修改</w:t>
            </w:r>
            <w:r>
              <w:rPr>
                <w:rFonts w:hint="eastAsia" w:ascii="宋体" w:hAnsi="宋体" w:cs="宋体"/>
                <w:bCs/>
                <w:color w:val="auto"/>
                <w:sz w:val="24"/>
                <w:highlight w:val="none"/>
              </w:rPr>
              <w:t>，并计入投标总价内</w:t>
            </w:r>
            <w:r>
              <w:rPr>
                <w:rFonts w:hint="eastAsia" w:ascii="宋体" w:hAnsi="宋体" w:cs="宋体"/>
                <w:color w:val="auto"/>
                <w:sz w:val="24"/>
                <w:highlight w:val="none"/>
              </w:rPr>
              <w:t>。</w:t>
            </w:r>
          </w:p>
        </w:tc>
        <w:tc>
          <w:tcPr>
            <w:tcW w:w="3440" w:type="dxa"/>
            <w:vMerge w:val="restart"/>
            <w:tcBorders>
              <w:top w:val="single" w:color="auto" w:sz="4" w:space="0"/>
              <w:left w:val="single" w:color="000000" w:sz="4" w:space="0"/>
              <w:right w:val="single" w:color="auto" w:sz="4" w:space="0"/>
            </w:tcBorders>
            <w:vAlign w:val="center"/>
          </w:tcPr>
          <w:p w14:paraId="441EC999">
            <w:pPr>
              <w:widowControl/>
              <w:jc w:val="left"/>
              <w:rPr>
                <w:rFonts w:ascii="宋体" w:hAnsi="宋体" w:cs="宋体"/>
                <w:b/>
                <w:bCs/>
                <w:color w:val="auto"/>
                <w:sz w:val="24"/>
                <w:highlight w:val="none"/>
              </w:rPr>
            </w:pPr>
            <w:r>
              <w:rPr>
                <w:rFonts w:hint="eastAsia" w:ascii="宋体" w:hAnsi="宋体" w:cs="宋体"/>
                <w:b/>
                <w:bCs/>
                <w:color w:val="auto"/>
                <w:sz w:val="24"/>
                <w:highlight w:val="none"/>
              </w:rPr>
              <w:t>备注：①该部分报价及折扣率为不可竞争费用，投标供应商须按给定金额（折扣率）填报，不得调整，否则按无效报价处理。</w:t>
            </w:r>
          </w:p>
          <w:p w14:paraId="6C28C1B4">
            <w:pPr>
              <w:widowControl/>
              <w:jc w:val="left"/>
              <w:rPr>
                <w:rFonts w:ascii="宋体" w:hAnsi="宋体" w:cs="宋体"/>
                <w:color w:val="auto"/>
                <w:sz w:val="24"/>
                <w:highlight w:val="none"/>
              </w:rPr>
            </w:pPr>
            <w:r>
              <w:rPr>
                <w:rFonts w:hint="eastAsia" w:ascii="宋体" w:hAnsi="宋体" w:cs="宋体"/>
                <w:b/>
                <w:bCs/>
                <w:color w:val="auto"/>
                <w:sz w:val="24"/>
                <w:highlight w:val="none"/>
              </w:rPr>
              <w:t>②最终以无锡市发展和改革委员会官网专题专栏中民生价费近期公示价格的平均价格*投标折扣率（85%）进行结算。此部分中标折扣率后期不作调整。</w:t>
            </w:r>
          </w:p>
        </w:tc>
      </w:tr>
      <w:tr w14:paraId="1B978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42" w:hRule="atLeast"/>
        </w:trPr>
        <w:tc>
          <w:tcPr>
            <w:tcW w:w="712" w:type="dxa"/>
            <w:vMerge w:val="continue"/>
            <w:tcBorders>
              <w:left w:val="single" w:color="auto" w:sz="4" w:space="0"/>
              <w:bottom w:val="single" w:color="auto" w:sz="4" w:space="0"/>
              <w:right w:val="single" w:color="auto" w:sz="4" w:space="0"/>
            </w:tcBorders>
            <w:vAlign w:val="center"/>
          </w:tcPr>
          <w:p w14:paraId="6807A361">
            <w:pPr>
              <w:jc w:val="center"/>
              <w:rPr>
                <w:rFonts w:ascii="宋体" w:hAnsi="宋体" w:cs="宋体"/>
                <w:color w:val="auto"/>
                <w:sz w:val="24"/>
                <w:highlight w:val="none"/>
              </w:rPr>
            </w:pPr>
          </w:p>
        </w:tc>
        <w:tc>
          <w:tcPr>
            <w:tcW w:w="928" w:type="dxa"/>
            <w:vMerge w:val="continue"/>
            <w:tcBorders>
              <w:left w:val="single" w:color="auto" w:sz="4" w:space="0"/>
              <w:bottom w:val="single" w:color="auto" w:sz="4" w:space="0"/>
              <w:right w:val="single" w:color="000000" w:sz="4" w:space="0"/>
            </w:tcBorders>
            <w:vAlign w:val="center"/>
          </w:tcPr>
          <w:p w14:paraId="0813ACAA">
            <w:pPr>
              <w:widowControl/>
              <w:jc w:val="center"/>
              <w:rPr>
                <w:rFonts w:ascii="宋体" w:hAnsi="宋体" w:cs="宋体"/>
                <w:color w:val="auto"/>
                <w:sz w:val="24"/>
                <w:highlight w:val="none"/>
              </w:rPr>
            </w:pPr>
          </w:p>
        </w:tc>
        <w:tc>
          <w:tcPr>
            <w:tcW w:w="1187" w:type="dxa"/>
            <w:vMerge w:val="continue"/>
            <w:tcBorders>
              <w:left w:val="single" w:color="000000" w:sz="4" w:space="0"/>
              <w:bottom w:val="single" w:color="auto" w:sz="4" w:space="0"/>
              <w:right w:val="single" w:color="auto" w:sz="4" w:space="0"/>
            </w:tcBorders>
            <w:vAlign w:val="center"/>
          </w:tcPr>
          <w:p w14:paraId="75D3A2DD">
            <w:pPr>
              <w:widowControl/>
              <w:jc w:val="center"/>
              <w:rPr>
                <w:rFonts w:ascii="宋体" w:hAnsi="宋体" w:cs="宋体"/>
                <w:bCs/>
                <w:color w:val="auto"/>
                <w:sz w:val="24"/>
                <w:highlight w:val="none"/>
              </w:rPr>
            </w:pPr>
          </w:p>
        </w:tc>
        <w:tc>
          <w:tcPr>
            <w:tcW w:w="3854" w:type="dxa"/>
            <w:tcBorders>
              <w:top w:val="single" w:color="auto" w:sz="4" w:space="0"/>
              <w:left w:val="single" w:color="auto" w:sz="4" w:space="0"/>
              <w:bottom w:val="single" w:color="auto" w:sz="4" w:space="0"/>
              <w:right w:val="single" w:color="000000" w:sz="4" w:space="0"/>
            </w:tcBorders>
            <w:vAlign w:val="center"/>
          </w:tcPr>
          <w:p w14:paraId="531BDF76">
            <w:pPr>
              <w:widowControl/>
              <w:jc w:val="left"/>
              <w:rPr>
                <w:rFonts w:ascii="宋体" w:hAnsi="宋体" w:cs="宋体"/>
                <w:color w:val="auto"/>
                <w:sz w:val="24"/>
                <w:highlight w:val="none"/>
              </w:rPr>
            </w:pPr>
            <w:r>
              <w:rPr>
                <w:rFonts w:hint="eastAsia" w:ascii="宋体" w:hAnsi="宋体" w:cs="宋体"/>
                <w:color w:val="auto"/>
                <w:sz w:val="24"/>
                <w:highlight w:val="none"/>
              </w:rPr>
              <w:t>投标折扣率：</w:t>
            </w:r>
            <w:r>
              <w:rPr>
                <w:rFonts w:hint="eastAsia" w:ascii="宋体" w:hAnsi="宋体" w:cs="宋体"/>
                <w:color w:val="auto"/>
                <w:sz w:val="24"/>
                <w:highlight w:val="none"/>
                <w:u w:val="single"/>
              </w:rPr>
              <w:t xml:space="preserve">85 </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八五 </w:t>
            </w:r>
            <w:r>
              <w:rPr>
                <w:rFonts w:hint="eastAsia" w:ascii="宋体" w:hAnsi="宋体" w:cs="宋体"/>
                <w:color w:val="auto"/>
                <w:sz w:val="24"/>
                <w:highlight w:val="none"/>
              </w:rPr>
              <w:t>折）。</w:t>
            </w:r>
          </w:p>
          <w:p w14:paraId="6F589059">
            <w:pPr>
              <w:widowControl/>
              <w:jc w:val="left"/>
              <w:rPr>
                <w:rFonts w:ascii="宋体" w:hAnsi="宋体" w:cs="宋体"/>
                <w:color w:val="auto"/>
                <w:sz w:val="24"/>
                <w:highlight w:val="none"/>
              </w:rPr>
            </w:pPr>
            <w:r>
              <w:rPr>
                <w:rFonts w:hint="eastAsia" w:ascii="宋体" w:hAnsi="宋体" w:cs="宋体"/>
                <w:bCs/>
                <w:color w:val="auto"/>
                <w:sz w:val="24"/>
                <w:highlight w:val="none"/>
              </w:rPr>
              <w:t>注：食材采购及配送折扣率</w:t>
            </w:r>
            <w:r>
              <w:rPr>
                <w:rFonts w:hint="eastAsia" w:ascii="宋体" w:hAnsi="宋体" w:cs="宋体"/>
                <w:color w:val="auto"/>
                <w:sz w:val="24"/>
                <w:highlight w:val="none"/>
              </w:rPr>
              <w:t>为固定折扣率（不可竞争费用），投标供应商不得修改。</w:t>
            </w:r>
          </w:p>
        </w:tc>
        <w:tc>
          <w:tcPr>
            <w:tcW w:w="3440" w:type="dxa"/>
            <w:vMerge w:val="continue"/>
            <w:tcBorders>
              <w:left w:val="single" w:color="000000" w:sz="4" w:space="0"/>
              <w:bottom w:val="single" w:color="auto" w:sz="4" w:space="0"/>
              <w:right w:val="single" w:color="auto" w:sz="4" w:space="0"/>
            </w:tcBorders>
            <w:vAlign w:val="center"/>
          </w:tcPr>
          <w:p w14:paraId="33A6A869">
            <w:pPr>
              <w:widowControl/>
              <w:jc w:val="left"/>
              <w:rPr>
                <w:rFonts w:ascii="宋体" w:hAnsi="宋体" w:cs="宋体"/>
                <w:color w:val="auto"/>
                <w:sz w:val="24"/>
                <w:highlight w:val="none"/>
              </w:rPr>
            </w:pPr>
          </w:p>
        </w:tc>
      </w:tr>
      <w:tr w14:paraId="549C5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1" w:hRule="atLeast"/>
        </w:trPr>
        <w:tc>
          <w:tcPr>
            <w:tcW w:w="712" w:type="dxa"/>
            <w:tcBorders>
              <w:left w:val="single" w:color="auto" w:sz="4" w:space="0"/>
              <w:bottom w:val="single" w:color="auto" w:sz="4" w:space="0"/>
              <w:right w:val="single" w:color="auto" w:sz="4" w:space="0"/>
            </w:tcBorders>
            <w:vAlign w:val="center"/>
          </w:tcPr>
          <w:p w14:paraId="1EB7CAB6">
            <w:pPr>
              <w:jc w:val="center"/>
              <w:rPr>
                <w:rFonts w:ascii="宋体" w:hAnsi="宋体" w:cs="宋体"/>
                <w:color w:val="auto"/>
                <w:sz w:val="24"/>
                <w:highlight w:val="none"/>
              </w:rPr>
            </w:pPr>
            <w:r>
              <w:rPr>
                <w:rFonts w:hint="eastAsia" w:ascii="宋体" w:hAnsi="宋体" w:cs="宋体"/>
                <w:color w:val="auto"/>
                <w:sz w:val="24"/>
                <w:highlight w:val="none"/>
              </w:rPr>
              <w:t>2</w:t>
            </w:r>
          </w:p>
        </w:tc>
        <w:tc>
          <w:tcPr>
            <w:tcW w:w="2115" w:type="dxa"/>
            <w:gridSpan w:val="2"/>
            <w:tcBorders>
              <w:left w:val="single" w:color="auto" w:sz="4" w:space="0"/>
              <w:bottom w:val="single" w:color="auto" w:sz="4" w:space="0"/>
              <w:right w:val="single" w:color="auto" w:sz="4" w:space="0"/>
            </w:tcBorders>
            <w:vAlign w:val="center"/>
          </w:tcPr>
          <w:p w14:paraId="0BE85959">
            <w:pPr>
              <w:widowControl/>
              <w:jc w:val="center"/>
              <w:rPr>
                <w:rFonts w:hint="eastAsia" w:ascii="宋体" w:hAnsi="宋体" w:eastAsia="宋体" w:cs="宋体"/>
                <w:bCs/>
                <w:color w:val="auto"/>
                <w:sz w:val="24"/>
                <w:highlight w:val="none"/>
                <w:lang w:eastAsia="zh-CN"/>
              </w:rPr>
            </w:pPr>
            <w:r>
              <w:rPr>
                <w:rFonts w:hint="eastAsia" w:ascii="宋体" w:hAnsi="宋体" w:cs="宋体"/>
                <w:color w:val="auto"/>
                <w:kern w:val="2"/>
                <w:sz w:val="24"/>
                <w:highlight w:val="none"/>
              </w:rPr>
              <w:t>特殊情况加班费</w:t>
            </w:r>
            <w:r>
              <w:rPr>
                <w:rFonts w:hint="eastAsia" w:ascii="宋体" w:hAnsi="宋体" w:eastAsia="宋体" w:cs="宋体"/>
                <w:color w:val="auto"/>
                <w:sz w:val="24"/>
                <w:szCs w:val="24"/>
                <w:highlight w:val="none"/>
              </w:rPr>
              <w:t>（不包括日常法定节假日（含周六、日）的加班费</w:t>
            </w:r>
            <w:r>
              <w:rPr>
                <w:rFonts w:hint="eastAsia" w:ascii="宋体" w:hAnsi="宋体" w:cs="宋体"/>
                <w:color w:val="auto"/>
                <w:kern w:val="2"/>
                <w:sz w:val="24"/>
                <w:highlight w:val="none"/>
                <w:lang w:eastAsia="zh-CN"/>
              </w:rPr>
              <w:t>）</w:t>
            </w:r>
          </w:p>
        </w:tc>
        <w:tc>
          <w:tcPr>
            <w:tcW w:w="3854" w:type="dxa"/>
            <w:tcBorders>
              <w:top w:val="single" w:color="auto" w:sz="4" w:space="0"/>
              <w:left w:val="single" w:color="auto" w:sz="4" w:space="0"/>
              <w:bottom w:val="single" w:color="auto" w:sz="4" w:space="0"/>
              <w:right w:val="single" w:color="000000" w:sz="4" w:space="0"/>
            </w:tcBorders>
            <w:vAlign w:val="center"/>
          </w:tcPr>
          <w:p w14:paraId="6BB86BC5">
            <w:pPr>
              <w:widowControl/>
              <w:jc w:val="left"/>
              <w:rPr>
                <w:rFonts w:ascii="宋体" w:hAnsi="宋体" w:cs="宋体"/>
                <w:color w:val="auto"/>
                <w:sz w:val="24"/>
                <w:highlight w:val="none"/>
              </w:rPr>
            </w:pPr>
            <w:r>
              <w:rPr>
                <w:rFonts w:hint="eastAsia" w:ascii="宋体" w:hAnsi="宋体" w:cs="宋体"/>
                <w:color w:val="auto"/>
                <w:kern w:val="2"/>
                <w:sz w:val="24"/>
                <w:highlight w:val="none"/>
              </w:rPr>
              <w:t>特殊情况产生的加班费按如下要求进行结算：以中标单位加班人员当年月工资标准÷176小时作为计算基数。</w:t>
            </w:r>
          </w:p>
        </w:tc>
        <w:tc>
          <w:tcPr>
            <w:tcW w:w="3440" w:type="dxa"/>
            <w:tcBorders>
              <w:top w:val="single" w:color="auto" w:sz="4" w:space="0"/>
              <w:left w:val="single" w:color="000000" w:sz="4" w:space="0"/>
              <w:bottom w:val="single" w:color="auto" w:sz="4" w:space="0"/>
              <w:right w:val="single" w:color="auto" w:sz="4" w:space="0"/>
            </w:tcBorders>
            <w:vAlign w:val="center"/>
          </w:tcPr>
          <w:p w14:paraId="1D0B4680">
            <w:pPr>
              <w:widowControl/>
              <w:jc w:val="left"/>
              <w:rPr>
                <w:rFonts w:ascii="宋体" w:hAnsi="宋体" w:cs="宋体"/>
                <w:color w:val="auto"/>
                <w:sz w:val="24"/>
                <w:highlight w:val="none"/>
              </w:rPr>
            </w:pPr>
            <w:r>
              <w:rPr>
                <w:rFonts w:hint="eastAsia" w:ascii="宋体" w:hAnsi="宋体" w:cs="宋体"/>
                <w:color w:val="auto"/>
                <w:sz w:val="24"/>
                <w:highlight w:val="none"/>
              </w:rPr>
              <w:t>备注：该费用不含在本次投标报价中。</w:t>
            </w:r>
          </w:p>
        </w:tc>
      </w:tr>
      <w:tr w14:paraId="670E2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trPr>
        <w:tc>
          <w:tcPr>
            <w:tcW w:w="712" w:type="dxa"/>
            <w:tcBorders>
              <w:top w:val="single" w:color="auto" w:sz="4" w:space="0"/>
              <w:left w:val="single" w:color="auto" w:sz="4" w:space="0"/>
              <w:bottom w:val="single" w:color="auto" w:sz="4" w:space="0"/>
              <w:right w:val="single" w:color="auto" w:sz="4" w:space="0"/>
            </w:tcBorders>
            <w:vAlign w:val="center"/>
          </w:tcPr>
          <w:p w14:paraId="0E0AE099">
            <w:pPr>
              <w:jc w:val="center"/>
              <w:rPr>
                <w:rFonts w:ascii="宋体" w:hAnsi="宋体" w:cs="宋体"/>
                <w:color w:val="auto"/>
                <w:sz w:val="24"/>
                <w:highlight w:val="none"/>
              </w:rPr>
            </w:pPr>
            <w:r>
              <w:rPr>
                <w:rFonts w:hint="eastAsia" w:ascii="宋体" w:hAnsi="宋体" w:cs="宋体"/>
                <w:color w:val="auto"/>
                <w:sz w:val="24"/>
                <w:highlight w:val="none"/>
              </w:rPr>
              <w:t>3</w:t>
            </w:r>
          </w:p>
        </w:tc>
        <w:tc>
          <w:tcPr>
            <w:tcW w:w="2115" w:type="dxa"/>
            <w:gridSpan w:val="2"/>
            <w:tcBorders>
              <w:top w:val="single" w:color="auto" w:sz="4" w:space="0"/>
              <w:left w:val="single" w:color="auto" w:sz="4" w:space="0"/>
              <w:bottom w:val="single" w:color="auto" w:sz="4" w:space="0"/>
              <w:right w:val="single" w:color="auto" w:sz="4" w:space="0"/>
            </w:tcBorders>
            <w:vAlign w:val="center"/>
          </w:tcPr>
          <w:p w14:paraId="5256F36C">
            <w:pPr>
              <w:widowControl/>
              <w:jc w:val="center"/>
              <w:rPr>
                <w:rFonts w:ascii="宋体" w:hAnsi="宋体" w:cs="宋体"/>
                <w:color w:val="auto"/>
                <w:sz w:val="24"/>
                <w:highlight w:val="none"/>
              </w:rPr>
            </w:pPr>
            <w:r>
              <w:rPr>
                <w:rFonts w:hint="eastAsia" w:ascii="宋体" w:hAnsi="宋体" w:cs="宋体"/>
                <w:color w:val="auto"/>
                <w:sz w:val="24"/>
                <w:highlight w:val="none"/>
              </w:rPr>
              <w:t>服务期限</w:t>
            </w:r>
          </w:p>
        </w:tc>
        <w:tc>
          <w:tcPr>
            <w:tcW w:w="7294" w:type="dxa"/>
            <w:gridSpan w:val="2"/>
            <w:tcBorders>
              <w:top w:val="single" w:color="auto" w:sz="4" w:space="0"/>
              <w:left w:val="single" w:color="auto" w:sz="4" w:space="0"/>
              <w:bottom w:val="single" w:color="auto" w:sz="4" w:space="0"/>
              <w:right w:val="single" w:color="auto" w:sz="4" w:space="0"/>
            </w:tcBorders>
            <w:vAlign w:val="center"/>
          </w:tcPr>
          <w:p w14:paraId="6CC545A8">
            <w:pPr>
              <w:widowControl/>
              <w:jc w:val="left"/>
              <w:rPr>
                <w:rFonts w:ascii="宋体" w:hAnsi="宋体" w:cs="宋体"/>
                <w:color w:val="auto"/>
                <w:sz w:val="24"/>
                <w:highlight w:val="none"/>
              </w:rPr>
            </w:pPr>
            <w:r>
              <w:rPr>
                <w:rFonts w:hint="eastAsia" w:ascii="宋体" w:hAnsi="宋体" w:cs="宋体"/>
                <w:bCs/>
                <w:color w:val="auto"/>
                <w:sz w:val="24"/>
                <w:highlight w:val="none"/>
              </w:rPr>
              <w:t>自合同签订之日起两年（具体起始日期以采购人通知为准）。合同一年一签订，合同履约期内，须严格遵守采购人的考核标准，如考核评价未达到采购人要求，采购人有权无条件单方面终止合同。</w:t>
            </w:r>
          </w:p>
        </w:tc>
      </w:tr>
      <w:tr w14:paraId="6A850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2" w:hRule="atLeast"/>
        </w:trPr>
        <w:tc>
          <w:tcPr>
            <w:tcW w:w="712" w:type="dxa"/>
            <w:tcBorders>
              <w:top w:val="single" w:color="auto" w:sz="4" w:space="0"/>
              <w:left w:val="single" w:color="auto" w:sz="4" w:space="0"/>
              <w:bottom w:val="single" w:color="auto" w:sz="4" w:space="0"/>
              <w:right w:val="single" w:color="auto" w:sz="4" w:space="0"/>
            </w:tcBorders>
            <w:vAlign w:val="center"/>
          </w:tcPr>
          <w:p w14:paraId="25CFF411">
            <w:pPr>
              <w:jc w:val="center"/>
              <w:rPr>
                <w:rFonts w:ascii="宋体" w:hAnsi="宋体" w:cs="宋体"/>
                <w:color w:val="auto"/>
                <w:sz w:val="24"/>
                <w:highlight w:val="none"/>
              </w:rPr>
            </w:pPr>
            <w:r>
              <w:rPr>
                <w:rFonts w:hint="eastAsia" w:ascii="宋体" w:hAnsi="宋体" w:cs="宋体"/>
                <w:color w:val="auto"/>
                <w:sz w:val="24"/>
                <w:highlight w:val="none"/>
              </w:rPr>
              <w:t>4</w:t>
            </w:r>
          </w:p>
        </w:tc>
        <w:tc>
          <w:tcPr>
            <w:tcW w:w="2115" w:type="dxa"/>
            <w:gridSpan w:val="2"/>
            <w:tcBorders>
              <w:top w:val="single" w:color="auto" w:sz="4" w:space="0"/>
              <w:left w:val="single" w:color="auto" w:sz="4" w:space="0"/>
              <w:bottom w:val="single" w:color="auto" w:sz="4" w:space="0"/>
              <w:right w:val="single" w:color="auto" w:sz="4" w:space="0"/>
            </w:tcBorders>
            <w:vAlign w:val="center"/>
          </w:tcPr>
          <w:p w14:paraId="35D2F7A9">
            <w:pPr>
              <w:widowControl/>
              <w:jc w:val="center"/>
              <w:rPr>
                <w:rFonts w:ascii="宋体" w:hAnsi="宋体" w:cs="宋体"/>
                <w:color w:val="auto"/>
                <w:kern w:val="2"/>
                <w:sz w:val="24"/>
                <w:highlight w:val="none"/>
              </w:rPr>
            </w:pPr>
            <w:r>
              <w:rPr>
                <w:rFonts w:hint="eastAsia" w:ascii="宋体" w:hAnsi="宋体" w:cs="宋体"/>
                <w:color w:val="auto"/>
                <w:kern w:val="2"/>
                <w:sz w:val="24"/>
                <w:highlight w:val="none"/>
              </w:rPr>
              <w:t>质量要求</w:t>
            </w:r>
          </w:p>
        </w:tc>
        <w:tc>
          <w:tcPr>
            <w:tcW w:w="7294" w:type="dxa"/>
            <w:gridSpan w:val="2"/>
            <w:tcBorders>
              <w:top w:val="single" w:color="auto" w:sz="4" w:space="0"/>
              <w:left w:val="single" w:color="auto" w:sz="4" w:space="0"/>
              <w:bottom w:val="single" w:color="auto" w:sz="4" w:space="0"/>
              <w:right w:val="single" w:color="auto" w:sz="4" w:space="0"/>
            </w:tcBorders>
            <w:vAlign w:val="center"/>
          </w:tcPr>
          <w:p w14:paraId="7973CCCE">
            <w:pPr>
              <w:widowControl/>
              <w:jc w:val="left"/>
              <w:rPr>
                <w:rFonts w:ascii="宋体" w:hAnsi="宋体" w:cs="宋体"/>
                <w:color w:val="auto"/>
                <w:kern w:val="2"/>
                <w:sz w:val="24"/>
                <w:highlight w:val="none"/>
              </w:rPr>
            </w:pPr>
            <w:r>
              <w:rPr>
                <w:rFonts w:hint="eastAsia" w:ascii="宋体" w:hAnsi="宋体" w:cs="宋体"/>
                <w:color w:val="auto"/>
                <w:kern w:val="2"/>
                <w:sz w:val="24"/>
                <w:highlight w:val="none"/>
              </w:rPr>
              <w:t>所供食材符合国家相关食品安全卫生标准；运营及管理服务达到采购人要求。</w:t>
            </w:r>
          </w:p>
        </w:tc>
      </w:tr>
      <w:tr w14:paraId="7ECA5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trPr>
        <w:tc>
          <w:tcPr>
            <w:tcW w:w="712" w:type="dxa"/>
            <w:tcBorders>
              <w:top w:val="single" w:color="auto" w:sz="4" w:space="0"/>
              <w:left w:val="single" w:color="auto" w:sz="4" w:space="0"/>
              <w:bottom w:val="single" w:color="auto" w:sz="4" w:space="0"/>
              <w:right w:val="single" w:color="auto" w:sz="4" w:space="0"/>
            </w:tcBorders>
            <w:vAlign w:val="center"/>
          </w:tcPr>
          <w:p w14:paraId="0C62CC01">
            <w:pPr>
              <w:jc w:val="center"/>
              <w:rPr>
                <w:rFonts w:ascii="宋体" w:hAnsi="宋体" w:cs="宋体"/>
                <w:color w:val="auto"/>
                <w:sz w:val="24"/>
                <w:highlight w:val="none"/>
              </w:rPr>
            </w:pPr>
            <w:r>
              <w:rPr>
                <w:rFonts w:hint="eastAsia" w:ascii="宋体" w:hAnsi="宋体" w:cs="宋体"/>
                <w:color w:val="auto"/>
                <w:sz w:val="24"/>
                <w:highlight w:val="none"/>
              </w:rPr>
              <w:t>5</w:t>
            </w:r>
          </w:p>
        </w:tc>
        <w:tc>
          <w:tcPr>
            <w:tcW w:w="2115" w:type="dxa"/>
            <w:gridSpan w:val="2"/>
            <w:tcBorders>
              <w:top w:val="single" w:color="auto" w:sz="4" w:space="0"/>
              <w:left w:val="single" w:color="auto" w:sz="4" w:space="0"/>
              <w:bottom w:val="single" w:color="auto" w:sz="4" w:space="0"/>
              <w:right w:val="single" w:color="auto" w:sz="4" w:space="0"/>
            </w:tcBorders>
            <w:vAlign w:val="center"/>
          </w:tcPr>
          <w:p w14:paraId="4538FA8F">
            <w:pPr>
              <w:widowControl/>
              <w:jc w:val="center"/>
              <w:rPr>
                <w:rFonts w:ascii="宋体" w:hAnsi="宋体" w:cs="宋体"/>
                <w:color w:val="auto"/>
                <w:kern w:val="2"/>
                <w:sz w:val="24"/>
                <w:highlight w:val="none"/>
              </w:rPr>
            </w:pPr>
            <w:r>
              <w:rPr>
                <w:rFonts w:hint="eastAsia" w:ascii="宋体" w:hAnsi="宋体" w:cs="宋体"/>
                <w:color w:val="auto"/>
                <w:kern w:val="2"/>
                <w:sz w:val="24"/>
                <w:highlight w:val="none"/>
              </w:rPr>
              <w:t>验收标准</w:t>
            </w:r>
          </w:p>
        </w:tc>
        <w:tc>
          <w:tcPr>
            <w:tcW w:w="7294" w:type="dxa"/>
            <w:gridSpan w:val="2"/>
            <w:tcBorders>
              <w:top w:val="single" w:color="auto" w:sz="4" w:space="0"/>
              <w:left w:val="single" w:color="auto" w:sz="4" w:space="0"/>
              <w:bottom w:val="single" w:color="auto" w:sz="4" w:space="0"/>
              <w:right w:val="single" w:color="auto" w:sz="4" w:space="0"/>
            </w:tcBorders>
            <w:vAlign w:val="center"/>
          </w:tcPr>
          <w:p w14:paraId="35F122A1">
            <w:pPr>
              <w:widowControl/>
              <w:jc w:val="left"/>
              <w:rPr>
                <w:rFonts w:ascii="宋体" w:hAnsi="宋体" w:cs="宋体"/>
                <w:color w:val="auto"/>
                <w:kern w:val="2"/>
                <w:sz w:val="24"/>
                <w:highlight w:val="none"/>
              </w:rPr>
            </w:pPr>
            <w:r>
              <w:rPr>
                <w:rFonts w:hint="eastAsia" w:ascii="宋体" w:hAnsi="宋体" w:cs="宋体"/>
                <w:color w:val="auto"/>
                <w:kern w:val="2"/>
                <w:sz w:val="24"/>
                <w:highlight w:val="none"/>
              </w:rPr>
              <w:t>按招标文件要求进行验收，中标供应商须无条件配合。</w:t>
            </w:r>
          </w:p>
        </w:tc>
      </w:tr>
      <w:tr w14:paraId="72274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712" w:type="dxa"/>
            <w:tcBorders>
              <w:top w:val="single" w:color="auto" w:sz="4" w:space="0"/>
              <w:left w:val="single" w:color="auto" w:sz="4" w:space="0"/>
              <w:bottom w:val="single" w:color="auto" w:sz="4" w:space="0"/>
              <w:right w:val="single" w:color="auto" w:sz="4" w:space="0"/>
            </w:tcBorders>
            <w:vAlign w:val="center"/>
          </w:tcPr>
          <w:p w14:paraId="3456BD93">
            <w:pPr>
              <w:jc w:val="center"/>
              <w:rPr>
                <w:rFonts w:ascii="宋体" w:hAnsi="宋体" w:cs="宋体"/>
                <w:color w:val="auto"/>
                <w:sz w:val="24"/>
                <w:highlight w:val="none"/>
              </w:rPr>
            </w:pPr>
            <w:r>
              <w:rPr>
                <w:rFonts w:hint="eastAsia" w:ascii="宋体" w:hAnsi="宋体" w:cs="宋体"/>
                <w:color w:val="auto"/>
                <w:sz w:val="24"/>
                <w:highlight w:val="none"/>
              </w:rPr>
              <w:t>6</w:t>
            </w:r>
          </w:p>
        </w:tc>
        <w:tc>
          <w:tcPr>
            <w:tcW w:w="2115" w:type="dxa"/>
            <w:gridSpan w:val="2"/>
            <w:tcBorders>
              <w:top w:val="single" w:color="auto" w:sz="4" w:space="0"/>
              <w:left w:val="single" w:color="auto" w:sz="4" w:space="0"/>
              <w:bottom w:val="single" w:color="auto" w:sz="4" w:space="0"/>
              <w:right w:val="single" w:color="auto" w:sz="4" w:space="0"/>
            </w:tcBorders>
            <w:vAlign w:val="center"/>
          </w:tcPr>
          <w:p w14:paraId="7EB3848B">
            <w:pPr>
              <w:widowControl/>
              <w:jc w:val="center"/>
              <w:rPr>
                <w:rFonts w:ascii="宋体" w:hAnsi="宋体" w:cs="宋体"/>
                <w:color w:val="auto"/>
                <w:kern w:val="2"/>
                <w:sz w:val="24"/>
                <w:highlight w:val="none"/>
              </w:rPr>
            </w:pPr>
            <w:r>
              <w:rPr>
                <w:rFonts w:hint="eastAsia" w:ascii="宋体" w:hAnsi="宋体" w:cs="宋体"/>
                <w:color w:val="auto"/>
                <w:kern w:val="2"/>
                <w:sz w:val="24"/>
                <w:highlight w:val="none"/>
              </w:rPr>
              <w:t>项目负责人</w:t>
            </w:r>
          </w:p>
        </w:tc>
        <w:tc>
          <w:tcPr>
            <w:tcW w:w="7294" w:type="dxa"/>
            <w:gridSpan w:val="2"/>
            <w:tcBorders>
              <w:top w:val="single" w:color="auto" w:sz="4" w:space="0"/>
              <w:left w:val="single" w:color="auto" w:sz="4" w:space="0"/>
              <w:bottom w:val="single" w:color="auto" w:sz="4" w:space="0"/>
              <w:right w:val="single" w:color="auto" w:sz="4" w:space="0"/>
            </w:tcBorders>
            <w:vAlign w:val="center"/>
          </w:tcPr>
          <w:p w14:paraId="47F0C806">
            <w:pPr>
              <w:widowControl/>
              <w:jc w:val="left"/>
              <w:rPr>
                <w:rFonts w:ascii="宋体" w:hAnsi="宋体" w:cs="宋体"/>
                <w:color w:val="auto"/>
                <w:kern w:val="2"/>
                <w:sz w:val="24"/>
                <w:highlight w:val="none"/>
              </w:rPr>
            </w:pPr>
            <w:r>
              <w:rPr>
                <w:rFonts w:hint="eastAsia" w:ascii="宋体" w:hAnsi="宋体" w:cs="宋体"/>
                <w:color w:val="auto"/>
                <w:kern w:val="2"/>
                <w:sz w:val="24"/>
                <w:highlight w:val="none"/>
              </w:rPr>
              <w:t>姓名：</w:t>
            </w:r>
          </w:p>
          <w:p w14:paraId="7B366E02">
            <w:pPr>
              <w:widowControl/>
              <w:jc w:val="left"/>
              <w:rPr>
                <w:rFonts w:ascii="宋体" w:hAnsi="宋体" w:cs="宋体"/>
                <w:color w:val="auto"/>
                <w:kern w:val="2"/>
                <w:sz w:val="24"/>
                <w:highlight w:val="none"/>
              </w:rPr>
            </w:pPr>
            <w:r>
              <w:rPr>
                <w:rFonts w:hint="eastAsia" w:ascii="宋体" w:hAnsi="宋体" w:cs="宋体"/>
                <w:color w:val="auto"/>
                <w:kern w:val="2"/>
                <w:sz w:val="24"/>
                <w:highlight w:val="none"/>
              </w:rPr>
              <w:t>联系方式：</w:t>
            </w:r>
          </w:p>
        </w:tc>
      </w:tr>
      <w:tr w14:paraId="7057E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712" w:type="dxa"/>
            <w:tcBorders>
              <w:top w:val="single" w:color="auto" w:sz="4" w:space="0"/>
              <w:left w:val="single" w:color="auto" w:sz="4" w:space="0"/>
              <w:bottom w:val="single" w:color="auto" w:sz="4" w:space="0"/>
              <w:right w:val="single" w:color="auto" w:sz="4" w:space="0"/>
            </w:tcBorders>
            <w:vAlign w:val="center"/>
          </w:tcPr>
          <w:p w14:paraId="69140133">
            <w:pPr>
              <w:jc w:val="center"/>
              <w:rPr>
                <w:rFonts w:ascii="宋体" w:hAnsi="宋体" w:cs="宋体"/>
                <w:color w:val="auto"/>
                <w:sz w:val="24"/>
                <w:highlight w:val="none"/>
              </w:rPr>
            </w:pPr>
            <w:r>
              <w:rPr>
                <w:rFonts w:hint="eastAsia" w:ascii="宋体" w:hAnsi="宋体" w:cs="宋体"/>
                <w:color w:val="auto"/>
                <w:sz w:val="24"/>
                <w:highlight w:val="none"/>
              </w:rPr>
              <w:t>7</w:t>
            </w:r>
          </w:p>
        </w:tc>
        <w:tc>
          <w:tcPr>
            <w:tcW w:w="2115" w:type="dxa"/>
            <w:gridSpan w:val="2"/>
            <w:tcBorders>
              <w:top w:val="single" w:color="auto" w:sz="4" w:space="0"/>
              <w:left w:val="single" w:color="auto" w:sz="4" w:space="0"/>
              <w:bottom w:val="single" w:color="auto" w:sz="4" w:space="0"/>
              <w:right w:val="single" w:color="auto" w:sz="4" w:space="0"/>
            </w:tcBorders>
            <w:vAlign w:val="center"/>
          </w:tcPr>
          <w:p w14:paraId="3F7EFBBC">
            <w:pPr>
              <w:widowControl/>
              <w:jc w:val="center"/>
              <w:rPr>
                <w:rFonts w:ascii="宋体" w:hAnsi="宋体" w:cs="宋体"/>
                <w:color w:val="auto"/>
                <w:kern w:val="2"/>
                <w:sz w:val="24"/>
                <w:highlight w:val="none"/>
              </w:rPr>
            </w:pPr>
            <w:r>
              <w:rPr>
                <w:rFonts w:hint="eastAsia" w:ascii="宋体" w:hAnsi="宋体" w:cs="宋体"/>
                <w:color w:val="auto"/>
                <w:kern w:val="2"/>
                <w:sz w:val="24"/>
                <w:highlight w:val="none"/>
              </w:rPr>
              <w:t>其他优惠服务、措施或承诺内容</w:t>
            </w:r>
          </w:p>
        </w:tc>
        <w:tc>
          <w:tcPr>
            <w:tcW w:w="7294" w:type="dxa"/>
            <w:gridSpan w:val="2"/>
            <w:tcBorders>
              <w:top w:val="single" w:color="auto" w:sz="4" w:space="0"/>
              <w:left w:val="single" w:color="auto" w:sz="4" w:space="0"/>
              <w:bottom w:val="single" w:color="auto" w:sz="4" w:space="0"/>
              <w:right w:val="single" w:color="auto" w:sz="4" w:space="0"/>
            </w:tcBorders>
            <w:vAlign w:val="center"/>
          </w:tcPr>
          <w:p w14:paraId="058C3EF5">
            <w:pPr>
              <w:widowControl/>
              <w:jc w:val="left"/>
              <w:rPr>
                <w:rFonts w:ascii="宋体" w:hAnsi="宋体" w:cs="宋体"/>
                <w:color w:val="auto"/>
                <w:kern w:val="2"/>
                <w:sz w:val="24"/>
                <w:highlight w:val="none"/>
              </w:rPr>
            </w:pPr>
          </w:p>
        </w:tc>
      </w:tr>
    </w:tbl>
    <w:p w14:paraId="764A4C07">
      <w:pPr>
        <w:spacing w:line="360" w:lineRule="auto"/>
        <w:ind w:firstLine="120"/>
        <w:jc w:val="right"/>
        <w:rPr>
          <w:rFonts w:ascii="宋体" w:hAnsi="宋体"/>
          <w:bCs/>
          <w:color w:val="auto"/>
          <w:sz w:val="24"/>
          <w:szCs w:val="24"/>
          <w:highlight w:val="none"/>
        </w:rPr>
      </w:pPr>
      <w:r>
        <w:rPr>
          <w:rFonts w:hint="eastAsia" w:ascii="宋体" w:hAnsi="宋体"/>
          <w:b/>
          <w:bCs/>
          <w:color w:val="auto"/>
          <w:sz w:val="24"/>
          <w:szCs w:val="24"/>
          <w:highlight w:val="none"/>
        </w:rPr>
        <w:t>日期：   年   月   日</w:t>
      </w:r>
    </w:p>
    <w:p w14:paraId="1B53A7D9">
      <w:pPr>
        <w:widowControl/>
        <w:spacing w:line="360" w:lineRule="auto"/>
        <w:jc w:val="left"/>
        <w:rPr>
          <w:rFonts w:ascii="宋体" w:hAnsi="宋体"/>
          <w:b/>
          <w:color w:val="auto"/>
          <w:sz w:val="28"/>
          <w:szCs w:val="28"/>
          <w:highlight w:val="none"/>
        </w:rPr>
      </w:pPr>
      <w:r>
        <w:rPr>
          <w:rFonts w:ascii="宋体" w:hAnsi="宋体"/>
          <w:b/>
          <w:color w:val="auto"/>
          <w:sz w:val="28"/>
          <w:szCs w:val="28"/>
          <w:highlight w:val="none"/>
        </w:rPr>
        <w:br w:type="page" w:clear="all"/>
      </w:r>
    </w:p>
    <w:p w14:paraId="735AFAAF">
      <w:pPr>
        <w:spacing w:line="360" w:lineRule="auto"/>
        <w:rPr>
          <w:color w:val="auto"/>
          <w:highlight w:val="none"/>
        </w:rPr>
        <w:sectPr>
          <w:pgSz w:w="11906" w:h="16838"/>
          <w:pgMar w:top="1304" w:right="1077" w:bottom="1304" w:left="1077" w:header="680" w:footer="794" w:gutter="0"/>
          <w:pgBorders>
            <w:top w:val="none" w:sz="0" w:space="0"/>
            <w:left w:val="none" w:sz="0" w:space="0"/>
            <w:bottom w:val="none" w:sz="0" w:space="0"/>
            <w:right w:val="none" w:sz="0" w:space="0"/>
          </w:pgBorders>
          <w:pgNumType w:fmt="decimal"/>
          <w:cols w:space="720" w:num="1"/>
          <w:titlePg/>
          <w:docGrid w:linePitch="360" w:charSpace="0"/>
        </w:sectPr>
      </w:pPr>
    </w:p>
    <w:p w14:paraId="044FF706">
      <w:pPr>
        <w:pageBreakBefore/>
        <w:spacing w:line="360" w:lineRule="auto"/>
        <w:jc w:val="left"/>
        <w:outlineLvl w:val="0"/>
        <w:rPr>
          <w:rFonts w:ascii="宋体" w:hAnsi="宋体"/>
          <w:bCs/>
          <w:color w:val="auto"/>
          <w:sz w:val="24"/>
          <w:szCs w:val="24"/>
          <w:highlight w:val="none"/>
        </w:rPr>
      </w:pPr>
      <w:bookmarkStart w:id="929" w:name="_Toc39873236"/>
      <w:bookmarkStart w:id="930" w:name="_Toc116946359"/>
      <w:bookmarkStart w:id="931" w:name="_Toc39873191"/>
      <w:bookmarkStart w:id="932" w:name="_Toc36414929"/>
      <w:bookmarkStart w:id="933" w:name="_Toc98277379"/>
      <w:r>
        <w:rPr>
          <w:rFonts w:hint="eastAsia" w:ascii="宋体" w:hAnsi="宋体"/>
          <w:bCs/>
          <w:color w:val="auto"/>
          <w:sz w:val="24"/>
          <w:szCs w:val="24"/>
          <w:highlight w:val="none"/>
        </w:rPr>
        <w:t>（六）</w:t>
      </w:r>
      <w:bookmarkStart w:id="934" w:name="_Toc36830596"/>
      <w:bookmarkStart w:id="935" w:name="_Toc116946358"/>
      <w:bookmarkStart w:id="936" w:name="_Toc98277378"/>
      <w:r>
        <w:rPr>
          <w:rFonts w:hint="eastAsia" w:ascii="宋体" w:hAnsi="宋体"/>
          <w:bCs/>
          <w:color w:val="auto"/>
          <w:sz w:val="24"/>
          <w:szCs w:val="24"/>
          <w:highlight w:val="none"/>
        </w:rPr>
        <w:t>明细报价表（格式）：</w:t>
      </w:r>
      <w:bookmarkEnd w:id="934"/>
      <w:bookmarkEnd w:id="935"/>
      <w:bookmarkEnd w:id="936"/>
    </w:p>
    <w:p w14:paraId="0AC466F1">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明细报价表</w:t>
      </w:r>
    </w:p>
    <w:p w14:paraId="2BADE326">
      <w:pPr>
        <w:spacing w:line="360" w:lineRule="auto"/>
        <w:rPr>
          <w:rFonts w:hint="eastAsia" w:ascii="宋体" w:hAnsi="宋体" w:eastAsia="宋体"/>
          <w:bCs/>
          <w:color w:val="auto"/>
          <w:sz w:val="24"/>
          <w:szCs w:val="24"/>
          <w:highlight w:val="none"/>
          <w:lang w:eastAsia="zh-CN"/>
        </w:rPr>
      </w:pPr>
      <w:bookmarkStart w:id="937" w:name="_Hlk43651156"/>
      <w:r>
        <w:rPr>
          <w:rFonts w:hint="eastAsia" w:ascii="宋体" w:hAnsi="宋体"/>
          <w:bCs/>
          <w:color w:val="auto"/>
          <w:sz w:val="24"/>
          <w:szCs w:val="24"/>
          <w:highlight w:val="none"/>
        </w:rPr>
        <w:t>投标供应商名称（盖章）                  采购项目编号：</w:t>
      </w:r>
      <w:bookmarkEnd w:id="937"/>
      <w:r>
        <w:rPr>
          <w:rFonts w:hint="eastAsia" w:ascii="宋体" w:hAnsi="宋体"/>
          <w:bCs/>
          <w:color w:val="auto"/>
          <w:sz w:val="24"/>
          <w:szCs w:val="24"/>
          <w:highlight w:val="none"/>
          <w:lang w:eastAsia="zh-CN"/>
        </w:rPr>
        <w:t>JSZC-320206-JXCZ-G2026-0004</w:t>
      </w:r>
    </w:p>
    <w:tbl>
      <w:tblPr>
        <w:tblStyle w:val="67"/>
        <w:tblW w:w="9623" w:type="dxa"/>
        <w:tblInd w:w="93" w:type="dxa"/>
        <w:tblLayout w:type="fixed"/>
        <w:tblCellMar>
          <w:top w:w="0" w:type="dxa"/>
          <w:left w:w="108" w:type="dxa"/>
          <w:bottom w:w="0" w:type="dxa"/>
          <w:right w:w="108" w:type="dxa"/>
        </w:tblCellMar>
      </w:tblPr>
      <w:tblGrid>
        <w:gridCol w:w="1156"/>
        <w:gridCol w:w="1578"/>
        <w:gridCol w:w="930"/>
        <w:gridCol w:w="2026"/>
        <w:gridCol w:w="1860"/>
        <w:gridCol w:w="2073"/>
      </w:tblGrid>
      <w:tr w14:paraId="59E4C8C0">
        <w:tblPrEx>
          <w:tblCellMar>
            <w:top w:w="0" w:type="dxa"/>
            <w:left w:w="108" w:type="dxa"/>
            <w:bottom w:w="0" w:type="dxa"/>
            <w:right w:w="108" w:type="dxa"/>
          </w:tblCellMar>
        </w:tblPrEx>
        <w:trPr>
          <w:trHeight w:val="313" w:hRule="atLeast"/>
        </w:trPr>
        <w:tc>
          <w:tcPr>
            <w:tcW w:w="115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8EFFA1A">
            <w:pPr>
              <w:widowControl/>
              <w:jc w:val="center"/>
              <w:textAlignment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报价项目</w:t>
            </w:r>
          </w:p>
        </w:tc>
        <w:tc>
          <w:tcPr>
            <w:tcW w:w="15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95A945B">
            <w:pPr>
              <w:widowControl/>
              <w:jc w:val="center"/>
              <w:textAlignment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岗位名称</w:t>
            </w:r>
          </w:p>
        </w:tc>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FA49E3">
            <w:pPr>
              <w:widowControl/>
              <w:jc w:val="center"/>
              <w:textAlignment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人数</w:t>
            </w:r>
          </w:p>
        </w:tc>
        <w:tc>
          <w:tcPr>
            <w:tcW w:w="20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F179B5">
            <w:pPr>
              <w:widowControl/>
              <w:jc w:val="center"/>
              <w:textAlignment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人员工资（元/月）</w:t>
            </w:r>
          </w:p>
        </w:tc>
        <w:tc>
          <w:tcPr>
            <w:tcW w:w="186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8D6F256">
            <w:pPr>
              <w:widowControl/>
              <w:jc w:val="center"/>
              <w:textAlignment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合计（元/月）</w:t>
            </w:r>
          </w:p>
        </w:tc>
        <w:tc>
          <w:tcPr>
            <w:tcW w:w="2073"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91BC86D">
            <w:pPr>
              <w:widowControl/>
              <w:jc w:val="center"/>
              <w:textAlignment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备注</w:t>
            </w:r>
          </w:p>
        </w:tc>
      </w:tr>
      <w:tr w14:paraId="083104AB">
        <w:tblPrEx>
          <w:tblCellMar>
            <w:top w:w="0" w:type="dxa"/>
            <w:left w:w="108" w:type="dxa"/>
            <w:bottom w:w="0" w:type="dxa"/>
            <w:right w:w="108" w:type="dxa"/>
          </w:tblCellMar>
        </w:tblPrEx>
        <w:trPr>
          <w:trHeight w:val="270" w:hRule="atLeast"/>
        </w:trPr>
        <w:tc>
          <w:tcPr>
            <w:tcW w:w="1156" w:type="dxa"/>
            <w:vMerge w:val="restart"/>
            <w:tcBorders>
              <w:top w:val="single" w:color="000000" w:sz="8" w:space="0"/>
              <w:left w:val="single" w:color="000000" w:sz="8" w:space="0"/>
              <w:right w:val="single" w:color="000000" w:sz="8" w:space="0"/>
            </w:tcBorders>
            <w:shd w:val="clear" w:color="auto" w:fill="auto"/>
            <w:vAlign w:val="center"/>
          </w:tcPr>
          <w:p w14:paraId="38F64EB5">
            <w:pPr>
              <w:widowControl/>
              <w:jc w:val="center"/>
              <w:textAlignment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人员费用</w:t>
            </w:r>
          </w:p>
        </w:tc>
        <w:tc>
          <w:tcPr>
            <w:tcW w:w="15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C36513D">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项目负责人（现场经理）</w:t>
            </w:r>
          </w:p>
        </w:tc>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AD7890C">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20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B15CD0">
            <w:pPr>
              <w:widowControl/>
              <w:jc w:val="center"/>
              <w:textAlignment w:val="center"/>
              <w:rPr>
                <w:rFonts w:hint="eastAsia" w:ascii="宋体" w:hAnsi="宋体" w:eastAsia="宋体" w:cs="宋体"/>
                <w:color w:val="auto"/>
                <w:sz w:val="22"/>
                <w:szCs w:val="22"/>
                <w:highlight w:val="none"/>
              </w:rPr>
            </w:pPr>
          </w:p>
        </w:tc>
        <w:tc>
          <w:tcPr>
            <w:tcW w:w="186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4426E08">
            <w:pPr>
              <w:widowControl/>
              <w:jc w:val="center"/>
              <w:textAlignment w:val="center"/>
              <w:rPr>
                <w:rFonts w:hint="eastAsia" w:ascii="宋体" w:hAnsi="宋体" w:eastAsia="宋体" w:cs="宋体"/>
                <w:color w:val="auto"/>
                <w:sz w:val="22"/>
                <w:szCs w:val="22"/>
                <w:highlight w:val="none"/>
              </w:rPr>
            </w:pPr>
          </w:p>
        </w:tc>
        <w:tc>
          <w:tcPr>
            <w:tcW w:w="2073" w:type="dxa"/>
            <w:vMerge w:val="restart"/>
            <w:tcBorders>
              <w:top w:val="single" w:color="000000" w:sz="8" w:space="0"/>
              <w:left w:val="single" w:color="000000" w:sz="8" w:space="0"/>
              <w:right w:val="single" w:color="000000" w:sz="8" w:space="0"/>
            </w:tcBorders>
            <w:shd w:val="clear" w:color="auto" w:fill="auto"/>
            <w:vAlign w:val="center"/>
          </w:tcPr>
          <w:p w14:paraId="5383F3E9">
            <w:pPr>
              <w:widowControl/>
              <w:textAlignment w:val="center"/>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①人员工资已含基本工资、奖金、年假、高温费、日常法定节假日（含周六、日）加班费、社保及公积金等各种保险、体检、人员服装、培训等所有费用；②特殊情况加班费以此表作为计费依据。</w:t>
            </w:r>
          </w:p>
        </w:tc>
      </w:tr>
      <w:tr w14:paraId="13F1CA73">
        <w:tblPrEx>
          <w:tblCellMar>
            <w:top w:w="0" w:type="dxa"/>
            <w:left w:w="108" w:type="dxa"/>
            <w:bottom w:w="0" w:type="dxa"/>
            <w:right w:w="108" w:type="dxa"/>
          </w:tblCellMar>
        </w:tblPrEx>
        <w:trPr>
          <w:trHeight w:val="270" w:hRule="atLeast"/>
        </w:trPr>
        <w:tc>
          <w:tcPr>
            <w:tcW w:w="1156" w:type="dxa"/>
            <w:vMerge w:val="continue"/>
            <w:tcBorders>
              <w:left w:val="single" w:color="000000" w:sz="8" w:space="0"/>
              <w:right w:val="single" w:color="000000" w:sz="8" w:space="0"/>
            </w:tcBorders>
            <w:shd w:val="clear" w:color="auto" w:fill="auto"/>
            <w:vAlign w:val="center"/>
          </w:tcPr>
          <w:p w14:paraId="5B8CD17C">
            <w:pPr>
              <w:jc w:val="center"/>
              <w:rPr>
                <w:rFonts w:hint="eastAsia" w:ascii="宋体" w:hAnsi="宋体" w:eastAsia="宋体" w:cs="宋体"/>
                <w:b/>
                <w:bCs/>
                <w:color w:val="auto"/>
                <w:sz w:val="22"/>
                <w:szCs w:val="22"/>
                <w:highlight w:val="none"/>
              </w:rPr>
            </w:pPr>
          </w:p>
        </w:tc>
        <w:tc>
          <w:tcPr>
            <w:tcW w:w="15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44D792F">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厨师长</w:t>
            </w:r>
          </w:p>
        </w:tc>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2ED291">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20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E51045A">
            <w:pPr>
              <w:widowControl/>
              <w:jc w:val="center"/>
              <w:textAlignment w:val="center"/>
              <w:rPr>
                <w:rFonts w:hint="eastAsia" w:ascii="宋体" w:hAnsi="宋体" w:eastAsia="宋体" w:cs="宋体"/>
                <w:color w:val="auto"/>
                <w:sz w:val="22"/>
                <w:szCs w:val="22"/>
                <w:highlight w:val="none"/>
              </w:rPr>
            </w:pPr>
          </w:p>
        </w:tc>
        <w:tc>
          <w:tcPr>
            <w:tcW w:w="186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520DE52">
            <w:pPr>
              <w:widowControl/>
              <w:jc w:val="center"/>
              <w:textAlignment w:val="center"/>
              <w:rPr>
                <w:rFonts w:hint="eastAsia" w:ascii="宋体" w:hAnsi="宋体" w:eastAsia="宋体" w:cs="宋体"/>
                <w:color w:val="auto"/>
                <w:sz w:val="22"/>
                <w:szCs w:val="22"/>
                <w:highlight w:val="none"/>
              </w:rPr>
            </w:pPr>
          </w:p>
        </w:tc>
        <w:tc>
          <w:tcPr>
            <w:tcW w:w="2073" w:type="dxa"/>
            <w:vMerge w:val="continue"/>
            <w:tcBorders>
              <w:left w:val="single" w:color="000000" w:sz="8" w:space="0"/>
              <w:right w:val="single" w:color="000000" w:sz="8" w:space="0"/>
            </w:tcBorders>
            <w:shd w:val="clear" w:color="auto" w:fill="auto"/>
            <w:vAlign w:val="center"/>
          </w:tcPr>
          <w:p w14:paraId="58FD9960">
            <w:pPr>
              <w:jc w:val="center"/>
              <w:rPr>
                <w:rFonts w:hint="eastAsia" w:ascii="宋体" w:hAnsi="宋体" w:eastAsia="宋体" w:cs="宋体"/>
                <w:color w:val="auto"/>
                <w:sz w:val="22"/>
                <w:szCs w:val="22"/>
                <w:highlight w:val="none"/>
              </w:rPr>
            </w:pPr>
          </w:p>
        </w:tc>
      </w:tr>
      <w:tr w14:paraId="561034D2">
        <w:tblPrEx>
          <w:tblCellMar>
            <w:top w:w="0" w:type="dxa"/>
            <w:left w:w="108" w:type="dxa"/>
            <w:bottom w:w="0" w:type="dxa"/>
            <w:right w:w="108" w:type="dxa"/>
          </w:tblCellMar>
        </w:tblPrEx>
        <w:trPr>
          <w:trHeight w:val="270" w:hRule="atLeast"/>
        </w:trPr>
        <w:tc>
          <w:tcPr>
            <w:tcW w:w="1156" w:type="dxa"/>
            <w:vMerge w:val="continue"/>
            <w:tcBorders>
              <w:left w:val="single" w:color="000000" w:sz="8" w:space="0"/>
              <w:right w:val="single" w:color="000000" w:sz="8" w:space="0"/>
            </w:tcBorders>
            <w:shd w:val="clear" w:color="auto" w:fill="auto"/>
            <w:vAlign w:val="center"/>
          </w:tcPr>
          <w:p w14:paraId="3DF057B3">
            <w:pPr>
              <w:jc w:val="center"/>
              <w:rPr>
                <w:rFonts w:hint="eastAsia" w:ascii="宋体" w:hAnsi="宋体" w:eastAsia="宋体" w:cs="宋体"/>
                <w:b/>
                <w:bCs/>
                <w:color w:val="auto"/>
                <w:sz w:val="22"/>
                <w:szCs w:val="22"/>
                <w:highlight w:val="none"/>
              </w:rPr>
            </w:pPr>
          </w:p>
        </w:tc>
        <w:tc>
          <w:tcPr>
            <w:tcW w:w="15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861312A">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服务主管</w:t>
            </w:r>
          </w:p>
        </w:tc>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3A7E881">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20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8F8B4E">
            <w:pPr>
              <w:widowControl/>
              <w:jc w:val="center"/>
              <w:textAlignment w:val="center"/>
              <w:rPr>
                <w:rFonts w:hint="eastAsia" w:ascii="宋体" w:hAnsi="宋体" w:eastAsia="宋体" w:cs="宋体"/>
                <w:color w:val="auto"/>
                <w:sz w:val="22"/>
                <w:szCs w:val="22"/>
                <w:highlight w:val="none"/>
              </w:rPr>
            </w:pPr>
          </w:p>
        </w:tc>
        <w:tc>
          <w:tcPr>
            <w:tcW w:w="186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CE0257F">
            <w:pPr>
              <w:widowControl/>
              <w:jc w:val="center"/>
              <w:textAlignment w:val="center"/>
              <w:rPr>
                <w:rFonts w:hint="eastAsia" w:ascii="宋体" w:hAnsi="宋体" w:eastAsia="宋体" w:cs="宋体"/>
                <w:color w:val="auto"/>
                <w:sz w:val="22"/>
                <w:szCs w:val="22"/>
                <w:highlight w:val="none"/>
              </w:rPr>
            </w:pPr>
          </w:p>
        </w:tc>
        <w:tc>
          <w:tcPr>
            <w:tcW w:w="2073" w:type="dxa"/>
            <w:vMerge w:val="continue"/>
            <w:tcBorders>
              <w:left w:val="single" w:color="000000" w:sz="8" w:space="0"/>
              <w:right w:val="single" w:color="000000" w:sz="8" w:space="0"/>
            </w:tcBorders>
            <w:shd w:val="clear" w:color="auto" w:fill="auto"/>
            <w:vAlign w:val="center"/>
          </w:tcPr>
          <w:p w14:paraId="3E0B6436">
            <w:pPr>
              <w:jc w:val="center"/>
              <w:rPr>
                <w:rFonts w:hint="eastAsia" w:ascii="宋体" w:hAnsi="宋体" w:eastAsia="宋体" w:cs="宋体"/>
                <w:color w:val="auto"/>
                <w:sz w:val="22"/>
                <w:szCs w:val="22"/>
                <w:highlight w:val="none"/>
              </w:rPr>
            </w:pPr>
          </w:p>
        </w:tc>
      </w:tr>
      <w:tr w14:paraId="4E9D0613">
        <w:tblPrEx>
          <w:tblCellMar>
            <w:top w:w="0" w:type="dxa"/>
            <w:left w:w="108" w:type="dxa"/>
            <w:bottom w:w="0" w:type="dxa"/>
            <w:right w:w="108" w:type="dxa"/>
          </w:tblCellMar>
        </w:tblPrEx>
        <w:trPr>
          <w:trHeight w:val="270" w:hRule="atLeast"/>
        </w:trPr>
        <w:tc>
          <w:tcPr>
            <w:tcW w:w="1156" w:type="dxa"/>
            <w:vMerge w:val="continue"/>
            <w:tcBorders>
              <w:left w:val="single" w:color="000000" w:sz="8" w:space="0"/>
              <w:right w:val="single" w:color="000000" w:sz="8" w:space="0"/>
            </w:tcBorders>
            <w:shd w:val="clear" w:color="auto" w:fill="auto"/>
            <w:vAlign w:val="center"/>
          </w:tcPr>
          <w:p w14:paraId="46C747E3">
            <w:pPr>
              <w:jc w:val="center"/>
              <w:rPr>
                <w:rFonts w:hint="eastAsia" w:ascii="宋体" w:hAnsi="宋体" w:eastAsia="宋体" w:cs="宋体"/>
                <w:b/>
                <w:bCs/>
                <w:color w:val="auto"/>
                <w:sz w:val="22"/>
                <w:szCs w:val="22"/>
                <w:highlight w:val="none"/>
              </w:rPr>
            </w:pPr>
          </w:p>
        </w:tc>
        <w:tc>
          <w:tcPr>
            <w:tcW w:w="15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61DA302">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小灶厨师</w:t>
            </w:r>
          </w:p>
        </w:tc>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A0371E0">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20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134524E">
            <w:pPr>
              <w:widowControl/>
              <w:jc w:val="center"/>
              <w:textAlignment w:val="center"/>
              <w:rPr>
                <w:rFonts w:hint="eastAsia" w:ascii="宋体" w:hAnsi="宋体" w:eastAsia="宋体" w:cs="宋体"/>
                <w:color w:val="auto"/>
                <w:sz w:val="22"/>
                <w:szCs w:val="22"/>
                <w:highlight w:val="none"/>
              </w:rPr>
            </w:pPr>
          </w:p>
        </w:tc>
        <w:tc>
          <w:tcPr>
            <w:tcW w:w="186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F462918">
            <w:pPr>
              <w:widowControl/>
              <w:jc w:val="center"/>
              <w:textAlignment w:val="center"/>
              <w:rPr>
                <w:rFonts w:hint="eastAsia" w:ascii="宋体" w:hAnsi="宋体" w:eastAsia="宋体" w:cs="宋体"/>
                <w:color w:val="auto"/>
                <w:sz w:val="22"/>
                <w:szCs w:val="22"/>
                <w:highlight w:val="none"/>
              </w:rPr>
            </w:pPr>
          </w:p>
        </w:tc>
        <w:tc>
          <w:tcPr>
            <w:tcW w:w="2073" w:type="dxa"/>
            <w:vMerge w:val="continue"/>
            <w:tcBorders>
              <w:left w:val="single" w:color="000000" w:sz="8" w:space="0"/>
              <w:right w:val="single" w:color="000000" w:sz="8" w:space="0"/>
            </w:tcBorders>
            <w:shd w:val="clear" w:color="auto" w:fill="auto"/>
            <w:noWrap/>
            <w:vAlign w:val="center"/>
          </w:tcPr>
          <w:p w14:paraId="61A33E61">
            <w:pPr>
              <w:jc w:val="center"/>
              <w:rPr>
                <w:rFonts w:hint="eastAsia" w:ascii="宋体" w:hAnsi="宋体" w:eastAsia="宋体" w:cs="宋体"/>
                <w:color w:val="auto"/>
                <w:sz w:val="22"/>
                <w:szCs w:val="22"/>
                <w:highlight w:val="none"/>
              </w:rPr>
            </w:pPr>
          </w:p>
        </w:tc>
      </w:tr>
      <w:tr w14:paraId="4BFBCC12">
        <w:tblPrEx>
          <w:tblCellMar>
            <w:top w:w="0" w:type="dxa"/>
            <w:left w:w="108" w:type="dxa"/>
            <w:bottom w:w="0" w:type="dxa"/>
            <w:right w:w="108" w:type="dxa"/>
          </w:tblCellMar>
        </w:tblPrEx>
        <w:trPr>
          <w:trHeight w:val="270" w:hRule="atLeast"/>
        </w:trPr>
        <w:tc>
          <w:tcPr>
            <w:tcW w:w="1156" w:type="dxa"/>
            <w:vMerge w:val="continue"/>
            <w:tcBorders>
              <w:left w:val="single" w:color="000000" w:sz="8" w:space="0"/>
              <w:right w:val="single" w:color="000000" w:sz="8" w:space="0"/>
            </w:tcBorders>
            <w:shd w:val="clear" w:color="auto" w:fill="auto"/>
            <w:vAlign w:val="center"/>
          </w:tcPr>
          <w:p w14:paraId="78FEE3E3">
            <w:pPr>
              <w:jc w:val="center"/>
              <w:rPr>
                <w:rFonts w:hint="eastAsia" w:ascii="宋体" w:hAnsi="宋体" w:eastAsia="宋体" w:cs="宋体"/>
                <w:b/>
                <w:bCs/>
                <w:color w:val="auto"/>
                <w:sz w:val="22"/>
                <w:szCs w:val="22"/>
                <w:highlight w:val="none"/>
              </w:rPr>
            </w:pPr>
          </w:p>
        </w:tc>
        <w:tc>
          <w:tcPr>
            <w:tcW w:w="15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5796543">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厨师</w:t>
            </w:r>
          </w:p>
        </w:tc>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D2EA775">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20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1DB37D5">
            <w:pPr>
              <w:widowControl/>
              <w:jc w:val="center"/>
              <w:textAlignment w:val="center"/>
              <w:rPr>
                <w:rFonts w:hint="eastAsia" w:ascii="宋体" w:hAnsi="宋体" w:eastAsia="宋体" w:cs="宋体"/>
                <w:color w:val="auto"/>
                <w:sz w:val="22"/>
                <w:szCs w:val="22"/>
                <w:highlight w:val="none"/>
              </w:rPr>
            </w:pPr>
          </w:p>
        </w:tc>
        <w:tc>
          <w:tcPr>
            <w:tcW w:w="186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1F99176">
            <w:pPr>
              <w:widowControl/>
              <w:jc w:val="center"/>
              <w:textAlignment w:val="center"/>
              <w:rPr>
                <w:rFonts w:hint="eastAsia" w:ascii="宋体" w:hAnsi="宋体" w:eastAsia="宋体" w:cs="宋体"/>
                <w:color w:val="auto"/>
                <w:sz w:val="22"/>
                <w:szCs w:val="22"/>
                <w:highlight w:val="none"/>
              </w:rPr>
            </w:pPr>
          </w:p>
        </w:tc>
        <w:tc>
          <w:tcPr>
            <w:tcW w:w="2073" w:type="dxa"/>
            <w:vMerge w:val="continue"/>
            <w:tcBorders>
              <w:left w:val="single" w:color="000000" w:sz="8" w:space="0"/>
              <w:right w:val="single" w:color="000000" w:sz="8" w:space="0"/>
            </w:tcBorders>
            <w:shd w:val="clear" w:color="auto" w:fill="auto"/>
            <w:noWrap/>
            <w:vAlign w:val="center"/>
          </w:tcPr>
          <w:p w14:paraId="6E4E46B7">
            <w:pPr>
              <w:jc w:val="center"/>
              <w:rPr>
                <w:rFonts w:hint="eastAsia" w:ascii="宋体" w:hAnsi="宋体" w:eastAsia="宋体" w:cs="宋体"/>
                <w:color w:val="auto"/>
                <w:sz w:val="22"/>
                <w:szCs w:val="22"/>
                <w:highlight w:val="none"/>
              </w:rPr>
            </w:pPr>
          </w:p>
        </w:tc>
      </w:tr>
      <w:tr w14:paraId="304C95F7">
        <w:tblPrEx>
          <w:tblCellMar>
            <w:top w:w="0" w:type="dxa"/>
            <w:left w:w="108" w:type="dxa"/>
            <w:bottom w:w="0" w:type="dxa"/>
            <w:right w:w="108" w:type="dxa"/>
          </w:tblCellMar>
        </w:tblPrEx>
        <w:trPr>
          <w:trHeight w:val="270" w:hRule="atLeast"/>
        </w:trPr>
        <w:tc>
          <w:tcPr>
            <w:tcW w:w="1156" w:type="dxa"/>
            <w:vMerge w:val="continue"/>
            <w:tcBorders>
              <w:left w:val="single" w:color="000000" w:sz="8" w:space="0"/>
              <w:right w:val="single" w:color="000000" w:sz="8" w:space="0"/>
            </w:tcBorders>
            <w:shd w:val="clear" w:color="auto" w:fill="auto"/>
            <w:vAlign w:val="center"/>
          </w:tcPr>
          <w:p w14:paraId="15D0B678">
            <w:pPr>
              <w:jc w:val="center"/>
              <w:rPr>
                <w:rFonts w:hint="eastAsia" w:ascii="宋体" w:hAnsi="宋体" w:eastAsia="宋体" w:cs="宋体"/>
                <w:b/>
                <w:bCs/>
                <w:color w:val="auto"/>
                <w:sz w:val="22"/>
                <w:szCs w:val="22"/>
                <w:highlight w:val="none"/>
              </w:rPr>
            </w:pPr>
          </w:p>
        </w:tc>
        <w:tc>
          <w:tcPr>
            <w:tcW w:w="15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2F4CA9A">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捞面师</w:t>
            </w:r>
          </w:p>
        </w:tc>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0D217C">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20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6CA339F">
            <w:pPr>
              <w:widowControl/>
              <w:jc w:val="center"/>
              <w:textAlignment w:val="center"/>
              <w:rPr>
                <w:rFonts w:hint="eastAsia" w:ascii="宋体" w:hAnsi="宋体" w:eastAsia="宋体" w:cs="宋体"/>
                <w:color w:val="auto"/>
                <w:sz w:val="22"/>
                <w:szCs w:val="22"/>
                <w:highlight w:val="none"/>
              </w:rPr>
            </w:pPr>
          </w:p>
        </w:tc>
        <w:tc>
          <w:tcPr>
            <w:tcW w:w="186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62B0D42">
            <w:pPr>
              <w:widowControl/>
              <w:jc w:val="center"/>
              <w:textAlignment w:val="center"/>
              <w:rPr>
                <w:rFonts w:hint="eastAsia" w:ascii="宋体" w:hAnsi="宋体" w:eastAsia="宋体" w:cs="宋体"/>
                <w:color w:val="auto"/>
                <w:sz w:val="22"/>
                <w:szCs w:val="22"/>
                <w:highlight w:val="none"/>
              </w:rPr>
            </w:pPr>
          </w:p>
        </w:tc>
        <w:tc>
          <w:tcPr>
            <w:tcW w:w="2073" w:type="dxa"/>
            <w:vMerge w:val="continue"/>
            <w:tcBorders>
              <w:left w:val="single" w:color="000000" w:sz="8" w:space="0"/>
              <w:right w:val="single" w:color="000000" w:sz="8" w:space="0"/>
            </w:tcBorders>
            <w:shd w:val="clear" w:color="auto" w:fill="auto"/>
            <w:noWrap/>
            <w:vAlign w:val="center"/>
          </w:tcPr>
          <w:p w14:paraId="0CA85188">
            <w:pPr>
              <w:jc w:val="center"/>
              <w:rPr>
                <w:rFonts w:hint="eastAsia" w:ascii="宋体" w:hAnsi="宋体" w:eastAsia="宋体" w:cs="宋体"/>
                <w:color w:val="auto"/>
                <w:sz w:val="22"/>
                <w:szCs w:val="22"/>
                <w:highlight w:val="none"/>
              </w:rPr>
            </w:pPr>
          </w:p>
        </w:tc>
      </w:tr>
      <w:tr w14:paraId="42ED1897">
        <w:tblPrEx>
          <w:tblCellMar>
            <w:top w:w="0" w:type="dxa"/>
            <w:left w:w="108" w:type="dxa"/>
            <w:bottom w:w="0" w:type="dxa"/>
            <w:right w:w="108" w:type="dxa"/>
          </w:tblCellMar>
        </w:tblPrEx>
        <w:trPr>
          <w:trHeight w:val="270" w:hRule="atLeast"/>
        </w:trPr>
        <w:tc>
          <w:tcPr>
            <w:tcW w:w="1156" w:type="dxa"/>
            <w:vMerge w:val="continue"/>
            <w:tcBorders>
              <w:left w:val="single" w:color="000000" w:sz="8" w:space="0"/>
              <w:right w:val="single" w:color="000000" w:sz="8" w:space="0"/>
            </w:tcBorders>
            <w:shd w:val="clear" w:color="auto" w:fill="auto"/>
            <w:vAlign w:val="center"/>
          </w:tcPr>
          <w:p w14:paraId="0521EA1E">
            <w:pPr>
              <w:jc w:val="center"/>
              <w:rPr>
                <w:rFonts w:hint="eastAsia" w:ascii="宋体" w:hAnsi="宋体" w:eastAsia="宋体" w:cs="宋体"/>
                <w:b/>
                <w:bCs/>
                <w:color w:val="auto"/>
                <w:sz w:val="22"/>
                <w:szCs w:val="22"/>
                <w:highlight w:val="none"/>
              </w:rPr>
            </w:pPr>
          </w:p>
        </w:tc>
        <w:tc>
          <w:tcPr>
            <w:tcW w:w="15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11F3C05">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服务员</w:t>
            </w:r>
          </w:p>
        </w:tc>
        <w:tc>
          <w:tcPr>
            <w:tcW w:w="93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64E4B5C">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20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4ADBD1A">
            <w:pPr>
              <w:widowControl/>
              <w:jc w:val="center"/>
              <w:textAlignment w:val="center"/>
              <w:rPr>
                <w:rFonts w:hint="eastAsia" w:ascii="宋体" w:hAnsi="宋体" w:eastAsia="宋体" w:cs="宋体"/>
                <w:color w:val="auto"/>
                <w:sz w:val="22"/>
                <w:szCs w:val="22"/>
                <w:highlight w:val="none"/>
              </w:rPr>
            </w:pPr>
          </w:p>
        </w:tc>
        <w:tc>
          <w:tcPr>
            <w:tcW w:w="186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83C41A9">
            <w:pPr>
              <w:widowControl/>
              <w:jc w:val="center"/>
              <w:textAlignment w:val="center"/>
              <w:rPr>
                <w:rFonts w:hint="eastAsia" w:ascii="宋体" w:hAnsi="宋体" w:eastAsia="宋体" w:cs="宋体"/>
                <w:color w:val="auto"/>
                <w:sz w:val="22"/>
                <w:szCs w:val="22"/>
                <w:highlight w:val="none"/>
              </w:rPr>
            </w:pPr>
          </w:p>
        </w:tc>
        <w:tc>
          <w:tcPr>
            <w:tcW w:w="2073" w:type="dxa"/>
            <w:vMerge w:val="continue"/>
            <w:tcBorders>
              <w:left w:val="single" w:color="000000" w:sz="8" w:space="0"/>
              <w:right w:val="single" w:color="000000" w:sz="8" w:space="0"/>
            </w:tcBorders>
            <w:shd w:val="clear" w:color="auto" w:fill="auto"/>
            <w:noWrap/>
            <w:vAlign w:val="center"/>
          </w:tcPr>
          <w:p w14:paraId="7AAFBCDB">
            <w:pPr>
              <w:jc w:val="center"/>
              <w:rPr>
                <w:rFonts w:hint="eastAsia" w:ascii="宋体" w:hAnsi="宋体" w:eastAsia="宋体" w:cs="宋体"/>
                <w:color w:val="auto"/>
                <w:sz w:val="22"/>
                <w:szCs w:val="22"/>
                <w:highlight w:val="none"/>
              </w:rPr>
            </w:pPr>
          </w:p>
        </w:tc>
      </w:tr>
      <w:tr w14:paraId="5B02B004">
        <w:tblPrEx>
          <w:tblCellMar>
            <w:top w:w="0" w:type="dxa"/>
            <w:left w:w="108" w:type="dxa"/>
            <w:bottom w:w="0" w:type="dxa"/>
            <w:right w:w="108" w:type="dxa"/>
          </w:tblCellMar>
        </w:tblPrEx>
        <w:trPr>
          <w:trHeight w:val="750" w:hRule="atLeast"/>
        </w:trPr>
        <w:tc>
          <w:tcPr>
            <w:tcW w:w="1156" w:type="dxa"/>
            <w:vMerge w:val="continue"/>
            <w:tcBorders>
              <w:left w:val="single" w:color="000000" w:sz="8" w:space="0"/>
              <w:right w:val="single" w:color="000000" w:sz="8" w:space="0"/>
            </w:tcBorders>
            <w:shd w:val="clear" w:color="auto" w:fill="auto"/>
            <w:vAlign w:val="center"/>
          </w:tcPr>
          <w:p w14:paraId="1CD53C96">
            <w:pPr>
              <w:jc w:val="center"/>
              <w:rPr>
                <w:rFonts w:hint="eastAsia" w:ascii="宋体" w:hAnsi="宋体" w:eastAsia="宋体" w:cs="宋体"/>
                <w:b/>
                <w:bCs/>
                <w:color w:val="auto"/>
                <w:sz w:val="22"/>
                <w:szCs w:val="22"/>
                <w:highlight w:val="none"/>
              </w:rPr>
            </w:pPr>
          </w:p>
        </w:tc>
        <w:tc>
          <w:tcPr>
            <w:tcW w:w="1578" w:type="dxa"/>
            <w:tcBorders>
              <w:top w:val="single" w:color="000000" w:sz="8" w:space="0"/>
              <w:left w:val="single" w:color="000000" w:sz="8" w:space="0"/>
              <w:right w:val="single" w:color="000000" w:sz="8" w:space="0"/>
            </w:tcBorders>
            <w:shd w:val="clear" w:color="auto" w:fill="auto"/>
            <w:vAlign w:val="center"/>
          </w:tcPr>
          <w:p w14:paraId="3B821744">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帮厨</w:t>
            </w:r>
          </w:p>
        </w:tc>
        <w:tc>
          <w:tcPr>
            <w:tcW w:w="930" w:type="dxa"/>
            <w:tcBorders>
              <w:top w:val="single" w:color="000000" w:sz="8" w:space="0"/>
              <w:left w:val="single" w:color="000000" w:sz="8" w:space="0"/>
              <w:right w:val="single" w:color="000000" w:sz="8" w:space="0"/>
            </w:tcBorders>
            <w:shd w:val="clear" w:color="auto" w:fill="auto"/>
            <w:vAlign w:val="center"/>
          </w:tcPr>
          <w:p w14:paraId="08C35E34">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w:t>
            </w:r>
          </w:p>
        </w:tc>
        <w:tc>
          <w:tcPr>
            <w:tcW w:w="2026" w:type="dxa"/>
            <w:tcBorders>
              <w:top w:val="single" w:color="000000" w:sz="8" w:space="0"/>
              <w:left w:val="single" w:color="000000" w:sz="8" w:space="0"/>
              <w:right w:val="single" w:color="000000" w:sz="8" w:space="0"/>
            </w:tcBorders>
            <w:shd w:val="clear" w:color="auto" w:fill="auto"/>
            <w:vAlign w:val="center"/>
          </w:tcPr>
          <w:p w14:paraId="4A01A3D7">
            <w:pPr>
              <w:widowControl/>
              <w:jc w:val="center"/>
              <w:textAlignment w:val="center"/>
              <w:rPr>
                <w:rFonts w:hint="eastAsia" w:ascii="宋体" w:hAnsi="宋体" w:eastAsia="宋体" w:cs="宋体"/>
                <w:color w:val="auto"/>
                <w:sz w:val="22"/>
                <w:szCs w:val="22"/>
                <w:highlight w:val="none"/>
              </w:rPr>
            </w:pPr>
          </w:p>
        </w:tc>
        <w:tc>
          <w:tcPr>
            <w:tcW w:w="186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BF75CBA">
            <w:pPr>
              <w:widowControl/>
              <w:jc w:val="center"/>
              <w:textAlignment w:val="center"/>
              <w:rPr>
                <w:rFonts w:hint="eastAsia" w:ascii="宋体" w:hAnsi="宋体" w:eastAsia="宋体" w:cs="宋体"/>
                <w:color w:val="auto"/>
                <w:sz w:val="22"/>
                <w:szCs w:val="22"/>
                <w:highlight w:val="none"/>
              </w:rPr>
            </w:pPr>
          </w:p>
        </w:tc>
        <w:tc>
          <w:tcPr>
            <w:tcW w:w="2073" w:type="dxa"/>
            <w:vMerge w:val="continue"/>
            <w:tcBorders>
              <w:left w:val="single" w:color="000000" w:sz="8" w:space="0"/>
              <w:bottom w:val="single" w:color="000000" w:sz="8" w:space="0"/>
              <w:right w:val="single" w:color="000000" w:sz="8" w:space="0"/>
            </w:tcBorders>
            <w:shd w:val="clear" w:color="auto" w:fill="auto"/>
            <w:noWrap/>
            <w:vAlign w:val="center"/>
          </w:tcPr>
          <w:p w14:paraId="1BAD1B72">
            <w:pPr>
              <w:widowControl/>
              <w:jc w:val="center"/>
              <w:textAlignment w:val="center"/>
              <w:rPr>
                <w:rFonts w:hint="eastAsia" w:ascii="宋体" w:hAnsi="宋体" w:eastAsia="宋体" w:cs="宋体"/>
                <w:color w:val="auto"/>
                <w:sz w:val="22"/>
                <w:szCs w:val="22"/>
                <w:highlight w:val="none"/>
              </w:rPr>
            </w:pPr>
          </w:p>
        </w:tc>
      </w:tr>
      <w:tr w14:paraId="37E62AF5">
        <w:tblPrEx>
          <w:tblCellMar>
            <w:top w:w="0" w:type="dxa"/>
            <w:left w:w="108" w:type="dxa"/>
            <w:bottom w:w="0" w:type="dxa"/>
            <w:right w:w="108" w:type="dxa"/>
          </w:tblCellMar>
        </w:tblPrEx>
        <w:trPr>
          <w:trHeight w:val="270" w:hRule="atLeast"/>
        </w:trPr>
        <w:tc>
          <w:tcPr>
            <w:tcW w:w="1156" w:type="dxa"/>
            <w:vMerge w:val="continue"/>
            <w:tcBorders>
              <w:left w:val="single" w:color="000000" w:sz="8" w:space="0"/>
              <w:bottom w:val="single" w:color="000000" w:sz="8" w:space="0"/>
              <w:right w:val="single" w:color="000000" w:sz="8" w:space="0"/>
            </w:tcBorders>
            <w:shd w:val="clear" w:color="auto" w:fill="auto"/>
            <w:vAlign w:val="center"/>
          </w:tcPr>
          <w:p w14:paraId="11276DDC">
            <w:pPr>
              <w:jc w:val="center"/>
              <w:rPr>
                <w:rFonts w:hint="eastAsia" w:ascii="宋体" w:hAnsi="宋体" w:eastAsia="宋体" w:cs="宋体"/>
                <w:b/>
                <w:bCs/>
                <w:color w:val="auto"/>
                <w:sz w:val="22"/>
                <w:szCs w:val="22"/>
                <w:highlight w:val="none"/>
              </w:rPr>
            </w:pPr>
          </w:p>
        </w:tc>
        <w:tc>
          <w:tcPr>
            <w:tcW w:w="4534"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14:paraId="30AE53AF">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上述人员费用合计（15人/月）</w:t>
            </w:r>
          </w:p>
        </w:tc>
        <w:tc>
          <w:tcPr>
            <w:tcW w:w="186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ACD3458">
            <w:pPr>
              <w:widowControl/>
              <w:jc w:val="center"/>
              <w:textAlignment w:val="center"/>
              <w:rPr>
                <w:rFonts w:hint="eastAsia" w:ascii="宋体" w:hAnsi="宋体" w:eastAsia="宋体" w:cs="宋体"/>
                <w:color w:val="auto"/>
                <w:sz w:val="22"/>
                <w:szCs w:val="22"/>
                <w:highlight w:val="none"/>
              </w:rPr>
            </w:pPr>
          </w:p>
        </w:tc>
        <w:tc>
          <w:tcPr>
            <w:tcW w:w="207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D5DF0A8">
            <w:pPr>
              <w:jc w:val="center"/>
              <w:rPr>
                <w:rFonts w:hint="eastAsia" w:ascii="宋体" w:hAnsi="宋体" w:eastAsia="宋体" w:cs="宋体"/>
                <w:color w:val="auto"/>
                <w:sz w:val="22"/>
                <w:szCs w:val="22"/>
                <w:highlight w:val="none"/>
              </w:rPr>
            </w:pPr>
          </w:p>
        </w:tc>
      </w:tr>
      <w:tr w14:paraId="78D51028">
        <w:tblPrEx>
          <w:tblCellMar>
            <w:top w:w="0" w:type="dxa"/>
            <w:left w:w="108" w:type="dxa"/>
            <w:bottom w:w="0" w:type="dxa"/>
            <w:right w:w="108" w:type="dxa"/>
          </w:tblCellMar>
        </w:tblPrEx>
        <w:trPr>
          <w:trHeight w:val="270" w:hRule="atLeast"/>
        </w:trPr>
        <w:tc>
          <w:tcPr>
            <w:tcW w:w="5690" w:type="dxa"/>
            <w:gridSpan w:val="4"/>
            <w:tcBorders>
              <w:top w:val="single" w:color="000000" w:sz="8" w:space="0"/>
              <w:left w:val="single" w:color="000000" w:sz="8" w:space="0"/>
              <w:bottom w:val="single" w:color="000000" w:sz="8" w:space="0"/>
              <w:right w:val="single" w:color="000000" w:sz="8" w:space="0"/>
            </w:tcBorders>
            <w:shd w:val="clear" w:color="auto" w:fill="auto"/>
            <w:vAlign w:val="center"/>
          </w:tcPr>
          <w:p w14:paraId="140ACF40">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合计（24个月）</w:t>
            </w:r>
          </w:p>
        </w:tc>
        <w:tc>
          <w:tcPr>
            <w:tcW w:w="186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DBD8058">
            <w:pPr>
              <w:widowControl/>
              <w:jc w:val="center"/>
              <w:textAlignment w:val="center"/>
              <w:rPr>
                <w:rFonts w:hint="eastAsia" w:ascii="宋体" w:hAnsi="宋体" w:eastAsia="宋体" w:cs="宋体"/>
                <w:color w:val="auto"/>
                <w:sz w:val="22"/>
                <w:szCs w:val="22"/>
                <w:highlight w:val="none"/>
              </w:rPr>
            </w:pPr>
          </w:p>
        </w:tc>
        <w:tc>
          <w:tcPr>
            <w:tcW w:w="207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9F1B5B7">
            <w:pPr>
              <w:jc w:val="center"/>
              <w:rPr>
                <w:rFonts w:hint="eastAsia" w:ascii="宋体" w:hAnsi="宋体" w:eastAsia="宋体" w:cs="宋体"/>
                <w:color w:val="auto"/>
                <w:sz w:val="22"/>
                <w:szCs w:val="22"/>
                <w:highlight w:val="none"/>
              </w:rPr>
            </w:pPr>
          </w:p>
        </w:tc>
      </w:tr>
      <w:tr w14:paraId="4D948C2F">
        <w:tblPrEx>
          <w:tblCellMar>
            <w:top w:w="0" w:type="dxa"/>
            <w:left w:w="108" w:type="dxa"/>
            <w:bottom w:w="0" w:type="dxa"/>
            <w:right w:w="108" w:type="dxa"/>
          </w:tblCellMar>
        </w:tblPrEx>
        <w:trPr>
          <w:trHeight w:val="301" w:hRule="atLeast"/>
        </w:trPr>
        <w:tc>
          <w:tcPr>
            <w:tcW w:w="5690" w:type="dxa"/>
            <w:gridSpan w:val="4"/>
            <w:tcBorders>
              <w:top w:val="single" w:color="000000" w:sz="8" w:space="0"/>
              <w:left w:val="single" w:color="000000" w:sz="8" w:space="0"/>
              <w:bottom w:val="single" w:color="000000" w:sz="8" w:space="0"/>
              <w:right w:val="single" w:color="000000" w:sz="8" w:space="0"/>
            </w:tcBorders>
            <w:shd w:val="clear" w:color="auto" w:fill="auto"/>
            <w:vAlign w:val="center"/>
          </w:tcPr>
          <w:p w14:paraId="20D9D734">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管理费及利润</w:t>
            </w:r>
          </w:p>
        </w:tc>
        <w:tc>
          <w:tcPr>
            <w:tcW w:w="186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021A55A">
            <w:pPr>
              <w:widowControl/>
              <w:jc w:val="center"/>
              <w:textAlignment w:val="center"/>
              <w:rPr>
                <w:rFonts w:hint="eastAsia" w:ascii="宋体" w:hAnsi="宋体" w:eastAsia="宋体" w:cs="宋体"/>
                <w:color w:val="auto"/>
                <w:sz w:val="22"/>
                <w:szCs w:val="22"/>
                <w:highlight w:val="none"/>
              </w:rPr>
            </w:pPr>
          </w:p>
        </w:tc>
        <w:tc>
          <w:tcPr>
            <w:tcW w:w="207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5D16822">
            <w:pPr>
              <w:jc w:val="center"/>
              <w:rPr>
                <w:rFonts w:hint="eastAsia" w:ascii="宋体" w:hAnsi="宋体" w:eastAsia="宋体" w:cs="宋体"/>
                <w:color w:val="auto"/>
                <w:sz w:val="22"/>
                <w:szCs w:val="22"/>
                <w:highlight w:val="none"/>
              </w:rPr>
            </w:pPr>
          </w:p>
        </w:tc>
      </w:tr>
      <w:tr w14:paraId="5E857B49">
        <w:tblPrEx>
          <w:tblCellMar>
            <w:top w:w="0" w:type="dxa"/>
            <w:left w:w="108" w:type="dxa"/>
            <w:bottom w:w="0" w:type="dxa"/>
            <w:right w:w="108" w:type="dxa"/>
          </w:tblCellMar>
        </w:tblPrEx>
        <w:trPr>
          <w:trHeight w:val="270" w:hRule="atLeast"/>
        </w:trPr>
        <w:tc>
          <w:tcPr>
            <w:tcW w:w="5690" w:type="dxa"/>
            <w:gridSpan w:val="4"/>
            <w:tcBorders>
              <w:top w:val="single" w:color="000000" w:sz="8" w:space="0"/>
              <w:left w:val="single" w:color="000000" w:sz="8" w:space="0"/>
              <w:bottom w:val="single" w:color="000000" w:sz="8" w:space="0"/>
              <w:right w:val="single" w:color="000000" w:sz="8" w:space="0"/>
            </w:tcBorders>
            <w:shd w:val="clear" w:color="auto" w:fill="auto"/>
            <w:vAlign w:val="center"/>
          </w:tcPr>
          <w:p w14:paraId="56D2CAE1">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税金（税率：</w:t>
            </w:r>
            <w:r>
              <w:rPr>
                <w:rFonts w:hint="eastAsia" w:ascii="宋体" w:hAnsi="宋体" w:eastAsia="宋体" w:cs="宋体"/>
                <w:color w:val="auto"/>
                <w:sz w:val="22"/>
                <w:szCs w:val="22"/>
                <w:highlight w:val="none"/>
                <w:u w:val="single"/>
              </w:rPr>
              <w:t xml:space="preserve">  </w:t>
            </w:r>
            <w:r>
              <w:rPr>
                <w:rFonts w:hint="eastAsia" w:ascii="宋体" w:hAnsi="宋体" w:eastAsia="宋体" w:cs="宋体"/>
                <w:b/>
                <w:bCs/>
                <w:color w:val="auto"/>
                <w:sz w:val="22"/>
                <w:szCs w:val="22"/>
                <w:highlight w:val="none"/>
              </w:rPr>
              <w:t>%）</w:t>
            </w:r>
          </w:p>
        </w:tc>
        <w:tc>
          <w:tcPr>
            <w:tcW w:w="186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FBDF17A">
            <w:pPr>
              <w:widowControl/>
              <w:jc w:val="center"/>
              <w:textAlignment w:val="center"/>
              <w:rPr>
                <w:rFonts w:hint="eastAsia" w:ascii="宋体" w:hAnsi="宋体" w:eastAsia="宋体" w:cs="宋体"/>
                <w:color w:val="auto"/>
                <w:sz w:val="22"/>
                <w:szCs w:val="22"/>
                <w:highlight w:val="none"/>
              </w:rPr>
            </w:pPr>
          </w:p>
        </w:tc>
        <w:tc>
          <w:tcPr>
            <w:tcW w:w="207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4E5CA0F">
            <w:pPr>
              <w:jc w:val="center"/>
              <w:rPr>
                <w:rFonts w:hint="eastAsia" w:ascii="宋体" w:hAnsi="宋体" w:eastAsia="宋体" w:cs="宋体"/>
                <w:b/>
                <w:bCs/>
                <w:color w:val="auto"/>
                <w:sz w:val="22"/>
                <w:szCs w:val="22"/>
                <w:highlight w:val="none"/>
              </w:rPr>
            </w:pPr>
          </w:p>
        </w:tc>
      </w:tr>
      <w:tr w14:paraId="7E28BC1C">
        <w:tblPrEx>
          <w:tblCellMar>
            <w:top w:w="0" w:type="dxa"/>
            <w:left w:w="108" w:type="dxa"/>
            <w:bottom w:w="0" w:type="dxa"/>
            <w:right w:w="108" w:type="dxa"/>
          </w:tblCellMar>
        </w:tblPrEx>
        <w:trPr>
          <w:trHeight w:val="270" w:hRule="atLeast"/>
        </w:trPr>
        <w:tc>
          <w:tcPr>
            <w:tcW w:w="5690" w:type="dxa"/>
            <w:gridSpan w:val="4"/>
            <w:tcBorders>
              <w:top w:val="single" w:color="000000" w:sz="8" w:space="0"/>
              <w:left w:val="single" w:color="000000" w:sz="8" w:space="0"/>
              <w:bottom w:val="single" w:color="000000" w:sz="8" w:space="0"/>
              <w:right w:val="single" w:color="000000" w:sz="8" w:space="0"/>
            </w:tcBorders>
            <w:shd w:val="clear" w:color="auto" w:fill="auto"/>
            <w:vAlign w:val="center"/>
          </w:tcPr>
          <w:p w14:paraId="41D7978E">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总计（24个月）</w:t>
            </w:r>
          </w:p>
        </w:tc>
        <w:tc>
          <w:tcPr>
            <w:tcW w:w="186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6DDFBFB">
            <w:pPr>
              <w:widowControl/>
              <w:jc w:val="center"/>
              <w:textAlignment w:val="center"/>
              <w:rPr>
                <w:rFonts w:hint="eastAsia" w:ascii="宋体" w:hAnsi="宋体" w:eastAsia="宋体" w:cs="宋体"/>
                <w:color w:val="auto"/>
                <w:sz w:val="22"/>
                <w:szCs w:val="22"/>
                <w:highlight w:val="none"/>
              </w:rPr>
            </w:pPr>
          </w:p>
        </w:tc>
        <w:tc>
          <w:tcPr>
            <w:tcW w:w="207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D18740D">
            <w:pPr>
              <w:jc w:val="center"/>
              <w:rPr>
                <w:rFonts w:hint="eastAsia" w:ascii="宋体" w:hAnsi="宋体" w:eastAsia="宋体" w:cs="宋体"/>
                <w:b/>
                <w:bCs/>
                <w:color w:val="auto"/>
                <w:sz w:val="22"/>
                <w:szCs w:val="22"/>
                <w:highlight w:val="none"/>
              </w:rPr>
            </w:pPr>
          </w:p>
        </w:tc>
      </w:tr>
    </w:tbl>
    <w:p w14:paraId="7BC57082">
      <w:pPr>
        <w:spacing w:before="5" w:line="360" w:lineRule="auto"/>
        <w:rPr>
          <w:rFonts w:ascii="宋体" w:hAnsi="宋体"/>
          <w:b/>
          <w:bCs/>
          <w:color w:val="auto"/>
          <w:sz w:val="24"/>
          <w:szCs w:val="24"/>
          <w:highlight w:val="none"/>
        </w:rPr>
      </w:pPr>
    </w:p>
    <w:p w14:paraId="607A329F">
      <w:pPr>
        <w:spacing w:before="5" w:line="360" w:lineRule="auto"/>
        <w:rPr>
          <w:rFonts w:ascii="宋体" w:hAnsi="宋体"/>
          <w:b/>
          <w:bCs/>
          <w:color w:val="auto"/>
          <w:sz w:val="24"/>
          <w:szCs w:val="24"/>
          <w:highlight w:val="none"/>
        </w:rPr>
      </w:pPr>
      <w:r>
        <w:rPr>
          <w:rFonts w:hint="eastAsia" w:ascii="宋体" w:hAnsi="宋体"/>
          <w:b/>
          <w:bCs/>
          <w:color w:val="auto"/>
          <w:sz w:val="24"/>
          <w:szCs w:val="24"/>
          <w:highlight w:val="none"/>
        </w:rPr>
        <w:t>法定代表人或法定代表人授权代表签字或盖章：</w:t>
      </w:r>
    </w:p>
    <w:p w14:paraId="4AF4E04B">
      <w:pPr>
        <w:spacing w:before="5" w:line="360" w:lineRule="auto"/>
        <w:rPr>
          <w:rFonts w:ascii="宋体" w:hAnsi="宋体"/>
          <w:b/>
          <w:bCs/>
          <w:color w:val="auto"/>
          <w:sz w:val="24"/>
          <w:szCs w:val="24"/>
          <w:highlight w:val="none"/>
        </w:rPr>
      </w:pPr>
      <w:r>
        <w:rPr>
          <w:rFonts w:hint="eastAsia" w:ascii="宋体" w:hAnsi="宋体"/>
          <w:b/>
          <w:bCs/>
          <w:color w:val="auto"/>
          <w:sz w:val="24"/>
          <w:szCs w:val="24"/>
          <w:highlight w:val="none"/>
        </w:rPr>
        <w:t>日期：   年   月   日</w:t>
      </w:r>
    </w:p>
    <w:p w14:paraId="2F4D719E">
      <w:pPr>
        <w:spacing w:line="360" w:lineRule="auto"/>
        <w:ind w:firstLine="470"/>
        <w:rPr>
          <w:bCs/>
          <w:color w:val="auto"/>
          <w:sz w:val="24"/>
          <w:szCs w:val="22"/>
          <w:highlight w:val="none"/>
        </w:rPr>
      </w:pPr>
      <w:r>
        <w:rPr>
          <w:rFonts w:hint="eastAsia"/>
          <w:bCs/>
          <w:color w:val="auto"/>
          <w:sz w:val="24"/>
          <w:szCs w:val="22"/>
          <w:highlight w:val="none"/>
        </w:rPr>
        <w:t xml:space="preserve"> </w:t>
      </w:r>
    </w:p>
    <w:p w14:paraId="490C821B">
      <w:pPr>
        <w:spacing w:line="360" w:lineRule="auto"/>
        <w:ind w:firstLine="431"/>
        <w:rPr>
          <w:bCs/>
          <w:color w:val="auto"/>
          <w:sz w:val="22"/>
          <w:szCs w:val="21"/>
          <w:highlight w:val="none"/>
        </w:rPr>
      </w:pPr>
      <w:r>
        <w:rPr>
          <w:rFonts w:hint="eastAsia"/>
          <w:bCs/>
          <w:color w:val="auto"/>
          <w:sz w:val="22"/>
          <w:szCs w:val="21"/>
          <w:highlight w:val="none"/>
        </w:rPr>
        <w:t>注：（1）以上人员费用应符合国家、省、市相关政策规定，必须按照本项目人员配置总数计提和填写；</w:t>
      </w:r>
    </w:p>
    <w:p w14:paraId="7FE81920">
      <w:pPr>
        <w:spacing w:line="360" w:lineRule="auto"/>
        <w:ind w:firstLine="891" w:firstLineChars="405"/>
        <w:rPr>
          <w:bCs/>
          <w:color w:val="auto"/>
          <w:sz w:val="22"/>
          <w:szCs w:val="21"/>
          <w:highlight w:val="none"/>
        </w:rPr>
      </w:pPr>
      <w:r>
        <w:rPr>
          <w:rFonts w:hint="eastAsia"/>
          <w:bCs/>
          <w:color w:val="auto"/>
          <w:sz w:val="22"/>
          <w:szCs w:val="21"/>
          <w:highlight w:val="none"/>
        </w:rPr>
        <w:t>（2）上述表格为食堂运营及管理费用细目报价表，仅供参考，供应商可根据采购需求自行添加条目进行报价，但不得减项；</w:t>
      </w:r>
    </w:p>
    <w:p w14:paraId="0618E03B">
      <w:pPr>
        <w:spacing w:line="360" w:lineRule="auto"/>
        <w:ind w:firstLine="891" w:firstLineChars="405"/>
        <w:rPr>
          <w:bCs/>
          <w:color w:val="auto"/>
          <w:sz w:val="22"/>
          <w:szCs w:val="21"/>
          <w:highlight w:val="none"/>
        </w:rPr>
        <w:sectPr>
          <w:footerReference r:id="rId12" w:type="default"/>
          <w:pgSz w:w="11906" w:h="16838"/>
          <w:pgMar w:top="1440" w:right="1077" w:bottom="1440" w:left="1077" w:header="624" w:footer="794" w:gutter="0"/>
          <w:pgBorders>
            <w:top w:val="none" w:sz="0" w:space="0"/>
            <w:left w:val="none" w:sz="0" w:space="0"/>
            <w:bottom w:val="none" w:sz="0" w:space="0"/>
            <w:right w:val="none" w:sz="0" w:space="0"/>
          </w:pgBorders>
          <w:pgNumType w:fmt="decimal"/>
          <w:cols w:space="720" w:num="1"/>
          <w:docGrid w:linePitch="360" w:charSpace="0"/>
        </w:sectPr>
      </w:pPr>
      <w:r>
        <w:rPr>
          <w:rFonts w:hint="eastAsia"/>
          <w:bCs/>
          <w:color w:val="auto"/>
          <w:sz w:val="22"/>
          <w:szCs w:val="21"/>
          <w:highlight w:val="none"/>
        </w:rPr>
        <w:t>（3）表格不够可自行延长。</w:t>
      </w:r>
    </w:p>
    <w:p w14:paraId="035EF7CD">
      <w:pPr>
        <w:pageBreakBefore/>
        <w:spacing w:line="360" w:lineRule="auto"/>
        <w:jc w:val="left"/>
        <w:outlineLvl w:val="0"/>
        <w:rPr>
          <w:rFonts w:ascii="宋体" w:hAnsi="宋体"/>
          <w:bCs/>
          <w:color w:val="auto"/>
          <w:sz w:val="24"/>
          <w:szCs w:val="24"/>
          <w:highlight w:val="none"/>
        </w:rPr>
      </w:pPr>
      <w:r>
        <w:rPr>
          <w:rFonts w:hint="eastAsia" w:ascii="宋体" w:hAnsi="宋体"/>
          <w:bCs/>
          <w:color w:val="auto"/>
          <w:sz w:val="24"/>
          <w:szCs w:val="24"/>
          <w:highlight w:val="none"/>
        </w:rPr>
        <w:t>（七）</w:t>
      </w:r>
      <w:bookmarkEnd w:id="929"/>
      <w:bookmarkEnd w:id="930"/>
      <w:bookmarkEnd w:id="931"/>
      <w:bookmarkEnd w:id="932"/>
      <w:bookmarkEnd w:id="933"/>
      <w:bookmarkStart w:id="938" w:name="_Toc116946363"/>
      <w:bookmarkStart w:id="939" w:name="_Toc98277383"/>
      <w:bookmarkStart w:id="940" w:name="_Toc36830599"/>
      <w:r>
        <w:rPr>
          <w:rFonts w:hint="eastAsia" w:ascii="宋体" w:hAnsi="宋体"/>
          <w:bCs/>
          <w:color w:val="auto"/>
          <w:sz w:val="24"/>
          <w:szCs w:val="24"/>
          <w:highlight w:val="none"/>
        </w:rPr>
        <w:t>偏离表</w:t>
      </w:r>
      <w:bookmarkEnd w:id="938"/>
      <w:bookmarkEnd w:id="939"/>
      <w:bookmarkEnd w:id="940"/>
    </w:p>
    <w:p w14:paraId="6D552812">
      <w:pPr>
        <w:spacing w:line="360" w:lineRule="auto"/>
        <w:jc w:val="center"/>
        <w:rPr>
          <w:rFonts w:ascii="宋体" w:hAnsi="宋体" w:cs="宋体"/>
          <w:b/>
          <w:color w:val="auto"/>
          <w:sz w:val="30"/>
          <w:szCs w:val="30"/>
          <w:highlight w:val="none"/>
        </w:rPr>
      </w:pPr>
      <w:r>
        <w:rPr>
          <w:rFonts w:hint="eastAsia" w:ascii="宋体" w:hAnsi="宋体" w:cs="宋体"/>
          <w:b/>
          <w:color w:val="auto"/>
          <w:sz w:val="30"/>
          <w:szCs w:val="30"/>
          <w:highlight w:val="none"/>
        </w:rPr>
        <w:t>投标偏离表（格式）</w:t>
      </w:r>
    </w:p>
    <w:p w14:paraId="5A3528B2">
      <w:pPr>
        <w:spacing w:line="360" w:lineRule="auto"/>
        <w:jc w:val="left"/>
        <w:rPr>
          <w:rFonts w:hint="eastAsia" w:ascii="宋体" w:hAnsi="宋体" w:cs="宋体"/>
          <w:bCs/>
          <w:color w:val="auto"/>
          <w:spacing w:val="-6"/>
          <w:sz w:val="24"/>
          <w:highlight w:val="none"/>
        </w:rPr>
      </w:pPr>
      <w:r>
        <w:rPr>
          <w:rFonts w:hint="eastAsia" w:ascii="宋体" w:hAnsi="宋体"/>
          <w:bCs/>
          <w:color w:val="auto"/>
          <w:sz w:val="24"/>
          <w:szCs w:val="24"/>
          <w:highlight w:val="none"/>
        </w:rPr>
        <w:t>投标供应商全称（CA公章）：</w:t>
      </w:r>
    </w:p>
    <w:p w14:paraId="76EF2802">
      <w:pPr>
        <w:spacing w:line="360" w:lineRule="auto"/>
        <w:jc w:val="left"/>
        <w:rPr>
          <w:rFonts w:ascii="宋体" w:hAnsi="宋体" w:cs="宋体"/>
          <w:bCs/>
          <w:color w:val="auto"/>
          <w:sz w:val="24"/>
          <w:highlight w:val="none"/>
        </w:rPr>
      </w:pPr>
      <w:r>
        <w:rPr>
          <w:rFonts w:hint="eastAsia" w:ascii="宋体" w:hAnsi="宋体" w:cs="宋体"/>
          <w:bCs/>
          <w:color w:val="auto"/>
          <w:spacing w:val="-6"/>
          <w:sz w:val="24"/>
          <w:highlight w:val="none"/>
        </w:rPr>
        <w:t>项目名称：2026-2027年度度假区(阳山镇)机关食堂外包服务项目</w:t>
      </w:r>
      <w:r>
        <w:rPr>
          <w:rFonts w:hint="eastAsia" w:ascii="宋体" w:hAnsi="宋体" w:cs="宋体"/>
          <w:bCs/>
          <w:color w:val="auto"/>
          <w:sz w:val="24"/>
          <w:highlight w:val="none"/>
        </w:rPr>
        <w:t xml:space="preserve">   </w:t>
      </w:r>
    </w:p>
    <w:p w14:paraId="4FDEBD1A">
      <w:pPr>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采购项目编号：</w:t>
      </w:r>
      <w:r>
        <w:rPr>
          <w:rFonts w:hint="eastAsia" w:ascii="宋体" w:hAnsi="宋体" w:cs="宋体"/>
          <w:bCs/>
          <w:color w:val="auto"/>
          <w:sz w:val="24"/>
          <w:highlight w:val="none"/>
          <w:lang w:eastAsia="zh-CN"/>
        </w:rPr>
        <w:t>JSZC-320206-JXCZ-G2026-0004</w:t>
      </w:r>
      <w:r>
        <w:rPr>
          <w:rFonts w:hint="eastAsia" w:ascii="宋体" w:hAnsi="宋体" w:cs="宋体"/>
          <w:bCs/>
          <w:color w:val="auto"/>
          <w:sz w:val="24"/>
          <w:highlight w:val="none"/>
        </w:rPr>
        <w:t xml:space="preserve">  </w:t>
      </w:r>
    </w:p>
    <w:tbl>
      <w:tblPr>
        <w:tblStyle w:val="67"/>
        <w:tblW w:w="9885" w:type="dxa"/>
        <w:tblInd w:w="-15" w:type="dxa"/>
        <w:tblLayout w:type="fixed"/>
        <w:tblCellMar>
          <w:top w:w="15" w:type="dxa"/>
          <w:left w:w="15" w:type="dxa"/>
          <w:bottom w:w="0" w:type="dxa"/>
          <w:right w:w="15" w:type="dxa"/>
        </w:tblCellMar>
      </w:tblPr>
      <w:tblGrid>
        <w:gridCol w:w="1905"/>
        <w:gridCol w:w="2835"/>
        <w:gridCol w:w="2835"/>
        <w:gridCol w:w="2310"/>
      </w:tblGrid>
      <w:tr w14:paraId="3263989D">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F096956">
            <w:pPr>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171AC862">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79861DA8">
            <w:pPr>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292CAFDE">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35564CCA">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1E28505">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5A15DD51">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13D857BA">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6DAA323D">
            <w:pPr>
              <w:jc w:val="center"/>
              <w:rPr>
                <w:rFonts w:ascii="宋体"/>
                <w:bCs/>
                <w:color w:val="auto"/>
                <w:highlight w:val="none"/>
              </w:rPr>
            </w:pPr>
          </w:p>
        </w:tc>
      </w:tr>
    </w:tbl>
    <w:p w14:paraId="4ACCBA53">
      <w:pPr>
        <w:ind w:firstLine="420"/>
        <w:rPr>
          <w:rFonts w:ascii="宋体" w:hAnsi="宋体" w:cs="宋体"/>
          <w:bCs/>
          <w:color w:val="auto"/>
          <w:sz w:val="24"/>
          <w:highlight w:val="none"/>
        </w:rPr>
      </w:pPr>
    </w:p>
    <w:p w14:paraId="2B14CCEF">
      <w:pPr>
        <w:spacing w:line="360" w:lineRule="auto"/>
        <w:ind w:firstLine="420"/>
        <w:rPr>
          <w:rFonts w:ascii="宋体" w:hAnsi="宋体" w:cs="宋体"/>
          <w:bCs/>
          <w:color w:val="auto"/>
          <w:sz w:val="24"/>
          <w:highlight w:val="none"/>
        </w:rPr>
      </w:pPr>
      <w:r>
        <w:rPr>
          <w:rFonts w:hint="eastAsia" w:ascii="宋体" w:hAnsi="宋体" w:cs="宋体"/>
          <w:bCs/>
          <w:color w:val="auto"/>
          <w:sz w:val="24"/>
          <w:highlight w:val="none"/>
        </w:rPr>
        <w:t>注：（1）本表不得删除；</w:t>
      </w:r>
    </w:p>
    <w:p w14:paraId="5806AAF0">
      <w:pPr>
        <w:spacing w:line="360" w:lineRule="auto"/>
        <w:ind w:firstLine="420"/>
        <w:rPr>
          <w:rFonts w:ascii="宋体" w:hAnsi="宋体" w:cs="宋体"/>
          <w:bCs/>
          <w:color w:val="auto"/>
          <w:sz w:val="24"/>
          <w:highlight w:val="none"/>
        </w:rPr>
      </w:pPr>
      <w:r>
        <w:rPr>
          <w:rFonts w:hint="eastAsia" w:ascii="宋体" w:hAnsi="宋体" w:cs="宋体"/>
          <w:bCs/>
          <w:color w:val="auto"/>
          <w:sz w:val="24"/>
          <w:highlight w:val="none"/>
        </w:rPr>
        <w:t xml:space="preserve">   （2）如无任何偏离，请于本表 “偏离说明”中注明“无偏离”；</w:t>
      </w:r>
    </w:p>
    <w:p w14:paraId="12D8A949">
      <w:pPr>
        <w:spacing w:line="360" w:lineRule="auto"/>
        <w:ind w:firstLine="480"/>
        <w:rPr>
          <w:rFonts w:ascii="宋体" w:hAnsi="宋体"/>
          <w:bCs/>
          <w:color w:val="auto"/>
          <w:sz w:val="24"/>
          <w:szCs w:val="22"/>
          <w:highlight w:val="none"/>
        </w:rPr>
      </w:pPr>
      <w:r>
        <w:rPr>
          <w:rFonts w:hint="eastAsia" w:ascii="宋体" w:hAnsi="宋体" w:cs="宋体"/>
          <w:bCs/>
          <w:color w:val="auto"/>
          <w:sz w:val="24"/>
          <w:highlight w:val="none"/>
        </w:rPr>
        <w:t xml:space="preserve">   （3）如有偏离项，请于本表中列明偏离内容，如需要可自行延长，其余无偏离内容不须赘述。</w:t>
      </w:r>
    </w:p>
    <w:p w14:paraId="1CE2FECF">
      <w:pPr>
        <w:widowControl/>
        <w:spacing w:line="360" w:lineRule="auto"/>
        <w:jc w:val="left"/>
        <w:rPr>
          <w:b/>
          <w:color w:val="auto"/>
          <w:sz w:val="28"/>
          <w:szCs w:val="28"/>
          <w:highlight w:val="none"/>
        </w:rPr>
      </w:pPr>
      <w:r>
        <w:rPr>
          <w:b/>
          <w:color w:val="auto"/>
          <w:sz w:val="28"/>
          <w:szCs w:val="28"/>
          <w:highlight w:val="none"/>
        </w:rPr>
        <w:br w:type="page" w:clear="all"/>
      </w:r>
    </w:p>
    <w:p w14:paraId="4B5601E6">
      <w:pPr>
        <w:pageBreakBefore/>
        <w:spacing w:line="360" w:lineRule="auto"/>
        <w:jc w:val="left"/>
        <w:outlineLvl w:val="0"/>
        <w:rPr>
          <w:rFonts w:ascii="宋体" w:hAnsi="宋体"/>
          <w:bCs/>
          <w:color w:val="auto"/>
          <w:sz w:val="24"/>
          <w:szCs w:val="24"/>
          <w:highlight w:val="none"/>
        </w:rPr>
      </w:pPr>
      <w:bookmarkStart w:id="941" w:name="_Toc98277384"/>
      <w:bookmarkStart w:id="942" w:name="_Toc116946364"/>
      <w:bookmarkStart w:id="943" w:name="_Toc36830600"/>
      <w:r>
        <w:rPr>
          <w:rFonts w:hint="eastAsia" w:ascii="宋体" w:hAnsi="宋体"/>
          <w:bCs/>
          <w:color w:val="auto"/>
          <w:sz w:val="24"/>
          <w:szCs w:val="24"/>
          <w:highlight w:val="none"/>
        </w:rPr>
        <w:t>（八）企业业绩一览表</w:t>
      </w:r>
      <w:bookmarkEnd w:id="941"/>
      <w:bookmarkEnd w:id="942"/>
      <w:bookmarkEnd w:id="943"/>
    </w:p>
    <w:p w14:paraId="3D939EF5">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企业业绩一览表</w:t>
      </w:r>
    </w:p>
    <w:tbl>
      <w:tblPr>
        <w:tblStyle w:val="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1561"/>
        <w:gridCol w:w="1462"/>
        <w:gridCol w:w="1672"/>
        <w:gridCol w:w="1977"/>
        <w:gridCol w:w="2347"/>
      </w:tblGrid>
      <w:tr w14:paraId="046CB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63460501">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1561" w:type="dxa"/>
            <w:vAlign w:val="center"/>
          </w:tcPr>
          <w:p w14:paraId="103AD5B4">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项目名称</w:t>
            </w:r>
          </w:p>
        </w:tc>
        <w:tc>
          <w:tcPr>
            <w:tcW w:w="1462" w:type="dxa"/>
            <w:vAlign w:val="center"/>
          </w:tcPr>
          <w:p w14:paraId="3C2501CE">
            <w:pPr>
              <w:tabs>
                <w:tab w:val="left" w:pos="6252"/>
              </w:tabs>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项目时间</w:t>
            </w:r>
          </w:p>
        </w:tc>
        <w:tc>
          <w:tcPr>
            <w:tcW w:w="1672" w:type="dxa"/>
            <w:vAlign w:val="center"/>
          </w:tcPr>
          <w:p w14:paraId="72C30424">
            <w:pPr>
              <w:tabs>
                <w:tab w:val="left" w:pos="6252"/>
              </w:tabs>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合同金额</w:t>
            </w:r>
          </w:p>
          <w:p w14:paraId="3E82BDC8">
            <w:pPr>
              <w:tabs>
                <w:tab w:val="left" w:pos="6252"/>
              </w:tabs>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（人民币）</w:t>
            </w:r>
          </w:p>
        </w:tc>
        <w:tc>
          <w:tcPr>
            <w:tcW w:w="1977" w:type="dxa"/>
            <w:vAlign w:val="center"/>
          </w:tcPr>
          <w:p w14:paraId="38B7804B">
            <w:pPr>
              <w:tabs>
                <w:tab w:val="left" w:pos="6252"/>
              </w:tabs>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业主单位</w:t>
            </w:r>
          </w:p>
        </w:tc>
        <w:tc>
          <w:tcPr>
            <w:tcW w:w="2347" w:type="dxa"/>
            <w:vAlign w:val="center"/>
          </w:tcPr>
          <w:p w14:paraId="72C18087">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备注</w:t>
            </w:r>
          </w:p>
        </w:tc>
      </w:tr>
      <w:tr w14:paraId="2C983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5AFEEA22">
            <w:pPr>
              <w:spacing w:line="360" w:lineRule="auto"/>
              <w:jc w:val="center"/>
              <w:rPr>
                <w:rFonts w:ascii="宋体" w:hAnsi="宋体" w:cs="宋体"/>
                <w:color w:val="auto"/>
                <w:sz w:val="26"/>
                <w:szCs w:val="21"/>
                <w:highlight w:val="none"/>
              </w:rPr>
            </w:pPr>
            <w:r>
              <w:rPr>
                <w:rFonts w:hint="eastAsia" w:ascii="宋体" w:hAnsi="宋体" w:cs="宋体"/>
                <w:color w:val="auto"/>
                <w:sz w:val="26"/>
                <w:szCs w:val="21"/>
                <w:highlight w:val="none"/>
              </w:rPr>
              <w:t>1</w:t>
            </w:r>
          </w:p>
        </w:tc>
        <w:tc>
          <w:tcPr>
            <w:tcW w:w="1561" w:type="dxa"/>
            <w:vAlign w:val="center"/>
          </w:tcPr>
          <w:p w14:paraId="0068F1DF">
            <w:pPr>
              <w:spacing w:line="360" w:lineRule="auto"/>
              <w:jc w:val="center"/>
              <w:rPr>
                <w:rFonts w:ascii="宋体" w:hAnsi="宋体" w:cs="宋体"/>
                <w:color w:val="auto"/>
                <w:sz w:val="26"/>
                <w:szCs w:val="21"/>
                <w:highlight w:val="none"/>
              </w:rPr>
            </w:pPr>
          </w:p>
        </w:tc>
        <w:tc>
          <w:tcPr>
            <w:tcW w:w="1462" w:type="dxa"/>
          </w:tcPr>
          <w:p w14:paraId="5513B17B">
            <w:pPr>
              <w:spacing w:line="360" w:lineRule="auto"/>
              <w:jc w:val="center"/>
              <w:rPr>
                <w:rFonts w:ascii="宋体" w:hAnsi="宋体" w:cs="宋体"/>
                <w:color w:val="auto"/>
                <w:sz w:val="26"/>
                <w:szCs w:val="21"/>
                <w:highlight w:val="none"/>
              </w:rPr>
            </w:pPr>
          </w:p>
        </w:tc>
        <w:tc>
          <w:tcPr>
            <w:tcW w:w="1672" w:type="dxa"/>
            <w:vAlign w:val="center"/>
          </w:tcPr>
          <w:p w14:paraId="6F8CA1BC">
            <w:pPr>
              <w:spacing w:line="360" w:lineRule="auto"/>
              <w:jc w:val="center"/>
              <w:rPr>
                <w:rFonts w:ascii="宋体" w:hAnsi="宋体" w:cs="宋体"/>
                <w:color w:val="auto"/>
                <w:sz w:val="26"/>
                <w:szCs w:val="21"/>
                <w:highlight w:val="none"/>
              </w:rPr>
            </w:pPr>
          </w:p>
        </w:tc>
        <w:tc>
          <w:tcPr>
            <w:tcW w:w="1977" w:type="dxa"/>
            <w:vAlign w:val="center"/>
          </w:tcPr>
          <w:p w14:paraId="0125A0A9">
            <w:pPr>
              <w:spacing w:line="360" w:lineRule="auto"/>
              <w:jc w:val="center"/>
              <w:rPr>
                <w:rFonts w:ascii="宋体" w:hAnsi="宋体" w:cs="宋体"/>
                <w:color w:val="auto"/>
                <w:sz w:val="26"/>
                <w:szCs w:val="21"/>
                <w:highlight w:val="none"/>
              </w:rPr>
            </w:pPr>
          </w:p>
        </w:tc>
        <w:tc>
          <w:tcPr>
            <w:tcW w:w="2347" w:type="dxa"/>
            <w:vAlign w:val="center"/>
          </w:tcPr>
          <w:p w14:paraId="1B913483">
            <w:pPr>
              <w:spacing w:line="360" w:lineRule="auto"/>
              <w:jc w:val="center"/>
              <w:rPr>
                <w:rFonts w:ascii="宋体" w:hAnsi="宋体" w:cs="宋体"/>
                <w:color w:val="auto"/>
                <w:sz w:val="26"/>
                <w:szCs w:val="21"/>
                <w:highlight w:val="none"/>
              </w:rPr>
            </w:pPr>
          </w:p>
        </w:tc>
      </w:tr>
      <w:tr w14:paraId="5D538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65EF0890">
            <w:pPr>
              <w:spacing w:line="360" w:lineRule="auto"/>
              <w:jc w:val="center"/>
              <w:rPr>
                <w:rFonts w:ascii="宋体" w:hAnsi="宋体" w:cs="宋体"/>
                <w:color w:val="auto"/>
                <w:sz w:val="26"/>
                <w:szCs w:val="21"/>
                <w:highlight w:val="none"/>
              </w:rPr>
            </w:pPr>
            <w:r>
              <w:rPr>
                <w:rFonts w:hint="eastAsia" w:ascii="宋体" w:hAnsi="宋体" w:cs="宋体"/>
                <w:color w:val="auto"/>
                <w:sz w:val="26"/>
                <w:szCs w:val="21"/>
                <w:highlight w:val="none"/>
              </w:rPr>
              <w:t>2</w:t>
            </w:r>
          </w:p>
        </w:tc>
        <w:tc>
          <w:tcPr>
            <w:tcW w:w="1561" w:type="dxa"/>
            <w:vAlign w:val="center"/>
          </w:tcPr>
          <w:p w14:paraId="1E287703">
            <w:pPr>
              <w:spacing w:line="360" w:lineRule="auto"/>
              <w:jc w:val="center"/>
              <w:rPr>
                <w:rFonts w:ascii="宋体" w:hAnsi="宋体" w:cs="宋体"/>
                <w:color w:val="auto"/>
                <w:sz w:val="26"/>
                <w:szCs w:val="21"/>
                <w:highlight w:val="none"/>
              </w:rPr>
            </w:pPr>
          </w:p>
        </w:tc>
        <w:tc>
          <w:tcPr>
            <w:tcW w:w="1462" w:type="dxa"/>
          </w:tcPr>
          <w:p w14:paraId="116A5F19">
            <w:pPr>
              <w:spacing w:line="360" w:lineRule="auto"/>
              <w:jc w:val="center"/>
              <w:rPr>
                <w:rFonts w:ascii="宋体" w:hAnsi="宋体" w:cs="宋体"/>
                <w:color w:val="auto"/>
                <w:sz w:val="26"/>
                <w:szCs w:val="21"/>
                <w:highlight w:val="none"/>
              </w:rPr>
            </w:pPr>
          </w:p>
        </w:tc>
        <w:tc>
          <w:tcPr>
            <w:tcW w:w="1672" w:type="dxa"/>
            <w:vAlign w:val="center"/>
          </w:tcPr>
          <w:p w14:paraId="38CEED9E">
            <w:pPr>
              <w:spacing w:line="360" w:lineRule="auto"/>
              <w:jc w:val="center"/>
              <w:rPr>
                <w:rFonts w:ascii="宋体" w:hAnsi="宋体" w:cs="宋体"/>
                <w:color w:val="auto"/>
                <w:sz w:val="26"/>
                <w:szCs w:val="21"/>
                <w:highlight w:val="none"/>
              </w:rPr>
            </w:pPr>
          </w:p>
        </w:tc>
        <w:tc>
          <w:tcPr>
            <w:tcW w:w="1977" w:type="dxa"/>
            <w:vAlign w:val="center"/>
          </w:tcPr>
          <w:p w14:paraId="757E8E54">
            <w:pPr>
              <w:spacing w:line="360" w:lineRule="auto"/>
              <w:jc w:val="center"/>
              <w:rPr>
                <w:rFonts w:ascii="宋体" w:hAnsi="宋体" w:cs="宋体"/>
                <w:color w:val="auto"/>
                <w:sz w:val="26"/>
                <w:szCs w:val="21"/>
                <w:highlight w:val="none"/>
              </w:rPr>
            </w:pPr>
          </w:p>
        </w:tc>
        <w:tc>
          <w:tcPr>
            <w:tcW w:w="2347" w:type="dxa"/>
            <w:vAlign w:val="center"/>
          </w:tcPr>
          <w:p w14:paraId="132714BE">
            <w:pPr>
              <w:spacing w:line="360" w:lineRule="auto"/>
              <w:jc w:val="center"/>
              <w:rPr>
                <w:rFonts w:ascii="宋体" w:hAnsi="宋体" w:cs="宋体"/>
                <w:color w:val="auto"/>
                <w:sz w:val="26"/>
                <w:szCs w:val="21"/>
                <w:highlight w:val="none"/>
              </w:rPr>
            </w:pPr>
          </w:p>
        </w:tc>
      </w:tr>
      <w:tr w14:paraId="20980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68E10433">
            <w:pPr>
              <w:spacing w:line="360" w:lineRule="auto"/>
              <w:jc w:val="center"/>
              <w:rPr>
                <w:rFonts w:ascii="宋体" w:hAnsi="宋体" w:cs="宋体"/>
                <w:color w:val="auto"/>
                <w:sz w:val="26"/>
                <w:szCs w:val="21"/>
                <w:highlight w:val="none"/>
              </w:rPr>
            </w:pPr>
            <w:r>
              <w:rPr>
                <w:rFonts w:hint="eastAsia" w:ascii="宋体" w:hAnsi="宋体" w:cs="宋体"/>
                <w:color w:val="auto"/>
                <w:sz w:val="26"/>
                <w:szCs w:val="21"/>
                <w:highlight w:val="none"/>
              </w:rPr>
              <w:t>3</w:t>
            </w:r>
          </w:p>
        </w:tc>
        <w:tc>
          <w:tcPr>
            <w:tcW w:w="1561" w:type="dxa"/>
            <w:vAlign w:val="center"/>
          </w:tcPr>
          <w:p w14:paraId="1B6B0434">
            <w:pPr>
              <w:spacing w:line="360" w:lineRule="auto"/>
              <w:jc w:val="center"/>
              <w:rPr>
                <w:rFonts w:ascii="宋体" w:hAnsi="宋体" w:cs="宋体"/>
                <w:color w:val="auto"/>
                <w:sz w:val="26"/>
                <w:szCs w:val="21"/>
                <w:highlight w:val="none"/>
              </w:rPr>
            </w:pPr>
          </w:p>
        </w:tc>
        <w:tc>
          <w:tcPr>
            <w:tcW w:w="1462" w:type="dxa"/>
          </w:tcPr>
          <w:p w14:paraId="738CF30A">
            <w:pPr>
              <w:spacing w:line="360" w:lineRule="auto"/>
              <w:jc w:val="center"/>
              <w:rPr>
                <w:rFonts w:ascii="宋体" w:hAnsi="宋体" w:cs="宋体"/>
                <w:color w:val="auto"/>
                <w:sz w:val="26"/>
                <w:szCs w:val="21"/>
                <w:highlight w:val="none"/>
              </w:rPr>
            </w:pPr>
          </w:p>
        </w:tc>
        <w:tc>
          <w:tcPr>
            <w:tcW w:w="1672" w:type="dxa"/>
            <w:vAlign w:val="center"/>
          </w:tcPr>
          <w:p w14:paraId="0154B0A9">
            <w:pPr>
              <w:spacing w:line="360" w:lineRule="auto"/>
              <w:jc w:val="center"/>
              <w:rPr>
                <w:rFonts w:ascii="宋体" w:hAnsi="宋体" w:cs="宋体"/>
                <w:color w:val="auto"/>
                <w:sz w:val="26"/>
                <w:szCs w:val="21"/>
                <w:highlight w:val="none"/>
              </w:rPr>
            </w:pPr>
          </w:p>
        </w:tc>
        <w:tc>
          <w:tcPr>
            <w:tcW w:w="1977" w:type="dxa"/>
            <w:vAlign w:val="center"/>
          </w:tcPr>
          <w:p w14:paraId="2909F7C5">
            <w:pPr>
              <w:spacing w:line="360" w:lineRule="auto"/>
              <w:jc w:val="center"/>
              <w:rPr>
                <w:rFonts w:ascii="宋体" w:hAnsi="宋体" w:cs="宋体"/>
                <w:color w:val="auto"/>
                <w:sz w:val="26"/>
                <w:szCs w:val="21"/>
                <w:highlight w:val="none"/>
              </w:rPr>
            </w:pPr>
          </w:p>
        </w:tc>
        <w:tc>
          <w:tcPr>
            <w:tcW w:w="2347" w:type="dxa"/>
            <w:vAlign w:val="center"/>
          </w:tcPr>
          <w:p w14:paraId="7E731921">
            <w:pPr>
              <w:spacing w:line="360" w:lineRule="auto"/>
              <w:jc w:val="center"/>
              <w:rPr>
                <w:rFonts w:ascii="宋体" w:hAnsi="宋体" w:cs="宋体"/>
                <w:color w:val="auto"/>
                <w:sz w:val="26"/>
                <w:szCs w:val="21"/>
                <w:highlight w:val="none"/>
              </w:rPr>
            </w:pPr>
          </w:p>
        </w:tc>
      </w:tr>
      <w:tr w14:paraId="35382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035744A7">
            <w:pPr>
              <w:spacing w:line="360" w:lineRule="auto"/>
              <w:jc w:val="center"/>
              <w:rPr>
                <w:rFonts w:ascii="宋体" w:hAnsi="宋体" w:cs="宋体"/>
                <w:color w:val="auto"/>
                <w:sz w:val="26"/>
                <w:szCs w:val="21"/>
                <w:highlight w:val="none"/>
              </w:rPr>
            </w:pPr>
            <w:r>
              <w:rPr>
                <w:rFonts w:hint="eastAsia" w:ascii="宋体" w:hAnsi="宋体" w:cs="宋体"/>
                <w:color w:val="auto"/>
                <w:sz w:val="26"/>
                <w:szCs w:val="21"/>
                <w:highlight w:val="none"/>
              </w:rPr>
              <w:t>4</w:t>
            </w:r>
          </w:p>
        </w:tc>
        <w:tc>
          <w:tcPr>
            <w:tcW w:w="1561" w:type="dxa"/>
            <w:vAlign w:val="center"/>
          </w:tcPr>
          <w:p w14:paraId="45F17A35">
            <w:pPr>
              <w:spacing w:line="360" w:lineRule="auto"/>
              <w:jc w:val="center"/>
              <w:rPr>
                <w:rFonts w:ascii="宋体" w:hAnsi="宋体" w:cs="宋体"/>
                <w:color w:val="auto"/>
                <w:sz w:val="26"/>
                <w:szCs w:val="21"/>
                <w:highlight w:val="none"/>
              </w:rPr>
            </w:pPr>
          </w:p>
        </w:tc>
        <w:tc>
          <w:tcPr>
            <w:tcW w:w="1462" w:type="dxa"/>
          </w:tcPr>
          <w:p w14:paraId="5BEA1E4A">
            <w:pPr>
              <w:spacing w:line="360" w:lineRule="auto"/>
              <w:jc w:val="center"/>
              <w:rPr>
                <w:rFonts w:ascii="宋体" w:hAnsi="宋体" w:cs="宋体"/>
                <w:color w:val="auto"/>
                <w:sz w:val="26"/>
                <w:szCs w:val="21"/>
                <w:highlight w:val="none"/>
              </w:rPr>
            </w:pPr>
          </w:p>
        </w:tc>
        <w:tc>
          <w:tcPr>
            <w:tcW w:w="1672" w:type="dxa"/>
            <w:vAlign w:val="center"/>
          </w:tcPr>
          <w:p w14:paraId="3F98F152">
            <w:pPr>
              <w:spacing w:line="360" w:lineRule="auto"/>
              <w:jc w:val="center"/>
              <w:rPr>
                <w:rFonts w:ascii="宋体" w:hAnsi="宋体" w:cs="宋体"/>
                <w:color w:val="auto"/>
                <w:sz w:val="26"/>
                <w:szCs w:val="21"/>
                <w:highlight w:val="none"/>
              </w:rPr>
            </w:pPr>
          </w:p>
        </w:tc>
        <w:tc>
          <w:tcPr>
            <w:tcW w:w="1977" w:type="dxa"/>
            <w:vAlign w:val="center"/>
          </w:tcPr>
          <w:p w14:paraId="696EBAF7">
            <w:pPr>
              <w:spacing w:line="360" w:lineRule="auto"/>
              <w:jc w:val="center"/>
              <w:rPr>
                <w:rFonts w:ascii="宋体" w:hAnsi="宋体" w:cs="宋体"/>
                <w:color w:val="auto"/>
                <w:sz w:val="26"/>
                <w:szCs w:val="21"/>
                <w:highlight w:val="none"/>
              </w:rPr>
            </w:pPr>
          </w:p>
        </w:tc>
        <w:tc>
          <w:tcPr>
            <w:tcW w:w="2347" w:type="dxa"/>
            <w:vAlign w:val="center"/>
          </w:tcPr>
          <w:p w14:paraId="58079050">
            <w:pPr>
              <w:spacing w:line="360" w:lineRule="auto"/>
              <w:jc w:val="center"/>
              <w:rPr>
                <w:rFonts w:ascii="宋体" w:hAnsi="宋体" w:cs="宋体"/>
                <w:color w:val="auto"/>
                <w:sz w:val="26"/>
                <w:szCs w:val="21"/>
                <w:highlight w:val="none"/>
              </w:rPr>
            </w:pPr>
          </w:p>
        </w:tc>
      </w:tr>
      <w:tr w14:paraId="1F316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472AB2BA">
            <w:pPr>
              <w:spacing w:line="360" w:lineRule="auto"/>
              <w:jc w:val="center"/>
              <w:rPr>
                <w:rFonts w:ascii="宋体" w:hAnsi="宋体" w:cs="宋体"/>
                <w:color w:val="auto"/>
                <w:sz w:val="26"/>
                <w:szCs w:val="21"/>
                <w:highlight w:val="none"/>
              </w:rPr>
            </w:pPr>
            <w:r>
              <w:rPr>
                <w:rFonts w:hint="eastAsia" w:ascii="宋体" w:hAnsi="宋体" w:cs="宋体"/>
                <w:color w:val="auto"/>
                <w:sz w:val="26"/>
                <w:szCs w:val="21"/>
                <w:highlight w:val="none"/>
              </w:rPr>
              <w:t>5</w:t>
            </w:r>
          </w:p>
        </w:tc>
        <w:tc>
          <w:tcPr>
            <w:tcW w:w="1561" w:type="dxa"/>
            <w:vAlign w:val="center"/>
          </w:tcPr>
          <w:p w14:paraId="4C17620F">
            <w:pPr>
              <w:spacing w:line="360" w:lineRule="auto"/>
              <w:jc w:val="center"/>
              <w:rPr>
                <w:rFonts w:ascii="宋体" w:hAnsi="宋体" w:cs="宋体"/>
                <w:color w:val="auto"/>
                <w:sz w:val="26"/>
                <w:szCs w:val="21"/>
                <w:highlight w:val="none"/>
              </w:rPr>
            </w:pPr>
          </w:p>
        </w:tc>
        <w:tc>
          <w:tcPr>
            <w:tcW w:w="1462" w:type="dxa"/>
          </w:tcPr>
          <w:p w14:paraId="3819C725">
            <w:pPr>
              <w:spacing w:line="360" w:lineRule="auto"/>
              <w:jc w:val="center"/>
              <w:rPr>
                <w:rFonts w:ascii="宋体" w:hAnsi="宋体" w:cs="宋体"/>
                <w:color w:val="auto"/>
                <w:sz w:val="26"/>
                <w:szCs w:val="21"/>
                <w:highlight w:val="none"/>
              </w:rPr>
            </w:pPr>
          </w:p>
        </w:tc>
        <w:tc>
          <w:tcPr>
            <w:tcW w:w="1672" w:type="dxa"/>
            <w:vAlign w:val="center"/>
          </w:tcPr>
          <w:p w14:paraId="4FF9AD48">
            <w:pPr>
              <w:spacing w:line="360" w:lineRule="auto"/>
              <w:jc w:val="center"/>
              <w:rPr>
                <w:rFonts w:ascii="宋体" w:hAnsi="宋体" w:cs="宋体"/>
                <w:color w:val="auto"/>
                <w:sz w:val="26"/>
                <w:szCs w:val="21"/>
                <w:highlight w:val="none"/>
              </w:rPr>
            </w:pPr>
          </w:p>
        </w:tc>
        <w:tc>
          <w:tcPr>
            <w:tcW w:w="1977" w:type="dxa"/>
            <w:vAlign w:val="center"/>
          </w:tcPr>
          <w:p w14:paraId="38799100">
            <w:pPr>
              <w:spacing w:line="360" w:lineRule="auto"/>
              <w:jc w:val="center"/>
              <w:rPr>
                <w:rFonts w:ascii="宋体" w:hAnsi="宋体" w:cs="宋体"/>
                <w:color w:val="auto"/>
                <w:sz w:val="26"/>
                <w:szCs w:val="21"/>
                <w:highlight w:val="none"/>
              </w:rPr>
            </w:pPr>
          </w:p>
        </w:tc>
        <w:tc>
          <w:tcPr>
            <w:tcW w:w="2347" w:type="dxa"/>
            <w:vAlign w:val="center"/>
          </w:tcPr>
          <w:p w14:paraId="2ABC91C8">
            <w:pPr>
              <w:spacing w:line="360" w:lineRule="auto"/>
              <w:jc w:val="center"/>
              <w:rPr>
                <w:rFonts w:ascii="宋体" w:hAnsi="宋体" w:cs="宋体"/>
                <w:color w:val="auto"/>
                <w:sz w:val="26"/>
                <w:szCs w:val="21"/>
                <w:highlight w:val="none"/>
              </w:rPr>
            </w:pPr>
          </w:p>
        </w:tc>
      </w:tr>
      <w:tr w14:paraId="2F1B0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44F88AB8">
            <w:pPr>
              <w:spacing w:line="360" w:lineRule="auto"/>
              <w:jc w:val="center"/>
              <w:rPr>
                <w:rFonts w:ascii="宋体" w:hAnsi="宋体" w:cs="宋体"/>
                <w:color w:val="auto"/>
                <w:sz w:val="26"/>
                <w:szCs w:val="21"/>
                <w:highlight w:val="none"/>
              </w:rPr>
            </w:pPr>
            <w:r>
              <w:rPr>
                <w:rFonts w:ascii="宋体" w:hAnsi="宋体" w:cs="宋体"/>
                <w:color w:val="auto"/>
                <w:sz w:val="26"/>
                <w:szCs w:val="21"/>
                <w:highlight w:val="none"/>
              </w:rPr>
              <w:t>…</w:t>
            </w:r>
          </w:p>
        </w:tc>
        <w:tc>
          <w:tcPr>
            <w:tcW w:w="1561" w:type="dxa"/>
            <w:vAlign w:val="center"/>
          </w:tcPr>
          <w:p w14:paraId="0DEE9368">
            <w:pPr>
              <w:spacing w:line="360" w:lineRule="auto"/>
              <w:jc w:val="center"/>
              <w:rPr>
                <w:rFonts w:ascii="宋体" w:hAnsi="宋体" w:cs="宋体"/>
                <w:color w:val="auto"/>
                <w:sz w:val="26"/>
                <w:szCs w:val="21"/>
                <w:highlight w:val="none"/>
              </w:rPr>
            </w:pPr>
          </w:p>
        </w:tc>
        <w:tc>
          <w:tcPr>
            <w:tcW w:w="1462" w:type="dxa"/>
          </w:tcPr>
          <w:p w14:paraId="1499B91A">
            <w:pPr>
              <w:spacing w:line="360" w:lineRule="auto"/>
              <w:jc w:val="center"/>
              <w:rPr>
                <w:rFonts w:ascii="宋体" w:hAnsi="宋体" w:cs="宋体"/>
                <w:color w:val="auto"/>
                <w:sz w:val="26"/>
                <w:szCs w:val="21"/>
                <w:highlight w:val="none"/>
              </w:rPr>
            </w:pPr>
          </w:p>
        </w:tc>
        <w:tc>
          <w:tcPr>
            <w:tcW w:w="1672" w:type="dxa"/>
            <w:vAlign w:val="center"/>
          </w:tcPr>
          <w:p w14:paraId="685ED663">
            <w:pPr>
              <w:spacing w:line="360" w:lineRule="auto"/>
              <w:jc w:val="center"/>
              <w:rPr>
                <w:rFonts w:ascii="宋体" w:hAnsi="宋体" w:cs="宋体"/>
                <w:color w:val="auto"/>
                <w:sz w:val="26"/>
                <w:szCs w:val="21"/>
                <w:highlight w:val="none"/>
              </w:rPr>
            </w:pPr>
          </w:p>
        </w:tc>
        <w:tc>
          <w:tcPr>
            <w:tcW w:w="1977" w:type="dxa"/>
            <w:vAlign w:val="center"/>
          </w:tcPr>
          <w:p w14:paraId="195379CC">
            <w:pPr>
              <w:spacing w:line="360" w:lineRule="auto"/>
              <w:jc w:val="center"/>
              <w:rPr>
                <w:rFonts w:ascii="宋体" w:hAnsi="宋体" w:cs="宋体"/>
                <w:color w:val="auto"/>
                <w:sz w:val="26"/>
                <w:szCs w:val="21"/>
                <w:highlight w:val="none"/>
              </w:rPr>
            </w:pPr>
          </w:p>
        </w:tc>
        <w:tc>
          <w:tcPr>
            <w:tcW w:w="2347" w:type="dxa"/>
            <w:vAlign w:val="center"/>
          </w:tcPr>
          <w:p w14:paraId="327434D1">
            <w:pPr>
              <w:spacing w:line="360" w:lineRule="auto"/>
              <w:jc w:val="center"/>
              <w:rPr>
                <w:rFonts w:ascii="宋体" w:hAnsi="宋体" w:cs="宋体"/>
                <w:color w:val="auto"/>
                <w:sz w:val="26"/>
                <w:szCs w:val="21"/>
                <w:highlight w:val="none"/>
              </w:rPr>
            </w:pPr>
          </w:p>
        </w:tc>
      </w:tr>
    </w:tbl>
    <w:p w14:paraId="3B137111">
      <w:pPr>
        <w:spacing w:line="360" w:lineRule="auto"/>
        <w:ind w:firstLine="472"/>
        <w:rPr>
          <w:b/>
          <w:color w:val="auto"/>
          <w:sz w:val="24"/>
          <w:szCs w:val="22"/>
          <w:highlight w:val="none"/>
        </w:rPr>
      </w:pPr>
      <w:r>
        <w:rPr>
          <w:rFonts w:hint="eastAsia"/>
          <w:b/>
          <w:color w:val="auto"/>
          <w:sz w:val="24"/>
          <w:szCs w:val="22"/>
          <w:highlight w:val="none"/>
        </w:rPr>
        <w:t>注：</w:t>
      </w:r>
      <w:r>
        <w:rPr>
          <w:b/>
          <w:color w:val="auto"/>
          <w:sz w:val="24"/>
          <w:szCs w:val="22"/>
          <w:highlight w:val="none"/>
        </w:rPr>
        <w:t>附</w:t>
      </w:r>
      <w:r>
        <w:rPr>
          <w:rFonts w:hint="eastAsia"/>
          <w:b/>
          <w:color w:val="auto"/>
          <w:sz w:val="24"/>
          <w:szCs w:val="22"/>
          <w:highlight w:val="none"/>
        </w:rPr>
        <w:t>评分标准中需要提交的证明材料。如出现证明材料复印件内容不完整或字迹、内容、盖章模糊不清等情况均不得分</w:t>
      </w:r>
      <w:r>
        <w:rPr>
          <w:b/>
          <w:color w:val="auto"/>
          <w:sz w:val="24"/>
          <w:szCs w:val="22"/>
          <w:highlight w:val="none"/>
        </w:rPr>
        <w:t>。</w:t>
      </w:r>
    </w:p>
    <w:p w14:paraId="73E570EA">
      <w:pPr>
        <w:spacing w:line="360" w:lineRule="auto"/>
        <w:ind w:firstLine="549"/>
        <w:rPr>
          <w:bCs/>
          <w:color w:val="auto"/>
          <w:sz w:val="28"/>
          <w:szCs w:val="24"/>
          <w:highlight w:val="none"/>
        </w:rPr>
      </w:pPr>
    </w:p>
    <w:p w14:paraId="4429B5BF">
      <w:pPr>
        <w:spacing w:line="360" w:lineRule="auto"/>
        <w:ind w:firstLine="549"/>
        <w:rPr>
          <w:bCs/>
          <w:color w:val="auto"/>
          <w:sz w:val="28"/>
          <w:szCs w:val="24"/>
          <w:highlight w:val="none"/>
        </w:rPr>
      </w:pPr>
    </w:p>
    <w:p w14:paraId="0F2E3A3B">
      <w:pPr>
        <w:spacing w:line="360" w:lineRule="auto"/>
        <w:ind w:firstLine="3120"/>
        <w:rPr>
          <w:rFonts w:ascii="宋体" w:hAnsi="宋体"/>
          <w:bCs/>
          <w:color w:val="auto"/>
          <w:sz w:val="24"/>
          <w:szCs w:val="24"/>
          <w:highlight w:val="none"/>
        </w:rPr>
      </w:pPr>
      <w:r>
        <w:rPr>
          <w:rFonts w:hint="eastAsia" w:ascii="宋体" w:hAnsi="宋体"/>
          <w:bCs/>
          <w:color w:val="auto"/>
          <w:sz w:val="24"/>
          <w:szCs w:val="24"/>
          <w:highlight w:val="none"/>
        </w:rPr>
        <w:t>投标供应商（盖章）：</w:t>
      </w:r>
    </w:p>
    <w:p w14:paraId="7B7C94B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75631669">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日期：    年  月   日</w:t>
      </w:r>
    </w:p>
    <w:p w14:paraId="755FAECE">
      <w:pPr>
        <w:pageBreakBefore/>
        <w:spacing w:line="360" w:lineRule="auto"/>
        <w:jc w:val="left"/>
        <w:outlineLvl w:val="0"/>
        <w:rPr>
          <w:rFonts w:ascii="宋体" w:hAnsi="宋体"/>
          <w:bCs/>
          <w:color w:val="auto"/>
          <w:sz w:val="24"/>
          <w:szCs w:val="24"/>
          <w:highlight w:val="none"/>
        </w:rPr>
      </w:pPr>
      <w:bookmarkStart w:id="944" w:name="_Toc36830601"/>
      <w:r>
        <w:rPr>
          <w:rFonts w:hint="eastAsia" w:ascii="宋体" w:hAnsi="宋体"/>
          <w:bCs/>
          <w:color w:val="auto"/>
          <w:sz w:val="24"/>
          <w:szCs w:val="24"/>
          <w:highlight w:val="none"/>
        </w:rPr>
        <w:t>（九）投标供应商拟投入本项目人员一览表（格式）</w:t>
      </w:r>
    </w:p>
    <w:p w14:paraId="72C20DFE">
      <w:pPr>
        <w:spacing w:line="360" w:lineRule="auto"/>
        <w:rPr>
          <w:color w:val="auto"/>
          <w:highlight w:val="none"/>
        </w:rPr>
      </w:pPr>
    </w:p>
    <w:p w14:paraId="199FBE8A">
      <w:pPr>
        <w:spacing w:line="360" w:lineRule="auto"/>
        <w:jc w:val="center"/>
        <w:rPr>
          <w:rFonts w:ascii="宋体" w:hAnsi="宋体"/>
          <w:b/>
          <w:color w:val="auto"/>
          <w:sz w:val="28"/>
          <w:szCs w:val="28"/>
          <w:highlight w:val="none"/>
        </w:rPr>
      </w:pPr>
      <w:r>
        <w:rPr>
          <w:rFonts w:hint="eastAsia" w:ascii="宋体" w:hAnsi="宋体"/>
          <w:b/>
          <w:bCs/>
          <w:color w:val="auto"/>
          <w:sz w:val="28"/>
          <w:szCs w:val="28"/>
          <w:highlight w:val="none"/>
        </w:rPr>
        <w:t>投标供应商拟投入本项目人员一览表</w:t>
      </w:r>
    </w:p>
    <w:p w14:paraId="205D71F3">
      <w:pPr>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投标供应商名称（盖章）                  采购项目编号：</w:t>
      </w:r>
      <w:r>
        <w:rPr>
          <w:rFonts w:hint="eastAsia" w:ascii="宋体" w:hAnsi="宋体"/>
          <w:bCs/>
          <w:color w:val="auto"/>
          <w:sz w:val="24"/>
          <w:szCs w:val="24"/>
          <w:highlight w:val="none"/>
          <w:lang w:eastAsia="zh-CN"/>
        </w:rPr>
        <w:t>JSZC-320206-JXCZ-G2026-0004</w:t>
      </w:r>
    </w:p>
    <w:tbl>
      <w:tblPr>
        <w:tblStyle w:val="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3"/>
        <w:gridCol w:w="1979"/>
        <w:gridCol w:w="1797"/>
        <w:gridCol w:w="3058"/>
      </w:tblGrid>
      <w:tr w14:paraId="7B138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2833" w:type="dxa"/>
            <w:vAlign w:val="center"/>
          </w:tcPr>
          <w:p w14:paraId="3BE94B7F">
            <w:pPr>
              <w:spacing w:line="360" w:lineRule="auto"/>
              <w:jc w:val="center"/>
              <w:rPr>
                <w:rFonts w:ascii="宋体" w:hAnsi="宋体"/>
                <w:b/>
                <w:color w:val="auto"/>
                <w:sz w:val="24"/>
                <w:highlight w:val="none"/>
              </w:rPr>
            </w:pPr>
            <w:r>
              <w:rPr>
                <w:rFonts w:hint="eastAsia" w:ascii="宋体" w:hAnsi="宋体"/>
                <w:b/>
                <w:color w:val="auto"/>
                <w:sz w:val="24"/>
                <w:highlight w:val="none"/>
              </w:rPr>
              <w:t>拟在本项目担任职务</w:t>
            </w:r>
          </w:p>
        </w:tc>
        <w:tc>
          <w:tcPr>
            <w:tcW w:w="1979" w:type="dxa"/>
            <w:vAlign w:val="center"/>
          </w:tcPr>
          <w:p w14:paraId="00022746">
            <w:pPr>
              <w:spacing w:line="360" w:lineRule="auto"/>
              <w:jc w:val="center"/>
              <w:rPr>
                <w:rFonts w:ascii="宋体" w:hAnsi="宋体"/>
                <w:b/>
                <w:color w:val="auto"/>
                <w:sz w:val="24"/>
                <w:highlight w:val="none"/>
              </w:rPr>
            </w:pPr>
            <w:r>
              <w:rPr>
                <w:rFonts w:hint="eastAsia" w:ascii="宋体" w:hAnsi="宋体"/>
                <w:b/>
                <w:color w:val="auto"/>
                <w:sz w:val="24"/>
                <w:highlight w:val="none"/>
              </w:rPr>
              <w:t>姓名</w:t>
            </w:r>
          </w:p>
        </w:tc>
        <w:tc>
          <w:tcPr>
            <w:tcW w:w="1797" w:type="dxa"/>
            <w:vAlign w:val="center"/>
          </w:tcPr>
          <w:p w14:paraId="6DA95DA0">
            <w:pPr>
              <w:spacing w:line="360" w:lineRule="auto"/>
              <w:jc w:val="center"/>
              <w:rPr>
                <w:rFonts w:ascii="宋体" w:hAnsi="宋体"/>
                <w:b/>
                <w:color w:val="auto"/>
                <w:sz w:val="24"/>
                <w:highlight w:val="none"/>
              </w:rPr>
            </w:pPr>
            <w:r>
              <w:rPr>
                <w:rFonts w:hint="eastAsia" w:ascii="宋体" w:hAnsi="宋体"/>
                <w:b/>
                <w:color w:val="auto"/>
                <w:sz w:val="24"/>
                <w:highlight w:val="none"/>
              </w:rPr>
              <w:t>职称</w:t>
            </w:r>
          </w:p>
        </w:tc>
        <w:tc>
          <w:tcPr>
            <w:tcW w:w="3058" w:type="dxa"/>
            <w:vAlign w:val="center"/>
          </w:tcPr>
          <w:p w14:paraId="1579C1FC">
            <w:pPr>
              <w:spacing w:line="360" w:lineRule="auto"/>
              <w:jc w:val="center"/>
              <w:rPr>
                <w:rFonts w:ascii="宋体" w:hAnsi="宋体"/>
                <w:b/>
                <w:color w:val="auto"/>
                <w:sz w:val="24"/>
                <w:highlight w:val="none"/>
              </w:rPr>
            </w:pPr>
            <w:r>
              <w:rPr>
                <w:rFonts w:hint="eastAsia" w:ascii="宋体" w:hAnsi="宋体"/>
                <w:b/>
                <w:color w:val="auto"/>
                <w:sz w:val="24"/>
                <w:highlight w:val="none"/>
              </w:rPr>
              <w:t>证书号/身份证号</w:t>
            </w:r>
          </w:p>
        </w:tc>
      </w:tr>
      <w:tr w14:paraId="48803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vAlign w:val="center"/>
          </w:tcPr>
          <w:p w14:paraId="387043DF">
            <w:pPr>
              <w:spacing w:line="360" w:lineRule="auto"/>
              <w:jc w:val="center"/>
              <w:rPr>
                <w:rFonts w:ascii="宋体" w:hAnsi="宋体"/>
                <w:color w:val="auto"/>
                <w:sz w:val="24"/>
                <w:szCs w:val="24"/>
                <w:highlight w:val="none"/>
              </w:rPr>
            </w:pPr>
            <w:r>
              <w:rPr>
                <w:rFonts w:hint="eastAsia" w:ascii="宋体" w:hAnsi="宋体"/>
                <w:bCs/>
                <w:color w:val="auto"/>
                <w:sz w:val="24"/>
                <w:szCs w:val="24"/>
                <w:highlight w:val="none"/>
              </w:rPr>
              <w:t>项目负责人</w:t>
            </w:r>
          </w:p>
        </w:tc>
        <w:tc>
          <w:tcPr>
            <w:tcW w:w="1979" w:type="dxa"/>
          </w:tcPr>
          <w:p w14:paraId="45E88E5D">
            <w:pPr>
              <w:spacing w:line="360" w:lineRule="auto"/>
              <w:outlineLvl w:val="0"/>
              <w:rPr>
                <w:rFonts w:ascii="宋体" w:hAnsi="宋体"/>
                <w:bCs/>
                <w:color w:val="auto"/>
                <w:sz w:val="24"/>
                <w:szCs w:val="24"/>
                <w:highlight w:val="none"/>
              </w:rPr>
            </w:pPr>
          </w:p>
        </w:tc>
        <w:tc>
          <w:tcPr>
            <w:tcW w:w="1797" w:type="dxa"/>
          </w:tcPr>
          <w:p w14:paraId="05AA6326">
            <w:pPr>
              <w:spacing w:line="360" w:lineRule="auto"/>
              <w:outlineLvl w:val="0"/>
              <w:rPr>
                <w:rFonts w:ascii="宋体" w:hAnsi="宋体"/>
                <w:bCs/>
                <w:color w:val="auto"/>
                <w:sz w:val="24"/>
                <w:szCs w:val="24"/>
                <w:highlight w:val="none"/>
              </w:rPr>
            </w:pPr>
          </w:p>
        </w:tc>
        <w:tc>
          <w:tcPr>
            <w:tcW w:w="3058" w:type="dxa"/>
          </w:tcPr>
          <w:p w14:paraId="74AA68B7">
            <w:pPr>
              <w:spacing w:line="360" w:lineRule="auto"/>
              <w:outlineLvl w:val="0"/>
              <w:rPr>
                <w:rFonts w:ascii="宋体" w:hAnsi="宋体"/>
                <w:bCs/>
                <w:color w:val="auto"/>
                <w:sz w:val="24"/>
                <w:szCs w:val="24"/>
                <w:highlight w:val="none"/>
              </w:rPr>
            </w:pPr>
          </w:p>
        </w:tc>
      </w:tr>
      <w:tr w14:paraId="78D9F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vAlign w:val="center"/>
          </w:tcPr>
          <w:p w14:paraId="7918D341">
            <w:pPr>
              <w:spacing w:line="360" w:lineRule="auto"/>
              <w:jc w:val="center"/>
              <w:outlineLvl w:val="0"/>
              <w:rPr>
                <w:rFonts w:ascii="宋体" w:hAnsi="宋体"/>
                <w:bCs/>
                <w:color w:val="auto"/>
                <w:sz w:val="24"/>
                <w:szCs w:val="24"/>
                <w:highlight w:val="none"/>
              </w:rPr>
            </w:pPr>
            <w:bookmarkStart w:id="945" w:name="_Toc37322908"/>
            <w:bookmarkStart w:id="946" w:name="_Toc116946360"/>
            <w:bookmarkStart w:id="947" w:name="_Toc98277380"/>
            <w:bookmarkStart w:id="948" w:name="_Toc37328757"/>
            <w:r>
              <w:rPr>
                <w:rFonts w:hint="eastAsia" w:ascii="宋体" w:hAnsi="宋体"/>
                <w:bCs/>
                <w:color w:val="auto"/>
                <w:sz w:val="24"/>
                <w:szCs w:val="24"/>
                <w:highlight w:val="none"/>
              </w:rPr>
              <w:t>**人员</w:t>
            </w:r>
            <w:bookmarkEnd w:id="945"/>
            <w:bookmarkEnd w:id="946"/>
            <w:bookmarkEnd w:id="947"/>
            <w:bookmarkEnd w:id="948"/>
          </w:p>
        </w:tc>
        <w:tc>
          <w:tcPr>
            <w:tcW w:w="1979" w:type="dxa"/>
          </w:tcPr>
          <w:p w14:paraId="486D4AAA">
            <w:pPr>
              <w:spacing w:line="360" w:lineRule="auto"/>
              <w:outlineLvl w:val="0"/>
              <w:rPr>
                <w:rFonts w:ascii="宋体" w:hAnsi="宋体"/>
                <w:bCs/>
                <w:color w:val="auto"/>
                <w:sz w:val="24"/>
                <w:szCs w:val="24"/>
                <w:highlight w:val="none"/>
              </w:rPr>
            </w:pPr>
          </w:p>
        </w:tc>
        <w:tc>
          <w:tcPr>
            <w:tcW w:w="1797" w:type="dxa"/>
          </w:tcPr>
          <w:p w14:paraId="23D644E2">
            <w:pPr>
              <w:spacing w:line="360" w:lineRule="auto"/>
              <w:outlineLvl w:val="0"/>
              <w:rPr>
                <w:rFonts w:ascii="宋体" w:hAnsi="宋体"/>
                <w:bCs/>
                <w:color w:val="auto"/>
                <w:sz w:val="24"/>
                <w:szCs w:val="24"/>
                <w:highlight w:val="none"/>
              </w:rPr>
            </w:pPr>
          </w:p>
        </w:tc>
        <w:tc>
          <w:tcPr>
            <w:tcW w:w="3058" w:type="dxa"/>
          </w:tcPr>
          <w:p w14:paraId="6E1D65DE">
            <w:pPr>
              <w:spacing w:line="360" w:lineRule="auto"/>
              <w:outlineLvl w:val="0"/>
              <w:rPr>
                <w:rFonts w:ascii="宋体" w:hAnsi="宋体"/>
                <w:bCs/>
                <w:color w:val="auto"/>
                <w:sz w:val="24"/>
                <w:szCs w:val="24"/>
                <w:highlight w:val="none"/>
              </w:rPr>
            </w:pPr>
          </w:p>
        </w:tc>
      </w:tr>
      <w:tr w14:paraId="0CF7B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vAlign w:val="center"/>
          </w:tcPr>
          <w:p w14:paraId="5D26B907">
            <w:pPr>
              <w:spacing w:line="360" w:lineRule="auto"/>
              <w:jc w:val="center"/>
              <w:outlineLvl w:val="0"/>
              <w:rPr>
                <w:rFonts w:ascii="宋体" w:hAnsi="宋体"/>
                <w:bCs/>
                <w:color w:val="auto"/>
                <w:sz w:val="24"/>
                <w:szCs w:val="24"/>
                <w:highlight w:val="none"/>
              </w:rPr>
            </w:pPr>
            <w:bookmarkStart w:id="949" w:name="_Toc37322909"/>
            <w:bookmarkStart w:id="950" w:name="_Toc98277381"/>
            <w:bookmarkStart w:id="951" w:name="_Toc116946361"/>
            <w:bookmarkStart w:id="952" w:name="_Toc37328758"/>
            <w:r>
              <w:rPr>
                <w:rFonts w:hint="eastAsia" w:ascii="宋体" w:hAnsi="宋体"/>
                <w:bCs/>
                <w:color w:val="auto"/>
                <w:sz w:val="24"/>
                <w:szCs w:val="24"/>
                <w:highlight w:val="none"/>
              </w:rPr>
              <w:t>**人员</w:t>
            </w:r>
            <w:bookmarkEnd w:id="949"/>
            <w:bookmarkEnd w:id="950"/>
            <w:bookmarkEnd w:id="951"/>
            <w:bookmarkEnd w:id="952"/>
          </w:p>
        </w:tc>
        <w:tc>
          <w:tcPr>
            <w:tcW w:w="1979" w:type="dxa"/>
          </w:tcPr>
          <w:p w14:paraId="31951ED4">
            <w:pPr>
              <w:spacing w:line="360" w:lineRule="auto"/>
              <w:outlineLvl w:val="0"/>
              <w:rPr>
                <w:rFonts w:ascii="宋体" w:hAnsi="宋体"/>
                <w:bCs/>
                <w:color w:val="auto"/>
                <w:sz w:val="24"/>
                <w:szCs w:val="24"/>
                <w:highlight w:val="none"/>
              </w:rPr>
            </w:pPr>
          </w:p>
        </w:tc>
        <w:tc>
          <w:tcPr>
            <w:tcW w:w="1797" w:type="dxa"/>
          </w:tcPr>
          <w:p w14:paraId="40CC8A53">
            <w:pPr>
              <w:spacing w:line="360" w:lineRule="auto"/>
              <w:outlineLvl w:val="0"/>
              <w:rPr>
                <w:rFonts w:ascii="宋体" w:hAnsi="宋体"/>
                <w:bCs/>
                <w:color w:val="auto"/>
                <w:sz w:val="24"/>
                <w:szCs w:val="24"/>
                <w:highlight w:val="none"/>
              </w:rPr>
            </w:pPr>
          </w:p>
        </w:tc>
        <w:tc>
          <w:tcPr>
            <w:tcW w:w="3058" w:type="dxa"/>
          </w:tcPr>
          <w:p w14:paraId="01E36DCB">
            <w:pPr>
              <w:spacing w:line="360" w:lineRule="auto"/>
              <w:outlineLvl w:val="0"/>
              <w:rPr>
                <w:rFonts w:ascii="宋体" w:hAnsi="宋体"/>
                <w:bCs/>
                <w:color w:val="auto"/>
                <w:sz w:val="24"/>
                <w:szCs w:val="24"/>
                <w:highlight w:val="none"/>
              </w:rPr>
            </w:pPr>
          </w:p>
        </w:tc>
      </w:tr>
      <w:tr w14:paraId="6193D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vAlign w:val="center"/>
          </w:tcPr>
          <w:p w14:paraId="173ACAAF">
            <w:pPr>
              <w:spacing w:line="360" w:lineRule="auto"/>
              <w:jc w:val="center"/>
              <w:outlineLvl w:val="0"/>
              <w:rPr>
                <w:rFonts w:ascii="宋体" w:hAnsi="宋体"/>
                <w:bCs/>
                <w:color w:val="auto"/>
                <w:sz w:val="24"/>
                <w:szCs w:val="24"/>
                <w:highlight w:val="none"/>
              </w:rPr>
            </w:pPr>
            <w:bookmarkStart w:id="953" w:name="_Toc116946362"/>
            <w:bookmarkStart w:id="954" w:name="_Toc98277382"/>
            <w:bookmarkStart w:id="955" w:name="_Toc37328759"/>
            <w:bookmarkStart w:id="956" w:name="_Toc37322910"/>
            <w:r>
              <w:rPr>
                <w:rFonts w:hint="eastAsia" w:ascii="宋体" w:hAnsi="宋体"/>
                <w:bCs/>
                <w:color w:val="auto"/>
                <w:sz w:val="24"/>
                <w:szCs w:val="24"/>
                <w:highlight w:val="none"/>
              </w:rPr>
              <w:t>……</w:t>
            </w:r>
            <w:bookmarkEnd w:id="953"/>
            <w:bookmarkEnd w:id="954"/>
            <w:bookmarkEnd w:id="955"/>
            <w:bookmarkEnd w:id="956"/>
          </w:p>
        </w:tc>
        <w:tc>
          <w:tcPr>
            <w:tcW w:w="1979" w:type="dxa"/>
          </w:tcPr>
          <w:p w14:paraId="457E636C">
            <w:pPr>
              <w:spacing w:line="360" w:lineRule="auto"/>
              <w:outlineLvl w:val="0"/>
              <w:rPr>
                <w:rFonts w:ascii="宋体" w:hAnsi="宋体"/>
                <w:bCs/>
                <w:color w:val="auto"/>
                <w:sz w:val="24"/>
                <w:szCs w:val="24"/>
                <w:highlight w:val="none"/>
              </w:rPr>
            </w:pPr>
          </w:p>
        </w:tc>
        <w:tc>
          <w:tcPr>
            <w:tcW w:w="1797" w:type="dxa"/>
          </w:tcPr>
          <w:p w14:paraId="1CB8F83F">
            <w:pPr>
              <w:spacing w:line="360" w:lineRule="auto"/>
              <w:outlineLvl w:val="0"/>
              <w:rPr>
                <w:rFonts w:ascii="宋体" w:hAnsi="宋体"/>
                <w:bCs/>
                <w:color w:val="auto"/>
                <w:sz w:val="24"/>
                <w:szCs w:val="24"/>
                <w:highlight w:val="none"/>
              </w:rPr>
            </w:pPr>
          </w:p>
        </w:tc>
        <w:tc>
          <w:tcPr>
            <w:tcW w:w="3058" w:type="dxa"/>
          </w:tcPr>
          <w:p w14:paraId="7F18481F">
            <w:pPr>
              <w:spacing w:line="360" w:lineRule="auto"/>
              <w:outlineLvl w:val="0"/>
              <w:rPr>
                <w:rFonts w:ascii="宋体" w:hAnsi="宋体"/>
                <w:bCs/>
                <w:color w:val="auto"/>
                <w:sz w:val="24"/>
                <w:szCs w:val="24"/>
                <w:highlight w:val="none"/>
              </w:rPr>
            </w:pPr>
          </w:p>
        </w:tc>
      </w:tr>
      <w:tr w14:paraId="1D750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vAlign w:val="center"/>
          </w:tcPr>
          <w:p w14:paraId="7FFE8BCC">
            <w:pPr>
              <w:spacing w:line="360" w:lineRule="auto"/>
              <w:jc w:val="center"/>
              <w:outlineLvl w:val="0"/>
              <w:rPr>
                <w:rFonts w:ascii="宋体" w:hAnsi="宋体"/>
                <w:bCs/>
                <w:color w:val="auto"/>
                <w:sz w:val="24"/>
                <w:szCs w:val="24"/>
                <w:highlight w:val="none"/>
              </w:rPr>
            </w:pPr>
          </w:p>
        </w:tc>
        <w:tc>
          <w:tcPr>
            <w:tcW w:w="1979" w:type="dxa"/>
          </w:tcPr>
          <w:p w14:paraId="6346211F">
            <w:pPr>
              <w:spacing w:line="360" w:lineRule="auto"/>
              <w:outlineLvl w:val="0"/>
              <w:rPr>
                <w:rFonts w:ascii="宋体" w:hAnsi="宋体"/>
                <w:bCs/>
                <w:color w:val="auto"/>
                <w:sz w:val="24"/>
                <w:szCs w:val="24"/>
                <w:highlight w:val="none"/>
              </w:rPr>
            </w:pPr>
          </w:p>
        </w:tc>
        <w:tc>
          <w:tcPr>
            <w:tcW w:w="1797" w:type="dxa"/>
          </w:tcPr>
          <w:p w14:paraId="14718099">
            <w:pPr>
              <w:spacing w:line="360" w:lineRule="auto"/>
              <w:outlineLvl w:val="0"/>
              <w:rPr>
                <w:rFonts w:ascii="宋体" w:hAnsi="宋体"/>
                <w:bCs/>
                <w:color w:val="auto"/>
                <w:sz w:val="24"/>
                <w:szCs w:val="24"/>
                <w:highlight w:val="none"/>
              </w:rPr>
            </w:pPr>
          </w:p>
        </w:tc>
        <w:tc>
          <w:tcPr>
            <w:tcW w:w="3058" w:type="dxa"/>
          </w:tcPr>
          <w:p w14:paraId="615F3B5B">
            <w:pPr>
              <w:spacing w:line="360" w:lineRule="auto"/>
              <w:outlineLvl w:val="0"/>
              <w:rPr>
                <w:rFonts w:ascii="宋体" w:hAnsi="宋体"/>
                <w:bCs/>
                <w:color w:val="auto"/>
                <w:sz w:val="24"/>
                <w:szCs w:val="24"/>
                <w:highlight w:val="none"/>
              </w:rPr>
            </w:pPr>
          </w:p>
        </w:tc>
      </w:tr>
      <w:tr w14:paraId="5B37E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vAlign w:val="center"/>
          </w:tcPr>
          <w:p w14:paraId="2CA9C447">
            <w:pPr>
              <w:spacing w:line="360" w:lineRule="auto"/>
              <w:jc w:val="center"/>
              <w:outlineLvl w:val="0"/>
              <w:rPr>
                <w:rFonts w:ascii="宋体" w:hAnsi="宋体"/>
                <w:bCs/>
                <w:color w:val="auto"/>
                <w:sz w:val="24"/>
                <w:szCs w:val="24"/>
                <w:highlight w:val="none"/>
              </w:rPr>
            </w:pPr>
          </w:p>
        </w:tc>
        <w:tc>
          <w:tcPr>
            <w:tcW w:w="1979" w:type="dxa"/>
          </w:tcPr>
          <w:p w14:paraId="07DB9011">
            <w:pPr>
              <w:spacing w:line="360" w:lineRule="auto"/>
              <w:outlineLvl w:val="0"/>
              <w:rPr>
                <w:rFonts w:ascii="宋体" w:hAnsi="宋体"/>
                <w:bCs/>
                <w:color w:val="auto"/>
                <w:sz w:val="24"/>
                <w:szCs w:val="24"/>
                <w:highlight w:val="none"/>
              </w:rPr>
            </w:pPr>
          </w:p>
        </w:tc>
        <w:tc>
          <w:tcPr>
            <w:tcW w:w="1797" w:type="dxa"/>
          </w:tcPr>
          <w:p w14:paraId="0D329F77">
            <w:pPr>
              <w:spacing w:line="360" w:lineRule="auto"/>
              <w:outlineLvl w:val="0"/>
              <w:rPr>
                <w:rFonts w:ascii="宋体" w:hAnsi="宋体"/>
                <w:bCs/>
                <w:color w:val="auto"/>
                <w:sz w:val="24"/>
                <w:szCs w:val="24"/>
                <w:highlight w:val="none"/>
              </w:rPr>
            </w:pPr>
          </w:p>
        </w:tc>
        <w:tc>
          <w:tcPr>
            <w:tcW w:w="3058" w:type="dxa"/>
          </w:tcPr>
          <w:p w14:paraId="6A1C500D">
            <w:pPr>
              <w:spacing w:line="360" w:lineRule="auto"/>
              <w:outlineLvl w:val="0"/>
              <w:rPr>
                <w:rFonts w:ascii="宋体" w:hAnsi="宋体"/>
                <w:bCs/>
                <w:color w:val="auto"/>
                <w:sz w:val="24"/>
                <w:szCs w:val="24"/>
                <w:highlight w:val="none"/>
              </w:rPr>
            </w:pPr>
          </w:p>
        </w:tc>
      </w:tr>
      <w:tr w14:paraId="79D60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2833" w:type="dxa"/>
            <w:vAlign w:val="center"/>
          </w:tcPr>
          <w:p w14:paraId="0AEF9CA6">
            <w:pPr>
              <w:spacing w:line="360" w:lineRule="auto"/>
              <w:jc w:val="center"/>
              <w:outlineLvl w:val="0"/>
              <w:rPr>
                <w:rFonts w:ascii="宋体" w:hAnsi="宋体"/>
                <w:bCs/>
                <w:color w:val="auto"/>
                <w:sz w:val="24"/>
                <w:szCs w:val="24"/>
                <w:highlight w:val="none"/>
              </w:rPr>
            </w:pPr>
          </w:p>
        </w:tc>
        <w:tc>
          <w:tcPr>
            <w:tcW w:w="1979" w:type="dxa"/>
          </w:tcPr>
          <w:p w14:paraId="255949E6">
            <w:pPr>
              <w:spacing w:line="360" w:lineRule="auto"/>
              <w:outlineLvl w:val="0"/>
              <w:rPr>
                <w:rFonts w:ascii="宋体" w:hAnsi="宋体"/>
                <w:bCs/>
                <w:color w:val="auto"/>
                <w:sz w:val="24"/>
                <w:szCs w:val="24"/>
                <w:highlight w:val="none"/>
              </w:rPr>
            </w:pPr>
          </w:p>
        </w:tc>
        <w:tc>
          <w:tcPr>
            <w:tcW w:w="1797" w:type="dxa"/>
          </w:tcPr>
          <w:p w14:paraId="6D74BBDE">
            <w:pPr>
              <w:spacing w:line="360" w:lineRule="auto"/>
              <w:outlineLvl w:val="0"/>
              <w:rPr>
                <w:rFonts w:ascii="宋体" w:hAnsi="宋体"/>
                <w:bCs/>
                <w:color w:val="auto"/>
                <w:sz w:val="24"/>
                <w:szCs w:val="24"/>
                <w:highlight w:val="none"/>
              </w:rPr>
            </w:pPr>
          </w:p>
        </w:tc>
        <w:tc>
          <w:tcPr>
            <w:tcW w:w="3058" w:type="dxa"/>
          </w:tcPr>
          <w:p w14:paraId="32582025">
            <w:pPr>
              <w:spacing w:line="360" w:lineRule="auto"/>
              <w:outlineLvl w:val="0"/>
              <w:rPr>
                <w:rFonts w:ascii="宋体" w:hAnsi="宋体"/>
                <w:bCs/>
                <w:color w:val="auto"/>
                <w:sz w:val="24"/>
                <w:szCs w:val="24"/>
                <w:highlight w:val="none"/>
              </w:rPr>
            </w:pPr>
          </w:p>
        </w:tc>
      </w:tr>
    </w:tbl>
    <w:p w14:paraId="22AC6BCC">
      <w:pPr>
        <w:spacing w:line="360" w:lineRule="auto"/>
        <w:rPr>
          <w:color w:val="auto"/>
          <w:highlight w:val="none"/>
        </w:rPr>
      </w:pPr>
    </w:p>
    <w:p w14:paraId="4BB029AE">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法定代表人或法定代表人授权代表签字或盖章：</w:t>
      </w:r>
    </w:p>
    <w:p w14:paraId="403BD75F">
      <w:pPr>
        <w:spacing w:line="360" w:lineRule="auto"/>
        <w:rPr>
          <w:color w:val="auto"/>
          <w:highlight w:val="none"/>
        </w:rPr>
      </w:pPr>
    </w:p>
    <w:p w14:paraId="52C22536">
      <w:pPr>
        <w:spacing w:line="360" w:lineRule="auto"/>
        <w:rPr>
          <w:color w:val="auto"/>
          <w:highlight w:val="none"/>
        </w:rPr>
      </w:pPr>
    </w:p>
    <w:p w14:paraId="7D1A7051">
      <w:pPr>
        <w:spacing w:line="360" w:lineRule="auto"/>
        <w:ind w:firstLine="470"/>
        <w:rPr>
          <w:rFonts w:ascii="宋体" w:hAnsi="宋体"/>
          <w:bCs/>
          <w:color w:val="auto"/>
          <w:sz w:val="24"/>
          <w:szCs w:val="22"/>
          <w:highlight w:val="none"/>
        </w:rPr>
      </w:pPr>
      <w:r>
        <w:rPr>
          <w:rFonts w:hint="eastAsia" w:ascii="宋体" w:hAnsi="宋体"/>
          <w:bCs/>
          <w:color w:val="auto"/>
          <w:sz w:val="24"/>
          <w:szCs w:val="22"/>
          <w:highlight w:val="none"/>
        </w:rPr>
        <w:t>注：</w:t>
      </w:r>
    </w:p>
    <w:p w14:paraId="7A53BC3F">
      <w:pPr>
        <w:spacing w:line="360" w:lineRule="auto"/>
        <w:ind w:firstLine="470"/>
        <w:rPr>
          <w:rFonts w:ascii="宋体" w:hAnsi="宋体"/>
          <w:bCs/>
          <w:color w:val="auto"/>
          <w:sz w:val="24"/>
          <w:szCs w:val="22"/>
          <w:highlight w:val="none"/>
        </w:rPr>
      </w:pPr>
      <w:r>
        <w:rPr>
          <w:rFonts w:hint="eastAsia" w:ascii="宋体" w:hAnsi="宋体"/>
          <w:bCs/>
          <w:color w:val="auto"/>
          <w:sz w:val="24"/>
          <w:szCs w:val="22"/>
          <w:highlight w:val="none"/>
        </w:rPr>
        <w:t>1.上表如需要自行延长。</w:t>
      </w:r>
    </w:p>
    <w:p w14:paraId="7969C195">
      <w:pPr>
        <w:spacing w:line="360" w:lineRule="auto"/>
        <w:rPr>
          <w:rFonts w:ascii="宋体" w:hAnsi="宋体"/>
          <w:bCs/>
          <w:color w:val="auto"/>
          <w:sz w:val="24"/>
          <w:szCs w:val="22"/>
          <w:highlight w:val="none"/>
        </w:rPr>
        <w:sectPr>
          <w:pgSz w:w="11906" w:h="16838"/>
          <w:pgMar w:top="1440" w:right="1077" w:bottom="1440" w:left="1077" w:header="624" w:footer="794" w:gutter="0"/>
          <w:pgBorders>
            <w:top w:val="none" w:sz="0" w:space="0"/>
            <w:left w:val="none" w:sz="0" w:space="0"/>
            <w:bottom w:val="none" w:sz="0" w:space="0"/>
            <w:right w:val="none" w:sz="0" w:space="0"/>
          </w:pgBorders>
          <w:pgNumType w:fmt="decimal"/>
          <w:cols w:space="720" w:num="1"/>
          <w:docGrid w:linePitch="360" w:charSpace="0"/>
        </w:sectPr>
      </w:pPr>
      <w:r>
        <w:rPr>
          <w:rFonts w:hint="eastAsia" w:ascii="宋体" w:hAnsi="宋体"/>
          <w:bCs/>
          <w:color w:val="auto"/>
          <w:sz w:val="24"/>
          <w:szCs w:val="22"/>
          <w:highlight w:val="none"/>
        </w:rPr>
        <w:t>2.上表内容须提供人员证书复印件作为填列证明材料，证明材料请附在本表之后。</w:t>
      </w:r>
    </w:p>
    <w:p w14:paraId="69346557">
      <w:pPr>
        <w:spacing w:line="360" w:lineRule="auto"/>
        <w:jc w:val="center"/>
        <w:rPr>
          <w:b/>
          <w:color w:val="auto"/>
          <w:sz w:val="28"/>
          <w:szCs w:val="28"/>
          <w:highlight w:val="none"/>
        </w:rPr>
      </w:pPr>
      <w:r>
        <w:rPr>
          <w:rFonts w:hint="eastAsia"/>
          <w:b/>
          <w:color w:val="auto"/>
          <w:sz w:val="28"/>
          <w:szCs w:val="28"/>
          <w:highlight w:val="none"/>
        </w:rPr>
        <w:t>项目负责人简历表</w:t>
      </w:r>
    </w:p>
    <w:p w14:paraId="1720EA2C">
      <w:pPr>
        <w:spacing w:line="360" w:lineRule="auto"/>
        <w:ind w:right="-170"/>
        <w:jc w:val="left"/>
        <w:rPr>
          <w:rFonts w:hint="eastAsia" w:ascii="宋体" w:hAnsi="宋体"/>
          <w:bCs/>
          <w:color w:val="auto"/>
          <w:sz w:val="24"/>
          <w:szCs w:val="24"/>
          <w:highlight w:val="none"/>
        </w:rPr>
      </w:pPr>
      <w:r>
        <w:rPr>
          <w:rFonts w:hint="eastAsia" w:ascii="宋体" w:hAnsi="宋体"/>
          <w:bCs/>
          <w:color w:val="auto"/>
          <w:sz w:val="24"/>
          <w:szCs w:val="24"/>
          <w:highlight w:val="none"/>
        </w:rPr>
        <w:t>投标供应商全称（CA公章）：</w:t>
      </w:r>
    </w:p>
    <w:p w14:paraId="1A20B052">
      <w:pPr>
        <w:spacing w:line="360" w:lineRule="auto"/>
        <w:ind w:right="-170"/>
        <w:jc w:val="left"/>
        <w:rPr>
          <w:rFonts w:ascii="宋体" w:hAnsi="宋体"/>
          <w:color w:val="auto"/>
          <w:sz w:val="24"/>
          <w:szCs w:val="24"/>
          <w:highlight w:val="none"/>
        </w:rPr>
      </w:pPr>
      <w:r>
        <w:rPr>
          <w:rFonts w:hint="eastAsia" w:ascii="宋体" w:hAnsi="宋体"/>
          <w:bCs/>
          <w:color w:val="auto"/>
          <w:sz w:val="24"/>
          <w:szCs w:val="24"/>
          <w:highlight w:val="none"/>
        </w:rPr>
        <w:t>项目名称：2026-2027年度度假区(阳山镇)机关食堂外包服务项目</w:t>
      </w:r>
      <w:r>
        <w:rPr>
          <w:rFonts w:hint="eastAsia" w:ascii="宋体" w:hAnsi="宋体"/>
          <w:color w:val="auto"/>
          <w:sz w:val="24"/>
          <w:szCs w:val="24"/>
          <w:highlight w:val="none"/>
        </w:rPr>
        <w:t xml:space="preserve"> </w:t>
      </w:r>
    </w:p>
    <w:p w14:paraId="7318FAF9">
      <w:pPr>
        <w:spacing w:line="360" w:lineRule="auto"/>
        <w:ind w:right="-170"/>
        <w:jc w:val="left"/>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采购项目编号：</w:t>
      </w:r>
      <w:r>
        <w:rPr>
          <w:rFonts w:hint="eastAsia" w:ascii="宋体" w:hAnsi="宋体"/>
          <w:bCs/>
          <w:color w:val="auto"/>
          <w:sz w:val="24"/>
          <w:szCs w:val="24"/>
          <w:highlight w:val="none"/>
          <w:lang w:eastAsia="zh-CN"/>
        </w:rPr>
        <w:t>JSZC-320206-JXCZ-G2026-0004</w:t>
      </w:r>
    </w:p>
    <w:tbl>
      <w:tblPr>
        <w:tblStyle w:val="67"/>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744"/>
        <w:gridCol w:w="1353"/>
        <w:gridCol w:w="509"/>
        <w:gridCol w:w="839"/>
        <w:gridCol w:w="554"/>
        <w:gridCol w:w="1123"/>
        <w:gridCol w:w="434"/>
        <w:gridCol w:w="644"/>
        <w:gridCol w:w="419"/>
        <w:gridCol w:w="614"/>
        <w:gridCol w:w="1571"/>
      </w:tblGrid>
      <w:tr w14:paraId="72D43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35" w:type="dxa"/>
            <w:vAlign w:val="center"/>
          </w:tcPr>
          <w:p w14:paraId="206123B6">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姓名</w:t>
            </w:r>
          </w:p>
        </w:tc>
        <w:tc>
          <w:tcPr>
            <w:tcW w:w="2610" w:type="dxa"/>
            <w:gridSpan w:val="3"/>
            <w:vAlign w:val="center"/>
          </w:tcPr>
          <w:p w14:paraId="49A3BD55">
            <w:pPr>
              <w:spacing w:line="360" w:lineRule="auto"/>
              <w:jc w:val="center"/>
              <w:rPr>
                <w:rFonts w:ascii="宋体" w:hAnsi="宋体"/>
                <w:color w:val="auto"/>
                <w:sz w:val="22"/>
                <w:szCs w:val="21"/>
                <w:highlight w:val="none"/>
              </w:rPr>
            </w:pPr>
          </w:p>
        </w:tc>
        <w:tc>
          <w:tcPr>
            <w:tcW w:w="840" w:type="dxa"/>
            <w:vAlign w:val="center"/>
          </w:tcPr>
          <w:p w14:paraId="29A332E8">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性别</w:t>
            </w:r>
          </w:p>
        </w:tc>
        <w:tc>
          <w:tcPr>
            <w:tcW w:w="1680" w:type="dxa"/>
            <w:gridSpan w:val="2"/>
            <w:vAlign w:val="center"/>
          </w:tcPr>
          <w:p w14:paraId="74E4BDA1">
            <w:pPr>
              <w:spacing w:line="360" w:lineRule="auto"/>
              <w:jc w:val="center"/>
              <w:rPr>
                <w:rFonts w:ascii="宋体" w:hAnsi="宋体"/>
                <w:color w:val="auto"/>
                <w:sz w:val="22"/>
                <w:szCs w:val="21"/>
                <w:highlight w:val="none"/>
              </w:rPr>
            </w:pPr>
          </w:p>
        </w:tc>
        <w:tc>
          <w:tcPr>
            <w:tcW w:w="1080" w:type="dxa"/>
            <w:gridSpan w:val="2"/>
            <w:vAlign w:val="center"/>
          </w:tcPr>
          <w:p w14:paraId="064BB10B">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年龄</w:t>
            </w:r>
          </w:p>
        </w:tc>
        <w:tc>
          <w:tcPr>
            <w:tcW w:w="2594" w:type="dxa"/>
            <w:gridSpan w:val="3"/>
            <w:vAlign w:val="center"/>
          </w:tcPr>
          <w:p w14:paraId="20D3A7AC">
            <w:pPr>
              <w:spacing w:line="360" w:lineRule="auto"/>
              <w:jc w:val="center"/>
              <w:rPr>
                <w:rFonts w:ascii="宋体" w:hAnsi="宋体"/>
                <w:color w:val="auto"/>
                <w:sz w:val="22"/>
                <w:szCs w:val="21"/>
                <w:highlight w:val="none"/>
              </w:rPr>
            </w:pPr>
          </w:p>
        </w:tc>
      </w:tr>
      <w:tr w14:paraId="7CE22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735" w:type="dxa"/>
            <w:vAlign w:val="center"/>
          </w:tcPr>
          <w:p w14:paraId="53973521">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职务</w:t>
            </w:r>
          </w:p>
        </w:tc>
        <w:tc>
          <w:tcPr>
            <w:tcW w:w="2610" w:type="dxa"/>
            <w:gridSpan w:val="3"/>
            <w:vAlign w:val="center"/>
          </w:tcPr>
          <w:p w14:paraId="6ADE0748">
            <w:pPr>
              <w:spacing w:line="360" w:lineRule="auto"/>
              <w:jc w:val="center"/>
              <w:rPr>
                <w:rFonts w:ascii="宋体" w:hAnsi="宋体"/>
                <w:color w:val="auto"/>
                <w:sz w:val="22"/>
                <w:szCs w:val="21"/>
                <w:highlight w:val="none"/>
              </w:rPr>
            </w:pPr>
          </w:p>
        </w:tc>
        <w:tc>
          <w:tcPr>
            <w:tcW w:w="840" w:type="dxa"/>
            <w:vAlign w:val="center"/>
          </w:tcPr>
          <w:p w14:paraId="62CA3C41">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职称</w:t>
            </w:r>
          </w:p>
        </w:tc>
        <w:tc>
          <w:tcPr>
            <w:tcW w:w="1680" w:type="dxa"/>
            <w:gridSpan w:val="2"/>
            <w:vAlign w:val="center"/>
          </w:tcPr>
          <w:p w14:paraId="0376876C">
            <w:pPr>
              <w:spacing w:line="360" w:lineRule="auto"/>
              <w:jc w:val="center"/>
              <w:rPr>
                <w:rFonts w:ascii="宋体" w:hAnsi="宋体"/>
                <w:color w:val="auto"/>
                <w:sz w:val="22"/>
                <w:szCs w:val="21"/>
                <w:highlight w:val="none"/>
              </w:rPr>
            </w:pPr>
          </w:p>
        </w:tc>
        <w:tc>
          <w:tcPr>
            <w:tcW w:w="1080" w:type="dxa"/>
            <w:gridSpan w:val="2"/>
            <w:vAlign w:val="center"/>
          </w:tcPr>
          <w:p w14:paraId="7535ECBC">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学历</w:t>
            </w:r>
          </w:p>
        </w:tc>
        <w:tc>
          <w:tcPr>
            <w:tcW w:w="2594" w:type="dxa"/>
            <w:gridSpan w:val="3"/>
            <w:vAlign w:val="center"/>
          </w:tcPr>
          <w:p w14:paraId="30C7D279">
            <w:pPr>
              <w:spacing w:line="360" w:lineRule="auto"/>
              <w:jc w:val="center"/>
              <w:rPr>
                <w:rFonts w:ascii="宋体" w:hAnsi="宋体"/>
                <w:color w:val="auto"/>
                <w:sz w:val="22"/>
                <w:szCs w:val="21"/>
                <w:highlight w:val="none"/>
              </w:rPr>
            </w:pPr>
          </w:p>
        </w:tc>
      </w:tr>
      <w:tr w14:paraId="15525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835" w:type="dxa"/>
            <w:gridSpan w:val="3"/>
            <w:vAlign w:val="center"/>
          </w:tcPr>
          <w:p w14:paraId="0C15DD65">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证书号</w:t>
            </w:r>
          </w:p>
        </w:tc>
        <w:tc>
          <w:tcPr>
            <w:tcW w:w="1890" w:type="dxa"/>
            <w:gridSpan w:val="3"/>
            <w:vAlign w:val="center"/>
          </w:tcPr>
          <w:p w14:paraId="3DDB1461">
            <w:pPr>
              <w:spacing w:line="360" w:lineRule="auto"/>
              <w:jc w:val="center"/>
              <w:rPr>
                <w:rFonts w:ascii="宋体" w:hAnsi="宋体"/>
                <w:color w:val="auto"/>
                <w:sz w:val="22"/>
                <w:szCs w:val="21"/>
                <w:highlight w:val="none"/>
              </w:rPr>
            </w:pPr>
          </w:p>
        </w:tc>
        <w:tc>
          <w:tcPr>
            <w:tcW w:w="2625" w:type="dxa"/>
            <w:gridSpan w:val="4"/>
            <w:vAlign w:val="center"/>
          </w:tcPr>
          <w:p w14:paraId="18A998EB">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身份证号</w:t>
            </w:r>
          </w:p>
        </w:tc>
        <w:tc>
          <w:tcPr>
            <w:tcW w:w="2189" w:type="dxa"/>
            <w:gridSpan w:val="2"/>
            <w:vAlign w:val="center"/>
          </w:tcPr>
          <w:p w14:paraId="3D5C3461">
            <w:pPr>
              <w:spacing w:line="360" w:lineRule="auto"/>
              <w:jc w:val="center"/>
              <w:rPr>
                <w:rFonts w:ascii="宋体" w:hAnsi="宋体"/>
                <w:color w:val="auto"/>
                <w:sz w:val="22"/>
                <w:szCs w:val="21"/>
                <w:highlight w:val="none"/>
              </w:rPr>
            </w:pPr>
          </w:p>
        </w:tc>
      </w:tr>
      <w:tr w14:paraId="7936E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835" w:type="dxa"/>
            <w:gridSpan w:val="3"/>
            <w:vAlign w:val="center"/>
          </w:tcPr>
          <w:p w14:paraId="1229E8AC">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参加工作时间</w:t>
            </w:r>
          </w:p>
        </w:tc>
        <w:tc>
          <w:tcPr>
            <w:tcW w:w="6704" w:type="dxa"/>
            <w:gridSpan w:val="9"/>
            <w:vAlign w:val="center"/>
          </w:tcPr>
          <w:p w14:paraId="6CCFC149">
            <w:pPr>
              <w:spacing w:line="360" w:lineRule="auto"/>
              <w:jc w:val="center"/>
              <w:rPr>
                <w:rFonts w:ascii="宋体" w:hAnsi="宋体"/>
                <w:color w:val="auto"/>
                <w:sz w:val="22"/>
                <w:szCs w:val="21"/>
                <w:highlight w:val="none"/>
              </w:rPr>
            </w:pPr>
          </w:p>
        </w:tc>
      </w:tr>
      <w:tr w14:paraId="0DDA4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539" w:type="dxa"/>
            <w:gridSpan w:val="12"/>
            <w:vAlign w:val="center"/>
          </w:tcPr>
          <w:p w14:paraId="4B36BC15">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类似项目情况</w:t>
            </w:r>
          </w:p>
        </w:tc>
      </w:tr>
      <w:tr w14:paraId="42365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80" w:type="dxa"/>
            <w:gridSpan w:val="2"/>
            <w:vAlign w:val="center"/>
          </w:tcPr>
          <w:p w14:paraId="095D59FA">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业主</w:t>
            </w:r>
          </w:p>
        </w:tc>
        <w:tc>
          <w:tcPr>
            <w:tcW w:w="3260" w:type="dxa"/>
            <w:gridSpan w:val="4"/>
            <w:vAlign w:val="center"/>
          </w:tcPr>
          <w:p w14:paraId="5D518DAE">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项目名称</w:t>
            </w:r>
          </w:p>
        </w:tc>
        <w:tc>
          <w:tcPr>
            <w:tcW w:w="1560" w:type="dxa"/>
            <w:gridSpan w:val="2"/>
            <w:vAlign w:val="center"/>
          </w:tcPr>
          <w:p w14:paraId="1CB53F74">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合同金额</w:t>
            </w:r>
          </w:p>
        </w:tc>
        <w:tc>
          <w:tcPr>
            <w:tcW w:w="1680" w:type="dxa"/>
            <w:gridSpan w:val="3"/>
            <w:vAlign w:val="center"/>
          </w:tcPr>
          <w:p w14:paraId="7050068D">
            <w:pPr>
              <w:spacing w:line="360" w:lineRule="auto"/>
              <w:jc w:val="center"/>
              <w:rPr>
                <w:rFonts w:ascii="宋体" w:hAnsi="宋体"/>
                <w:color w:val="auto"/>
                <w:sz w:val="22"/>
                <w:szCs w:val="21"/>
                <w:highlight w:val="none"/>
              </w:rPr>
            </w:pPr>
            <w:r>
              <w:rPr>
                <w:rFonts w:hint="eastAsia" w:ascii="宋体" w:hAnsi="宋体"/>
                <w:color w:val="auto"/>
                <w:sz w:val="22"/>
                <w:szCs w:val="21"/>
                <w:highlight w:val="none"/>
              </w:rPr>
              <w:t>完成时间</w:t>
            </w:r>
          </w:p>
        </w:tc>
        <w:tc>
          <w:tcPr>
            <w:tcW w:w="1559" w:type="dxa"/>
            <w:vAlign w:val="center"/>
          </w:tcPr>
          <w:p w14:paraId="49183F04">
            <w:pPr>
              <w:spacing w:line="360" w:lineRule="auto"/>
              <w:ind w:firstLine="220"/>
              <w:jc w:val="center"/>
              <w:rPr>
                <w:rFonts w:ascii="宋体" w:hAnsi="宋体"/>
                <w:color w:val="auto"/>
                <w:sz w:val="22"/>
                <w:szCs w:val="21"/>
                <w:highlight w:val="none"/>
              </w:rPr>
            </w:pPr>
            <w:r>
              <w:rPr>
                <w:rFonts w:hint="eastAsia" w:ascii="宋体" w:hAnsi="宋体"/>
                <w:color w:val="auto"/>
                <w:sz w:val="22"/>
                <w:szCs w:val="21"/>
                <w:highlight w:val="none"/>
              </w:rPr>
              <w:t>备注</w:t>
            </w:r>
          </w:p>
        </w:tc>
      </w:tr>
      <w:tr w14:paraId="51FAD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80" w:type="dxa"/>
            <w:gridSpan w:val="2"/>
            <w:vAlign w:val="center"/>
          </w:tcPr>
          <w:p w14:paraId="39A4CC67">
            <w:pPr>
              <w:spacing w:line="360" w:lineRule="auto"/>
              <w:jc w:val="center"/>
              <w:rPr>
                <w:rFonts w:ascii="宋体" w:hAnsi="宋体"/>
                <w:color w:val="auto"/>
                <w:sz w:val="22"/>
                <w:szCs w:val="21"/>
                <w:highlight w:val="none"/>
              </w:rPr>
            </w:pPr>
          </w:p>
        </w:tc>
        <w:tc>
          <w:tcPr>
            <w:tcW w:w="3260" w:type="dxa"/>
            <w:gridSpan w:val="4"/>
            <w:vAlign w:val="center"/>
          </w:tcPr>
          <w:p w14:paraId="02425454">
            <w:pPr>
              <w:spacing w:line="360" w:lineRule="auto"/>
              <w:jc w:val="center"/>
              <w:rPr>
                <w:rFonts w:ascii="宋体" w:hAnsi="宋体"/>
                <w:color w:val="auto"/>
                <w:sz w:val="22"/>
                <w:szCs w:val="21"/>
                <w:highlight w:val="none"/>
              </w:rPr>
            </w:pPr>
          </w:p>
        </w:tc>
        <w:tc>
          <w:tcPr>
            <w:tcW w:w="1560" w:type="dxa"/>
            <w:gridSpan w:val="2"/>
            <w:vAlign w:val="center"/>
          </w:tcPr>
          <w:p w14:paraId="45A9C3E0">
            <w:pPr>
              <w:spacing w:line="360" w:lineRule="auto"/>
              <w:jc w:val="center"/>
              <w:rPr>
                <w:rFonts w:ascii="宋体" w:hAnsi="宋体"/>
                <w:color w:val="auto"/>
                <w:sz w:val="22"/>
                <w:szCs w:val="21"/>
                <w:highlight w:val="none"/>
              </w:rPr>
            </w:pPr>
          </w:p>
        </w:tc>
        <w:tc>
          <w:tcPr>
            <w:tcW w:w="1680" w:type="dxa"/>
            <w:gridSpan w:val="3"/>
            <w:vAlign w:val="center"/>
          </w:tcPr>
          <w:p w14:paraId="1CCC4C69">
            <w:pPr>
              <w:spacing w:line="360" w:lineRule="auto"/>
              <w:jc w:val="center"/>
              <w:rPr>
                <w:rFonts w:ascii="宋体" w:hAnsi="宋体"/>
                <w:color w:val="auto"/>
                <w:sz w:val="22"/>
                <w:szCs w:val="21"/>
                <w:highlight w:val="none"/>
              </w:rPr>
            </w:pPr>
          </w:p>
        </w:tc>
        <w:tc>
          <w:tcPr>
            <w:tcW w:w="1559" w:type="dxa"/>
            <w:vAlign w:val="center"/>
          </w:tcPr>
          <w:p w14:paraId="649C0F11">
            <w:pPr>
              <w:spacing w:line="360" w:lineRule="auto"/>
              <w:jc w:val="center"/>
              <w:rPr>
                <w:rFonts w:ascii="宋体" w:hAnsi="宋体"/>
                <w:color w:val="auto"/>
                <w:sz w:val="22"/>
                <w:szCs w:val="21"/>
                <w:highlight w:val="none"/>
              </w:rPr>
            </w:pPr>
          </w:p>
        </w:tc>
      </w:tr>
      <w:tr w14:paraId="05A44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80" w:type="dxa"/>
            <w:gridSpan w:val="2"/>
            <w:vAlign w:val="center"/>
          </w:tcPr>
          <w:p w14:paraId="203616B0">
            <w:pPr>
              <w:spacing w:line="360" w:lineRule="auto"/>
              <w:jc w:val="center"/>
              <w:rPr>
                <w:rFonts w:ascii="宋体" w:hAnsi="宋体"/>
                <w:color w:val="auto"/>
                <w:sz w:val="22"/>
                <w:szCs w:val="21"/>
                <w:highlight w:val="none"/>
              </w:rPr>
            </w:pPr>
          </w:p>
        </w:tc>
        <w:tc>
          <w:tcPr>
            <w:tcW w:w="3260" w:type="dxa"/>
            <w:gridSpan w:val="4"/>
            <w:vAlign w:val="center"/>
          </w:tcPr>
          <w:p w14:paraId="56111708">
            <w:pPr>
              <w:spacing w:line="360" w:lineRule="auto"/>
              <w:jc w:val="center"/>
              <w:rPr>
                <w:rFonts w:ascii="宋体" w:hAnsi="宋体"/>
                <w:color w:val="auto"/>
                <w:sz w:val="22"/>
                <w:szCs w:val="21"/>
                <w:highlight w:val="none"/>
              </w:rPr>
            </w:pPr>
          </w:p>
        </w:tc>
        <w:tc>
          <w:tcPr>
            <w:tcW w:w="1560" w:type="dxa"/>
            <w:gridSpan w:val="2"/>
            <w:vAlign w:val="center"/>
          </w:tcPr>
          <w:p w14:paraId="68AD777A">
            <w:pPr>
              <w:spacing w:line="360" w:lineRule="auto"/>
              <w:jc w:val="center"/>
              <w:rPr>
                <w:rFonts w:ascii="宋体" w:hAnsi="宋体"/>
                <w:color w:val="auto"/>
                <w:sz w:val="22"/>
                <w:szCs w:val="21"/>
                <w:highlight w:val="none"/>
              </w:rPr>
            </w:pPr>
          </w:p>
        </w:tc>
        <w:tc>
          <w:tcPr>
            <w:tcW w:w="1680" w:type="dxa"/>
            <w:gridSpan w:val="3"/>
            <w:vAlign w:val="center"/>
          </w:tcPr>
          <w:p w14:paraId="61CD80E6">
            <w:pPr>
              <w:spacing w:line="360" w:lineRule="auto"/>
              <w:jc w:val="center"/>
              <w:rPr>
                <w:rFonts w:ascii="宋体" w:hAnsi="宋体"/>
                <w:color w:val="auto"/>
                <w:sz w:val="22"/>
                <w:szCs w:val="21"/>
                <w:highlight w:val="none"/>
              </w:rPr>
            </w:pPr>
          </w:p>
        </w:tc>
        <w:tc>
          <w:tcPr>
            <w:tcW w:w="1559" w:type="dxa"/>
            <w:vAlign w:val="center"/>
          </w:tcPr>
          <w:p w14:paraId="23D6E1E1">
            <w:pPr>
              <w:spacing w:line="360" w:lineRule="auto"/>
              <w:jc w:val="center"/>
              <w:rPr>
                <w:rFonts w:ascii="宋体" w:hAnsi="宋体"/>
                <w:color w:val="auto"/>
                <w:sz w:val="22"/>
                <w:szCs w:val="21"/>
                <w:highlight w:val="none"/>
              </w:rPr>
            </w:pPr>
          </w:p>
        </w:tc>
      </w:tr>
    </w:tbl>
    <w:p w14:paraId="09F48620">
      <w:pPr>
        <w:spacing w:line="360" w:lineRule="auto"/>
        <w:jc w:val="center"/>
        <w:rPr>
          <w:b/>
          <w:color w:val="auto"/>
          <w:sz w:val="28"/>
          <w:szCs w:val="28"/>
          <w:highlight w:val="none"/>
        </w:rPr>
      </w:pPr>
    </w:p>
    <w:p w14:paraId="04CA272F">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法定代表人或法定代表人授权代表签字或盖章：</w:t>
      </w:r>
    </w:p>
    <w:p w14:paraId="5A4DFA55">
      <w:pPr>
        <w:spacing w:line="360" w:lineRule="auto"/>
        <w:rPr>
          <w:color w:val="auto"/>
          <w:highlight w:val="none"/>
        </w:rPr>
      </w:pPr>
    </w:p>
    <w:p w14:paraId="7C897AEC">
      <w:pPr>
        <w:spacing w:line="360" w:lineRule="auto"/>
        <w:rPr>
          <w:color w:val="auto"/>
          <w:highlight w:val="none"/>
        </w:rPr>
      </w:pPr>
    </w:p>
    <w:p w14:paraId="413DAD17">
      <w:pPr>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注：</w:t>
      </w:r>
    </w:p>
    <w:p w14:paraId="762620D8">
      <w:pPr>
        <w:spacing w:line="360" w:lineRule="auto"/>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1.上表如需要自行延长。</w:t>
      </w:r>
    </w:p>
    <w:p w14:paraId="2FC70857">
      <w:pPr>
        <w:pStyle w:val="79"/>
        <w:ind w:left="0"/>
        <w:rPr>
          <w:color w:val="auto"/>
          <w:highlight w:val="none"/>
        </w:rPr>
        <w:sectPr>
          <w:pgSz w:w="11906" w:h="16838"/>
          <w:pgMar w:top="1440" w:right="1077" w:bottom="1440" w:left="1077" w:header="624" w:footer="794" w:gutter="0"/>
          <w:pgBorders>
            <w:top w:val="none" w:sz="0" w:space="0"/>
            <w:left w:val="none" w:sz="0" w:space="0"/>
            <w:bottom w:val="none" w:sz="0" w:space="0"/>
            <w:right w:val="none" w:sz="0" w:space="0"/>
          </w:pgBorders>
          <w:pgNumType w:fmt="decimal"/>
          <w:cols w:space="720" w:num="1"/>
          <w:docGrid w:linePitch="360" w:charSpace="0"/>
        </w:sectPr>
      </w:pPr>
      <w:r>
        <w:rPr>
          <w:rFonts w:hint="eastAsia" w:asciiTheme="minorEastAsia" w:hAnsiTheme="minorEastAsia" w:eastAsiaTheme="minorEastAsia"/>
          <w:bCs/>
          <w:color w:val="auto"/>
          <w:sz w:val="24"/>
          <w:szCs w:val="22"/>
          <w:highlight w:val="none"/>
        </w:rPr>
        <w:t>2</w:t>
      </w:r>
      <w:r>
        <w:rPr>
          <w:rFonts w:asciiTheme="minorEastAsia" w:hAnsiTheme="minorEastAsia" w:eastAsiaTheme="minorEastAsia"/>
          <w:bCs/>
          <w:color w:val="auto"/>
          <w:sz w:val="24"/>
          <w:szCs w:val="22"/>
          <w:highlight w:val="none"/>
        </w:rPr>
        <w:t>.</w:t>
      </w:r>
      <w:r>
        <w:rPr>
          <w:rFonts w:hint="eastAsia" w:asciiTheme="minorEastAsia" w:hAnsiTheme="minorEastAsia" w:eastAsiaTheme="minorEastAsia"/>
          <w:bCs/>
          <w:color w:val="auto"/>
          <w:sz w:val="24"/>
          <w:szCs w:val="22"/>
          <w:highlight w:val="none"/>
        </w:rPr>
        <w:t>上表内容须提供人员身份证及证书复印件作为填列证明材料，证明材料请附在本表之后。</w:t>
      </w:r>
    </w:p>
    <w:p w14:paraId="0197AD7A">
      <w:pPr>
        <w:pageBreakBefore/>
        <w:spacing w:line="360" w:lineRule="auto"/>
        <w:jc w:val="left"/>
        <w:outlineLvl w:val="0"/>
        <w:rPr>
          <w:rFonts w:ascii="宋体" w:hAnsi="宋体"/>
          <w:bCs/>
          <w:color w:val="auto"/>
          <w:sz w:val="24"/>
          <w:szCs w:val="24"/>
          <w:highlight w:val="none"/>
        </w:rPr>
      </w:pPr>
      <w:bookmarkStart w:id="957" w:name="_Toc98277386"/>
      <w:bookmarkStart w:id="958" w:name="_Toc116946365"/>
      <w:r>
        <w:rPr>
          <w:rFonts w:hint="eastAsia" w:ascii="宋体" w:hAnsi="宋体"/>
          <w:bCs/>
          <w:color w:val="auto"/>
          <w:sz w:val="24"/>
          <w:szCs w:val="24"/>
          <w:highlight w:val="none"/>
        </w:rPr>
        <w:t>（十）</w:t>
      </w:r>
      <w:r>
        <w:rPr>
          <w:rFonts w:ascii="宋体" w:hAnsi="宋体"/>
          <w:bCs/>
          <w:color w:val="auto"/>
          <w:sz w:val="24"/>
          <w:szCs w:val="24"/>
          <w:highlight w:val="none"/>
        </w:rPr>
        <w:t>参加政府采购活动前3年内在经营活动中没有重大违法记录的书面声明</w:t>
      </w:r>
      <w:r>
        <w:rPr>
          <w:rFonts w:hint="eastAsia" w:ascii="宋体" w:hAnsi="宋体"/>
          <w:bCs/>
          <w:color w:val="auto"/>
          <w:sz w:val="24"/>
          <w:szCs w:val="24"/>
          <w:highlight w:val="none"/>
        </w:rPr>
        <w:t>（格式）</w:t>
      </w:r>
      <w:bookmarkEnd w:id="944"/>
      <w:bookmarkEnd w:id="957"/>
      <w:bookmarkEnd w:id="958"/>
    </w:p>
    <w:p w14:paraId="32E6D9D1">
      <w:pPr>
        <w:spacing w:line="360" w:lineRule="auto"/>
        <w:rPr>
          <w:b/>
          <w:bCs/>
          <w:color w:val="auto"/>
          <w:sz w:val="44"/>
          <w:szCs w:val="44"/>
          <w:highlight w:val="none"/>
        </w:rPr>
      </w:pPr>
      <w:r>
        <w:rPr>
          <w:b/>
          <w:bCs/>
          <w:color w:val="auto"/>
          <w:sz w:val="44"/>
          <w:szCs w:val="44"/>
          <w:highlight w:val="none"/>
        </w:rPr>
        <w:t xml:space="preserve">                </w:t>
      </w:r>
    </w:p>
    <w:p w14:paraId="5D3EFF1E">
      <w:pPr>
        <w:spacing w:line="360" w:lineRule="auto"/>
        <w:jc w:val="center"/>
        <w:rPr>
          <w:b/>
          <w:bCs/>
          <w:color w:val="auto"/>
          <w:sz w:val="44"/>
          <w:szCs w:val="44"/>
          <w:highlight w:val="none"/>
        </w:rPr>
      </w:pPr>
      <w:r>
        <w:rPr>
          <w:b/>
          <w:bCs/>
          <w:color w:val="auto"/>
          <w:sz w:val="44"/>
          <w:szCs w:val="44"/>
          <w:highlight w:val="none"/>
        </w:rPr>
        <w:t>声  明</w:t>
      </w:r>
    </w:p>
    <w:p w14:paraId="54CDFF38">
      <w:pPr>
        <w:spacing w:line="360" w:lineRule="auto"/>
        <w:rPr>
          <w:b/>
          <w:bCs/>
          <w:color w:val="auto"/>
          <w:sz w:val="24"/>
          <w:szCs w:val="22"/>
          <w:highlight w:val="none"/>
        </w:rPr>
      </w:pPr>
      <w:r>
        <w:rPr>
          <w:b/>
          <w:bCs/>
          <w:color w:val="auto"/>
          <w:sz w:val="24"/>
          <w:szCs w:val="22"/>
          <w:highlight w:val="none"/>
        </w:rPr>
        <w:t xml:space="preserve">    </w:t>
      </w:r>
    </w:p>
    <w:p w14:paraId="7DC4FD47">
      <w:pPr>
        <w:spacing w:line="360" w:lineRule="auto"/>
        <w:ind w:firstLine="470"/>
        <w:rPr>
          <w:bCs/>
          <w:color w:val="auto"/>
          <w:sz w:val="24"/>
          <w:szCs w:val="22"/>
          <w:highlight w:val="none"/>
        </w:rPr>
      </w:pPr>
      <w:r>
        <w:rPr>
          <w:bCs/>
          <w:color w:val="auto"/>
          <w:sz w:val="24"/>
          <w:szCs w:val="22"/>
          <w:highlight w:val="none"/>
        </w:rPr>
        <w:t>我单位郑重声明：参加本次政府采购活动前3年内，我单位在经营活动中没有因违法经营受到刑事处罚或者责令停产停业、吊销许可证或者执照、较大数额罚款等行政处罚。</w:t>
      </w:r>
    </w:p>
    <w:p w14:paraId="09358941">
      <w:pPr>
        <w:spacing w:line="360" w:lineRule="auto"/>
        <w:ind w:firstLine="420"/>
        <w:rPr>
          <w:bCs/>
          <w:color w:val="auto"/>
          <w:sz w:val="24"/>
          <w:szCs w:val="21"/>
          <w:highlight w:val="none"/>
        </w:rPr>
      </w:pPr>
    </w:p>
    <w:p w14:paraId="65DF2AD9">
      <w:pPr>
        <w:spacing w:line="360" w:lineRule="auto"/>
        <w:rPr>
          <w:bCs/>
          <w:color w:val="auto"/>
          <w:sz w:val="24"/>
          <w:szCs w:val="22"/>
          <w:highlight w:val="none"/>
        </w:rPr>
      </w:pPr>
    </w:p>
    <w:p w14:paraId="3D7BB56D">
      <w:pPr>
        <w:spacing w:line="360" w:lineRule="auto"/>
        <w:ind w:firstLine="3600"/>
        <w:rPr>
          <w:color w:val="auto"/>
          <w:sz w:val="24"/>
          <w:szCs w:val="28"/>
          <w:highlight w:val="none"/>
        </w:rPr>
      </w:pPr>
      <w:r>
        <w:rPr>
          <w:color w:val="auto"/>
          <w:sz w:val="24"/>
          <w:szCs w:val="28"/>
          <w:highlight w:val="none"/>
        </w:rPr>
        <w:t>单位名称（公章）：</w:t>
      </w:r>
      <w:r>
        <w:rPr>
          <w:color w:val="auto"/>
          <w:sz w:val="24"/>
          <w:szCs w:val="28"/>
          <w:highlight w:val="none"/>
          <w:u w:val="single"/>
        </w:rPr>
        <w:t xml:space="preserve">                            </w:t>
      </w:r>
    </w:p>
    <w:p w14:paraId="4DEBF455">
      <w:pPr>
        <w:spacing w:line="360" w:lineRule="auto"/>
        <w:ind w:firstLine="3600"/>
        <w:rPr>
          <w:color w:val="auto"/>
          <w:sz w:val="24"/>
          <w:szCs w:val="28"/>
          <w:highlight w:val="none"/>
        </w:rPr>
      </w:pPr>
      <w:r>
        <w:rPr>
          <w:color w:val="auto"/>
          <w:sz w:val="24"/>
          <w:szCs w:val="28"/>
          <w:highlight w:val="none"/>
        </w:rPr>
        <w:t>法定代表人（签名或盖章）：</w:t>
      </w:r>
      <w:r>
        <w:rPr>
          <w:color w:val="auto"/>
          <w:sz w:val="24"/>
          <w:szCs w:val="28"/>
          <w:highlight w:val="none"/>
          <w:u w:val="single"/>
        </w:rPr>
        <w:t xml:space="preserve">                    </w:t>
      </w:r>
    </w:p>
    <w:p w14:paraId="700943A2">
      <w:pPr>
        <w:spacing w:line="360" w:lineRule="auto"/>
        <w:jc w:val="right"/>
        <w:rPr>
          <w:color w:val="auto"/>
          <w:sz w:val="24"/>
          <w:szCs w:val="28"/>
          <w:highlight w:val="none"/>
          <w:u w:val="single"/>
        </w:rPr>
      </w:pPr>
      <w:r>
        <w:rPr>
          <w:color w:val="auto"/>
          <w:sz w:val="24"/>
          <w:szCs w:val="28"/>
          <w:highlight w:val="none"/>
          <w:u w:val="single"/>
        </w:rPr>
        <w:t xml:space="preserve">      </w:t>
      </w:r>
      <w:r>
        <w:rPr>
          <w:color w:val="auto"/>
          <w:sz w:val="24"/>
          <w:szCs w:val="28"/>
          <w:highlight w:val="none"/>
        </w:rPr>
        <w:t>年</w:t>
      </w:r>
      <w:r>
        <w:rPr>
          <w:color w:val="auto"/>
          <w:sz w:val="24"/>
          <w:szCs w:val="28"/>
          <w:highlight w:val="none"/>
          <w:u w:val="single"/>
        </w:rPr>
        <w:t xml:space="preserve">    </w:t>
      </w:r>
      <w:r>
        <w:rPr>
          <w:color w:val="auto"/>
          <w:sz w:val="24"/>
          <w:szCs w:val="28"/>
          <w:highlight w:val="none"/>
        </w:rPr>
        <w:t>月</w:t>
      </w:r>
      <w:r>
        <w:rPr>
          <w:color w:val="auto"/>
          <w:sz w:val="24"/>
          <w:szCs w:val="28"/>
          <w:highlight w:val="none"/>
          <w:u w:val="single"/>
        </w:rPr>
        <w:t xml:space="preserve">    </w:t>
      </w:r>
      <w:r>
        <w:rPr>
          <w:color w:val="auto"/>
          <w:sz w:val="24"/>
          <w:szCs w:val="28"/>
          <w:highlight w:val="none"/>
        </w:rPr>
        <w:t>日</w:t>
      </w:r>
    </w:p>
    <w:p w14:paraId="2E748721">
      <w:pPr>
        <w:spacing w:line="360" w:lineRule="auto"/>
        <w:rPr>
          <w:color w:val="auto"/>
          <w:sz w:val="24"/>
          <w:szCs w:val="28"/>
          <w:highlight w:val="none"/>
        </w:rPr>
      </w:pPr>
    </w:p>
    <w:p w14:paraId="4770B868">
      <w:pPr>
        <w:spacing w:line="360" w:lineRule="auto"/>
        <w:rPr>
          <w:color w:val="auto"/>
          <w:sz w:val="24"/>
          <w:szCs w:val="28"/>
          <w:highlight w:val="none"/>
        </w:rPr>
      </w:pPr>
    </w:p>
    <w:p w14:paraId="4A5F4932">
      <w:pPr>
        <w:spacing w:line="360" w:lineRule="auto"/>
        <w:rPr>
          <w:color w:val="auto"/>
          <w:sz w:val="24"/>
          <w:szCs w:val="28"/>
          <w:highlight w:val="none"/>
        </w:rPr>
      </w:pPr>
    </w:p>
    <w:p w14:paraId="4487CDB8">
      <w:pPr>
        <w:spacing w:line="360" w:lineRule="auto"/>
        <w:rPr>
          <w:color w:val="auto"/>
          <w:sz w:val="24"/>
          <w:szCs w:val="28"/>
          <w:highlight w:val="none"/>
        </w:rPr>
      </w:pPr>
    </w:p>
    <w:p w14:paraId="28EBDB6B">
      <w:pPr>
        <w:spacing w:line="360" w:lineRule="auto"/>
        <w:rPr>
          <w:color w:val="auto"/>
          <w:sz w:val="24"/>
          <w:szCs w:val="28"/>
          <w:highlight w:val="none"/>
        </w:rPr>
      </w:pPr>
    </w:p>
    <w:p w14:paraId="7B4D6DF6">
      <w:pPr>
        <w:spacing w:line="360" w:lineRule="auto"/>
        <w:rPr>
          <w:color w:val="auto"/>
          <w:sz w:val="24"/>
          <w:szCs w:val="28"/>
          <w:highlight w:val="none"/>
        </w:rPr>
      </w:pPr>
    </w:p>
    <w:p w14:paraId="64806B41">
      <w:pPr>
        <w:tabs>
          <w:tab w:val="left" w:pos="0"/>
        </w:tabs>
        <w:spacing w:line="360" w:lineRule="auto"/>
        <w:rPr>
          <w:bCs/>
          <w:color w:val="auto"/>
          <w:sz w:val="24"/>
          <w:szCs w:val="28"/>
          <w:highlight w:val="none"/>
        </w:rPr>
      </w:pPr>
      <w:r>
        <w:rPr>
          <w:rFonts w:hint="eastAsia"/>
          <w:bCs/>
          <w:color w:val="auto"/>
          <w:sz w:val="24"/>
          <w:szCs w:val="22"/>
          <w:highlight w:val="none"/>
        </w:rPr>
        <w:t xml:space="preserve"> </w:t>
      </w:r>
    </w:p>
    <w:p w14:paraId="2D9F843E">
      <w:pPr>
        <w:tabs>
          <w:tab w:val="left" w:pos="0"/>
        </w:tabs>
        <w:spacing w:line="360" w:lineRule="auto"/>
        <w:rPr>
          <w:bCs/>
          <w:color w:val="auto"/>
          <w:sz w:val="24"/>
          <w:szCs w:val="28"/>
          <w:highlight w:val="none"/>
        </w:rPr>
      </w:pPr>
    </w:p>
    <w:p w14:paraId="5BA0FA04">
      <w:pPr>
        <w:tabs>
          <w:tab w:val="left" w:pos="0"/>
        </w:tabs>
        <w:spacing w:line="360" w:lineRule="auto"/>
        <w:rPr>
          <w:bCs/>
          <w:color w:val="auto"/>
          <w:sz w:val="24"/>
          <w:szCs w:val="28"/>
          <w:highlight w:val="none"/>
        </w:rPr>
      </w:pPr>
    </w:p>
    <w:p w14:paraId="49A44DD5">
      <w:pPr>
        <w:spacing w:line="360" w:lineRule="auto"/>
        <w:jc w:val="right"/>
        <w:rPr>
          <w:rFonts w:ascii="宋体" w:hAnsi="宋体"/>
          <w:bCs/>
          <w:color w:val="auto"/>
          <w:sz w:val="24"/>
          <w:szCs w:val="24"/>
          <w:highlight w:val="none"/>
        </w:rPr>
      </w:pPr>
      <w:r>
        <w:rPr>
          <w:color w:val="auto"/>
          <w:sz w:val="24"/>
          <w:szCs w:val="28"/>
          <w:highlight w:val="none"/>
        </w:rPr>
        <w:br w:type="page" w:clear="all"/>
      </w:r>
    </w:p>
    <w:p w14:paraId="3F4AD12D">
      <w:pPr>
        <w:pageBreakBefore/>
        <w:spacing w:line="360" w:lineRule="auto"/>
        <w:jc w:val="left"/>
        <w:outlineLvl w:val="0"/>
        <w:rPr>
          <w:rFonts w:ascii="宋体" w:hAnsi="宋体"/>
          <w:bCs/>
          <w:color w:val="auto"/>
          <w:sz w:val="24"/>
          <w:szCs w:val="24"/>
          <w:highlight w:val="none"/>
        </w:rPr>
      </w:pPr>
      <w:bookmarkStart w:id="959" w:name="_Toc116946366"/>
      <w:bookmarkStart w:id="960" w:name="_Toc36830602"/>
      <w:bookmarkStart w:id="961" w:name="_Toc98277387"/>
      <w:r>
        <w:rPr>
          <w:rFonts w:hint="eastAsia" w:ascii="宋体" w:hAnsi="宋体"/>
          <w:bCs/>
          <w:color w:val="auto"/>
          <w:sz w:val="24"/>
          <w:szCs w:val="24"/>
          <w:highlight w:val="none"/>
        </w:rPr>
        <w:t>（十一）（投标供应商）中小企业声明函（格式）</w:t>
      </w:r>
      <w:bookmarkEnd w:id="959"/>
      <w:bookmarkEnd w:id="960"/>
      <w:bookmarkEnd w:id="961"/>
    </w:p>
    <w:p w14:paraId="34477B4C">
      <w:pPr>
        <w:spacing w:line="360" w:lineRule="auto"/>
        <w:jc w:val="center"/>
        <w:rPr>
          <w:rFonts w:ascii="宋体" w:hAnsi="宋体"/>
          <w:b/>
          <w:color w:val="auto"/>
          <w:sz w:val="28"/>
          <w:szCs w:val="28"/>
          <w:highlight w:val="none"/>
        </w:rPr>
      </w:pPr>
      <w:bookmarkStart w:id="962" w:name="_Toc36830603"/>
      <w:bookmarkStart w:id="963" w:name="OLE_LINK13"/>
      <w:bookmarkStart w:id="964" w:name="OLE_LINK14"/>
      <w:bookmarkStart w:id="965" w:name="_Toc116946367"/>
      <w:bookmarkStart w:id="966" w:name="_Toc98277388"/>
      <w:r>
        <w:rPr>
          <w:rFonts w:ascii="宋体" w:hAnsi="宋体"/>
          <w:b/>
          <w:color w:val="auto"/>
          <w:sz w:val="28"/>
          <w:szCs w:val="28"/>
          <w:highlight w:val="none"/>
        </w:rPr>
        <w:t>中小企业声明函（服务）</w:t>
      </w:r>
    </w:p>
    <w:p w14:paraId="3551E52E">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（联合体）</w:t>
      </w:r>
      <w:r>
        <w:rPr>
          <w:rFonts w:ascii="宋体" w:hAnsi="宋体"/>
          <w:bCs/>
          <w:color w:val="auto"/>
          <w:sz w:val="24"/>
          <w:szCs w:val="24"/>
          <w:highlight w:val="none"/>
        </w:rPr>
        <w:t>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r>
        <w:rPr>
          <w:rFonts w:hint="eastAsia" w:ascii="宋体" w:hAnsi="宋体"/>
          <w:bCs/>
          <w:color w:val="auto"/>
          <w:sz w:val="24"/>
          <w:szCs w:val="24"/>
          <w:highlight w:val="none"/>
        </w:rPr>
        <w:t>：</w:t>
      </w:r>
    </w:p>
    <w:p w14:paraId="21D1F5FF">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（招标文件中明确的所属行业）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0ED6FAC7">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（招标文件中明确的所属行业）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685F4E2D">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p>
    <w:p w14:paraId="2B4702CB">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auto"/>
          <w:sz w:val="24"/>
          <w:szCs w:val="24"/>
          <w:highlight w:val="none"/>
        </w:rPr>
        <w:t>。</w:t>
      </w:r>
    </w:p>
    <w:p w14:paraId="5E42F58B">
      <w:pPr>
        <w:spacing w:line="360" w:lineRule="auto"/>
        <w:rPr>
          <w:rFonts w:ascii="宋体" w:hAnsi="宋体"/>
          <w:bCs/>
          <w:color w:val="auto"/>
          <w:sz w:val="24"/>
          <w:szCs w:val="24"/>
          <w:highlight w:val="none"/>
        </w:rPr>
      </w:pPr>
    </w:p>
    <w:p w14:paraId="49D2C07E">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企业名称（盖章）：</w:t>
      </w:r>
    </w:p>
    <w:p w14:paraId="352F8A4D">
      <w:pPr>
        <w:spacing w:line="360" w:lineRule="auto"/>
        <w:ind w:firstLine="4800"/>
        <w:rPr>
          <w:rFonts w:ascii="宋体" w:hAnsi="宋体"/>
          <w:bCs/>
          <w:color w:val="auto"/>
          <w:sz w:val="24"/>
          <w:szCs w:val="24"/>
          <w:highlight w:val="none"/>
        </w:rPr>
      </w:pPr>
    </w:p>
    <w:p w14:paraId="7BD96E5B">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日　　　　　　期：</w:t>
      </w:r>
    </w:p>
    <w:p w14:paraId="5F6B96B6">
      <w:pPr>
        <w:spacing w:line="360" w:lineRule="auto"/>
        <w:rPr>
          <w:color w:val="auto"/>
          <w:highlight w:val="none"/>
        </w:rPr>
      </w:pPr>
    </w:p>
    <w:p w14:paraId="3D81B57C">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注：1.从业人员、营业收入、资产总额填报上一年度数据，无上一年度数据的新成立企业可不填报。</w:t>
      </w:r>
    </w:p>
    <w:p w14:paraId="341C291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中标供应商的《中小企业声明函》将随中标公告进行公示。供应商按照本办法规定提供声明函内容不实的，属于提供虚假材料谋取中标、成交，依照《中华人民共和国政府采购法》等国家有关规定追究相应责任。</w:t>
      </w:r>
    </w:p>
    <w:p w14:paraId="376054E8">
      <w:pPr>
        <w:spacing w:line="360" w:lineRule="auto"/>
        <w:rPr>
          <w:rFonts w:ascii="宋体" w:hAnsi="宋体"/>
          <w:bCs/>
          <w:color w:val="auto"/>
          <w:sz w:val="24"/>
          <w:szCs w:val="24"/>
          <w:highlight w:val="none"/>
        </w:rPr>
      </w:pPr>
    </w:p>
    <w:p w14:paraId="05A6190F">
      <w:pPr>
        <w:pageBreakBefore/>
        <w:spacing w:line="360" w:lineRule="auto"/>
        <w:jc w:val="left"/>
        <w:outlineLvl w:val="0"/>
        <w:rPr>
          <w:rFonts w:ascii="宋体" w:hAnsi="宋体"/>
          <w:bCs/>
          <w:color w:val="auto"/>
          <w:sz w:val="24"/>
          <w:szCs w:val="24"/>
          <w:highlight w:val="none"/>
        </w:rPr>
      </w:pPr>
      <w:r>
        <w:rPr>
          <w:rFonts w:hint="eastAsia" w:ascii="宋体" w:hAnsi="宋体"/>
          <w:bCs/>
          <w:color w:val="auto"/>
          <w:sz w:val="24"/>
          <w:szCs w:val="24"/>
          <w:highlight w:val="none"/>
        </w:rPr>
        <w:t>（十二）（投标供应商）残疾人福利性单位声明函（格式）：</w:t>
      </w:r>
      <w:bookmarkEnd w:id="962"/>
      <w:bookmarkEnd w:id="963"/>
      <w:bookmarkEnd w:id="964"/>
      <w:bookmarkEnd w:id="965"/>
      <w:bookmarkEnd w:id="966"/>
    </w:p>
    <w:p w14:paraId="501C0095">
      <w:pPr>
        <w:spacing w:line="360" w:lineRule="auto"/>
        <w:rPr>
          <w:rFonts w:ascii="仿宋_GB2312" w:hAnsi="Calibri" w:eastAsia="仿宋_GB2312"/>
          <w:b/>
          <w:color w:val="auto"/>
          <w:spacing w:val="6"/>
          <w:sz w:val="30"/>
          <w:szCs w:val="30"/>
          <w:highlight w:val="none"/>
        </w:rPr>
      </w:pPr>
    </w:p>
    <w:p w14:paraId="5D4F2D71">
      <w:pPr>
        <w:spacing w:line="360" w:lineRule="auto"/>
        <w:jc w:val="center"/>
        <w:rPr>
          <w:rFonts w:ascii="黑体" w:hAnsi="Calibri" w:eastAsia="黑体"/>
          <w:bCs/>
          <w:color w:val="auto"/>
          <w:sz w:val="28"/>
          <w:szCs w:val="28"/>
          <w:highlight w:val="none"/>
        </w:rPr>
      </w:pPr>
      <w:r>
        <w:rPr>
          <w:rFonts w:hint="eastAsia" w:ascii="黑体" w:hAnsi="Calibri" w:eastAsia="黑体"/>
          <w:bCs/>
          <w:color w:val="auto"/>
          <w:sz w:val="28"/>
          <w:szCs w:val="28"/>
          <w:highlight w:val="none"/>
        </w:rPr>
        <w:t>残疾人福利性单位声明函</w:t>
      </w:r>
    </w:p>
    <w:p w14:paraId="418F35AC">
      <w:pPr>
        <w:spacing w:line="360" w:lineRule="auto"/>
        <w:jc w:val="center"/>
        <w:rPr>
          <w:rFonts w:ascii="黑体" w:hAnsi="Calibri" w:eastAsia="黑体"/>
          <w:bCs/>
          <w:color w:val="auto"/>
          <w:sz w:val="28"/>
          <w:szCs w:val="28"/>
          <w:highlight w:val="none"/>
        </w:rPr>
      </w:pPr>
    </w:p>
    <w:p w14:paraId="2E0AD75C">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0F4B006">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7611BA95">
      <w:pPr>
        <w:spacing w:line="360" w:lineRule="auto"/>
        <w:ind w:firstLine="480"/>
        <w:rPr>
          <w:rFonts w:ascii="宋体" w:hAnsi="宋体"/>
          <w:bCs/>
          <w:color w:val="auto"/>
          <w:sz w:val="24"/>
          <w:szCs w:val="24"/>
          <w:highlight w:val="none"/>
        </w:rPr>
      </w:pPr>
    </w:p>
    <w:p w14:paraId="212FCF41">
      <w:pPr>
        <w:spacing w:line="360" w:lineRule="auto"/>
        <w:ind w:firstLine="480"/>
        <w:rPr>
          <w:rFonts w:ascii="宋体" w:hAnsi="宋体"/>
          <w:bCs/>
          <w:color w:val="auto"/>
          <w:sz w:val="24"/>
          <w:szCs w:val="24"/>
          <w:highlight w:val="none"/>
        </w:rPr>
      </w:pPr>
    </w:p>
    <w:p w14:paraId="422EC47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单位名称（盖章）：</w:t>
      </w:r>
    </w:p>
    <w:p w14:paraId="1733A02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日  期：</w:t>
      </w:r>
    </w:p>
    <w:p w14:paraId="32940EB3">
      <w:pPr>
        <w:spacing w:line="360" w:lineRule="auto"/>
        <w:ind w:firstLine="480"/>
        <w:rPr>
          <w:rFonts w:ascii="宋体" w:hAnsi="宋体"/>
          <w:bCs/>
          <w:color w:val="auto"/>
          <w:sz w:val="24"/>
          <w:szCs w:val="24"/>
          <w:highlight w:val="none"/>
        </w:rPr>
      </w:pPr>
      <w:bookmarkStart w:id="967" w:name="_Hlk62691704"/>
      <w:r>
        <w:rPr>
          <w:rFonts w:hint="eastAsia" w:ascii="宋体" w:hAnsi="宋体"/>
          <w:bCs/>
          <w:color w:val="auto"/>
          <w:sz w:val="24"/>
          <w:szCs w:val="24"/>
          <w:highlight w:val="none"/>
        </w:rPr>
        <w:t>（备注：中标供应商为残疾人福利单位的，此声明函将随中标结果同时公告，接受社会监督）</w:t>
      </w:r>
      <w:bookmarkEnd w:id="967"/>
    </w:p>
    <w:p w14:paraId="7504BFA4">
      <w:pPr>
        <w:spacing w:line="360" w:lineRule="auto"/>
        <w:ind w:firstLine="480"/>
        <w:rPr>
          <w:rFonts w:ascii="宋体" w:hAnsi="宋体"/>
          <w:bCs/>
          <w:color w:val="auto"/>
          <w:sz w:val="24"/>
          <w:szCs w:val="24"/>
          <w:highlight w:val="none"/>
        </w:rPr>
      </w:pPr>
    </w:p>
    <w:p w14:paraId="5238F5E1">
      <w:pPr>
        <w:spacing w:line="360" w:lineRule="auto"/>
        <w:rPr>
          <w:rFonts w:ascii="宋体" w:hAnsi="Calibri"/>
          <w:color w:val="auto"/>
          <w:sz w:val="24"/>
          <w:szCs w:val="24"/>
          <w:highlight w:val="none"/>
        </w:rPr>
      </w:pPr>
    </w:p>
    <w:p w14:paraId="6E3DA9F4">
      <w:pPr>
        <w:widowControl/>
        <w:spacing w:line="360" w:lineRule="auto"/>
        <w:jc w:val="left"/>
        <w:rPr>
          <w:rFonts w:ascii="宋体" w:hAnsi="宋体"/>
          <w:bCs/>
          <w:color w:val="auto"/>
          <w:sz w:val="24"/>
          <w:szCs w:val="24"/>
          <w:highlight w:val="none"/>
        </w:rPr>
      </w:pPr>
      <w:bookmarkStart w:id="968" w:name="_Toc36830604"/>
      <w:r>
        <w:rPr>
          <w:rFonts w:ascii="宋体" w:hAnsi="宋体"/>
          <w:bCs/>
          <w:color w:val="auto"/>
          <w:sz w:val="24"/>
          <w:szCs w:val="24"/>
          <w:highlight w:val="none"/>
        </w:rPr>
        <w:br w:type="page" w:clear="all"/>
      </w:r>
    </w:p>
    <w:p w14:paraId="4EADE116">
      <w:pPr>
        <w:pageBreakBefore/>
        <w:spacing w:line="360" w:lineRule="auto"/>
        <w:jc w:val="left"/>
        <w:outlineLvl w:val="0"/>
        <w:rPr>
          <w:rFonts w:ascii="宋体" w:hAnsi="宋体"/>
          <w:bCs/>
          <w:color w:val="auto"/>
          <w:sz w:val="24"/>
          <w:szCs w:val="24"/>
          <w:highlight w:val="none"/>
        </w:rPr>
      </w:pPr>
      <w:bookmarkStart w:id="969" w:name="_Toc98277389"/>
      <w:bookmarkStart w:id="970" w:name="_Toc116946368"/>
      <w:r>
        <w:rPr>
          <w:rFonts w:hint="eastAsia" w:ascii="宋体" w:hAnsi="宋体"/>
          <w:bCs/>
          <w:color w:val="auto"/>
          <w:sz w:val="24"/>
          <w:szCs w:val="24"/>
          <w:highlight w:val="none"/>
        </w:rPr>
        <w:t>（十三）（投标供应商）投标单位情况表（格式）</w:t>
      </w:r>
      <w:bookmarkEnd w:id="968"/>
      <w:bookmarkEnd w:id="969"/>
      <w:bookmarkEnd w:id="970"/>
    </w:p>
    <w:p w14:paraId="7FA0F51C">
      <w:pPr>
        <w:pStyle w:val="15"/>
        <w:spacing w:line="360" w:lineRule="auto"/>
        <w:ind w:firstLine="0"/>
        <w:jc w:val="center"/>
        <w:rPr>
          <w:rFonts w:ascii="宋体"/>
          <w:b/>
          <w:color w:val="auto"/>
          <w:szCs w:val="21"/>
          <w:highlight w:val="none"/>
        </w:rPr>
      </w:pPr>
      <w:r>
        <w:rPr>
          <w:rFonts w:hint="eastAsia" w:ascii="宋体" w:hAnsi="宋体"/>
          <w:b/>
          <w:color w:val="auto"/>
          <w:szCs w:val="21"/>
          <w:highlight w:val="none"/>
        </w:rPr>
        <w:t>投标单位情况表</w:t>
      </w:r>
    </w:p>
    <w:p w14:paraId="5CE8377E">
      <w:pPr>
        <w:spacing w:line="360" w:lineRule="auto"/>
        <w:ind w:firstLine="420"/>
        <w:jc w:val="left"/>
        <w:rPr>
          <w:rFonts w:ascii="宋体"/>
          <w:color w:val="auto"/>
          <w:szCs w:val="21"/>
          <w:highlight w:val="none"/>
        </w:rPr>
      </w:pPr>
      <w:r>
        <w:rPr>
          <w:rFonts w:hint="eastAsia" w:ascii="宋体" w:hAnsi="宋体"/>
          <w:color w:val="auto"/>
          <w:szCs w:val="21"/>
          <w:highlight w:val="none"/>
        </w:rPr>
        <w:t>单位名称：（公章）</w:t>
      </w:r>
    </w:p>
    <w:p w14:paraId="53A5D495">
      <w:pPr>
        <w:spacing w:line="360" w:lineRule="auto"/>
        <w:ind w:firstLine="420"/>
        <w:jc w:val="center"/>
        <w:rPr>
          <w:rFonts w:ascii="宋体"/>
          <w:color w:val="auto"/>
          <w:highlight w:val="none"/>
        </w:rPr>
      </w:pPr>
    </w:p>
    <w:tbl>
      <w:tblPr>
        <w:tblStyle w:val="67"/>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90"/>
        <w:gridCol w:w="1925"/>
        <w:gridCol w:w="1537"/>
        <w:gridCol w:w="3721"/>
      </w:tblGrid>
      <w:tr w14:paraId="1B5FD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1BD942FB">
            <w:pPr>
              <w:spacing w:line="360" w:lineRule="auto"/>
              <w:jc w:val="left"/>
              <w:rPr>
                <w:rFonts w:ascii="宋体"/>
                <w:color w:val="auto"/>
                <w:sz w:val="22"/>
                <w:szCs w:val="21"/>
                <w:highlight w:val="none"/>
              </w:rPr>
            </w:pPr>
            <w:r>
              <w:rPr>
                <w:rFonts w:hint="eastAsia" w:ascii="宋体" w:hAnsi="宋体"/>
                <w:color w:val="auto"/>
                <w:sz w:val="22"/>
                <w:szCs w:val="21"/>
                <w:highlight w:val="none"/>
              </w:rPr>
              <w:t>法定代表人</w:t>
            </w:r>
          </w:p>
        </w:tc>
        <w:tc>
          <w:tcPr>
            <w:tcW w:w="1925" w:type="dxa"/>
          </w:tcPr>
          <w:p w14:paraId="78EB4B68">
            <w:pPr>
              <w:spacing w:line="360" w:lineRule="auto"/>
              <w:jc w:val="left"/>
              <w:rPr>
                <w:rFonts w:ascii="宋体"/>
                <w:color w:val="auto"/>
                <w:sz w:val="22"/>
                <w:szCs w:val="21"/>
                <w:highlight w:val="none"/>
              </w:rPr>
            </w:pPr>
          </w:p>
        </w:tc>
        <w:tc>
          <w:tcPr>
            <w:tcW w:w="1537" w:type="dxa"/>
          </w:tcPr>
          <w:p w14:paraId="75B8C5C5">
            <w:pPr>
              <w:spacing w:line="360" w:lineRule="auto"/>
              <w:jc w:val="left"/>
              <w:rPr>
                <w:rFonts w:ascii="宋体"/>
                <w:color w:val="auto"/>
                <w:sz w:val="22"/>
                <w:szCs w:val="21"/>
                <w:highlight w:val="none"/>
              </w:rPr>
            </w:pPr>
            <w:r>
              <w:rPr>
                <w:rFonts w:hint="eastAsia" w:ascii="宋体" w:hAnsi="宋体"/>
                <w:color w:val="auto"/>
                <w:sz w:val="22"/>
                <w:szCs w:val="21"/>
                <w:highlight w:val="none"/>
              </w:rPr>
              <w:t>成立日期</w:t>
            </w:r>
          </w:p>
        </w:tc>
        <w:tc>
          <w:tcPr>
            <w:tcW w:w="3721" w:type="dxa"/>
          </w:tcPr>
          <w:p w14:paraId="4C881379">
            <w:pPr>
              <w:spacing w:line="360" w:lineRule="auto"/>
              <w:jc w:val="left"/>
              <w:rPr>
                <w:rFonts w:ascii="宋体"/>
                <w:color w:val="auto"/>
                <w:sz w:val="22"/>
                <w:szCs w:val="21"/>
                <w:highlight w:val="none"/>
              </w:rPr>
            </w:pPr>
          </w:p>
        </w:tc>
      </w:tr>
      <w:tr w14:paraId="28CB8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47618B3B">
            <w:pPr>
              <w:spacing w:line="360" w:lineRule="auto"/>
              <w:jc w:val="left"/>
              <w:rPr>
                <w:rFonts w:ascii="宋体"/>
                <w:color w:val="auto"/>
                <w:sz w:val="22"/>
                <w:szCs w:val="21"/>
                <w:highlight w:val="none"/>
              </w:rPr>
            </w:pPr>
            <w:r>
              <w:rPr>
                <w:rFonts w:hint="eastAsia" w:ascii="宋体" w:hAnsi="宋体"/>
                <w:color w:val="auto"/>
                <w:sz w:val="22"/>
                <w:szCs w:val="21"/>
                <w:highlight w:val="none"/>
              </w:rPr>
              <w:t>企业地址</w:t>
            </w:r>
          </w:p>
        </w:tc>
        <w:tc>
          <w:tcPr>
            <w:tcW w:w="1925" w:type="dxa"/>
          </w:tcPr>
          <w:p w14:paraId="0427366C">
            <w:pPr>
              <w:spacing w:line="360" w:lineRule="auto"/>
              <w:jc w:val="left"/>
              <w:rPr>
                <w:rFonts w:ascii="宋体"/>
                <w:color w:val="auto"/>
                <w:sz w:val="22"/>
                <w:szCs w:val="21"/>
                <w:highlight w:val="none"/>
              </w:rPr>
            </w:pPr>
          </w:p>
        </w:tc>
        <w:tc>
          <w:tcPr>
            <w:tcW w:w="1537" w:type="dxa"/>
          </w:tcPr>
          <w:p w14:paraId="6F5F747F">
            <w:pPr>
              <w:spacing w:line="360" w:lineRule="auto"/>
              <w:jc w:val="left"/>
              <w:rPr>
                <w:rFonts w:ascii="宋体"/>
                <w:color w:val="auto"/>
                <w:sz w:val="22"/>
                <w:szCs w:val="21"/>
                <w:highlight w:val="none"/>
              </w:rPr>
            </w:pPr>
            <w:r>
              <w:rPr>
                <w:rFonts w:hint="eastAsia" w:ascii="宋体" w:hAnsi="宋体"/>
                <w:color w:val="auto"/>
                <w:sz w:val="22"/>
                <w:szCs w:val="21"/>
                <w:highlight w:val="none"/>
              </w:rPr>
              <w:t>注册资本</w:t>
            </w:r>
          </w:p>
        </w:tc>
        <w:tc>
          <w:tcPr>
            <w:tcW w:w="3721" w:type="dxa"/>
          </w:tcPr>
          <w:p w14:paraId="3C050CDF">
            <w:pPr>
              <w:spacing w:line="360" w:lineRule="auto"/>
              <w:ind w:firstLine="2160"/>
              <w:jc w:val="left"/>
              <w:rPr>
                <w:rFonts w:ascii="宋体"/>
                <w:color w:val="auto"/>
                <w:sz w:val="22"/>
                <w:szCs w:val="21"/>
                <w:highlight w:val="none"/>
              </w:rPr>
            </w:pPr>
            <w:r>
              <w:rPr>
                <w:rFonts w:hint="eastAsia" w:ascii="宋体" w:hAnsi="宋体"/>
                <w:color w:val="auto"/>
                <w:sz w:val="22"/>
                <w:szCs w:val="21"/>
                <w:highlight w:val="none"/>
              </w:rPr>
              <w:t>万元</w:t>
            </w:r>
          </w:p>
        </w:tc>
      </w:tr>
      <w:tr w14:paraId="372F7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2406BDFA">
            <w:pPr>
              <w:spacing w:line="360" w:lineRule="auto"/>
              <w:jc w:val="left"/>
              <w:rPr>
                <w:rFonts w:ascii="宋体"/>
                <w:color w:val="auto"/>
                <w:sz w:val="22"/>
                <w:szCs w:val="21"/>
                <w:highlight w:val="none"/>
              </w:rPr>
            </w:pPr>
            <w:r>
              <w:rPr>
                <w:rFonts w:hint="eastAsia" w:ascii="宋体" w:hAnsi="宋体"/>
                <w:color w:val="auto"/>
                <w:sz w:val="22"/>
                <w:szCs w:val="21"/>
                <w:highlight w:val="none"/>
              </w:rPr>
              <w:t>经营范围</w:t>
            </w:r>
          </w:p>
        </w:tc>
        <w:tc>
          <w:tcPr>
            <w:tcW w:w="7183" w:type="dxa"/>
            <w:gridSpan w:val="3"/>
          </w:tcPr>
          <w:p w14:paraId="31B2E608">
            <w:pPr>
              <w:spacing w:line="360" w:lineRule="auto"/>
              <w:jc w:val="left"/>
              <w:rPr>
                <w:rFonts w:ascii="宋体"/>
                <w:color w:val="auto"/>
                <w:sz w:val="22"/>
                <w:szCs w:val="21"/>
                <w:highlight w:val="none"/>
              </w:rPr>
            </w:pPr>
          </w:p>
        </w:tc>
      </w:tr>
      <w:tr w14:paraId="5AB9F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33B2F836">
            <w:pPr>
              <w:spacing w:line="360" w:lineRule="auto"/>
              <w:jc w:val="left"/>
              <w:rPr>
                <w:rFonts w:ascii="宋体"/>
                <w:color w:val="auto"/>
                <w:sz w:val="22"/>
                <w:szCs w:val="21"/>
                <w:highlight w:val="none"/>
              </w:rPr>
            </w:pPr>
            <w:r>
              <w:rPr>
                <w:rFonts w:hint="eastAsia" w:ascii="宋体" w:hAnsi="宋体"/>
                <w:color w:val="auto"/>
                <w:sz w:val="22"/>
                <w:szCs w:val="21"/>
                <w:highlight w:val="none"/>
              </w:rPr>
              <w:t>开户行</w:t>
            </w:r>
          </w:p>
        </w:tc>
        <w:tc>
          <w:tcPr>
            <w:tcW w:w="1925" w:type="dxa"/>
          </w:tcPr>
          <w:p w14:paraId="73E90EC6">
            <w:pPr>
              <w:spacing w:line="360" w:lineRule="auto"/>
              <w:jc w:val="left"/>
              <w:rPr>
                <w:rFonts w:ascii="宋体"/>
                <w:color w:val="auto"/>
                <w:sz w:val="22"/>
                <w:szCs w:val="21"/>
                <w:highlight w:val="none"/>
              </w:rPr>
            </w:pPr>
          </w:p>
        </w:tc>
        <w:tc>
          <w:tcPr>
            <w:tcW w:w="1537" w:type="dxa"/>
          </w:tcPr>
          <w:p w14:paraId="4EE8B5FE">
            <w:pPr>
              <w:spacing w:line="360" w:lineRule="auto"/>
              <w:jc w:val="left"/>
              <w:rPr>
                <w:rFonts w:ascii="宋体"/>
                <w:color w:val="auto"/>
                <w:sz w:val="22"/>
                <w:szCs w:val="21"/>
                <w:highlight w:val="none"/>
              </w:rPr>
            </w:pPr>
            <w:r>
              <w:rPr>
                <w:rFonts w:hint="eastAsia" w:ascii="宋体" w:hAnsi="宋体"/>
                <w:color w:val="auto"/>
                <w:sz w:val="22"/>
                <w:szCs w:val="21"/>
                <w:highlight w:val="none"/>
              </w:rPr>
              <w:t>银行账号</w:t>
            </w:r>
          </w:p>
        </w:tc>
        <w:tc>
          <w:tcPr>
            <w:tcW w:w="3721" w:type="dxa"/>
          </w:tcPr>
          <w:p w14:paraId="509AB90C">
            <w:pPr>
              <w:spacing w:line="360" w:lineRule="auto"/>
              <w:jc w:val="left"/>
              <w:rPr>
                <w:rFonts w:ascii="宋体"/>
                <w:color w:val="auto"/>
                <w:sz w:val="22"/>
                <w:szCs w:val="21"/>
                <w:highlight w:val="none"/>
              </w:rPr>
            </w:pPr>
          </w:p>
        </w:tc>
      </w:tr>
      <w:tr w14:paraId="2519E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vAlign w:val="center"/>
          </w:tcPr>
          <w:p w14:paraId="2A653F4F">
            <w:pPr>
              <w:spacing w:line="360" w:lineRule="auto"/>
              <w:rPr>
                <w:rFonts w:ascii="宋体"/>
                <w:color w:val="auto"/>
                <w:sz w:val="22"/>
                <w:szCs w:val="21"/>
                <w:highlight w:val="none"/>
              </w:rPr>
            </w:pPr>
            <w:r>
              <w:rPr>
                <w:rFonts w:hint="eastAsia" w:ascii="宋体" w:hAnsi="宋体"/>
                <w:color w:val="auto"/>
                <w:sz w:val="22"/>
                <w:szCs w:val="21"/>
                <w:highlight w:val="none"/>
              </w:rPr>
              <w:t>资产总计</w:t>
            </w:r>
          </w:p>
        </w:tc>
        <w:tc>
          <w:tcPr>
            <w:tcW w:w="1925" w:type="dxa"/>
            <w:vAlign w:val="center"/>
          </w:tcPr>
          <w:p w14:paraId="093A80E3">
            <w:pPr>
              <w:spacing w:line="360" w:lineRule="auto"/>
              <w:jc w:val="center"/>
              <w:rPr>
                <w:rFonts w:ascii="宋体"/>
                <w:color w:val="auto"/>
                <w:sz w:val="22"/>
                <w:szCs w:val="21"/>
                <w:highlight w:val="none"/>
              </w:rPr>
            </w:pPr>
            <w:r>
              <w:rPr>
                <w:rFonts w:hint="eastAsia" w:ascii="宋体" w:hAnsi="宋体"/>
                <w:color w:val="auto"/>
                <w:sz w:val="22"/>
                <w:szCs w:val="21"/>
                <w:highlight w:val="none"/>
              </w:rPr>
              <w:t xml:space="preserve">      万元</w:t>
            </w:r>
          </w:p>
        </w:tc>
        <w:tc>
          <w:tcPr>
            <w:tcW w:w="1537" w:type="dxa"/>
            <w:vAlign w:val="center"/>
          </w:tcPr>
          <w:p w14:paraId="246F2702">
            <w:pPr>
              <w:spacing w:line="360" w:lineRule="auto"/>
              <w:rPr>
                <w:rFonts w:ascii="宋体"/>
                <w:color w:val="auto"/>
                <w:sz w:val="22"/>
                <w:szCs w:val="21"/>
                <w:highlight w:val="none"/>
              </w:rPr>
            </w:pPr>
            <w:r>
              <w:rPr>
                <w:rFonts w:hint="eastAsia" w:ascii="宋体" w:hAnsi="宋体"/>
                <w:color w:val="auto"/>
                <w:sz w:val="22"/>
                <w:szCs w:val="21"/>
                <w:highlight w:val="none"/>
              </w:rPr>
              <w:t>净资产</w:t>
            </w:r>
          </w:p>
        </w:tc>
        <w:tc>
          <w:tcPr>
            <w:tcW w:w="3721" w:type="dxa"/>
            <w:vAlign w:val="center"/>
          </w:tcPr>
          <w:p w14:paraId="57384773">
            <w:pPr>
              <w:spacing w:line="360" w:lineRule="auto"/>
              <w:jc w:val="center"/>
              <w:rPr>
                <w:rFonts w:ascii="宋体"/>
                <w:color w:val="auto"/>
                <w:sz w:val="22"/>
                <w:szCs w:val="21"/>
                <w:highlight w:val="none"/>
              </w:rPr>
            </w:pPr>
            <w:r>
              <w:rPr>
                <w:rFonts w:hint="eastAsia" w:ascii="宋体" w:hAnsi="宋体"/>
                <w:color w:val="auto"/>
                <w:sz w:val="22"/>
                <w:szCs w:val="21"/>
                <w:highlight w:val="none"/>
              </w:rPr>
              <w:t>万元</w:t>
            </w:r>
          </w:p>
        </w:tc>
      </w:tr>
      <w:tr w14:paraId="6542E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vAlign w:val="center"/>
          </w:tcPr>
          <w:p w14:paraId="6E51CD7B">
            <w:pPr>
              <w:spacing w:line="360" w:lineRule="auto"/>
              <w:rPr>
                <w:rFonts w:ascii="宋体"/>
                <w:color w:val="auto"/>
                <w:sz w:val="22"/>
                <w:szCs w:val="21"/>
                <w:highlight w:val="none"/>
              </w:rPr>
            </w:pPr>
            <w:r>
              <w:rPr>
                <w:rFonts w:hint="eastAsia" w:ascii="宋体" w:hAnsi="宋体"/>
                <w:color w:val="auto"/>
                <w:sz w:val="22"/>
                <w:szCs w:val="21"/>
                <w:highlight w:val="none"/>
              </w:rPr>
              <w:t>股东权益</w:t>
            </w:r>
          </w:p>
        </w:tc>
        <w:tc>
          <w:tcPr>
            <w:tcW w:w="1925" w:type="dxa"/>
            <w:vAlign w:val="center"/>
          </w:tcPr>
          <w:p w14:paraId="5344D00F">
            <w:pPr>
              <w:spacing w:line="360" w:lineRule="auto"/>
              <w:jc w:val="center"/>
              <w:rPr>
                <w:rFonts w:ascii="宋体"/>
                <w:color w:val="auto"/>
                <w:sz w:val="22"/>
                <w:szCs w:val="21"/>
                <w:highlight w:val="none"/>
              </w:rPr>
            </w:pPr>
            <w:r>
              <w:rPr>
                <w:rFonts w:hint="eastAsia" w:ascii="宋体" w:hAnsi="宋体"/>
                <w:color w:val="auto"/>
                <w:sz w:val="22"/>
                <w:szCs w:val="21"/>
                <w:highlight w:val="none"/>
              </w:rPr>
              <w:t xml:space="preserve">     万元</w:t>
            </w:r>
          </w:p>
        </w:tc>
        <w:tc>
          <w:tcPr>
            <w:tcW w:w="1537" w:type="dxa"/>
            <w:vAlign w:val="center"/>
          </w:tcPr>
          <w:p w14:paraId="11EEAA57">
            <w:pPr>
              <w:spacing w:line="360" w:lineRule="auto"/>
              <w:rPr>
                <w:rFonts w:ascii="宋体"/>
                <w:color w:val="auto"/>
                <w:sz w:val="22"/>
                <w:szCs w:val="21"/>
                <w:highlight w:val="none"/>
              </w:rPr>
            </w:pPr>
            <w:r>
              <w:rPr>
                <w:rFonts w:hint="eastAsia" w:ascii="宋体" w:hAnsi="宋体"/>
                <w:color w:val="auto"/>
                <w:sz w:val="22"/>
                <w:szCs w:val="21"/>
                <w:highlight w:val="none"/>
              </w:rPr>
              <w:t>主营收入</w:t>
            </w:r>
          </w:p>
        </w:tc>
        <w:tc>
          <w:tcPr>
            <w:tcW w:w="3721" w:type="dxa"/>
            <w:vAlign w:val="center"/>
          </w:tcPr>
          <w:p w14:paraId="0C098BBF">
            <w:pPr>
              <w:spacing w:line="360" w:lineRule="auto"/>
              <w:jc w:val="center"/>
              <w:rPr>
                <w:rFonts w:ascii="宋体"/>
                <w:color w:val="auto"/>
                <w:sz w:val="22"/>
                <w:szCs w:val="21"/>
                <w:highlight w:val="none"/>
              </w:rPr>
            </w:pPr>
            <w:r>
              <w:rPr>
                <w:rFonts w:hint="eastAsia" w:ascii="宋体" w:hAnsi="宋体"/>
                <w:color w:val="auto"/>
                <w:sz w:val="22"/>
                <w:szCs w:val="21"/>
                <w:highlight w:val="none"/>
              </w:rPr>
              <w:t>20</w:t>
            </w:r>
            <w:r>
              <w:rPr>
                <w:rFonts w:ascii="宋体" w:hAnsi="宋体"/>
                <w:color w:val="auto"/>
                <w:sz w:val="22"/>
                <w:szCs w:val="21"/>
                <w:highlight w:val="none"/>
              </w:rPr>
              <w:t>2</w:t>
            </w:r>
            <w:r>
              <w:rPr>
                <w:rFonts w:hint="eastAsia" w:ascii="宋体" w:hAnsi="宋体"/>
                <w:color w:val="auto"/>
                <w:sz w:val="22"/>
                <w:szCs w:val="21"/>
                <w:highlight w:val="none"/>
              </w:rPr>
              <w:t>5年万元</w:t>
            </w:r>
          </w:p>
        </w:tc>
      </w:tr>
      <w:tr w14:paraId="129D5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5242BCE2">
            <w:pPr>
              <w:spacing w:line="360" w:lineRule="auto"/>
              <w:jc w:val="left"/>
              <w:rPr>
                <w:rFonts w:ascii="宋体"/>
                <w:color w:val="auto"/>
                <w:sz w:val="22"/>
                <w:szCs w:val="21"/>
                <w:highlight w:val="none"/>
              </w:rPr>
            </w:pPr>
            <w:r>
              <w:rPr>
                <w:rFonts w:hint="eastAsia" w:ascii="宋体" w:hAnsi="宋体"/>
                <w:color w:val="auto"/>
                <w:sz w:val="22"/>
                <w:szCs w:val="21"/>
                <w:highlight w:val="none"/>
              </w:rPr>
              <w:t>实现利润</w:t>
            </w:r>
          </w:p>
        </w:tc>
        <w:tc>
          <w:tcPr>
            <w:tcW w:w="1925" w:type="dxa"/>
          </w:tcPr>
          <w:p w14:paraId="65551147">
            <w:pPr>
              <w:spacing w:line="360" w:lineRule="auto"/>
              <w:jc w:val="left"/>
              <w:rPr>
                <w:rFonts w:ascii="宋体"/>
                <w:color w:val="auto"/>
                <w:sz w:val="22"/>
                <w:szCs w:val="21"/>
                <w:highlight w:val="none"/>
              </w:rPr>
            </w:pPr>
            <w:r>
              <w:rPr>
                <w:rFonts w:hint="eastAsia" w:ascii="宋体" w:hAnsi="宋体"/>
                <w:color w:val="auto"/>
                <w:sz w:val="22"/>
                <w:szCs w:val="21"/>
                <w:highlight w:val="none"/>
              </w:rPr>
              <w:t>20</w:t>
            </w:r>
            <w:r>
              <w:rPr>
                <w:rFonts w:ascii="宋体" w:hAnsi="宋体"/>
                <w:color w:val="auto"/>
                <w:sz w:val="22"/>
                <w:szCs w:val="21"/>
                <w:highlight w:val="none"/>
              </w:rPr>
              <w:t>2</w:t>
            </w:r>
            <w:r>
              <w:rPr>
                <w:rFonts w:hint="eastAsia" w:ascii="宋体" w:hAnsi="宋体"/>
                <w:color w:val="auto"/>
                <w:sz w:val="22"/>
                <w:szCs w:val="21"/>
                <w:highlight w:val="none"/>
              </w:rPr>
              <w:t>5年 万元</w:t>
            </w:r>
          </w:p>
        </w:tc>
        <w:tc>
          <w:tcPr>
            <w:tcW w:w="1537" w:type="dxa"/>
          </w:tcPr>
          <w:p w14:paraId="0B84AF35">
            <w:pPr>
              <w:spacing w:line="360" w:lineRule="auto"/>
              <w:jc w:val="left"/>
              <w:rPr>
                <w:rFonts w:ascii="宋体"/>
                <w:color w:val="auto"/>
                <w:sz w:val="22"/>
                <w:szCs w:val="21"/>
                <w:highlight w:val="none"/>
              </w:rPr>
            </w:pPr>
          </w:p>
        </w:tc>
        <w:tc>
          <w:tcPr>
            <w:tcW w:w="3721" w:type="dxa"/>
          </w:tcPr>
          <w:p w14:paraId="7C4232A2">
            <w:pPr>
              <w:spacing w:line="360" w:lineRule="auto"/>
              <w:jc w:val="left"/>
              <w:rPr>
                <w:rFonts w:ascii="宋体"/>
                <w:color w:val="auto"/>
                <w:sz w:val="22"/>
                <w:szCs w:val="21"/>
                <w:highlight w:val="none"/>
              </w:rPr>
            </w:pPr>
          </w:p>
        </w:tc>
      </w:tr>
      <w:tr w14:paraId="6BB40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39C83D49">
            <w:pPr>
              <w:spacing w:line="360" w:lineRule="auto"/>
              <w:jc w:val="left"/>
              <w:rPr>
                <w:rFonts w:ascii="宋体"/>
                <w:color w:val="auto"/>
                <w:sz w:val="22"/>
                <w:szCs w:val="21"/>
                <w:highlight w:val="none"/>
              </w:rPr>
            </w:pPr>
            <w:r>
              <w:rPr>
                <w:rFonts w:hint="eastAsia" w:ascii="宋体" w:hAnsi="宋体"/>
                <w:color w:val="auto"/>
                <w:sz w:val="22"/>
                <w:szCs w:val="21"/>
                <w:highlight w:val="none"/>
              </w:rPr>
              <w:t>营业面积</w:t>
            </w:r>
          </w:p>
        </w:tc>
        <w:tc>
          <w:tcPr>
            <w:tcW w:w="1925" w:type="dxa"/>
            <w:vAlign w:val="center"/>
          </w:tcPr>
          <w:p w14:paraId="51E3DC34">
            <w:pPr>
              <w:spacing w:line="360" w:lineRule="auto"/>
              <w:rPr>
                <w:rFonts w:ascii="宋体"/>
                <w:color w:val="auto"/>
                <w:sz w:val="22"/>
                <w:szCs w:val="21"/>
                <w:highlight w:val="none"/>
              </w:rPr>
            </w:pPr>
            <w:r>
              <w:rPr>
                <w:rFonts w:hint="eastAsia" w:ascii="宋体" w:hAnsi="宋体"/>
                <w:color w:val="auto"/>
                <w:sz w:val="22"/>
                <w:szCs w:val="21"/>
                <w:highlight w:val="none"/>
              </w:rPr>
              <w:t xml:space="preserve"> 平方米</w:t>
            </w:r>
          </w:p>
        </w:tc>
        <w:tc>
          <w:tcPr>
            <w:tcW w:w="1537" w:type="dxa"/>
          </w:tcPr>
          <w:p w14:paraId="2D83AA0F">
            <w:pPr>
              <w:spacing w:line="360" w:lineRule="auto"/>
              <w:jc w:val="left"/>
              <w:rPr>
                <w:rFonts w:ascii="宋体"/>
                <w:color w:val="auto"/>
                <w:sz w:val="22"/>
                <w:szCs w:val="21"/>
                <w:highlight w:val="none"/>
              </w:rPr>
            </w:pPr>
            <w:r>
              <w:rPr>
                <w:rFonts w:hint="eastAsia" w:ascii="宋体" w:hAnsi="宋体"/>
                <w:color w:val="auto"/>
                <w:sz w:val="22"/>
                <w:szCs w:val="21"/>
                <w:highlight w:val="none"/>
              </w:rPr>
              <w:t>其中：</w:t>
            </w:r>
          </w:p>
        </w:tc>
        <w:tc>
          <w:tcPr>
            <w:tcW w:w="3721" w:type="dxa"/>
          </w:tcPr>
          <w:p w14:paraId="2F1FBBE5">
            <w:pPr>
              <w:spacing w:line="360" w:lineRule="auto"/>
              <w:jc w:val="left"/>
              <w:rPr>
                <w:rFonts w:ascii="宋体"/>
                <w:color w:val="auto"/>
                <w:sz w:val="22"/>
                <w:szCs w:val="21"/>
                <w:highlight w:val="none"/>
              </w:rPr>
            </w:pPr>
            <w:r>
              <w:rPr>
                <w:rFonts w:hint="eastAsia" w:ascii="宋体" w:hAnsi="宋体"/>
                <w:color w:val="auto"/>
                <w:sz w:val="22"/>
                <w:szCs w:val="21"/>
                <w:highlight w:val="none"/>
              </w:rPr>
              <w:t>自有面积平方米</w:t>
            </w:r>
          </w:p>
          <w:p w14:paraId="6F780DBD">
            <w:pPr>
              <w:spacing w:line="360" w:lineRule="auto"/>
              <w:jc w:val="left"/>
              <w:rPr>
                <w:rFonts w:ascii="宋体"/>
                <w:color w:val="auto"/>
                <w:sz w:val="22"/>
                <w:szCs w:val="21"/>
                <w:highlight w:val="none"/>
              </w:rPr>
            </w:pPr>
            <w:r>
              <w:rPr>
                <w:rFonts w:hint="eastAsia" w:ascii="宋体" w:hAnsi="宋体"/>
                <w:color w:val="auto"/>
                <w:sz w:val="22"/>
                <w:szCs w:val="21"/>
                <w:highlight w:val="none"/>
              </w:rPr>
              <w:t>承租面积平方米</w:t>
            </w:r>
          </w:p>
        </w:tc>
      </w:tr>
      <w:tr w14:paraId="16608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75350F3C">
            <w:pPr>
              <w:spacing w:line="360" w:lineRule="auto"/>
              <w:jc w:val="left"/>
              <w:rPr>
                <w:rFonts w:ascii="宋体"/>
                <w:color w:val="auto"/>
                <w:sz w:val="22"/>
                <w:szCs w:val="21"/>
                <w:highlight w:val="none"/>
              </w:rPr>
            </w:pPr>
            <w:r>
              <w:rPr>
                <w:rFonts w:hint="eastAsia" w:ascii="宋体" w:hAnsi="宋体"/>
                <w:color w:val="auto"/>
                <w:sz w:val="22"/>
                <w:szCs w:val="21"/>
                <w:highlight w:val="none"/>
              </w:rPr>
              <w:t>单位简历及内设机构情况</w:t>
            </w:r>
          </w:p>
        </w:tc>
        <w:tc>
          <w:tcPr>
            <w:tcW w:w="7183" w:type="dxa"/>
            <w:gridSpan w:val="3"/>
          </w:tcPr>
          <w:p w14:paraId="0F965C52">
            <w:pPr>
              <w:spacing w:line="360" w:lineRule="auto"/>
              <w:jc w:val="left"/>
              <w:rPr>
                <w:rFonts w:ascii="宋体"/>
                <w:color w:val="auto"/>
                <w:sz w:val="22"/>
                <w:szCs w:val="21"/>
                <w:highlight w:val="none"/>
              </w:rPr>
            </w:pPr>
          </w:p>
        </w:tc>
      </w:tr>
      <w:tr w14:paraId="5F81A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0F78FBED">
            <w:pPr>
              <w:spacing w:line="360" w:lineRule="auto"/>
              <w:jc w:val="left"/>
              <w:rPr>
                <w:rFonts w:ascii="宋体"/>
                <w:color w:val="auto"/>
                <w:sz w:val="22"/>
                <w:szCs w:val="21"/>
                <w:highlight w:val="none"/>
              </w:rPr>
            </w:pPr>
            <w:r>
              <w:rPr>
                <w:rFonts w:hint="eastAsia" w:ascii="宋体" w:hAnsi="宋体"/>
                <w:color w:val="auto"/>
                <w:sz w:val="22"/>
                <w:szCs w:val="21"/>
                <w:highlight w:val="none"/>
              </w:rPr>
              <w:t>单位优势及特长</w:t>
            </w:r>
          </w:p>
        </w:tc>
        <w:tc>
          <w:tcPr>
            <w:tcW w:w="7183" w:type="dxa"/>
            <w:gridSpan w:val="3"/>
          </w:tcPr>
          <w:p w14:paraId="2F656287">
            <w:pPr>
              <w:spacing w:line="360" w:lineRule="auto"/>
              <w:jc w:val="left"/>
              <w:rPr>
                <w:rFonts w:ascii="宋体"/>
                <w:color w:val="auto"/>
                <w:sz w:val="22"/>
                <w:szCs w:val="21"/>
                <w:highlight w:val="none"/>
              </w:rPr>
            </w:pPr>
          </w:p>
        </w:tc>
      </w:tr>
      <w:tr w14:paraId="1C54C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0CFF4733">
            <w:pPr>
              <w:spacing w:line="360" w:lineRule="auto"/>
              <w:jc w:val="left"/>
              <w:rPr>
                <w:rFonts w:ascii="宋体"/>
                <w:color w:val="auto"/>
                <w:sz w:val="22"/>
                <w:szCs w:val="21"/>
                <w:highlight w:val="none"/>
              </w:rPr>
            </w:pPr>
            <w:r>
              <w:rPr>
                <w:rFonts w:hint="eastAsia" w:ascii="宋体" w:hAnsi="宋体"/>
                <w:color w:val="auto"/>
                <w:sz w:val="22"/>
                <w:szCs w:val="21"/>
                <w:highlight w:val="none"/>
              </w:rPr>
              <w:t>近三年来完成或正在履行的重大合同情况</w:t>
            </w:r>
          </w:p>
        </w:tc>
        <w:tc>
          <w:tcPr>
            <w:tcW w:w="7183" w:type="dxa"/>
            <w:gridSpan w:val="3"/>
          </w:tcPr>
          <w:p w14:paraId="385B2986">
            <w:pPr>
              <w:spacing w:line="360" w:lineRule="auto"/>
              <w:jc w:val="left"/>
              <w:rPr>
                <w:rFonts w:ascii="宋体"/>
                <w:color w:val="auto"/>
                <w:sz w:val="22"/>
                <w:szCs w:val="21"/>
                <w:highlight w:val="none"/>
              </w:rPr>
            </w:pPr>
          </w:p>
        </w:tc>
      </w:tr>
      <w:tr w14:paraId="071A7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7AE7C225">
            <w:pPr>
              <w:spacing w:line="360" w:lineRule="auto"/>
              <w:jc w:val="left"/>
              <w:rPr>
                <w:rFonts w:ascii="宋体"/>
                <w:color w:val="auto"/>
                <w:sz w:val="22"/>
                <w:szCs w:val="21"/>
                <w:highlight w:val="none"/>
              </w:rPr>
            </w:pPr>
            <w:r>
              <w:rPr>
                <w:rFonts w:hint="eastAsia" w:ascii="宋体" w:hAnsi="宋体"/>
                <w:color w:val="auto"/>
                <w:sz w:val="22"/>
                <w:szCs w:val="21"/>
                <w:highlight w:val="none"/>
              </w:rPr>
              <w:t>最近</w:t>
            </w:r>
            <w:r>
              <w:rPr>
                <w:rFonts w:ascii="宋体" w:hAnsi="宋体"/>
                <w:color w:val="auto"/>
                <w:sz w:val="22"/>
                <w:szCs w:val="21"/>
                <w:highlight w:val="none"/>
              </w:rPr>
              <w:t>2</w:t>
            </w:r>
            <w:r>
              <w:rPr>
                <w:rFonts w:hint="eastAsia" w:ascii="宋体" w:hAnsi="宋体"/>
                <w:color w:val="auto"/>
                <w:sz w:val="22"/>
                <w:szCs w:val="21"/>
                <w:highlight w:val="none"/>
              </w:rPr>
              <w:t>年内在经营过程中受到何种奖励或处分</w:t>
            </w:r>
          </w:p>
        </w:tc>
        <w:tc>
          <w:tcPr>
            <w:tcW w:w="7183" w:type="dxa"/>
            <w:gridSpan w:val="3"/>
          </w:tcPr>
          <w:p w14:paraId="280FF443">
            <w:pPr>
              <w:spacing w:line="360" w:lineRule="auto"/>
              <w:jc w:val="left"/>
              <w:rPr>
                <w:rFonts w:ascii="宋体"/>
                <w:color w:val="auto"/>
                <w:sz w:val="22"/>
                <w:szCs w:val="21"/>
                <w:highlight w:val="none"/>
              </w:rPr>
            </w:pPr>
            <w:r>
              <w:rPr>
                <w:rFonts w:hint="eastAsia" w:ascii="宋体" w:hAnsi="宋体"/>
                <w:color w:val="auto"/>
                <w:sz w:val="22"/>
                <w:szCs w:val="21"/>
                <w:highlight w:val="none"/>
              </w:rPr>
              <w:t>（包括财政、工商、税务、物价、技监部门稽查情况和结果）</w:t>
            </w:r>
          </w:p>
        </w:tc>
      </w:tr>
      <w:tr w14:paraId="48577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1DE1B5AA">
            <w:pPr>
              <w:spacing w:line="360" w:lineRule="auto"/>
              <w:jc w:val="left"/>
              <w:rPr>
                <w:rFonts w:ascii="宋体"/>
                <w:color w:val="auto"/>
                <w:sz w:val="22"/>
                <w:szCs w:val="21"/>
                <w:highlight w:val="none"/>
              </w:rPr>
            </w:pPr>
            <w:r>
              <w:rPr>
                <w:rFonts w:hint="eastAsia" w:ascii="宋体" w:hAnsi="宋体"/>
                <w:color w:val="auto"/>
                <w:sz w:val="22"/>
                <w:szCs w:val="21"/>
                <w:highlight w:val="none"/>
              </w:rPr>
              <w:t>最近</w:t>
            </w:r>
            <w:r>
              <w:rPr>
                <w:rFonts w:ascii="宋体" w:hAnsi="宋体"/>
                <w:color w:val="auto"/>
                <w:sz w:val="22"/>
                <w:szCs w:val="21"/>
                <w:highlight w:val="none"/>
              </w:rPr>
              <w:t>3</w:t>
            </w:r>
            <w:r>
              <w:rPr>
                <w:rFonts w:hint="eastAsia" w:ascii="宋体" w:hAnsi="宋体"/>
                <w:color w:val="auto"/>
                <w:sz w:val="22"/>
                <w:szCs w:val="21"/>
                <w:highlight w:val="none"/>
              </w:rPr>
              <w:t>年内有无因售假、售劣或是其他原因被消费者投诉或起诉的情况及说明</w:t>
            </w:r>
          </w:p>
        </w:tc>
        <w:tc>
          <w:tcPr>
            <w:tcW w:w="7183" w:type="dxa"/>
            <w:gridSpan w:val="3"/>
          </w:tcPr>
          <w:p w14:paraId="7702FAAB">
            <w:pPr>
              <w:spacing w:line="360" w:lineRule="auto"/>
              <w:jc w:val="left"/>
              <w:rPr>
                <w:rFonts w:ascii="宋体"/>
                <w:color w:val="auto"/>
                <w:sz w:val="22"/>
                <w:szCs w:val="21"/>
                <w:highlight w:val="none"/>
              </w:rPr>
            </w:pPr>
            <w:r>
              <w:rPr>
                <w:rFonts w:hint="eastAsia" w:ascii="宋体" w:hAnsi="宋体"/>
                <w:color w:val="auto"/>
                <w:sz w:val="22"/>
                <w:szCs w:val="21"/>
                <w:highlight w:val="none"/>
              </w:rPr>
              <w:t>（包括解决方式和结果）</w:t>
            </w:r>
          </w:p>
        </w:tc>
      </w:tr>
      <w:tr w14:paraId="495E9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5D708FD5">
            <w:pPr>
              <w:spacing w:line="360" w:lineRule="auto"/>
              <w:jc w:val="left"/>
              <w:rPr>
                <w:rFonts w:ascii="宋体" w:hAnsi="宋体"/>
                <w:color w:val="auto"/>
                <w:sz w:val="22"/>
                <w:szCs w:val="21"/>
                <w:highlight w:val="none"/>
              </w:rPr>
            </w:pPr>
            <w:r>
              <w:rPr>
                <w:rFonts w:hint="eastAsia" w:ascii="宋体" w:hAnsi="宋体"/>
                <w:color w:val="auto"/>
                <w:sz w:val="22"/>
                <w:szCs w:val="21"/>
                <w:highlight w:val="none"/>
              </w:rPr>
              <w:t>参加政府采购活动前三年内，在经营活动中有无重大违法记录情况及说明</w:t>
            </w:r>
          </w:p>
        </w:tc>
        <w:tc>
          <w:tcPr>
            <w:tcW w:w="7183" w:type="dxa"/>
            <w:gridSpan w:val="3"/>
          </w:tcPr>
          <w:p w14:paraId="424AC46E">
            <w:pPr>
              <w:spacing w:line="360" w:lineRule="auto"/>
              <w:jc w:val="left"/>
              <w:rPr>
                <w:rFonts w:ascii="宋体"/>
                <w:color w:val="auto"/>
                <w:sz w:val="22"/>
                <w:szCs w:val="21"/>
                <w:highlight w:val="none"/>
              </w:rPr>
            </w:pPr>
          </w:p>
        </w:tc>
      </w:tr>
      <w:tr w14:paraId="6ADC5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4D1DF505">
            <w:pPr>
              <w:spacing w:line="360" w:lineRule="auto"/>
              <w:jc w:val="left"/>
              <w:rPr>
                <w:rFonts w:ascii="宋体"/>
                <w:color w:val="auto"/>
                <w:sz w:val="22"/>
                <w:szCs w:val="21"/>
                <w:highlight w:val="none"/>
              </w:rPr>
            </w:pPr>
            <w:r>
              <w:rPr>
                <w:rFonts w:hint="eastAsia" w:ascii="宋体" w:hAnsi="宋体"/>
                <w:color w:val="auto"/>
                <w:sz w:val="22"/>
                <w:szCs w:val="21"/>
                <w:highlight w:val="none"/>
              </w:rPr>
              <w:t>获得技术认证的工程师及简介</w:t>
            </w:r>
          </w:p>
        </w:tc>
        <w:tc>
          <w:tcPr>
            <w:tcW w:w="7183" w:type="dxa"/>
            <w:gridSpan w:val="3"/>
          </w:tcPr>
          <w:p w14:paraId="114DA5BF">
            <w:pPr>
              <w:spacing w:line="360" w:lineRule="auto"/>
              <w:jc w:val="left"/>
              <w:rPr>
                <w:rFonts w:ascii="宋体"/>
                <w:color w:val="auto"/>
                <w:sz w:val="22"/>
                <w:szCs w:val="21"/>
                <w:highlight w:val="none"/>
              </w:rPr>
            </w:pPr>
          </w:p>
        </w:tc>
      </w:tr>
      <w:tr w14:paraId="37E88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2590" w:type="dxa"/>
          </w:tcPr>
          <w:p w14:paraId="22FE3A9A">
            <w:pPr>
              <w:spacing w:line="360" w:lineRule="auto"/>
              <w:jc w:val="left"/>
              <w:rPr>
                <w:rFonts w:ascii="宋体"/>
                <w:color w:val="auto"/>
                <w:sz w:val="22"/>
                <w:szCs w:val="21"/>
                <w:highlight w:val="none"/>
              </w:rPr>
            </w:pPr>
            <w:r>
              <w:rPr>
                <w:rFonts w:hint="eastAsia" w:ascii="宋体" w:hAnsi="宋体"/>
                <w:color w:val="auto"/>
                <w:sz w:val="22"/>
                <w:szCs w:val="21"/>
                <w:highlight w:val="none"/>
              </w:rPr>
              <w:t>其他需要说明的情况</w:t>
            </w:r>
          </w:p>
        </w:tc>
        <w:tc>
          <w:tcPr>
            <w:tcW w:w="7183" w:type="dxa"/>
            <w:gridSpan w:val="3"/>
          </w:tcPr>
          <w:p w14:paraId="0E1ADEF8">
            <w:pPr>
              <w:spacing w:line="360" w:lineRule="auto"/>
              <w:jc w:val="left"/>
              <w:rPr>
                <w:rFonts w:ascii="宋体"/>
                <w:color w:val="auto"/>
                <w:sz w:val="22"/>
                <w:szCs w:val="21"/>
                <w:highlight w:val="none"/>
              </w:rPr>
            </w:pPr>
          </w:p>
        </w:tc>
      </w:tr>
    </w:tbl>
    <w:p w14:paraId="6F5C9A94">
      <w:pPr>
        <w:spacing w:line="360" w:lineRule="auto"/>
        <w:jc w:val="left"/>
        <w:rPr>
          <w:rFonts w:ascii="宋体"/>
          <w:color w:val="auto"/>
          <w:highlight w:val="none"/>
        </w:rPr>
        <w:sectPr>
          <w:pgSz w:w="11906" w:h="16838"/>
          <w:pgMar w:top="1440" w:right="1077" w:bottom="1440" w:left="1077" w:header="624" w:footer="794" w:gutter="0"/>
          <w:pgBorders>
            <w:top w:val="none" w:sz="0" w:space="0"/>
            <w:left w:val="none" w:sz="0" w:space="0"/>
            <w:bottom w:val="none" w:sz="0" w:space="0"/>
            <w:right w:val="none" w:sz="0" w:space="0"/>
          </w:pgBorders>
          <w:pgNumType w:fmt="decimal"/>
          <w:cols w:space="720" w:num="1"/>
          <w:docGrid w:linePitch="360" w:charSpace="0"/>
        </w:sectPr>
      </w:pPr>
    </w:p>
    <w:p w14:paraId="4EA309B7">
      <w:pPr>
        <w:rPr>
          <w:rFonts w:eastAsia="黑体"/>
          <w:bCs/>
          <w:color w:val="auto"/>
          <w:sz w:val="28"/>
          <w:szCs w:val="28"/>
          <w:highlight w:val="none"/>
        </w:rPr>
      </w:pPr>
      <w:r>
        <w:rPr>
          <w:rFonts w:hint="eastAsia" w:ascii="宋体" w:hAnsi="宋体" w:cs="宋体"/>
          <w:color w:val="auto"/>
          <w:sz w:val="24"/>
          <w:szCs w:val="24"/>
          <w:highlight w:val="none"/>
        </w:rPr>
        <w:t>（十四）关于符合本国产品标准的声明函</w:t>
      </w:r>
    </w:p>
    <w:p w14:paraId="5FB88553">
      <w:pPr>
        <w:pStyle w:val="957"/>
        <w:widowControl/>
        <w:pBdr>
          <w:top w:val="none" w:color="000000" w:sz="0" w:space="0"/>
          <w:left w:val="none" w:color="000000" w:sz="0" w:space="0"/>
          <w:bottom w:val="none" w:color="000000" w:sz="0" w:space="0"/>
          <w:right w:val="none" w:color="000000" w:sz="0" w:space="0"/>
          <w:between w:val="none" w:color="000000" w:sz="0" w:space="0"/>
        </w:pBdr>
        <w:spacing w:line="360" w:lineRule="auto"/>
        <w:jc w:val="center"/>
        <w:rPr>
          <w:rFonts w:eastAsia="黑体"/>
          <w:bCs/>
          <w:color w:val="auto"/>
          <w:sz w:val="28"/>
          <w:szCs w:val="28"/>
          <w:highlight w:val="none"/>
        </w:rPr>
      </w:pPr>
      <w:r>
        <w:rPr>
          <w:rFonts w:hint="eastAsia" w:eastAsia="黑体"/>
          <w:bCs/>
          <w:color w:val="auto"/>
          <w:sz w:val="28"/>
          <w:szCs w:val="28"/>
          <w:highlight w:val="none"/>
        </w:rPr>
        <w:t>关于符合本国产品标准的声明函</w:t>
      </w:r>
    </w:p>
    <w:p w14:paraId="44DFA4CF">
      <w:pPr>
        <w:pStyle w:val="957"/>
        <w:widowControl/>
        <w:pBdr>
          <w:top w:val="none" w:color="000000" w:sz="0" w:space="0"/>
          <w:left w:val="none" w:color="000000" w:sz="0" w:space="0"/>
          <w:bottom w:val="none" w:color="000000" w:sz="0" w:space="0"/>
          <w:right w:val="none" w:color="000000" w:sz="0" w:space="0"/>
          <w:between w:val="none" w:color="000000" w:sz="0" w:space="0"/>
        </w:pBdr>
        <w:spacing w:line="360" w:lineRule="auto"/>
        <w:jc w:val="center"/>
        <w:rPr>
          <w:rFonts w:eastAsia="黑体"/>
          <w:bCs/>
          <w:color w:val="auto"/>
          <w:sz w:val="28"/>
          <w:szCs w:val="28"/>
          <w:highlight w:val="none"/>
          <w:u w:val="single"/>
        </w:rPr>
      </w:pPr>
      <w:r>
        <w:rPr>
          <w:rFonts w:hint="eastAsia" w:eastAsia="黑体"/>
          <w:bCs/>
          <w:color w:val="auto"/>
          <w:sz w:val="28"/>
          <w:szCs w:val="28"/>
          <w:highlight w:val="none"/>
          <w:u w:val="single"/>
        </w:rPr>
        <w:t>本项目不适用本国产品标准及相关政策，无需填写此声明函。</w:t>
      </w:r>
    </w:p>
    <w:p w14:paraId="52C26301">
      <w:pPr>
        <w:pStyle w:val="957"/>
        <w:widowControl/>
        <w:pBdr>
          <w:top w:val="none" w:color="000000" w:sz="0" w:space="0"/>
          <w:left w:val="none" w:color="000000" w:sz="0" w:space="0"/>
          <w:bottom w:val="none" w:color="000000" w:sz="0" w:space="0"/>
          <w:right w:val="none" w:color="000000" w:sz="0" w:space="0"/>
          <w:between w:val="none" w:color="000000" w:sz="0" w:space="0"/>
        </w:pBdr>
        <w:spacing w:line="360" w:lineRule="auto"/>
        <w:ind w:firstLine="420"/>
        <w:rPr>
          <w:color w:val="auto"/>
          <w:highlight w:val="none"/>
        </w:rPr>
      </w:pPr>
      <w:r>
        <w:rPr>
          <w:rFonts w:hint="eastAsia" w:ascii="宋体" w:hAnsi="宋体" w:cs="宋体"/>
          <w:color w:val="auto"/>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065CF3FC">
      <w:pPr>
        <w:pStyle w:val="957"/>
        <w:widowControl/>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after="30" w:line="360" w:lineRule="auto"/>
        <w:ind w:firstLine="420"/>
        <w:rPr>
          <w:color w:val="auto"/>
          <w:highlight w:val="none"/>
        </w:rPr>
      </w:pPr>
      <w:r>
        <w:rPr>
          <w:rFonts w:hint="eastAsia" w:ascii="宋体" w:hAnsi="宋体" w:cs="宋体"/>
          <w:color w:val="auto"/>
          <w:szCs w:val="24"/>
          <w:highlight w:val="none"/>
          <w:shd w:val="clear" w:color="auto" w:fill="FFFFFF"/>
        </w:rPr>
        <w:t>1.</w:t>
      </w:r>
      <w:r>
        <w:rPr>
          <w:rFonts w:hint="eastAsia" w:ascii="宋体" w:hAnsi="宋体" w:cs="宋体"/>
          <w:color w:val="auto"/>
          <w:szCs w:val="24"/>
          <w:highlight w:val="none"/>
          <w:u w:val="single"/>
          <w:shd w:val="clear" w:color="auto" w:fill="FFFFFF"/>
        </w:rPr>
        <w:t>（产品名称1）</w:t>
      </w:r>
      <w:r>
        <w:rPr>
          <w:rFonts w:hint="eastAsia" w:ascii="宋体" w:hAnsi="宋体" w:cs="宋体"/>
          <w:color w:val="auto"/>
          <w:szCs w:val="24"/>
          <w:highlight w:val="none"/>
          <w:shd w:val="clear" w:color="auto" w:fill="FFFFFF"/>
          <w:vertAlign w:val="superscript"/>
        </w:rPr>
        <w:t>1</w:t>
      </w:r>
      <w:r>
        <w:rPr>
          <w:rFonts w:hint="eastAsia" w:ascii="宋体" w:hAnsi="宋体" w:cs="宋体"/>
          <w:color w:val="auto"/>
          <w:szCs w:val="24"/>
          <w:highlight w:val="none"/>
          <w:shd w:val="clear" w:color="auto" w:fill="FFFFFF"/>
        </w:rPr>
        <w:t>，生产厂为</w:t>
      </w:r>
      <w:r>
        <w:rPr>
          <w:rFonts w:hint="eastAsia" w:ascii="宋体" w:hAnsi="宋体" w:cs="宋体"/>
          <w:color w:val="auto"/>
          <w:szCs w:val="24"/>
          <w:highlight w:val="none"/>
          <w:u w:val="single"/>
          <w:shd w:val="clear" w:color="auto" w:fill="FFFFFF"/>
        </w:rPr>
        <w:t>（厂名）</w:t>
      </w:r>
      <w:r>
        <w:rPr>
          <w:rFonts w:hint="eastAsia" w:ascii="宋体" w:hAnsi="宋体" w:cs="宋体"/>
          <w:color w:val="auto"/>
          <w:szCs w:val="24"/>
          <w:highlight w:val="none"/>
          <w:shd w:val="clear" w:color="auto" w:fill="FFFFFF"/>
          <w:vertAlign w:val="superscript"/>
        </w:rPr>
        <w:t>2</w:t>
      </w:r>
      <w:r>
        <w:rPr>
          <w:rFonts w:hint="eastAsia" w:ascii="宋体" w:hAnsi="宋体" w:cs="宋体"/>
          <w:color w:val="auto"/>
          <w:szCs w:val="24"/>
          <w:highlight w:val="none"/>
          <w:shd w:val="clear" w:color="auto" w:fill="FFFFFF"/>
        </w:rPr>
        <w:t>，厂址为</w:t>
      </w:r>
      <w:r>
        <w:rPr>
          <w:rFonts w:hint="eastAsia" w:ascii="宋体" w:hAnsi="宋体" w:cs="宋体"/>
          <w:color w:val="auto"/>
          <w:szCs w:val="24"/>
          <w:highlight w:val="none"/>
          <w:u w:val="single"/>
          <w:shd w:val="clear" w:color="auto" w:fill="FFFFFF"/>
        </w:rPr>
        <w:t>（生产厂址）</w:t>
      </w:r>
      <w:r>
        <w:rPr>
          <w:rFonts w:hint="eastAsia" w:ascii="宋体" w:hAnsi="宋体" w:cs="宋体"/>
          <w:color w:val="auto"/>
          <w:szCs w:val="24"/>
          <w:highlight w:val="none"/>
          <w:shd w:val="clear" w:color="auto" w:fill="FFFFFF"/>
        </w:rPr>
        <w:t>。</w:t>
      </w:r>
      <w:r>
        <w:rPr>
          <w:rFonts w:hint="eastAsia" w:ascii="宋体" w:hAnsi="宋体" w:cs="宋体"/>
          <w:color w:val="auto"/>
          <w:szCs w:val="24"/>
          <w:highlight w:val="none"/>
          <w:u w:val="single"/>
          <w:shd w:val="clear" w:color="auto" w:fill="FFFFFF"/>
        </w:rPr>
        <w:t xml:space="preserve"> / </w:t>
      </w:r>
      <w:r>
        <w:rPr>
          <w:rFonts w:hint="eastAsia" w:ascii="宋体" w:hAnsi="宋体" w:cs="宋体"/>
          <w:color w:val="auto"/>
          <w:szCs w:val="24"/>
          <w:highlight w:val="none"/>
          <w:shd w:val="clear" w:color="auto" w:fill="FFFFFF"/>
        </w:rPr>
        <w:t>的中国境内生产的组件成本占比≥</w:t>
      </w:r>
      <w:r>
        <w:rPr>
          <w:rFonts w:hint="eastAsia" w:ascii="宋体" w:hAnsi="宋体" w:cs="宋体"/>
          <w:color w:val="auto"/>
          <w:szCs w:val="24"/>
          <w:highlight w:val="none"/>
          <w:u w:val="single"/>
          <w:shd w:val="clear" w:color="auto" w:fill="FFFFFF"/>
        </w:rPr>
        <w:t xml:space="preserve">  /  </w:t>
      </w:r>
      <w:r>
        <w:rPr>
          <w:rFonts w:hint="eastAsia" w:ascii="宋体" w:hAnsi="宋体" w:cs="宋体"/>
          <w:color w:val="auto"/>
          <w:szCs w:val="24"/>
          <w:highlight w:val="none"/>
          <w:shd w:val="clear" w:color="auto" w:fill="FFFFFF"/>
          <w:vertAlign w:val="superscript"/>
        </w:rPr>
        <w:t>3</w:t>
      </w:r>
      <w:r>
        <w:rPr>
          <w:rFonts w:hint="eastAsia" w:ascii="宋体" w:hAnsi="宋体" w:cs="宋体"/>
          <w:color w:val="auto"/>
          <w:szCs w:val="24"/>
          <w:highlight w:val="none"/>
          <w:shd w:val="clear" w:color="auto" w:fill="FFFFFF"/>
        </w:rPr>
        <w:t>。</w:t>
      </w:r>
      <w:r>
        <w:rPr>
          <w:rFonts w:hint="eastAsia" w:ascii="宋体" w:hAnsi="宋体" w:cs="宋体"/>
          <w:color w:val="auto"/>
          <w:szCs w:val="24"/>
          <w:highlight w:val="none"/>
          <w:u w:val="single"/>
          <w:shd w:val="clear" w:color="auto" w:fill="FFFFFF"/>
        </w:rPr>
        <w:t xml:space="preserve">  /  </w:t>
      </w:r>
      <w:r>
        <w:rPr>
          <w:rFonts w:hint="eastAsia" w:ascii="宋体" w:hAnsi="宋体" w:cs="宋体"/>
          <w:color w:val="auto"/>
          <w:szCs w:val="24"/>
          <w:highlight w:val="none"/>
          <w:shd w:val="clear" w:color="auto" w:fill="FFFFFF"/>
        </w:rPr>
        <w:t>的</w:t>
      </w:r>
      <w:r>
        <w:rPr>
          <w:rFonts w:hint="eastAsia" w:ascii="宋体" w:hAnsi="宋体" w:cs="宋体"/>
          <w:color w:val="auto"/>
          <w:szCs w:val="24"/>
          <w:highlight w:val="none"/>
          <w:u w:val="single"/>
          <w:shd w:val="clear" w:color="auto" w:fill="FFFFFF"/>
        </w:rPr>
        <w:t xml:space="preserve">  /  </w:t>
      </w:r>
      <w:r>
        <w:rPr>
          <w:rFonts w:hint="eastAsia" w:ascii="宋体" w:hAnsi="宋体" w:cs="宋体"/>
          <w:color w:val="auto"/>
          <w:szCs w:val="24"/>
          <w:highlight w:val="none"/>
          <w:shd w:val="clear" w:color="auto" w:fill="FFFFFF"/>
          <w:vertAlign w:val="superscript"/>
        </w:rPr>
        <w:t>4</w:t>
      </w:r>
      <w:r>
        <w:rPr>
          <w:rFonts w:hint="eastAsia" w:ascii="宋体" w:hAnsi="宋体" w:cs="宋体"/>
          <w:color w:val="auto"/>
          <w:szCs w:val="24"/>
          <w:highlight w:val="none"/>
          <w:shd w:val="clear" w:color="auto" w:fill="FFFFFF"/>
        </w:rPr>
        <w:t>在中国境内生产。</w:t>
      </w:r>
      <w:r>
        <w:rPr>
          <w:rFonts w:hint="eastAsia" w:ascii="宋体" w:hAnsi="宋体" w:cs="宋体"/>
          <w:color w:val="auto"/>
          <w:szCs w:val="24"/>
          <w:highlight w:val="none"/>
          <w:u w:val="single"/>
          <w:shd w:val="clear" w:color="auto" w:fill="FFFFFF"/>
        </w:rPr>
        <w:t xml:space="preserve">  /  </w:t>
      </w:r>
      <w:r>
        <w:rPr>
          <w:rFonts w:hint="eastAsia" w:ascii="宋体" w:hAnsi="宋体" w:cs="宋体"/>
          <w:color w:val="auto"/>
          <w:szCs w:val="24"/>
          <w:highlight w:val="none"/>
          <w:shd w:val="clear" w:color="auto" w:fill="FFFFFF"/>
        </w:rPr>
        <w:t>的</w:t>
      </w:r>
      <w:r>
        <w:rPr>
          <w:rFonts w:hint="eastAsia" w:ascii="宋体" w:hAnsi="宋体" w:cs="宋体"/>
          <w:color w:val="auto"/>
          <w:szCs w:val="24"/>
          <w:highlight w:val="none"/>
          <w:u w:val="single"/>
          <w:shd w:val="clear" w:color="auto" w:fill="FFFFFF"/>
        </w:rPr>
        <w:t xml:space="preserve">  /  </w:t>
      </w:r>
      <w:r>
        <w:rPr>
          <w:rFonts w:hint="eastAsia" w:ascii="宋体" w:hAnsi="宋体" w:cs="宋体"/>
          <w:color w:val="auto"/>
          <w:szCs w:val="24"/>
          <w:highlight w:val="none"/>
          <w:shd w:val="clear" w:color="auto" w:fill="FFFFFF"/>
          <w:vertAlign w:val="superscript"/>
        </w:rPr>
        <w:t>5</w:t>
      </w:r>
      <w:r>
        <w:rPr>
          <w:rFonts w:hint="eastAsia" w:ascii="宋体" w:hAnsi="宋体" w:cs="宋体"/>
          <w:color w:val="auto"/>
          <w:szCs w:val="24"/>
          <w:highlight w:val="none"/>
          <w:shd w:val="clear" w:color="auto" w:fill="FFFFFF"/>
        </w:rPr>
        <w:t>在中国境内完成。</w:t>
      </w:r>
    </w:p>
    <w:p w14:paraId="3708BD20">
      <w:pPr>
        <w:pStyle w:val="957"/>
        <w:widowControl/>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after="30" w:line="360" w:lineRule="auto"/>
        <w:ind w:firstLine="420"/>
        <w:rPr>
          <w:color w:val="auto"/>
          <w:highlight w:val="none"/>
        </w:rPr>
      </w:pPr>
      <w:r>
        <w:rPr>
          <w:rFonts w:hint="eastAsia" w:ascii="宋体" w:hAnsi="宋体" w:cs="宋体"/>
          <w:color w:val="auto"/>
          <w:szCs w:val="24"/>
          <w:highlight w:val="none"/>
          <w:shd w:val="clear" w:color="auto" w:fill="FFFFFF"/>
        </w:rPr>
        <w:t>2.</w:t>
      </w:r>
      <w:r>
        <w:rPr>
          <w:rFonts w:hint="eastAsia" w:ascii="宋体" w:hAnsi="宋体" w:cs="宋体"/>
          <w:color w:val="auto"/>
          <w:szCs w:val="24"/>
          <w:highlight w:val="none"/>
          <w:u w:val="single"/>
          <w:shd w:val="clear" w:color="auto" w:fill="FFFFFF"/>
        </w:rPr>
        <w:t>（产品名称2）</w:t>
      </w:r>
      <w:r>
        <w:rPr>
          <w:rFonts w:hint="eastAsia" w:ascii="宋体" w:hAnsi="宋体" w:cs="宋体"/>
          <w:color w:val="auto"/>
          <w:szCs w:val="24"/>
          <w:highlight w:val="none"/>
          <w:shd w:val="clear" w:color="auto" w:fill="FFFFFF"/>
        </w:rPr>
        <w:t>，生产厂为</w:t>
      </w:r>
      <w:r>
        <w:rPr>
          <w:rFonts w:hint="eastAsia" w:ascii="宋体" w:hAnsi="宋体" w:cs="宋体"/>
          <w:color w:val="auto"/>
          <w:szCs w:val="24"/>
          <w:highlight w:val="none"/>
          <w:u w:val="single"/>
          <w:shd w:val="clear" w:color="auto" w:fill="FFFFFF"/>
        </w:rPr>
        <w:t>（厂名）</w:t>
      </w:r>
      <w:r>
        <w:rPr>
          <w:rFonts w:hint="eastAsia" w:ascii="宋体" w:hAnsi="宋体" w:cs="宋体"/>
          <w:color w:val="auto"/>
          <w:szCs w:val="24"/>
          <w:highlight w:val="none"/>
          <w:shd w:val="clear" w:color="auto" w:fill="FFFFFF"/>
        </w:rPr>
        <w:t>，厂址为</w:t>
      </w:r>
      <w:r>
        <w:rPr>
          <w:rFonts w:hint="eastAsia" w:ascii="宋体" w:hAnsi="宋体" w:cs="宋体"/>
          <w:color w:val="auto"/>
          <w:szCs w:val="24"/>
          <w:highlight w:val="none"/>
          <w:u w:val="single"/>
          <w:shd w:val="clear" w:color="auto" w:fill="FFFFFF"/>
        </w:rPr>
        <w:t>（生产厂址）</w:t>
      </w:r>
      <w:r>
        <w:rPr>
          <w:rFonts w:hint="eastAsia" w:ascii="宋体" w:hAnsi="宋体" w:cs="宋体"/>
          <w:color w:val="auto"/>
          <w:szCs w:val="24"/>
          <w:highlight w:val="none"/>
          <w:shd w:val="clear" w:color="auto" w:fill="FFFFFF"/>
        </w:rPr>
        <w:t>。</w:t>
      </w:r>
      <w:r>
        <w:rPr>
          <w:rFonts w:hint="eastAsia" w:ascii="宋体" w:hAnsi="宋体" w:cs="宋体"/>
          <w:color w:val="auto"/>
          <w:szCs w:val="24"/>
          <w:highlight w:val="none"/>
          <w:u w:val="single"/>
          <w:shd w:val="clear" w:color="auto" w:fill="FFFFFF"/>
        </w:rPr>
        <w:t xml:space="preserve"> /  </w:t>
      </w:r>
      <w:r>
        <w:rPr>
          <w:rFonts w:hint="eastAsia" w:ascii="宋体" w:hAnsi="宋体" w:cs="宋体"/>
          <w:color w:val="auto"/>
          <w:szCs w:val="24"/>
          <w:highlight w:val="none"/>
          <w:shd w:val="clear" w:color="auto" w:fill="FFFFFF"/>
        </w:rPr>
        <w:t>的中国境内生产的组件成本占比≥</w:t>
      </w:r>
      <w:r>
        <w:rPr>
          <w:rFonts w:hint="eastAsia" w:ascii="宋体" w:hAnsi="宋体" w:cs="宋体"/>
          <w:color w:val="auto"/>
          <w:szCs w:val="24"/>
          <w:highlight w:val="none"/>
          <w:u w:val="single"/>
          <w:shd w:val="clear" w:color="auto" w:fill="FFFFFF"/>
        </w:rPr>
        <w:t xml:space="preserve">  /  </w:t>
      </w:r>
      <w:r>
        <w:rPr>
          <w:rFonts w:hint="eastAsia" w:ascii="宋体" w:hAnsi="宋体" w:cs="宋体"/>
          <w:color w:val="auto"/>
          <w:szCs w:val="24"/>
          <w:highlight w:val="none"/>
          <w:shd w:val="clear" w:color="auto" w:fill="FFFFFF"/>
        </w:rPr>
        <w:t>。</w:t>
      </w:r>
      <w:r>
        <w:rPr>
          <w:rFonts w:hint="eastAsia" w:ascii="宋体" w:hAnsi="宋体" w:cs="宋体"/>
          <w:color w:val="auto"/>
          <w:szCs w:val="24"/>
          <w:highlight w:val="none"/>
          <w:u w:val="single"/>
          <w:shd w:val="clear" w:color="auto" w:fill="FFFFFF"/>
        </w:rPr>
        <w:t xml:space="preserve">  /  </w:t>
      </w:r>
      <w:r>
        <w:rPr>
          <w:rFonts w:hint="eastAsia" w:ascii="宋体" w:hAnsi="宋体" w:cs="宋体"/>
          <w:color w:val="auto"/>
          <w:szCs w:val="24"/>
          <w:highlight w:val="none"/>
          <w:shd w:val="clear" w:color="auto" w:fill="FFFFFF"/>
        </w:rPr>
        <w:t>的</w:t>
      </w:r>
      <w:r>
        <w:rPr>
          <w:rFonts w:hint="eastAsia" w:ascii="宋体" w:hAnsi="宋体" w:cs="宋体"/>
          <w:color w:val="auto"/>
          <w:szCs w:val="24"/>
          <w:highlight w:val="none"/>
          <w:u w:val="single"/>
          <w:shd w:val="clear" w:color="auto" w:fill="FFFFFF"/>
        </w:rPr>
        <w:t xml:space="preserve">  /  </w:t>
      </w:r>
      <w:r>
        <w:rPr>
          <w:rFonts w:hint="eastAsia" w:ascii="宋体" w:hAnsi="宋体" w:cs="宋体"/>
          <w:color w:val="auto"/>
          <w:szCs w:val="24"/>
          <w:highlight w:val="none"/>
          <w:shd w:val="clear" w:color="auto" w:fill="FFFFFF"/>
        </w:rPr>
        <w:t>在中国境内生产。</w:t>
      </w:r>
      <w:r>
        <w:rPr>
          <w:rFonts w:hint="eastAsia" w:ascii="宋体" w:hAnsi="宋体" w:cs="宋体"/>
          <w:color w:val="auto"/>
          <w:szCs w:val="24"/>
          <w:highlight w:val="none"/>
          <w:u w:val="single"/>
          <w:shd w:val="clear" w:color="auto" w:fill="FFFFFF"/>
        </w:rPr>
        <w:t xml:space="preserve">  /  </w:t>
      </w:r>
      <w:r>
        <w:rPr>
          <w:rFonts w:hint="eastAsia" w:ascii="宋体" w:hAnsi="宋体" w:cs="宋体"/>
          <w:color w:val="auto"/>
          <w:szCs w:val="24"/>
          <w:highlight w:val="none"/>
          <w:shd w:val="clear" w:color="auto" w:fill="FFFFFF"/>
        </w:rPr>
        <w:t>的</w:t>
      </w:r>
      <w:r>
        <w:rPr>
          <w:rFonts w:hint="eastAsia" w:ascii="宋体" w:hAnsi="宋体" w:cs="宋体"/>
          <w:color w:val="auto"/>
          <w:szCs w:val="24"/>
          <w:highlight w:val="none"/>
          <w:u w:val="single"/>
          <w:shd w:val="clear" w:color="auto" w:fill="FFFFFF"/>
        </w:rPr>
        <w:t xml:space="preserve">  /  </w:t>
      </w:r>
      <w:r>
        <w:rPr>
          <w:rFonts w:hint="eastAsia" w:ascii="宋体" w:hAnsi="宋体" w:cs="宋体"/>
          <w:color w:val="auto"/>
          <w:szCs w:val="24"/>
          <w:highlight w:val="none"/>
          <w:shd w:val="clear" w:color="auto" w:fill="FFFFFF"/>
        </w:rPr>
        <w:t>在中国境内完成。</w:t>
      </w:r>
    </w:p>
    <w:p w14:paraId="654C3F67">
      <w:pPr>
        <w:pStyle w:val="957"/>
        <w:widowControl/>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after="30" w:line="360" w:lineRule="auto"/>
        <w:ind w:firstLine="420"/>
        <w:rPr>
          <w:color w:val="auto"/>
          <w:highlight w:val="none"/>
        </w:rPr>
      </w:pPr>
      <w:r>
        <w:rPr>
          <w:rFonts w:hint="eastAsia" w:ascii="宋体" w:hAnsi="宋体" w:cs="宋体"/>
          <w:color w:val="auto"/>
          <w:szCs w:val="24"/>
          <w:highlight w:val="none"/>
          <w:shd w:val="clear" w:color="auto" w:fill="FFFFFF"/>
        </w:rPr>
        <w:t>……</w:t>
      </w:r>
    </w:p>
    <w:p w14:paraId="392936E6">
      <w:pPr>
        <w:pStyle w:val="957"/>
        <w:widowControl/>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after="30" w:line="360" w:lineRule="auto"/>
        <w:ind w:firstLine="420"/>
        <w:rPr>
          <w:color w:val="auto"/>
          <w:highlight w:val="none"/>
        </w:rPr>
      </w:pPr>
      <w:r>
        <w:rPr>
          <w:rFonts w:hint="eastAsia" w:ascii="宋体" w:hAnsi="宋体" w:cs="宋体"/>
          <w:color w:val="auto"/>
          <w:szCs w:val="24"/>
          <w:highlight w:val="none"/>
          <w:shd w:val="clear" w:color="auto" w:fill="FFFFFF"/>
        </w:rPr>
        <w:t>本公司（单位）对上述声明内容的真实性负责。如有虚假，愿承担相应法律责任。</w:t>
      </w:r>
    </w:p>
    <w:p w14:paraId="7D2BDF48">
      <w:pPr>
        <w:pStyle w:val="957"/>
        <w:widowControl/>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after="30" w:line="0" w:lineRule="atLeast"/>
        <w:rPr>
          <w:color w:val="auto"/>
          <w:highlight w:val="none"/>
        </w:rPr>
      </w:pPr>
      <w:r>
        <w:rPr>
          <w:color w:val="auto"/>
          <w:highlight w:val="none"/>
          <w:shd w:val="clear" w:color="auto" w:fill="FFFFFF"/>
        </w:rPr>
        <w:t> </w:t>
      </w:r>
    </w:p>
    <w:p w14:paraId="1721C32C">
      <w:pPr>
        <w:pStyle w:val="957"/>
        <w:widowControl/>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after="30" w:line="360" w:lineRule="auto"/>
        <w:jc w:val="right"/>
        <w:rPr>
          <w:color w:val="auto"/>
          <w:highlight w:val="none"/>
        </w:rPr>
      </w:pPr>
      <w:r>
        <w:rPr>
          <w:rFonts w:hint="eastAsia" w:ascii="宋体" w:hAnsi="宋体" w:cs="宋体"/>
          <w:color w:val="auto"/>
          <w:szCs w:val="24"/>
          <w:highlight w:val="none"/>
          <w:shd w:val="clear" w:color="auto" w:fill="FFFFFF"/>
        </w:rPr>
        <w:t xml:space="preserve">   公司（单位）名称（加盖CA电子公章）：         </w:t>
      </w:r>
    </w:p>
    <w:p w14:paraId="054925C3">
      <w:pPr>
        <w:pStyle w:val="957"/>
        <w:widowControl/>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after="30" w:line="360" w:lineRule="auto"/>
        <w:jc w:val="center"/>
        <w:rPr>
          <w:color w:val="auto"/>
          <w:highlight w:val="none"/>
        </w:rPr>
      </w:pPr>
      <w:r>
        <w:rPr>
          <w:rFonts w:hint="eastAsia" w:ascii="宋体" w:hAnsi="宋体" w:cs="宋体"/>
          <w:color w:val="auto"/>
          <w:szCs w:val="24"/>
          <w:highlight w:val="none"/>
          <w:shd w:val="clear" w:color="auto" w:fill="FFFFFF"/>
        </w:rPr>
        <w:t xml:space="preserve">           日期：      年   月   日         </w:t>
      </w:r>
    </w:p>
    <w:p w14:paraId="623A54D9">
      <w:pPr>
        <w:pStyle w:val="957"/>
        <w:widowControl/>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after="30" w:line="0" w:lineRule="atLeast"/>
        <w:rPr>
          <w:color w:val="auto"/>
          <w:highlight w:val="none"/>
        </w:rPr>
      </w:pPr>
      <w:r>
        <w:rPr>
          <w:color w:val="auto"/>
          <w:highlight w:val="none"/>
          <w:shd w:val="clear" w:color="auto" w:fill="FFFFFF"/>
        </w:rPr>
        <w:t> </w:t>
      </w:r>
    </w:p>
    <w:p w14:paraId="72D5ECB5">
      <w:pPr>
        <w:pStyle w:val="957"/>
        <w:widowControl/>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after="30" w:line="0" w:lineRule="atLeast"/>
        <w:rPr>
          <w:color w:val="auto"/>
          <w:highlight w:val="none"/>
        </w:rPr>
      </w:pPr>
      <w:r>
        <w:rPr>
          <w:color w:val="auto"/>
          <w:highlight w:val="none"/>
          <w:shd w:val="clear" w:color="auto" w:fill="FFFFFF"/>
        </w:rPr>
        <w:t> </w:t>
      </w:r>
    </w:p>
    <w:p w14:paraId="13E6E0D4">
      <w:pPr>
        <w:pStyle w:val="957"/>
        <w:widowControl/>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after="30" w:line="0" w:lineRule="atLeast"/>
        <w:rPr>
          <w:color w:val="auto"/>
          <w:highlight w:val="none"/>
        </w:rPr>
      </w:pPr>
      <w:r>
        <w:rPr>
          <w:rFonts w:hint="eastAsia" w:ascii="宋体" w:hAnsi="宋体" w:cs="宋体"/>
          <w:color w:val="auto"/>
          <w:szCs w:val="24"/>
          <w:highlight w:val="none"/>
          <w:shd w:val="clear" w:color="auto" w:fill="FFFFFF"/>
        </w:rPr>
        <w:t>_________________</w:t>
      </w:r>
    </w:p>
    <w:p w14:paraId="1B4BEF46">
      <w:pPr>
        <w:pStyle w:val="957"/>
        <w:widowControl/>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after="30" w:line="360" w:lineRule="auto"/>
        <w:rPr>
          <w:color w:val="auto"/>
          <w:highlight w:val="none"/>
        </w:rPr>
      </w:pPr>
      <w:r>
        <w:rPr>
          <w:rFonts w:hint="eastAsia" w:ascii="宋体" w:hAnsi="宋体" w:cs="宋体"/>
          <w:color w:val="auto"/>
          <w:szCs w:val="24"/>
          <w:highlight w:val="none"/>
          <w:shd w:val="clear" w:color="auto" w:fill="FFFFFF"/>
        </w:rPr>
        <w:t>1.产品如有型号，请在“产品名称”栏一并填写。</w:t>
      </w:r>
    </w:p>
    <w:p w14:paraId="4B270421">
      <w:pPr>
        <w:pStyle w:val="957"/>
        <w:widowControl/>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after="30" w:line="360" w:lineRule="auto"/>
        <w:rPr>
          <w:color w:val="auto"/>
          <w:highlight w:val="none"/>
        </w:rPr>
      </w:pPr>
      <w:r>
        <w:rPr>
          <w:rFonts w:hint="eastAsia" w:ascii="宋体" w:hAnsi="宋体" w:cs="宋体"/>
          <w:color w:val="auto"/>
          <w:szCs w:val="24"/>
          <w:highlight w:val="none"/>
          <w:shd w:val="clear" w:color="auto" w:fill="FFFFFF"/>
        </w:rPr>
        <w:t>2.生产厂名与厂址应与生产厂营业执照载明的相关信息保持一致。</w:t>
      </w:r>
    </w:p>
    <w:p w14:paraId="32D64C91">
      <w:pPr>
        <w:pStyle w:val="957"/>
        <w:widowControl/>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after="30" w:line="360" w:lineRule="auto"/>
        <w:rPr>
          <w:color w:val="auto"/>
          <w:highlight w:val="none"/>
        </w:rPr>
      </w:pPr>
      <w:r>
        <w:rPr>
          <w:rFonts w:hint="eastAsia" w:ascii="宋体" w:hAnsi="宋体" w:cs="宋体"/>
          <w:color w:val="auto"/>
          <w:szCs w:val="24"/>
          <w:highlight w:val="none"/>
          <w:shd w:val="clear" w:color="auto" w:fill="FFFFFF"/>
        </w:rPr>
        <w:t>3.该产品的中国境内生产的组件成本占比相关要求实施前，“规定比例”栏可不填，下同。</w:t>
      </w:r>
    </w:p>
    <w:p w14:paraId="624423B3">
      <w:pPr>
        <w:pStyle w:val="957"/>
        <w:widowControl/>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after="30" w:line="360" w:lineRule="auto"/>
        <w:rPr>
          <w:color w:val="auto"/>
          <w:highlight w:val="none"/>
        </w:rPr>
      </w:pPr>
      <w:r>
        <w:rPr>
          <w:rFonts w:hint="eastAsia" w:ascii="宋体" w:hAnsi="宋体" w:cs="宋体"/>
          <w:color w:val="auto"/>
          <w:szCs w:val="24"/>
          <w:highlight w:val="none"/>
          <w:shd w:val="clear" w:color="auto" w:fill="FFFFFF"/>
        </w:rPr>
        <w:t>4.该产品的关键组件要求实施前，“关键组件”栏可不填，下同。</w:t>
      </w:r>
    </w:p>
    <w:p w14:paraId="6B1A7FBD">
      <w:pPr>
        <w:pStyle w:val="957"/>
        <w:widowControl/>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after="30" w:line="360" w:lineRule="auto"/>
        <w:rPr>
          <w:color w:val="auto"/>
          <w:highlight w:val="none"/>
        </w:rPr>
      </w:pPr>
      <w:r>
        <w:rPr>
          <w:rFonts w:hint="eastAsia" w:ascii="宋体" w:hAnsi="宋体" w:cs="宋体"/>
          <w:color w:val="auto"/>
          <w:szCs w:val="24"/>
          <w:highlight w:val="none"/>
          <w:shd w:val="clear" w:color="auto" w:fill="FFFFFF"/>
        </w:rPr>
        <w:t>5.该产品的关键工序要求实施前，“关键工序”栏可不填，下同。</w:t>
      </w:r>
    </w:p>
    <w:p w14:paraId="72A35D35">
      <w:pPr>
        <w:pStyle w:val="957"/>
        <w:widowControl/>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after="30" w:line="360" w:lineRule="auto"/>
        <w:rPr>
          <w:color w:val="auto"/>
          <w:highlight w:val="none"/>
        </w:rPr>
      </w:pPr>
      <w:r>
        <w:rPr>
          <w:rFonts w:hint="eastAsia" w:ascii="宋体" w:hAnsi="宋体" w:cs="宋体"/>
          <w:color w:val="auto"/>
          <w:szCs w:val="24"/>
          <w:highlight w:val="none"/>
          <w:shd w:val="clear" w:color="auto" w:fill="FFFFFF"/>
        </w:rPr>
        <w:t>6.《声明函》中标注“</w:t>
      </w:r>
      <w:r>
        <w:rPr>
          <w:rFonts w:hint="eastAsia" w:ascii="宋体" w:hAnsi="宋体" w:cs="宋体"/>
          <w:color w:val="auto"/>
          <w:szCs w:val="24"/>
          <w:highlight w:val="none"/>
          <w:u w:val="single"/>
          <w:shd w:val="clear" w:color="auto" w:fill="FFFFFF"/>
        </w:rPr>
        <w:t xml:space="preserve">  /  </w:t>
      </w:r>
      <w:r>
        <w:rPr>
          <w:rFonts w:hint="eastAsia" w:ascii="宋体" w:hAnsi="宋体" w:cs="宋体"/>
          <w:color w:val="auto"/>
          <w:szCs w:val="24"/>
          <w:highlight w:val="none"/>
          <w:shd w:val="clear" w:color="auto" w:fill="FFFFFF"/>
        </w:rPr>
        <w:t>”的地方无需填写。</w:t>
      </w:r>
    </w:p>
    <w:p w14:paraId="003BBBA9">
      <w:pPr>
        <w:pStyle w:val="79"/>
        <w:rPr>
          <w:color w:val="auto"/>
          <w:highlight w:val="none"/>
        </w:rPr>
        <w:sectPr>
          <w:pgSz w:w="11906" w:h="16838"/>
          <w:pgMar w:top="1440" w:right="1077" w:bottom="1440" w:left="1077" w:header="624" w:footer="794" w:gutter="0"/>
          <w:pgBorders>
            <w:top w:val="none" w:sz="0" w:space="0"/>
            <w:left w:val="none" w:sz="0" w:space="0"/>
            <w:bottom w:val="none" w:sz="0" w:space="0"/>
            <w:right w:val="none" w:sz="0" w:space="0"/>
          </w:pgBorders>
          <w:pgNumType w:fmt="decimal"/>
          <w:cols w:space="720" w:num="1"/>
          <w:docGrid w:linePitch="360" w:charSpace="0"/>
        </w:sectPr>
      </w:pPr>
    </w:p>
    <w:p w14:paraId="0E9AEA2F">
      <w:pPr>
        <w:rPr>
          <w:color w:val="auto"/>
          <w:highlight w:val="none"/>
        </w:rPr>
      </w:pPr>
    </w:p>
    <w:p w14:paraId="6816D1DC">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（十五）技术方案</w:t>
      </w:r>
    </w:p>
    <w:p w14:paraId="4E7DC363">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投标供应商应按评分点编制完整的技术方案，以便评审。</w:t>
      </w:r>
    </w:p>
    <w:p w14:paraId="49BD908B">
      <w:pPr>
        <w:tabs>
          <w:tab w:val="left" w:pos="525"/>
          <w:tab w:val="left" w:pos="945"/>
        </w:tabs>
        <w:spacing w:line="360" w:lineRule="auto"/>
        <w:ind w:firstLine="480"/>
        <w:rPr>
          <w:rFonts w:ascii="宋体" w:hAnsi="宋体"/>
          <w:b/>
          <w:color w:val="auto"/>
          <w:sz w:val="24"/>
          <w:szCs w:val="24"/>
          <w:highlight w:val="none"/>
        </w:rPr>
      </w:pPr>
      <w:r>
        <w:rPr>
          <w:rFonts w:hint="eastAsia" w:ascii="宋体" w:hAnsi="宋体"/>
          <w:b/>
          <w:color w:val="auto"/>
          <w:sz w:val="24"/>
          <w:szCs w:val="24"/>
          <w:highlight w:val="none"/>
          <w:u w:val="single"/>
        </w:rPr>
        <w:t>特别注意：本项目采用暗标形式，投标供应商须参照评标办法的相关要求对商务部分和技术文件部分分别进行制作。其中技术文件部分属于暗标，投标供应商在制作技术文件部分相关内容时不得有体现投标供应商身份的内容，否则投标无效。</w:t>
      </w:r>
    </w:p>
    <w:p w14:paraId="085F0DB3">
      <w:pPr>
        <w:tabs>
          <w:tab w:val="left" w:pos="525"/>
          <w:tab w:val="left" w:pos="945"/>
        </w:tabs>
        <w:spacing w:line="360" w:lineRule="auto"/>
        <w:ind w:firstLine="480"/>
        <w:rPr>
          <w:rFonts w:ascii="宋体" w:hAnsi="宋体"/>
          <w:b/>
          <w:color w:val="auto"/>
          <w:sz w:val="24"/>
          <w:szCs w:val="24"/>
          <w:highlight w:val="none"/>
        </w:rPr>
      </w:pPr>
      <w:r>
        <w:rPr>
          <w:rFonts w:hint="eastAsia" w:ascii="宋体" w:hAnsi="宋体"/>
          <w:b/>
          <w:color w:val="auto"/>
          <w:sz w:val="24"/>
          <w:szCs w:val="24"/>
          <w:highlight w:val="none"/>
        </w:rPr>
        <w:t>不得有体现投标供应商身份的内容是指：</w:t>
      </w:r>
    </w:p>
    <w:p w14:paraId="419D4067">
      <w:pPr>
        <w:tabs>
          <w:tab w:val="left" w:pos="525"/>
          <w:tab w:val="left" w:pos="945"/>
        </w:tabs>
        <w:spacing w:line="360" w:lineRule="auto"/>
        <w:ind w:firstLine="480"/>
        <w:rPr>
          <w:rFonts w:ascii="宋体" w:hAnsi="宋体"/>
          <w:b/>
          <w:color w:val="auto"/>
          <w:sz w:val="24"/>
          <w:szCs w:val="24"/>
          <w:highlight w:val="none"/>
        </w:rPr>
      </w:pPr>
      <w:r>
        <w:rPr>
          <w:rFonts w:hint="eastAsia" w:ascii="宋体" w:hAnsi="宋体"/>
          <w:b/>
          <w:color w:val="auto"/>
          <w:sz w:val="24"/>
          <w:szCs w:val="24"/>
          <w:highlight w:val="none"/>
        </w:rPr>
        <w:t>①技术部分不得出现能够体现投标供应商身份、名称的相关描述、材料、文件等内容；</w:t>
      </w:r>
    </w:p>
    <w:p w14:paraId="48BC87FC">
      <w:pPr>
        <w:tabs>
          <w:tab w:val="left" w:pos="525"/>
          <w:tab w:val="left" w:pos="945"/>
        </w:tabs>
        <w:spacing w:line="360" w:lineRule="auto"/>
        <w:ind w:firstLine="480"/>
        <w:rPr>
          <w:rFonts w:ascii="宋体" w:hAnsi="宋体"/>
          <w:b/>
          <w:color w:val="auto"/>
          <w:sz w:val="24"/>
          <w:szCs w:val="24"/>
          <w:highlight w:val="none"/>
        </w:rPr>
      </w:pPr>
      <w:r>
        <w:rPr>
          <w:rFonts w:hint="eastAsia" w:ascii="宋体" w:hAnsi="宋体"/>
          <w:b/>
          <w:color w:val="auto"/>
          <w:sz w:val="24"/>
          <w:szCs w:val="24"/>
          <w:highlight w:val="none"/>
        </w:rPr>
        <w:t>②技术部分不得更改，不得在其中涂改、标注或做任何可以辨认投标供应商及所属人员身份的名称、印章、商标等标记；</w:t>
      </w:r>
    </w:p>
    <w:p w14:paraId="03B99CDA">
      <w:pPr>
        <w:tabs>
          <w:tab w:val="left" w:pos="525"/>
          <w:tab w:val="left" w:pos="945"/>
        </w:tabs>
        <w:spacing w:line="360" w:lineRule="auto"/>
        <w:ind w:firstLine="480"/>
        <w:rPr>
          <w:rFonts w:ascii="宋体" w:hAnsi="宋体"/>
          <w:b/>
          <w:color w:val="auto"/>
          <w:sz w:val="24"/>
          <w:szCs w:val="24"/>
          <w:highlight w:val="none"/>
        </w:rPr>
      </w:pPr>
      <w:r>
        <w:rPr>
          <w:rFonts w:hint="eastAsia" w:ascii="宋体" w:hAnsi="宋体"/>
          <w:b/>
          <w:color w:val="auto"/>
          <w:sz w:val="24"/>
          <w:szCs w:val="24"/>
          <w:highlight w:val="none"/>
        </w:rPr>
        <w:t>③技术部分应当版面整洁、字迹清楚、不许批注或进行底纹、阴影、水印等特殊设置，不得采用任何不符合常规、有别于其他投标供应商的特殊做法；</w:t>
      </w:r>
    </w:p>
    <w:p w14:paraId="02C3038F">
      <w:pPr>
        <w:tabs>
          <w:tab w:val="left" w:pos="525"/>
          <w:tab w:val="left" w:pos="945"/>
        </w:tabs>
        <w:spacing w:line="360" w:lineRule="auto"/>
        <w:ind w:firstLine="480"/>
        <w:rPr>
          <w:rFonts w:ascii="宋体" w:hAnsi="宋体" w:cs="宋体"/>
          <w:color w:val="auto"/>
          <w:sz w:val="24"/>
          <w:highlight w:val="none"/>
        </w:rPr>
      </w:pPr>
      <w:r>
        <w:rPr>
          <w:rFonts w:hint="eastAsia" w:ascii="宋体" w:hAnsi="宋体"/>
          <w:b/>
          <w:color w:val="auto"/>
          <w:sz w:val="24"/>
          <w:szCs w:val="24"/>
          <w:highlight w:val="none"/>
        </w:rPr>
        <w:t>④不得有其他体现投标供应商身份的内容。</w:t>
      </w:r>
    </w:p>
    <w:p w14:paraId="0E6C2672">
      <w:pPr>
        <w:spacing w:line="360" w:lineRule="auto"/>
        <w:ind w:firstLine="480"/>
        <w:rPr>
          <w:rFonts w:ascii="宋体" w:hAnsi="宋体"/>
          <w:color w:val="auto"/>
          <w:sz w:val="24"/>
          <w:highlight w:val="none"/>
        </w:rPr>
      </w:pPr>
    </w:p>
    <w:sectPr>
      <w:pgSz w:w="11906" w:h="16838"/>
      <w:pgMar w:top="1440" w:right="1077" w:bottom="1440" w:left="1077" w:header="624" w:footer="794" w:gutter="0"/>
      <w:pgBorders>
        <w:top w:val="none" w:sz="0" w:space="0"/>
        <w:left w:val="none" w:sz="0" w:space="0"/>
        <w:bottom w:val="none" w:sz="0" w:space="0"/>
        <w:right w:val="none" w:sz="0" w:space="0"/>
      </w:pgBorders>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幼圆">
    <w:panose1 w:val="0201050906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ˎ̥">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Sans Serif">
    <w:altName w:val="Segoe Print"/>
    <w:panose1 w:val="00000000000000000000"/>
    <w:charset w:val="00"/>
    <w:family w:val="auto"/>
    <w:pitch w:val="default"/>
    <w:sig w:usb0="00000000" w:usb1="00000000" w:usb2="00000000" w:usb3="00000000" w:csb0="00000000" w:csb1="00000000"/>
  </w:font>
  <w:font w:name="Mongolian Baiti">
    <w:panose1 w:val="03000500000000000000"/>
    <w:charset w:val="00"/>
    <w:family w:val="script"/>
    <w:pitch w:val="default"/>
    <w:sig w:usb0="80000023" w:usb1="00000000" w:usb2="00020000" w:usb3="00000000" w:csb0="00000001" w:csb1="00000000"/>
  </w:font>
  <w:font w:name="MS Mincho">
    <w:altName w:val="Segoe Print"/>
    <w:panose1 w:val="02020609040205080304"/>
    <w:charset w:val="00"/>
    <w:family w:val="auto"/>
    <w:pitch w:val="default"/>
    <w:sig w:usb0="00000000" w:usb1="00000000" w:usb2="00000000" w:usb3="00000000" w:csb0="00000000" w:csb1="00000000"/>
  </w:font>
  <w:font w:name="IDCSerif">
    <w:altName w:val="Segoe Print"/>
    <w:panose1 w:val="00000000000000000000"/>
    <w:charset w:val="00"/>
    <w:family w:val="auto"/>
    <w:pitch w:val="default"/>
    <w:sig w:usb0="00000000" w:usb1="00000000" w:usb2="00000000" w:usb3="00000000" w:csb0="00000000" w:csb1="00000000"/>
  </w:font>
  <w:font w:name="华文仿宋">
    <w:panose1 w:val="02010600040101010101"/>
    <w:charset w:val="86"/>
    <w:family w:val="auto"/>
    <w:pitch w:val="default"/>
    <w:sig w:usb0="00000287" w:usb1="080F0000" w:usb2="00000000" w:usb3="00000000" w:csb0="0004009F" w:csb1="DFD70000"/>
  </w:font>
  <w:font w:name="Palatino Linotype">
    <w:panose1 w:val="02040502050505030304"/>
    <w:charset w:val="00"/>
    <w:family w:val="roman"/>
    <w:pitch w:val="default"/>
    <w:sig w:usb0="E0000287" w:usb1="40000013" w:usb2="00000000" w:usb3="00000000" w:csb0="2000019F" w:csb1="00000000"/>
  </w:font>
  <w:font w:name="文鼎CS中宋">
    <w:altName w:val="宋体"/>
    <w:panose1 w:val="00000000000000000000"/>
    <w:charset w:val="00"/>
    <w:family w:val="auto"/>
    <w:pitch w:val="default"/>
    <w:sig w:usb0="00000000" w:usb1="00000000" w:usb2="00000000" w:usb3="00000000" w:csb0="00000000" w:csb1="00000000"/>
  </w:font>
  <w:font w:name="2OcuAe">
    <w:altName w:val="Segoe Print"/>
    <w:panose1 w:val="00000000000000000000"/>
    <w:charset w:val="00"/>
    <w:family w:val="auto"/>
    <w:pitch w:val="default"/>
    <w:sig w:usb0="00000000" w:usb1="00000000" w:usb2="00000000" w:usb3="00000000" w:csb0="00000000" w:csb1="00000000"/>
  </w:font>
  <w:font w:name="Tms Rmn">
    <w:altName w:val="Segoe Print"/>
    <w:panose1 w:val="02020603040505020304"/>
    <w:charset w:val="00"/>
    <w:family w:val="auto"/>
    <w:pitch w:val="default"/>
    <w:sig w:usb0="00000000" w:usb1="00000000" w:usb2="00000000" w:usb3="00000000" w:csb0="00000000" w:csb1="00000000"/>
  </w:font>
  <w:font w:name="Consolas">
    <w:panose1 w:val="020B0609020204030204"/>
    <w:charset w:val="00"/>
    <w:family w:val="modern"/>
    <w:pitch w:val="default"/>
    <w:sig w:usb0="E00006FF" w:usb1="0000FCFF" w:usb2="00000001" w:usb3="00000000" w:csb0="6000019F" w:csb1="DFD70000"/>
  </w:font>
  <w:font w:name="Microsoft YaHei ΢ȭхڢ  ڌ墠 ˎ̥">
    <w:altName w:val="Segoe Print"/>
    <w:panose1 w:val="00000000000000000000"/>
    <w:charset w:val="00"/>
    <w:family w:val="auto"/>
    <w:pitch w:val="default"/>
    <w:sig w:usb0="00000000" w:usb1="00000000" w:usb2="00000000" w:usb3="00000000" w:csb0="00000000" w:csb1="00000000"/>
  </w:font>
  <w:font w:name="KSOFF9CC612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8887C">
    <w:pPr>
      <w:pBdr>
        <w:top w:val="single" w:color="auto" w:sz="12" w:space="1"/>
      </w:pBdr>
      <w:tabs>
        <w:tab w:val="center" w:pos="4153"/>
        <w:tab w:val="right" w:pos="8306"/>
      </w:tabs>
      <w:rPr>
        <w:rFonts w:ascii="宋体" w:hAnsi="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F76BA3">
                          <w:pPr>
                            <w:pStyle w:val="4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4F76BA3">
                    <w:pPr>
                      <w:pStyle w:val="41"/>
                    </w:pPr>
                    <w:r>
                      <w:fldChar w:fldCharType="begin"/>
                    </w:r>
                    <w:r>
                      <w:instrText xml:space="preserve"> PAGE  \* MERGEFORMAT </w:instrText>
                    </w:r>
                    <w:r>
                      <w:fldChar w:fldCharType="separate"/>
                    </w:r>
                    <w:r>
                      <w:t>1</w:t>
                    </w:r>
                    <w:r>
                      <w:fldChar w:fldCharType="end"/>
                    </w:r>
                  </w:p>
                </w:txbxContent>
              </v:textbox>
            </v:shape>
          </w:pict>
        </mc:Fallback>
      </mc:AlternateContent>
    </w:r>
  </w:p>
  <w:p w14:paraId="3EF8FD40">
    <w:pPr>
      <w:pStyle w:val="4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FD325">
    <w:pPr>
      <w:pBdr>
        <w:top w:val="single" w:color="auto" w:sz="12" w:space="1"/>
      </w:pBdr>
      <w:tabs>
        <w:tab w:val="center" w:pos="4153"/>
        <w:tab w:val="right" w:pos="8306"/>
      </w:tabs>
      <w:rPr>
        <w:rFonts w:ascii="宋体" w:hAnsi="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8402EA">
                          <w:pPr>
                            <w:pStyle w:val="4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68402EA">
                    <w:pPr>
                      <w:pStyle w:val="41"/>
                    </w:pPr>
                    <w:r>
                      <w:fldChar w:fldCharType="begin"/>
                    </w:r>
                    <w:r>
                      <w:instrText xml:space="preserve"> PAGE  \* MERGEFORMAT </w:instrText>
                    </w:r>
                    <w:r>
                      <w:fldChar w:fldCharType="separate"/>
                    </w:r>
                    <w:r>
                      <w:t>1</w:t>
                    </w:r>
                    <w:r>
                      <w:fldChar w:fldCharType="end"/>
                    </w:r>
                  </w:p>
                </w:txbxContent>
              </v:textbox>
            </v:shape>
          </w:pict>
        </mc:Fallback>
      </mc:AlternateContent>
    </w:r>
  </w:p>
  <w:p w14:paraId="357413C6">
    <w:pPr>
      <w:pStyle w:val="4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3CB679">
    <w:pPr>
      <w:pBdr>
        <w:top w:val="single" w:color="auto" w:sz="12" w:space="1"/>
      </w:pBdr>
      <w:tabs>
        <w:tab w:val="right" w:pos="8306"/>
      </w:tabs>
      <w:jc w:val="center"/>
      <w:rPr>
        <w:rFonts w:ascii="宋体" w:hAnsi="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32C461">
                          <w:pPr>
                            <w:pStyle w:val="4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B32C461">
                    <w:pPr>
                      <w:pStyle w:val="41"/>
                    </w:pPr>
                    <w:r>
                      <w:fldChar w:fldCharType="begin"/>
                    </w:r>
                    <w:r>
                      <w:instrText xml:space="preserve"> PAGE  \* MERGEFORMAT </w:instrText>
                    </w:r>
                    <w:r>
                      <w:fldChar w:fldCharType="separate"/>
                    </w:r>
                    <w:r>
                      <w:t>2</w:t>
                    </w:r>
                    <w:r>
                      <w:fldChar w:fldCharType="end"/>
                    </w:r>
                  </w:p>
                </w:txbxContent>
              </v:textbox>
            </v:shape>
          </w:pict>
        </mc:Fallback>
      </mc:AlternateContent>
    </w:r>
  </w:p>
  <w:p w14:paraId="54310D48">
    <w:pPr>
      <w:pStyle w:val="4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2564D">
    <w:pPr>
      <w:pBdr>
        <w:top w:val="single" w:color="auto" w:sz="12" w:space="1"/>
      </w:pBdr>
      <w:tabs>
        <w:tab w:val="center" w:pos="4153"/>
        <w:tab w:val="right" w:pos="8306"/>
      </w:tabs>
      <w:rPr>
        <w:rFonts w:ascii="宋体" w:hAnsi="宋体"/>
        <w:sz w:val="18"/>
        <w:szCs w:val="18"/>
      </w:rPr>
    </w:pPr>
  </w:p>
  <w:p w14:paraId="03A5CAE0">
    <w:pPr>
      <w:pStyle w:val="41"/>
      <w:framePr w:wrap="around" w:vAnchor="text" w:hAnchor="page" w:x="5866" w:y="67"/>
      <w:rPr>
        <w:rStyle w:val="72"/>
      </w:rPr>
    </w:pPr>
    <w:r>
      <w:fldChar w:fldCharType="begin"/>
    </w:r>
    <w:r>
      <w:rPr>
        <w:rStyle w:val="72"/>
      </w:rPr>
      <w:instrText xml:space="preserve">PAGE  </w:instrText>
    </w:r>
    <w:r>
      <w:fldChar w:fldCharType="separate"/>
    </w:r>
    <w:r>
      <w:rPr>
        <w:rStyle w:val="72"/>
      </w:rPr>
      <w:t>2</w:t>
    </w:r>
    <w:r>
      <w:fldChar w:fldCharType="end"/>
    </w:r>
  </w:p>
  <w:p w14:paraId="0A64B371">
    <w:pPr>
      <w:pStyle w:val="4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F92AB">
    <w:pPr>
      <w:pStyle w:val="95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8ECC7A">
                          <w:pPr>
                            <w:pStyle w:val="41"/>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68ECC7A">
                    <w:pPr>
                      <w:pStyle w:val="41"/>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E07190">
    <w:pPr>
      <w:pBdr>
        <w:top w:val="single" w:color="auto" w:sz="12" w:space="1"/>
      </w:pBdr>
      <w:tabs>
        <w:tab w:val="center" w:pos="4153"/>
        <w:tab w:val="right" w:pos="8306"/>
      </w:tabs>
      <w:rPr>
        <w:rFonts w:ascii="宋体" w:hAnsi="宋体"/>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FFAF93">
                          <w:pPr>
                            <w:pStyle w:val="41"/>
                          </w:pPr>
                          <w:r>
                            <w:fldChar w:fldCharType="begin"/>
                          </w:r>
                          <w:r>
                            <w:instrText xml:space="preserve"> PAGE  \* MERGEFORMAT </w:instrText>
                          </w:r>
                          <w:r>
                            <w:fldChar w:fldCharType="separate"/>
                          </w:r>
                          <w:r>
                            <w:t>99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FFFAF93">
                    <w:pPr>
                      <w:pStyle w:val="41"/>
                    </w:pPr>
                    <w:r>
                      <w:fldChar w:fldCharType="begin"/>
                    </w:r>
                    <w:r>
                      <w:instrText xml:space="preserve"> PAGE  \* MERGEFORMAT </w:instrText>
                    </w:r>
                    <w:r>
                      <w:fldChar w:fldCharType="separate"/>
                    </w:r>
                    <w:r>
                      <w:t>99</w:t>
                    </w:r>
                    <w:r>
                      <w:fldChar w:fldCharType="end"/>
                    </w:r>
                  </w:p>
                </w:txbxContent>
              </v:textbox>
            </v:shape>
          </w:pict>
        </mc:Fallback>
      </mc:AlternateContent>
    </w:r>
  </w:p>
  <w:p w14:paraId="65716CFD">
    <w:pPr>
      <w:pStyle w:val="4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834DE">
    <w:pPr>
      <w:pStyle w:val="43"/>
      <w:pBdr>
        <w:bottom w:val="thickThinSmallGap" w:color="auto" w:sz="12" w:space="1"/>
      </w:pBdr>
      <w:jc w:val="right"/>
      <w:rPr>
        <w:rFonts w:ascii="宋体" w:hAnsi="宋体"/>
        <w:szCs w:val="18"/>
      </w:rPr>
    </w:pPr>
    <w:r>
      <w:rPr>
        <w:rFonts w:hint="eastAsia" w:ascii="楷体" w:hAnsi="楷体" w:eastAsia="楷体" w:cs="楷体"/>
        <w:sz w:val="20"/>
      </w:rPr>
      <w:t>招标文件-2026-2027年度度假区(阳山镇)机关食堂外包服务项目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0BA420">
    <w:pPr>
      <w:pStyle w:val="43"/>
      <w:pBdr>
        <w:bottom w:val="none" w:color="auto" w:sz="0" w:space="1"/>
      </w:pBdr>
      <w:jc w:val="right"/>
      <w:rPr>
        <w:rFonts w:ascii="楷体" w:hAnsi="楷体" w:eastAsia="楷体" w:cs="楷体"/>
        <w:sz w:val="20"/>
      </w:rPr>
    </w:pPr>
  </w:p>
  <w:p w14:paraId="52A42DED">
    <w:pPr>
      <w:pStyle w:val="43"/>
      <w:pBdr>
        <w:bottom w:val="thickThinSmallGap" w:color="auto" w:sz="12" w:space="1"/>
      </w:pBdr>
      <w:jc w:val="right"/>
      <w:rPr>
        <w:rFonts w:ascii="楷体" w:hAnsi="楷体" w:eastAsia="楷体" w:cs="楷体"/>
        <w:sz w:val="20"/>
      </w:rPr>
    </w:pPr>
    <w:r>
      <w:rPr>
        <w:rFonts w:hint="eastAsia" w:ascii="楷体" w:hAnsi="楷体" w:eastAsia="楷体" w:cs="楷体"/>
        <w:sz w:val="20"/>
      </w:rPr>
      <w:t>招标文件-2026-2027年度度假区(阳山镇)机关食堂外包服务项目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5FDAB">
    <w:pPr>
      <w:pStyle w:val="43"/>
      <w:pBdr>
        <w:bottom w:val="thickThinSmallGap" w:color="auto" w:sz="12" w:space="1"/>
      </w:pBdr>
      <w:jc w:val="right"/>
      <w:rPr>
        <w:rFonts w:ascii="楷体" w:hAnsi="楷体" w:eastAsia="楷体" w:cs="楷体"/>
        <w:szCs w:val="21"/>
      </w:rPr>
    </w:pPr>
    <w:r>
      <w:rPr>
        <w:rFonts w:hint="eastAsia" w:ascii="楷体" w:hAnsi="楷体" w:eastAsia="楷体" w:cs="楷体"/>
        <w:sz w:val="20"/>
      </w:rPr>
      <w:t>招标文件-2026-2027年度度假区(阳山镇)机关食堂外包服务项目</w:t>
    </w:r>
    <w:r>
      <w:rPr>
        <w:rFonts w:hint="eastAsia" w:ascii="楷体" w:hAnsi="楷体" w:eastAsia="楷体" w:cs="楷体"/>
        <w:bCs/>
        <w:sz w:val="21"/>
        <w:szCs w:val="21"/>
      </w:rPr>
      <w:t xml:space="preserve">            </w:t>
    </w:r>
    <w:r>
      <w:rPr>
        <w:rFonts w:hint="eastAsia" w:ascii="楷体" w:hAnsi="楷体" w:eastAsia="楷体" w:cs="楷体"/>
        <w:bCs/>
        <w:szCs w:val="21"/>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188D7C">
    <w:pPr>
      <w:pStyle w:val="949"/>
      <w:pBdr>
        <w:bottom w:val="thickThinSmallGap" w:color="auto" w:sz="12" w:space="1"/>
      </w:pBdr>
      <w:jc w:val="right"/>
      <w:rPr>
        <w:rFonts w:ascii="楷体" w:hAnsi="楷体" w:eastAsia="楷体" w:cs="楷体"/>
        <w:sz w:val="21"/>
        <w:szCs w:val="21"/>
      </w:rPr>
    </w:pPr>
    <w:r>
      <w:rPr>
        <w:rFonts w:ascii="楷体" w:hAnsi="楷体" w:eastAsia="楷体" w:cs="楷体"/>
        <w:sz w:val="21"/>
        <w:szCs w:val="21"/>
      </w:rPr>
      <w:t xml:space="preserve">      </w:t>
    </w:r>
    <w:r>
      <w:rPr>
        <w:rFonts w:hint="eastAsia" w:ascii="楷体" w:hAnsi="楷体" w:eastAsia="楷体" w:cs="楷体"/>
        <w:sz w:val="21"/>
        <w:szCs w:val="21"/>
      </w:rPr>
      <w:t>招标文件-</w:t>
    </w:r>
    <w:r>
      <w:rPr>
        <w:rFonts w:hint="eastAsia" w:ascii="楷体" w:hAnsi="楷体" w:eastAsia="楷体" w:cs="楷体"/>
        <w:sz w:val="20"/>
        <w:szCs w:val="20"/>
      </w:rPr>
      <w:t>2026-2027年度度假区(阳山镇)机关食堂外包服务项目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0E2E33"/>
    <w:multiLevelType w:val="singleLevel"/>
    <w:tmpl w:val="800E2E33"/>
    <w:lvl w:ilvl="0" w:tentative="0">
      <w:start w:val="6"/>
      <w:numFmt w:val="decimal"/>
      <w:lvlText w:val="%1."/>
      <w:lvlJc w:val="left"/>
      <w:pPr>
        <w:tabs>
          <w:tab w:val="left" w:pos="312"/>
        </w:tabs>
      </w:pPr>
    </w:lvl>
  </w:abstractNum>
  <w:abstractNum w:abstractNumId="1">
    <w:nsid w:val="8D1F143A"/>
    <w:multiLevelType w:val="multilevel"/>
    <w:tmpl w:val="8D1F143A"/>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9806D4D5"/>
    <w:multiLevelType w:val="multilevel"/>
    <w:tmpl w:val="9806D4D5"/>
    <w:lvl w:ilvl="0" w:tentative="0">
      <w:start w:val="1"/>
      <w:numFmt w:val="japaneseCounting"/>
      <w:lvlText w:val="（%1）"/>
      <w:lvlJc w:val="left"/>
      <w:pPr>
        <w:tabs>
          <w:tab w:val="left" w:pos="855"/>
        </w:tabs>
        <w:ind w:left="855" w:hanging="855"/>
      </w:pPr>
      <w:rPr>
        <w:rFonts w:hint="eastAsia"/>
      </w:rPr>
    </w:lvl>
    <w:lvl w:ilvl="1" w:tentative="0">
      <w:start w:val="3"/>
      <w:numFmt w:val="decimal"/>
      <w:lvlText w:val="%2."/>
      <w:lvlJc w:val="left"/>
      <w:pPr>
        <w:tabs>
          <w:tab w:val="left" w:pos="1125"/>
        </w:tabs>
        <w:ind w:left="1125" w:hanging="705"/>
      </w:pPr>
      <w:rPr>
        <w:rFonts w:hint="default"/>
      </w:rPr>
    </w:lvl>
    <w:lvl w:ilvl="2" w:tentative="0">
      <w:start w:val="1"/>
      <w:numFmt w:val="decimal"/>
      <w:suff w:val="nothing"/>
      <w:lvlText w:val="%3."/>
      <w:lvlJc w:val="left"/>
      <w:pPr>
        <w:ind w:left="1740" w:hanging="900"/>
      </w:pPr>
      <w:rPr>
        <w:rFonts w:hint="eastAsia"/>
        <w:color w:val="auto"/>
      </w:rPr>
    </w:lvl>
    <w:lvl w:ilvl="3" w:tentative="0">
      <w:start w:val="1"/>
      <w:numFmt w:val="decimal"/>
      <w:lvlText w:val="（%4）"/>
      <w:lvlJc w:val="left"/>
      <w:pPr>
        <w:tabs>
          <w:tab w:val="left" w:pos="1980"/>
        </w:tabs>
        <w:ind w:left="1980" w:hanging="720"/>
      </w:pPr>
      <w:rPr>
        <w:rFonts w:hint="eastAsia" w:ascii="宋体" w:hAnsi="宋体" w:eastAsia="宋体"/>
        <w:sz w:val="24"/>
        <w:szCs w:val="24"/>
      </w:rPr>
    </w:lvl>
    <w:lvl w:ilvl="4" w:tentative="0">
      <w:start w:val="1"/>
      <w:numFmt w:val="lowerLetter"/>
      <w:lvlText w:val="%5."/>
      <w:lvlJc w:val="left"/>
      <w:pPr>
        <w:tabs>
          <w:tab w:val="left" w:pos="2040"/>
        </w:tabs>
        <w:ind w:left="2040" w:hanging="360"/>
      </w:pPr>
      <w:rPr>
        <w:rFonts w:hint="eastAsia"/>
      </w:rPr>
    </w:lvl>
    <w:lvl w:ilvl="5" w:tentative="0">
      <w:start w:val="1"/>
      <w:numFmt w:val="decimal"/>
      <w:lvlText w:val="%6．"/>
      <w:lvlJc w:val="left"/>
      <w:pPr>
        <w:tabs>
          <w:tab w:val="left" w:pos="2820"/>
        </w:tabs>
        <w:ind w:left="2820" w:hanging="7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3">
    <w:nsid w:val="A10E759B"/>
    <w:multiLevelType w:val="multilevel"/>
    <w:tmpl w:val="A10E759B"/>
    <w:lvl w:ilvl="0" w:tentative="0">
      <w:start w:val="1"/>
      <w:numFmt w:val="decimal"/>
      <w:suff w:val="nothing"/>
      <w:lvlText w:val="%1．"/>
      <w:lvlJc w:val="left"/>
      <w:pPr>
        <w:ind w:left="988"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A5E41391"/>
    <w:multiLevelType w:val="multilevel"/>
    <w:tmpl w:val="A5E41391"/>
    <w:lvl w:ilvl="0" w:tentative="0">
      <w:start w:val="1"/>
      <w:numFmt w:val="decimal"/>
      <w:suff w:val="nothing"/>
      <w:lvlText w:val="%1."/>
      <w:lvlJc w:val="left"/>
      <w:pPr>
        <w:ind w:left="630" w:hanging="420"/>
      </w:pPr>
      <w:rPr>
        <w:rFonts w:hint="default"/>
        <w:b w:val="0"/>
        <w:bCs w:val="0"/>
        <w:color w:val="auto"/>
      </w:rPr>
    </w:lvl>
    <w:lvl w:ilvl="1" w:tentative="0">
      <w:start w:val="1"/>
      <w:numFmt w:val="decimal"/>
      <w:lvlText w:val="（%2）"/>
      <w:lvlJc w:val="left"/>
      <w:pPr>
        <w:tabs>
          <w:tab w:val="left" w:pos="990"/>
        </w:tabs>
        <w:ind w:left="1194" w:hanging="360"/>
      </w:pPr>
      <w:rPr>
        <w:rFonts w:hint="default"/>
        <w:color w:val="auto"/>
      </w:rPr>
    </w:lvl>
    <w:lvl w:ilvl="2" w:tentative="0">
      <w:start w:val="1"/>
      <w:numFmt w:val="lowerRoman"/>
      <w:lvlText w:val="%3."/>
      <w:lvlJc w:val="right"/>
      <w:pPr>
        <w:tabs>
          <w:tab w:val="left" w:pos="1470"/>
        </w:tabs>
        <w:ind w:left="1470" w:hanging="420"/>
      </w:pPr>
      <w:rPr>
        <w:rFonts w:hint="eastAsia"/>
      </w:rPr>
    </w:lvl>
    <w:lvl w:ilvl="3" w:tentative="0">
      <w:start w:val="1"/>
      <w:numFmt w:val="decimal"/>
      <w:lvlText w:val="%4."/>
      <w:lvlJc w:val="left"/>
      <w:pPr>
        <w:tabs>
          <w:tab w:val="left" w:pos="1890"/>
        </w:tabs>
        <w:ind w:left="1890" w:hanging="420"/>
      </w:pPr>
      <w:rPr>
        <w:rFonts w:hint="eastAsia"/>
      </w:rPr>
    </w:lvl>
    <w:lvl w:ilvl="4" w:tentative="0">
      <w:start w:val="1"/>
      <w:numFmt w:val="lowerLetter"/>
      <w:lvlText w:val="%5)"/>
      <w:lvlJc w:val="left"/>
      <w:pPr>
        <w:tabs>
          <w:tab w:val="left" w:pos="2310"/>
        </w:tabs>
        <w:ind w:left="2310" w:hanging="420"/>
      </w:pPr>
      <w:rPr>
        <w:rFonts w:hint="eastAsia"/>
      </w:rPr>
    </w:lvl>
    <w:lvl w:ilvl="5" w:tentative="0">
      <w:start w:val="1"/>
      <w:numFmt w:val="lowerRoman"/>
      <w:lvlText w:val="%6."/>
      <w:lvlJc w:val="right"/>
      <w:pPr>
        <w:tabs>
          <w:tab w:val="left" w:pos="2730"/>
        </w:tabs>
        <w:ind w:left="2730" w:hanging="420"/>
      </w:pPr>
      <w:rPr>
        <w:rFonts w:hint="eastAsia"/>
      </w:rPr>
    </w:lvl>
    <w:lvl w:ilvl="6" w:tentative="0">
      <w:start w:val="1"/>
      <w:numFmt w:val="decimal"/>
      <w:lvlText w:val="%7."/>
      <w:lvlJc w:val="left"/>
      <w:pPr>
        <w:tabs>
          <w:tab w:val="left" w:pos="3150"/>
        </w:tabs>
        <w:ind w:left="3150" w:hanging="420"/>
      </w:pPr>
      <w:rPr>
        <w:rFonts w:hint="eastAsia"/>
      </w:rPr>
    </w:lvl>
    <w:lvl w:ilvl="7" w:tentative="0">
      <w:start w:val="1"/>
      <w:numFmt w:val="lowerLetter"/>
      <w:lvlText w:val="%8)"/>
      <w:lvlJc w:val="left"/>
      <w:pPr>
        <w:tabs>
          <w:tab w:val="left" w:pos="3570"/>
        </w:tabs>
        <w:ind w:left="3570" w:hanging="420"/>
      </w:pPr>
      <w:rPr>
        <w:rFonts w:hint="eastAsia"/>
      </w:rPr>
    </w:lvl>
    <w:lvl w:ilvl="8" w:tentative="0">
      <w:start w:val="1"/>
      <w:numFmt w:val="lowerRoman"/>
      <w:lvlText w:val="%9."/>
      <w:lvlJc w:val="right"/>
      <w:pPr>
        <w:tabs>
          <w:tab w:val="left" w:pos="3990"/>
        </w:tabs>
        <w:ind w:left="3990" w:hanging="420"/>
      </w:pPr>
      <w:rPr>
        <w:rFonts w:hint="eastAsia"/>
      </w:rPr>
    </w:lvl>
  </w:abstractNum>
  <w:abstractNum w:abstractNumId="5">
    <w:nsid w:val="A671D0C3"/>
    <w:multiLevelType w:val="multilevel"/>
    <w:tmpl w:val="A671D0C3"/>
    <w:lvl w:ilvl="0" w:tentative="0">
      <w:start w:val="1"/>
      <w:numFmt w:val="decimal"/>
      <w:suff w:val="nothing"/>
      <w:lvlText w:val="%1."/>
      <w:lvlJc w:val="left"/>
      <w:pPr>
        <w:ind w:left="630" w:hanging="420"/>
      </w:pPr>
      <w:rPr>
        <w:rFonts w:hint="eastAsia"/>
        <w:color w:val="auto"/>
      </w:rPr>
    </w:lvl>
    <w:lvl w:ilvl="1" w:tentative="0">
      <w:start w:val="1"/>
      <w:numFmt w:val="decimal"/>
      <w:lvlText w:val="（%2）"/>
      <w:lvlJc w:val="left"/>
      <w:pPr>
        <w:tabs>
          <w:tab w:val="left" w:pos="990"/>
        </w:tabs>
        <w:ind w:left="1194" w:hanging="360"/>
      </w:pPr>
      <w:rPr>
        <w:rFonts w:hint="default"/>
        <w:color w:val="auto"/>
      </w:rPr>
    </w:lvl>
    <w:lvl w:ilvl="2" w:tentative="0">
      <w:start w:val="1"/>
      <w:numFmt w:val="lowerRoman"/>
      <w:lvlText w:val="%3."/>
      <w:lvlJc w:val="right"/>
      <w:pPr>
        <w:tabs>
          <w:tab w:val="left" w:pos="1470"/>
        </w:tabs>
        <w:ind w:left="1470" w:hanging="420"/>
      </w:pPr>
      <w:rPr>
        <w:rFonts w:hint="eastAsia"/>
      </w:rPr>
    </w:lvl>
    <w:lvl w:ilvl="3" w:tentative="0">
      <w:start w:val="1"/>
      <w:numFmt w:val="decimal"/>
      <w:lvlText w:val="%4."/>
      <w:lvlJc w:val="left"/>
      <w:pPr>
        <w:tabs>
          <w:tab w:val="left" w:pos="1890"/>
        </w:tabs>
        <w:ind w:left="1890" w:hanging="420"/>
      </w:pPr>
      <w:rPr>
        <w:rFonts w:hint="eastAsia"/>
      </w:rPr>
    </w:lvl>
    <w:lvl w:ilvl="4" w:tentative="0">
      <w:start w:val="1"/>
      <w:numFmt w:val="lowerLetter"/>
      <w:lvlText w:val="%5)"/>
      <w:lvlJc w:val="left"/>
      <w:pPr>
        <w:tabs>
          <w:tab w:val="left" w:pos="2310"/>
        </w:tabs>
        <w:ind w:left="2310" w:hanging="420"/>
      </w:pPr>
      <w:rPr>
        <w:rFonts w:hint="eastAsia"/>
      </w:rPr>
    </w:lvl>
    <w:lvl w:ilvl="5" w:tentative="0">
      <w:start w:val="1"/>
      <w:numFmt w:val="lowerRoman"/>
      <w:lvlText w:val="%6."/>
      <w:lvlJc w:val="right"/>
      <w:pPr>
        <w:tabs>
          <w:tab w:val="left" w:pos="2730"/>
        </w:tabs>
        <w:ind w:left="2730" w:hanging="420"/>
      </w:pPr>
      <w:rPr>
        <w:rFonts w:hint="eastAsia"/>
      </w:rPr>
    </w:lvl>
    <w:lvl w:ilvl="6" w:tentative="0">
      <w:start w:val="1"/>
      <w:numFmt w:val="decimal"/>
      <w:lvlText w:val="%7."/>
      <w:lvlJc w:val="left"/>
      <w:pPr>
        <w:tabs>
          <w:tab w:val="left" w:pos="3150"/>
        </w:tabs>
        <w:ind w:left="3150" w:hanging="420"/>
      </w:pPr>
      <w:rPr>
        <w:rFonts w:hint="eastAsia"/>
      </w:rPr>
    </w:lvl>
    <w:lvl w:ilvl="7" w:tentative="0">
      <w:start w:val="1"/>
      <w:numFmt w:val="lowerLetter"/>
      <w:lvlText w:val="%8)"/>
      <w:lvlJc w:val="left"/>
      <w:pPr>
        <w:tabs>
          <w:tab w:val="left" w:pos="3570"/>
        </w:tabs>
        <w:ind w:left="3570" w:hanging="420"/>
      </w:pPr>
      <w:rPr>
        <w:rFonts w:hint="eastAsia"/>
      </w:rPr>
    </w:lvl>
    <w:lvl w:ilvl="8" w:tentative="0">
      <w:start w:val="1"/>
      <w:numFmt w:val="lowerRoman"/>
      <w:lvlText w:val="%9."/>
      <w:lvlJc w:val="right"/>
      <w:pPr>
        <w:tabs>
          <w:tab w:val="left" w:pos="3990"/>
        </w:tabs>
        <w:ind w:left="3990" w:hanging="420"/>
      </w:pPr>
      <w:rPr>
        <w:rFonts w:hint="eastAsia"/>
      </w:rPr>
    </w:lvl>
  </w:abstractNum>
  <w:abstractNum w:abstractNumId="6">
    <w:nsid w:val="B5E306ED"/>
    <w:multiLevelType w:val="multilevel"/>
    <w:tmpl w:val="B5E306ED"/>
    <w:lvl w:ilvl="0" w:tentative="0">
      <w:start w:val="1"/>
      <w:numFmt w:val="none"/>
      <w:pStyle w:val="646"/>
      <w:lvlText w:val=""/>
      <w:legacy w:legacy="1" w:legacySpace="0" w:legacyIndent="0"/>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BF205925"/>
    <w:multiLevelType w:val="multilevel"/>
    <w:tmpl w:val="BF205925"/>
    <w:lvl w:ilvl="0" w:tentative="0">
      <w:start w:val="1"/>
      <w:numFmt w:val="decimal"/>
      <w:pStyle w:val="629"/>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8">
    <w:nsid w:val="CF092B84"/>
    <w:multiLevelType w:val="multilevel"/>
    <w:tmpl w:val="CF092B84"/>
    <w:lvl w:ilvl="0" w:tentative="0">
      <w:start w:val="1"/>
      <w:numFmt w:val="bullet"/>
      <w:pStyle w:val="582"/>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9">
    <w:nsid w:val="DD9C236B"/>
    <w:multiLevelType w:val="multilevel"/>
    <w:tmpl w:val="DD9C236B"/>
    <w:lvl w:ilvl="0" w:tentative="0">
      <w:start w:val="1"/>
      <w:numFmt w:val="decimal"/>
      <w:lvlText w:val="%1．"/>
      <w:lvlJc w:val="left"/>
      <w:pPr>
        <w:tabs>
          <w:tab w:val="left" w:pos="846"/>
        </w:tabs>
        <w:ind w:left="846"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F0F96C85"/>
    <w:multiLevelType w:val="singleLevel"/>
    <w:tmpl w:val="F0F96C85"/>
    <w:lvl w:ilvl="0" w:tentative="0">
      <w:start w:val="5"/>
      <w:numFmt w:val="decimal"/>
      <w:suff w:val="nothing"/>
      <w:lvlText w:val="%1）"/>
      <w:lvlJc w:val="left"/>
    </w:lvl>
  </w:abstractNum>
  <w:abstractNum w:abstractNumId="11">
    <w:nsid w:val="F649F6BA"/>
    <w:multiLevelType w:val="multilevel"/>
    <w:tmpl w:val="F649F6BA"/>
    <w:lvl w:ilvl="0" w:tentative="0">
      <w:start w:val="1"/>
      <w:numFmt w:val="decimal"/>
      <w:lvlText w:val="（%1）"/>
      <w:lvlJc w:val="left"/>
      <w:pPr>
        <w:tabs>
          <w:tab w:val="left" w:pos="1710"/>
        </w:tabs>
        <w:ind w:left="1710" w:hanging="720"/>
      </w:pPr>
      <w:rPr>
        <w:rFonts w:hint="eastAsia"/>
      </w:rPr>
    </w:lvl>
    <w:lvl w:ilvl="1" w:tentative="0">
      <w:start w:val="2"/>
      <w:numFmt w:val="decimal"/>
      <w:lvlText w:val="%2."/>
      <w:lvlJc w:val="left"/>
      <w:pPr>
        <w:tabs>
          <w:tab w:val="left" w:pos="1770"/>
        </w:tabs>
        <w:ind w:left="1770" w:hanging="360"/>
      </w:pPr>
      <w:rPr>
        <w:rFonts w:hint="default"/>
      </w:rPr>
    </w:lvl>
    <w:lvl w:ilvl="2" w:tentative="0">
      <w:start w:val="1"/>
      <w:numFmt w:val="lowerRoman"/>
      <w:lvlText w:val="%3."/>
      <w:lvlJc w:val="right"/>
      <w:pPr>
        <w:tabs>
          <w:tab w:val="left" w:pos="2250"/>
        </w:tabs>
        <w:ind w:left="2250" w:hanging="420"/>
      </w:pPr>
    </w:lvl>
    <w:lvl w:ilvl="3" w:tentative="0">
      <w:start w:val="1"/>
      <w:numFmt w:val="decimal"/>
      <w:lvlText w:val="%4."/>
      <w:lvlJc w:val="left"/>
      <w:pPr>
        <w:tabs>
          <w:tab w:val="left" w:pos="2670"/>
        </w:tabs>
        <w:ind w:left="2670" w:hanging="420"/>
      </w:pPr>
    </w:lvl>
    <w:lvl w:ilvl="4" w:tentative="0">
      <w:start w:val="1"/>
      <w:numFmt w:val="lowerLetter"/>
      <w:lvlText w:val="%5)"/>
      <w:lvlJc w:val="left"/>
      <w:pPr>
        <w:tabs>
          <w:tab w:val="left" w:pos="3090"/>
        </w:tabs>
        <w:ind w:left="3090" w:hanging="420"/>
      </w:pPr>
    </w:lvl>
    <w:lvl w:ilvl="5" w:tentative="0">
      <w:start w:val="1"/>
      <w:numFmt w:val="lowerRoman"/>
      <w:lvlText w:val="%6."/>
      <w:lvlJc w:val="right"/>
      <w:pPr>
        <w:tabs>
          <w:tab w:val="left" w:pos="3510"/>
        </w:tabs>
        <w:ind w:left="3510" w:hanging="420"/>
      </w:pPr>
    </w:lvl>
    <w:lvl w:ilvl="6" w:tentative="0">
      <w:start w:val="1"/>
      <w:numFmt w:val="decimal"/>
      <w:lvlText w:val="%7."/>
      <w:lvlJc w:val="left"/>
      <w:pPr>
        <w:tabs>
          <w:tab w:val="left" w:pos="3930"/>
        </w:tabs>
        <w:ind w:left="3930" w:hanging="420"/>
      </w:pPr>
    </w:lvl>
    <w:lvl w:ilvl="7" w:tentative="0">
      <w:start w:val="1"/>
      <w:numFmt w:val="lowerLetter"/>
      <w:lvlText w:val="%8)"/>
      <w:lvlJc w:val="left"/>
      <w:pPr>
        <w:tabs>
          <w:tab w:val="left" w:pos="4350"/>
        </w:tabs>
        <w:ind w:left="4350" w:hanging="420"/>
      </w:pPr>
    </w:lvl>
    <w:lvl w:ilvl="8" w:tentative="0">
      <w:start w:val="1"/>
      <w:numFmt w:val="lowerRoman"/>
      <w:lvlText w:val="%9."/>
      <w:lvlJc w:val="right"/>
      <w:pPr>
        <w:tabs>
          <w:tab w:val="left" w:pos="4770"/>
        </w:tabs>
        <w:ind w:left="4770" w:hanging="420"/>
      </w:pPr>
    </w:lvl>
  </w:abstractNum>
  <w:abstractNum w:abstractNumId="12">
    <w:nsid w:val="FE088390"/>
    <w:multiLevelType w:val="singleLevel"/>
    <w:tmpl w:val="FE088390"/>
    <w:lvl w:ilvl="0" w:tentative="0">
      <w:start w:val="1"/>
      <w:numFmt w:val="decimal"/>
      <w:suff w:val="nothing"/>
      <w:lvlText w:val="（%1）"/>
      <w:lvlJc w:val="left"/>
    </w:lvl>
  </w:abstractNum>
  <w:abstractNum w:abstractNumId="13">
    <w:nsid w:val="FF3FF4BB"/>
    <w:multiLevelType w:val="singleLevel"/>
    <w:tmpl w:val="FF3FF4BB"/>
    <w:lvl w:ilvl="0" w:tentative="0">
      <w:start w:val="1"/>
      <w:numFmt w:val="decimal"/>
      <w:lvlText w:val="%1."/>
      <w:lvlJc w:val="left"/>
      <w:pPr>
        <w:tabs>
          <w:tab w:val="left" w:pos="312"/>
        </w:tabs>
      </w:pPr>
      <w:rPr>
        <w:rFonts w:hint="default"/>
        <w:b/>
        <w:bCs/>
      </w:rPr>
    </w:lvl>
  </w:abstractNum>
  <w:abstractNum w:abstractNumId="14">
    <w:nsid w:val="0053208E"/>
    <w:multiLevelType w:val="multilevel"/>
    <w:tmpl w:val="0053208E"/>
    <w:lvl w:ilvl="0" w:tentative="0">
      <w:start w:val="1"/>
      <w:numFmt w:val="bullet"/>
      <w:pStyle w:val="572"/>
      <w:lvlText w:val=""/>
      <w:lvlJc w:val="left"/>
      <w:pPr>
        <w:tabs>
          <w:tab w:val="left" w:pos="360"/>
        </w:tabs>
        <w:ind w:left="360" w:hanging="360"/>
      </w:pPr>
      <w:rPr>
        <w:rFonts w:hint="default"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pStyle w:val="81"/>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32F682AF"/>
    <w:multiLevelType w:val="multilevel"/>
    <w:tmpl w:val="32F682AF"/>
    <w:lvl w:ilvl="0" w:tentative="0">
      <w:start w:val="1"/>
      <w:numFmt w:val="decimal"/>
      <w:suff w:val="nothing"/>
      <w:lvlText w:val="%1．"/>
      <w:lvlJc w:val="left"/>
      <w:pPr>
        <w:ind w:left="898" w:hanging="720"/>
      </w:pPr>
      <w:rPr>
        <w:rFonts w:hint="eastAsia"/>
      </w:rPr>
    </w:lvl>
    <w:lvl w:ilvl="1" w:tentative="0">
      <w:start w:val="3"/>
      <w:numFmt w:val="decimal"/>
      <w:lvlText w:val="%2."/>
      <w:lvlJc w:val="left"/>
      <w:pPr>
        <w:tabs>
          <w:tab w:val="left" w:pos="958"/>
        </w:tabs>
        <w:ind w:left="958" w:hanging="360"/>
      </w:pPr>
      <w:rPr>
        <w:rFonts w:hint="default"/>
      </w:rPr>
    </w:lvl>
    <w:lvl w:ilvl="2" w:tentative="0">
      <w:start w:val="1"/>
      <w:numFmt w:val="decimalEnclosedCircle"/>
      <w:lvlText w:val="%3"/>
      <w:lvlJc w:val="left"/>
      <w:pPr>
        <w:tabs>
          <w:tab w:val="left" w:pos="1378"/>
        </w:tabs>
        <w:ind w:left="1378" w:hanging="360"/>
      </w:pPr>
      <w:rPr>
        <w:rFonts w:hint="default"/>
        <w:b w:val="0"/>
        <w:bCs/>
        <w:color w:val="auto"/>
      </w:rPr>
    </w:lvl>
    <w:lvl w:ilvl="3" w:tentative="0">
      <w:start w:val="1"/>
      <w:numFmt w:val="decimal"/>
      <w:lvlText w:val="%4."/>
      <w:lvlJc w:val="left"/>
      <w:pPr>
        <w:tabs>
          <w:tab w:val="left" w:pos="1858"/>
        </w:tabs>
        <w:ind w:left="1858" w:hanging="420"/>
      </w:pPr>
      <w:rPr>
        <w:rFonts w:hint="eastAsia"/>
      </w:rPr>
    </w:lvl>
    <w:lvl w:ilvl="4" w:tentative="0">
      <w:start w:val="1"/>
      <w:numFmt w:val="lowerLetter"/>
      <w:lvlText w:val="%5)"/>
      <w:lvlJc w:val="left"/>
      <w:pPr>
        <w:tabs>
          <w:tab w:val="left" w:pos="2278"/>
        </w:tabs>
        <w:ind w:left="2278" w:hanging="420"/>
      </w:pPr>
      <w:rPr>
        <w:rFonts w:hint="eastAsia"/>
      </w:rPr>
    </w:lvl>
    <w:lvl w:ilvl="5" w:tentative="0">
      <w:start w:val="1"/>
      <w:numFmt w:val="lowerRoman"/>
      <w:lvlText w:val="%6."/>
      <w:lvlJc w:val="right"/>
      <w:pPr>
        <w:tabs>
          <w:tab w:val="left" w:pos="2698"/>
        </w:tabs>
        <w:ind w:left="2698" w:hanging="420"/>
      </w:pPr>
      <w:rPr>
        <w:rFonts w:hint="eastAsia"/>
      </w:rPr>
    </w:lvl>
    <w:lvl w:ilvl="6" w:tentative="0">
      <w:start w:val="1"/>
      <w:numFmt w:val="decimal"/>
      <w:lvlText w:val="%7."/>
      <w:lvlJc w:val="left"/>
      <w:pPr>
        <w:tabs>
          <w:tab w:val="left" w:pos="3118"/>
        </w:tabs>
        <w:ind w:left="3118" w:hanging="420"/>
      </w:pPr>
      <w:rPr>
        <w:rFonts w:hint="eastAsia"/>
      </w:rPr>
    </w:lvl>
    <w:lvl w:ilvl="7" w:tentative="0">
      <w:start w:val="1"/>
      <w:numFmt w:val="lowerLetter"/>
      <w:lvlText w:val="%8)"/>
      <w:lvlJc w:val="left"/>
      <w:pPr>
        <w:tabs>
          <w:tab w:val="left" w:pos="3538"/>
        </w:tabs>
        <w:ind w:left="3538" w:hanging="420"/>
      </w:pPr>
      <w:rPr>
        <w:rFonts w:hint="eastAsia"/>
      </w:rPr>
    </w:lvl>
    <w:lvl w:ilvl="8" w:tentative="0">
      <w:start w:val="1"/>
      <w:numFmt w:val="lowerRoman"/>
      <w:lvlText w:val="%9."/>
      <w:lvlJc w:val="right"/>
      <w:pPr>
        <w:tabs>
          <w:tab w:val="left" w:pos="3958"/>
        </w:tabs>
        <w:ind w:left="3958" w:hanging="420"/>
      </w:pPr>
      <w:rPr>
        <w:rFonts w:hint="eastAsia"/>
      </w:rPr>
    </w:lvl>
  </w:abstractNum>
  <w:abstractNum w:abstractNumId="16">
    <w:nsid w:val="4BC1CBC0"/>
    <w:multiLevelType w:val="multilevel"/>
    <w:tmpl w:val="4BC1CBC0"/>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4EBC145C"/>
    <w:multiLevelType w:val="multilevel"/>
    <w:tmpl w:val="4EBC145C"/>
    <w:lvl w:ilvl="0" w:tentative="0">
      <w:start w:val="1"/>
      <w:numFmt w:val="decimal"/>
      <w:suff w:val="nothing"/>
      <w:lvlText w:val="%1."/>
      <w:lvlJc w:val="left"/>
      <w:pPr>
        <w:ind w:left="900" w:hanging="420"/>
      </w:pPr>
      <w:rPr>
        <w:rFonts w:hint="default" w:asciiTheme="minorEastAsia" w:hAnsiTheme="minorEastAsia" w:eastAsiaTheme="minorEastAsia"/>
        <w:u w:val="none"/>
      </w:r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abstractNum w:abstractNumId="18">
    <w:nsid w:val="59ADCABA"/>
    <w:multiLevelType w:val="multilevel"/>
    <w:tmpl w:val="59ADCABA"/>
    <w:lvl w:ilvl="0" w:tentative="0">
      <w:start w:val="1"/>
      <w:numFmt w:val="decimal"/>
      <w:pStyle w:val="593"/>
      <w:lvlText w:val="%1."/>
      <w:lvlJc w:val="left"/>
      <w:pPr>
        <w:tabs>
          <w:tab w:val="left" w:pos="900"/>
        </w:tabs>
        <w:ind w:left="180" w:firstLine="0"/>
      </w:pPr>
      <w:rPr>
        <w:rFonts w:hint="default"/>
      </w:rPr>
    </w:lvl>
    <w:lvl w:ilvl="1" w:tentative="0">
      <w:start w:val="1"/>
      <w:numFmt w:val="bullet"/>
      <w:lvlText w:val=""/>
      <w:lvlJc w:val="left"/>
      <w:pPr>
        <w:tabs>
          <w:tab w:val="left" w:pos="2160"/>
        </w:tabs>
        <w:ind w:left="2160" w:hanging="360"/>
      </w:pPr>
      <w:rPr>
        <w:rFonts w:hint="default" w:ascii="Symbol" w:hAnsi="Symbol"/>
      </w:rPr>
    </w:lvl>
    <w:lvl w:ilvl="2" w:tentative="0">
      <w:start w:val="1"/>
      <w:numFmt w:val="decimal"/>
      <w:lvlText w:val="%3)"/>
      <w:lvlJc w:val="left"/>
      <w:pPr>
        <w:tabs>
          <w:tab w:val="left" w:pos="3060"/>
        </w:tabs>
        <w:ind w:left="3060" w:hanging="360"/>
      </w:pPr>
      <w:rPr>
        <w:rFonts w:hint="default"/>
      </w:rPr>
    </w:lvl>
    <w:lvl w:ilvl="3" w:tentative="0">
      <w:start w:val="1"/>
      <w:numFmt w:val="lowerRoman"/>
      <w:lvlText w:val="%4)"/>
      <w:lvlJc w:val="left"/>
      <w:pPr>
        <w:tabs>
          <w:tab w:val="left" w:pos="3960"/>
        </w:tabs>
        <w:ind w:left="3960" w:hanging="720"/>
      </w:pPr>
      <w:rPr>
        <w:rFonts w:hint="default"/>
      </w:rPr>
    </w:lvl>
    <w:lvl w:ilvl="4" w:tentative="0">
      <w:start w:val="1"/>
      <w:numFmt w:val="upperLetter"/>
      <w:lvlText w:val="%5."/>
      <w:lvlJc w:val="left"/>
      <w:pPr>
        <w:tabs>
          <w:tab w:val="left" w:pos="4350"/>
        </w:tabs>
        <w:ind w:left="4350" w:hanging="390"/>
      </w:pPr>
      <w:rPr>
        <w:rFonts w:hint="default"/>
      </w:rPr>
    </w:lvl>
    <w:lvl w:ilvl="5" w:tentative="0">
      <w:start w:val="1"/>
      <w:numFmt w:val="lowerRoman"/>
      <w:lvlText w:val="%6."/>
      <w:lvlJc w:val="right"/>
      <w:pPr>
        <w:tabs>
          <w:tab w:val="left" w:pos="5040"/>
        </w:tabs>
        <w:ind w:left="5040" w:hanging="180"/>
      </w:pPr>
    </w:lvl>
    <w:lvl w:ilvl="6" w:tentative="0">
      <w:start w:val="1"/>
      <w:numFmt w:val="decimal"/>
      <w:lvlText w:val="%7."/>
      <w:lvlJc w:val="left"/>
      <w:pPr>
        <w:tabs>
          <w:tab w:val="left" w:pos="5760"/>
        </w:tabs>
        <w:ind w:left="5760" w:hanging="360"/>
      </w:pPr>
    </w:lvl>
    <w:lvl w:ilvl="7" w:tentative="0">
      <w:start w:val="1"/>
      <w:numFmt w:val="lowerLetter"/>
      <w:lvlText w:val="%8."/>
      <w:lvlJc w:val="left"/>
      <w:pPr>
        <w:tabs>
          <w:tab w:val="left" w:pos="6480"/>
        </w:tabs>
        <w:ind w:left="6480" w:hanging="360"/>
      </w:pPr>
    </w:lvl>
    <w:lvl w:ilvl="8" w:tentative="0">
      <w:start w:val="1"/>
      <w:numFmt w:val="lowerRoman"/>
      <w:lvlText w:val="%9."/>
      <w:lvlJc w:val="right"/>
      <w:pPr>
        <w:tabs>
          <w:tab w:val="left" w:pos="7200"/>
        </w:tabs>
        <w:ind w:left="7200" w:hanging="180"/>
      </w:pPr>
    </w:lvl>
  </w:abstractNum>
  <w:abstractNum w:abstractNumId="19">
    <w:nsid w:val="67DCA33E"/>
    <w:multiLevelType w:val="multilevel"/>
    <w:tmpl w:val="67DCA33E"/>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4"/>
  </w:num>
  <w:num w:numId="2">
    <w:abstractNumId w:val="8"/>
  </w:num>
  <w:num w:numId="3">
    <w:abstractNumId w:val="18"/>
  </w:num>
  <w:num w:numId="4">
    <w:abstractNumId w:val="7"/>
  </w:num>
  <w:num w:numId="5">
    <w:abstractNumId w:val="6"/>
  </w:num>
  <w:num w:numId="6">
    <w:abstractNumId w:val="13"/>
  </w:num>
  <w:num w:numId="7">
    <w:abstractNumId w:val="19"/>
  </w:num>
  <w:num w:numId="8">
    <w:abstractNumId w:val="2"/>
  </w:num>
  <w:num w:numId="9">
    <w:abstractNumId w:val="15"/>
  </w:num>
  <w:num w:numId="10">
    <w:abstractNumId w:val="5"/>
  </w:num>
  <w:num w:numId="11">
    <w:abstractNumId w:val="17"/>
  </w:num>
  <w:num w:numId="12">
    <w:abstractNumId w:val="12"/>
  </w:num>
  <w:num w:numId="13">
    <w:abstractNumId w:val="3"/>
  </w:num>
  <w:num w:numId="14">
    <w:abstractNumId w:val="9"/>
  </w:num>
  <w:num w:numId="15">
    <w:abstractNumId w:val="11"/>
  </w:num>
  <w:num w:numId="16">
    <w:abstractNumId w:val="1"/>
  </w:num>
  <w:num w:numId="17">
    <w:abstractNumId w:val="0"/>
  </w:num>
  <w:num w:numId="18">
    <w:abstractNumId w:val="10"/>
  </w:num>
  <w:num w:numId="19">
    <w:abstractNumId w:val="16"/>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21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ED5"/>
    <w:rsid w:val="00005FB1"/>
    <w:rsid w:val="000A002F"/>
    <w:rsid w:val="0059510B"/>
    <w:rsid w:val="00AE644C"/>
    <w:rsid w:val="00AF1302"/>
    <w:rsid w:val="00BF754F"/>
    <w:rsid w:val="00E1278D"/>
    <w:rsid w:val="00EA6249"/>
    <w:rsid w:val="00F07456"/>
    <w:rsid w:val="00FA28B7"/>
    <w:rsid w:val="00FE7ED5"/>
    <w:rsid w:val="011D6065"/>
    <w:rsid w:val="01372051"/>
    <w:rsid w:val="013B2B96"/>
    <w:rsid w:val="0151513B"/>
    <w:rsid w:val="01536978"/>
    <w:rsid w:val="015836C7"/>
    <w:rsid w:val="017D31AE"/>
    <w:rsid w:val="018855FA"/>
    <w:rsid w:val="01A52705"/>
    <w:rsid w:val="01CD4635"/>
    <w:rsid w:val="0236792E"/>
    <w:rsid w:val="02B06C5B"/>
    <w:rsid w:val="02B92A50"/>
    <w:rsid w:val="02D432A2"/>
    <w:rsid w:val="031A67DB"/>
    <w:rsid w:val="0333328D"/>
    <w:rsid w:val="03525F75"/>
    <w:rsid w:val="03BF675A"/>
    <w:rsid w:val="03CB3B71"/>
    <w:rsid w:val="04073203"/>
    <w:rsid w:val="044A181A"/>
    <w:rsid w:val="049154C2"/>
    <w:rsid w:val="04E23328"/>
    <w:rsid w:val="05071B1E"/>
    <w:rsid w:val="053A13B6"/>
    <w:rsid w:val="05FD48BE"/>
    <w:rsid w:val="06173495"/>
    <w:rsid w:val="0653338F"/>
    <w:rsid w:val="06E30188"/>
    <w:rsid w:val="071F528F"/>
    <w:rsid w:val="07921036"/>
    <w:rsid w:val="079808BF"/>
    <w:rsid w:val="07F629F5"/>
    <w:rsid w:val="08443DE4"/>
    <w:rsid w:val="09434992"/>
    <w:rsid w:val="09811362"/>
    <w:rsid w:val="098552F6"/>
    <w:rsid w:val="099C43EE"/>
    <w:rsid w:val="0A1D196E"/>
    <w:rsid w:val="0A5F05F4"/>
    <w:rsid w:val="0A8D39DF"/>
    <w:rsid w:val="0AEC6126"/>
    <w:rsid w:val="0AF10769"/>
    <w:rsid w:val="0B0F700E"/>
    <w:rsid w:val="0B1F0E32"/>
    <w:rsid w:val="0B246449"/>
    <w:rsid w:val="0BAD401F"/>
    <w:rsid w:val="0C1C7414"/>
    <w:rsid w:val="0C377FC9"/>
    <w:rsid w:val="0C430A30"/>
    <w:rsid w:val="0C872552"/>
    <w:rsid w:val="0C9C75E1"/>
    <w:rsid w:val="0E72036A"/>
    <w:rsid w:val="0E9F1FF3"/>
    <w:rsid w:val="0F0942D3"/>
    <w:rsid w:val="0F442929"/>
    <w:rsid w:val="0F895414"/>
    <w:rsid w:val="0F9402BF"/>
    <w:rsid w:val="0FD37863"/>
    <w:rsid w:val="0FF84DA4"/>
    <w:rsid w:val="10120F66"/>
    <w:rsid w:val="104322BF"/>
    <w:rsid w:val="108F6A5A"/>
    <w:rsid w:val="11016A7F"/>
    <w:rsid w:val="1185656A"/>
    <w:rsid w:val="11A43C58"/>
    <w:rsid w:val="11C10E95"/>
    <w:rsid w:val="11CB238C"/>
    <w:rsid w:val="1204518D"/>
    <w:rsid w:val="12174AB9"/>
    <w:rsid w:val="12527D3F"/>
    <w:rsid w:val="128D618E"/>
    <w:rsid w:val="12A157F2"/>
    <w:rsid w:val="12DB7D35"/>
    <w:rsid w:val="13043059"/>
    <w:rsid w:val="13AA7707"/>
    <w:rsid w:val="13FD1900"/>
    <w:rsid w:val="14201051"/>
    <w:rsid w:val="14AC7225"/>
    <w:rsid w:val="14CE4AB6"/>
    <w:rsid w:val="150A66AF"/>
    <w:rsid w:val="15C058FA"/>
    <w:rsid w:val="15F1161D"/>
    <w:rsid w:val="17930515"/>
    <w:rsid w:val="17D11706"/>
    <w:rsid w:val="17F81389"/>
    <w:rsid w:val="188D6A31"/>
    <w:rsid w:val="1901601B"/>
    <w:rsid w:val="19897CD7"/>
    <w:rsid w:val="1A12605D"/>
    <w:rsid w:val="1B576EF3"/>
    <w:rsid w:val="1B8A679C"/>
    <w:rsid w:val="1B9C027D"/>
    <w:rsid w:val="1BF454CB"/>
    <w:rsid w:val="1C5446B4"/>
    <w:rsid w:val="1C715266"/>
    <w:rsid w:val="1CB02F51"/>
    <w:rsid w:val="1CE67A02"/>
    <w:rsid w:val="1D50369F"/>
    <w:rsid w:val="1D9574C6"/>
    <w:rsid w:val="1DBA2D81"/>
    <w:rsid w:val="1E7D6144"/>
    <w:rsid w:val="1E830E19"/>
    <w:rsid w:val="1EB81009"/>
    <w:rsid w:val="1EDA00DE"/>
    <w:rsid w:val="1EF36406"/>
    <w:rsid w:val="1F1E1A47"/>
    <w:rsid w:val="1F550A9C"/>
    <w:rsid w:val="1F6B6860"/>
    <w:rsid w:val="1F8214E6"/>
    <w:rsid w:val="1FDB1308"/>
    <w:rsid w:val="20BE0E30"/>
    <w:rsid w:val="20C91B14"/>
    <w:rsid w:val="214310F3"/>
    <w:rsid w:val="215A4F4A"/>
    <w:rsid w:val="21696735"/>
    <w:rsid w:val="216A3E41"/>
    <w:rsid w:val="21D00C81"/>
    <w:rsid w:val="22243590"/>
    <w:rsid w:val="22A366B1"/>
    <w:rsid w:val="22AC6FF8"/>
    <w:rsid w:val="22B852E7"/>
    <w:rsid w:val="22D63CE1"/>
    <w:rsid w:val="22E22A19"/>
    <w:rsid w:val="231921B3"/>
    <w:rsid w:val="24D740D4"/>
    <w:rsid w:val="252F1AE8"/>
    <w:rsid w:val="25FA7121"/>
    <w:rsid w:val="260638ED"/>
    <w:rsid w:val="26113B28"/>
    <w:rsid w:val="26123616"/>
    <w:rsid w:val="2629095F"/>
    <w:rsid w:val="265708B3"/>
    <w:rsid w:val="2689207E"/>
    <w:rsid w:val="27174C5C"/>
    <w:rsid w:val="271C14FE"/>
    <w:rsid w:val="27A806BC"/>
    <w:rsid w:val="27BD3A55"/>
    <w:rsid w:val="285F2D5E"/>
    <w:rsid w:val="28771E56"/>
    <w:rsid w:val="28812E75"/>
    <w:rsid w:val="288307FB"/>
    <w:rsid w:val="28ED1885"/>
    <w:rsid w:val="28ED5E0D"/>
    <w:rsid w:val="28F96D0F"/>
    <w:rsid w:val="29736AC1"/>
    <w:rsid w:val="29BA46F0"/>
    <w:rsid w:val="29DB3046"/>
    <w:rsid w:val="29DF7CB3"/>
    <w:rsid w:val="2AC72E32"/>
    <w:rsid w:val="2B57569A"/>
    <w:rsid w:val="2B9966B3"/>
    <w:rsid w:val="2C7A0167"/>
    <w:rsid w:val="2D0637A8"/>
    <w:rsid w:val="2D614EDD"/>
    <w:rsid w:val="2E141D6A"/>
    <w:rsid w:val="2E5F5866"/>
    <w:rsid w:val="2F4862FA"/>
    <w:rsid w:val="2F5C380D"/>
    <w:rsid w:val="2F6F2DF1"/>
    <w:rsid w:val="2FC42004"/>
    <w:rsid w:val="303A7518"/>
    <w:rsid w:val="30D140CD"/>
    <w:rsid w:val="30D2067A"/>
    <w:rsid w:val="311741D6"/>
    <w:rsid w:val="319A4D40"/>
    <w:rsid w:val="31B12FF4"/>
    <w:rsid w:val="32677392"/>
    <w:rsid w:val="329B1251"/>
    <w:rsid w:val="32BD2B5B"/>
    <w:rsid w:val="32BE0336"/>
    <w:rsid w:val="32C44DA7"/>
    <w:rsid w:val="32D8384A"/>
    <w:rsid w:val="33430696"/>
    <w:rsid w:val="335C010C"/>
    <w:rsid w:val="342F185C"/>
    <w:rsid w:val="343239A1"/>
    <w:rsid w:val="34BA15BA"/>
    <w:rsid w:val="34BF26D0"/>
    <w:rsid w:val="352C3FC8"/>
    <w:rsid w:val="35B46497"/>
    <w:rsid w:val="35D84A56"/>
    <w:rsid w:val="365B6913"/>
    <w:rsid w:val="36C2097E"/>
    <w:rsid w:val="36E96615"/>
    <w:rsid w:val="36F9612C"/>
    <w:rsid w:val="373F6235"/>
    <w:rsid w:val="376E44E6"/>
    <w:rsid w:val="37B454F3"/>
    <w:rsid w:val="38426E3E"/>
    <w:rsid w:val="397B107A"/>
    <w:rsid w:val="39921B3C"/>
    <w:rsid w:val="39C80B64"/>
    <w:rsid w:val="3AFD68B8"/>
    <w:rsid w:val="3B3C7315"/>
    <w:rsid w:val="3B47390A"/>
    <w:rsid w:val="3B7E2329"/>
    <w:rsid w:val="3BCC4363"/>
    <w:rsid w:val="3BE178BA"/>
    <w:rsid w:val="3C101F4E"/>
    <w:rsid w:val="3C1B290E"/>
    <w:rsid w:val="3CE22A1E"/>
    <w:rsid w:val="3D0A4BEF"/>
    <w:rsid w:val="3D2A5291"/>
    <w:rsid w:val="3D4225DB"/>
    <w:rsid w:val="3DB67BB6"/>
    <w:rsid w:val="3DC15C11"/>
    <w:rsid w:val="3E032596"/>
    <w:rsid w:val="3E817133"/>
    <w:rsid w:val="3E822812"/>
    <w:rsid w:val="3E8A41D5"/>
    <w:rsid w:val="3E8B03E4"/>
    <w:rsid w:val="3EED17D0"/>
    <w:rsid w:val="3F67457A"/>
    <w:rsid w:val="3F9E5AC2"/>
    <w:rsid w:val="3FF676AC"/>
    <w:rsid w:val="40C81C57"/>
    <w:rsid w:val="41DF1058"/>
    <w:rsid w:val="423173AB"/>
    <w:rsid w:val="42723962"/>
    <w:rsid w:val="42AA3167"/>
    <w:rsid w:val="42D20C39"/>
    <w:rsid w:val="42D435F5"/>
    <w:rsid w:val="42ED2FE9"/>
    <w:rsid w:val="42F8373B"/>
    <w:rsid w:val="42FA5706"/>
    <w:rsid w:val="42FA74B4"/>
    <w:rsid w:val="430F5455"/>
    <w:rsid w:val="43210986"/>
    <w:rsid w:val="434E3BCE"/>
    <w:rsid w:val="436B215F"/>
    <w:rsid w:val="43D349F5"/>
    <w:rsid w:val="43E01E84"/>
    <w:rsid w:val="44421DFF"/>
    <w:rsid w:val="445C45F0"/>
    <w:rsid w:val="448C6035"/>
    <w:rsid w:val="44F532AF"/>
    <w:rsid w:val="453C3DB3"/>
    <w:rsid w:val="45837C34"/>
    <w:rsid w:val="46144D30"/>
    <w:rsid w:val="46D21118"/>
    <w:rsid w:val="472C2436"/>
    <w:rsid w:val="474B29D4"/>
    <w:rsid w:val="47531BB9"/>
    <w:rsid w:val="477E6905"/>
    <w:rsid w:val="480A63EB"/>
    <w:rsid w:val="48273D40"/>
    <w:rsid w:val="491868E5"/>
    <w:rsid w:val="497E1DB7"/>
    <w:rsid w:val="49F53598"/>
    <w:rsid w:val="4A0F7A8B"/>
    <w:rsid w:val="4A122B23"/>
    <w:rsid w:val="4A471230"/>
    <w:rsid w:val="4A801623"/>
    <w:rsid w:val="4AA470C6"/>
    <w:rsid w:val="4AF93213"/>
    <w:rsid w:val="4B2201D1"/>
    <w:rsid w:val="4B4345C3"/>
    <w:rsid w:val="4BAB1C93"/>
    <w:rsid w:val="4BF43C68"/>
    <w:rsid w:val="4C3A7AFF"/>
    <w:rsid w:val="4C7E5C4C"/>
    <w:rsid w:val="4CFF4949"/>
    <w:rsid w:val="4D06504A"/>
    <w:rsid w:val="4D2F41FE"/>
    <w:rsid w:val="4D4F0198"/>
    <w:rsid w:val="4D5048A0"/>
    <w:rsid w:val="4D6B3488"/>
    <w:rsid w:val="4D926C66"/>
    <w:rsid w:val="4DA21E3D"/>
    <w:rsid w:val="4DC808DA"/>
    <w:rsid w:val="4E5B79A0"/>
    <w:rsid w:val="4E7D41E9"/>
    <w:rsid w:val="4EEF633A"/>
    <w:rsid w:val="4EF30E8B"/>
    <w:rsid w:val="4EF41183"/>
    <w:rsid w:val="4F0C47F7"/>
    <w:rsid w:val="4F80430F"/>
    <w:rsid w:val="4FA17635"/>
    <w:rsid w:val="4FDA072A"/>
    <w:rsid w:val="505024F7"/>
    <w:rsid w:val="50845DD3"/>
    <w:rsid w:val="50A20D13"/>
    <w:rsid w:val="50D51CA7"/>
    <w:rsid w:val="510C274D"/>
    <w:rsid w:val="51695F30"/>
    <w:rsid w:val="51F7568B"/>
    <w:rsid w:val="527E021F"/>
    <w:rsid w:val="529214B7"/>
    <w:rsid w:val="52EC2D60"/>
    <w:rsid w:val="53B83AFC"/>
    <w:rsid w:val="53DA10C2"/>
    <w:rsid w:val="53F87A3F"/>
    <w:rsid w:val="543E56FB"/>
    <w:rsid w:val="549E3DBD"/>
    <w:rsid w:val="54C4504C"/>
    <w:rsid w:val="54CF6505"/>
    <w:rsid w:val="552D184D"/>
    <w:rsid w:val="56E5461B"/>
    <w:rsid w:val="56F72230"/>
    <w:rsid w:val="57325016"/>
    <w:rsid w:val="57D562BD"/>
    <w:rsid w:val="57E9165C"/>
    <w:rsid w:val="58965984"/>
    <w:rsid w:val="58CB1E49"/>
    <w:rsid w:val="59126EAD"/>
    <w:rsid w:val="592E58F6"/>
    <w:rsid w:val="59372DB8"/>
    <w:rsid w:val="593A52C6"/>
    <w:rsid w:val="597E2D83"/>
    <w:rsid w:val="59F9006D"/>
    <w:rsid w:val="59FD6606"/>
    <w:rsid w:val="5A4C218B"/>
    <w:rsid w:val="5A7B58D8"/>
    <w:rsid w:val="5AA14960"/>
    <w:rsid w:val="5AD56BE4"/>
    <w:rsid w:val="5B0F011E"/>
    <w:rsid w:val="5B850D6C"/>
    <w:rsid w:val="5BF64864"/>
    <w:rsid w:val="5C05515E"/>
    <w:rsid w:val="5C902584"/>
    <w:rsid w:val="5CD51C22"/>
    <w:rsid w:val="5D3374E5"/>
    <w:rsid w:val="5D63518A"/>
    <w:rsid w:val="5D6B74D4"/>
    <w:rsid w:val="5DA54957"/>
    <w:rsid w:val="5DEE1CFF"/>
    <w:rsid w:val="5E42621A"/>
    <w:rsid w:val="5E613CAB"/>
    <w:rsid w:val="5E7E6B97"/>
    <w:rsid w:val="5EAF17E2"/>
    <w:rsid w:val="5EB21D38"/>
    <w:rsid w:val="5F73441E"/>
    <w:rsid w:val="5FF217E7"/>
    <w:rsid w:val="60172FFB"/>
    <w:rsid w:val="609603C4"/>
    <w:rsid w:val="613166C7"/>
    <w:rsid w:val="61AD00BB"/>
    <w:rsid w:val="61D07906"/>
    <w:rsid w:val="61DA69D6"/>
    <w:rsid w:val="620D0B5A"/>
    <w:rsid w:val="621405C9"/>
    <w:rsid w:val="62873071"/>
    <w:rsid w:val="62922E0D"/>
    <w:rsid w:val="62DE42A4"/>
    <w:rsid w:val="62DE7EE0"/>
    <w:rsid w:val="63065CD5"/>
    <w:rsid w:val="632779F9"/>
    <w:rsid w:val="6338770C"/>
    <w:rsid w:val="63907556"/>
    <w:rsid w:val="642503DD"/>
    <w:rsid w:val="646E15F8"/>
    <w:rsid w:val="64CD00F6"/>
    <w:rsid w:val="64DC470B"/>
    <w:rsid w:val="655D3BA6"/>
    <w:rsid w:val="65BA406D"/>
    <w:rsid w:val="65E056CC"/>
    <w:rsid w:val="66AC7A28"/>
    <w:rsid w:val="66E04A8F"/>
    <w:rsid w:val="66E31E89"/>
    <w:rsid w:val="67583BE7"/>
    <w:rsid w:val="67C72E6D"/>
    <w:rsid w:val="68444BA9"/>
    <w:rsid w:val="684D7F02"/>
    <w:rsid w:val="68637725"/>
    <w:rsid w:val="689E42BA"/>
    <w:rsid w:val="68DE1644"/>
    <w:rsid w:val="691C0AA9"/>
    <w:rsid w:val="69824E17"/>
    <w:rsid w:val="6A0C27ED"/>
    <w:rsid w:val="6A9532C4"/>
    <w:rsid w:val="6AA47B81"/>
    <w:rsid w:val="6AA63ED3"/>
    <w:rsid w:val="6ABF6769"/>
    <w:rsid w:val="6B142F59"/>
    <w:rsid w:val="6B3929BF"/>
    <w:rsid w:val="6B402F34"/>
    <w:rsid w:val="6B421B88"/>
    <w:rsid w:val="6B5733E1"/>
    <w:rsid w:val="6B963E35"/>
    <w:rsid w:val="6BCA6012"/>
    <w:rsid w:val="6C01342B"/>
    <w:rsid w:val="6C20148A"/>
    <w:rsid w:val="6C6415A4"/>
    <w:rsid w:val="6C69045D"/>
    <w:rsid w:val="6D3E606B"/>
    <w:rsid w:val="6DA2484C"/>
    <w:rsid w:val="6DF8446C"/>
    <w:rsid w:val="6E46167B"/>
    <w:rsid w:val="6E461E74"/>
    <w:rsid w:val="6E80446A"/>
    <w:rsid w:val="6E970129"/>
    <w:rsid w:val="6ED400FB"/>
    <w:rsid w:val="6EF2690F"/>
    <w:rsid w:val="6F33668B"/>
    <w:rsid w:val="6F392B00"/>
    <w:rsid w:val="6FC473A0"/>
    <w:rsid w:val="6FE0340A"/>
    <w:rsid w:val="707A0720"/>
    <w:rsid w:val="71031AA6"/>
    <w:rsid w:val="71FB41EE"/>
    <w:rsid w:val="72110E15"/>
    <w:rsid w:val="72715F72"/>
    <w:rsid w:val="72DF3E4C"/>
    <w:rsid w:val="72FF004B"/>
    <w:rsid w:val="73271010"/>
    <w:rsid w:val="73506AF8"/>
    <w:rsid w:val="73A17274"/>
    <w:rsid w:val="73F6686A"/>
    <w:rsid w:val="744F6DB0"/>
    <w:rsid w:val="74A964C0"/>
    <w:rsid w:val="74D81FFE"/>
    <w:rsid w:val="75392D5B"/>
    <w:rsid w:val="7544268D"/>
    <w:rsid w:val="756E1039"/>
    <w:rsid w:val="756F1144"/>
    <w:rsid w:val="759B0C84"/>
    <w:rsid w:val="75A63C17"/>
    <w:rsid w:val="75C02056"/>
    <w:rsid w:val="75CC3749"/>
    <w:rsid w:val="75D457BF"/>
    <w:rsid w:val="76007F76"/>
    <w:rsid w:val="76251A1F"/>
    <w:rsid w:val="764B64BB"/>
    <w:rsid w:val="769D3B5F"/>
    <w:rsid w:val="77102C6B"/>
    <w:rsid w:val="776B5CAF"/>
    <w:rsid w:val="77963D47"/>
    <w:rsid w:val="77C35AEB"/>
    <w:rsid w:val="77D2787D"/>
    <w:rsid w:val="77EF68E0"/>
    <w:rsid w:val="786A479E"/>
    <w:rsid w:val="78995B49"/>
    <w:rsid w:val="78BB2C66"/>
    <w:rsid w:val="78F637DD"/>
    <w:rsid w:val="795A1893"/>
    <w:rsid w:val="79984D55"/>
    <w:rsid w:val="7A36630D"/>
    <w:rsid w:val="7A40469E"/>
    <w:rsid w:val="7A7C01D3"/>
    <w:rsid w:val="7A912356"/>
    <w:rsid w:val="7AAD65DE"/>
    <w:rsid w:val="7ABE6A3D"/>
    <w:rsid w:val="7B763320"/>
    <w:rsid w:val="7B845591"/>
    <w:rsid w:val="7B8F0490"/>
    <w:rsid w:val="7BA875A6"/>
    <w:rsid w:val="7BC065AB"/>
    <w:rsid w:val="7C527A26"/>
    <w:rsid w:val="7C666B5A"/>
    <w:rsid w:val="7D4E40B2"/>
    <w:rsid w:val="7D5A2853"/>
    <w:rsid w:val="7DBE75CB"/>
    <w:rsid w:val="7DC75C09"/>
    <w:rsid w:val="7DDC148F"/>
    <w:rsid w:val="7DDD367E"/>
    <w:rsid w:val="7DFB5E34"/>
    <w:rsid w:val="7E8D5CA0"/>
    <w:rsid w:val="7EBF49D8"/>
    <w:rsid w:val="7EDE2675"/>
    <w:rsid w:val="7EEE7430"/>
    <w:rsid w:val="7FAA7590"/>
    <w:rsid w:val="7FF419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uiPriority="99" w:name="List 5"/>
    <w:lsdException w:qFormat="1" w:unhideWhenUsed="0" w:uiPriority="0" w:semiHidden="0" w:name="List Bullet 2"/>
    <w:lsdException w:uiPriority="99"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226"/>
    <w:qFormat/>
    <w:uiPriority w:val="0"/>
    <w:pPr>
      <w:keepNext/>
      <w:jc w:val="center"/>
      <w:outlineLvl w:val="0"/>
    </w:pPr>
    <w:rPr>
      <w:rFonts w:ascii="楷体_GB2312" w:eastAsia="楷体_GB2312"/>
      <w:b/>
      <w:sz w:val="28"/>
    </w:rPr>
  </w:style>
  <w:style w:type="paragraph" w:styleId="3">
    <w:name w:val="heading 2"/>
    <w:basedOn w:val="1"/>
    <w:next w:val="1"/>
    <w:link w:val="227"/>
    <w:qFormat/>
    <w:uiPriority w:val="0"/>
    <w:pPr>
      <w:keepNext/>
      <w:jc w:val="center"/>
      <w:outlineLvl w:val="1"/>
    </w:pPr>
    <w:rPr>
      <w:rFonts w:ascii="楷体_GB2312" w:eastAsia="楷体_GB2312"/>
      <w:b/>
      <w:bCs/>
      <w:sz w:val="18"/>
    </w:rPr>
  </w:style>
  <w:style w:type="paragraph" w:styleId="4">
    <w:name w:val="heading 3"/>
    <w:basedOn w:val="1"/>
    <w:next w:val="1"/>
    <w:link w:val="228"/>
    <w:qFormat/>
    <w:uiPriority w:val="0"/>
    <w:pPr>
      <w:keepNext/>
      <w:jc w:val="center"/>
      <w:outlineLvl w:val="2"/>
    </w:pPr>
    <w:rPr>
      <w:rFonts w:eastAsia="楷体_GB2312"/>
      <w:b/>
      <w:bCs/>
      <w:sz w:val="15"/>
    </w:rPr>
  </w:style>
  <w:style w:type="paragraph" w:styleId="5">
    <w:name w:val="heading 4"/>
    <w:basedOn w:val="1"/>
    <w:next w:val="1"/>
    <w:link w:val="229"/>
    <w:qFormat/>
    <w:uiPriority w:val="0"/>
    <w:pPr>
      <w:keepNext/>
      <w:jc w:val="center"/>
      <w:outlineLvl w:val="3"/>
    </w:pPr>
    <w:rPr>
      <w:rFonts w:eastAsia="楷体_GB2312"/>
      <w:b/>
      <w:bCs/>
      <w:sz w:val="13"/>
    </w:rPr>
  </w:style>
  <w:style w:type="paragraph" w:styleId="6">
    <w:name w:val="heading 5"/>
    <w:basedOn w:val="1"/>
    <w:next w:val="1"/>
    <w:link w:val="230"/>
    <w:qFormat/>
    <w:uiPriority w:val="0"/>
    <w:pPr>
      <w:keepNext/>
      <w:tabs>
        <w:tab w:val="left" w:pos="360"/>
      </w:tabs>
      <w:ind w:left="360" w:hanging="360"/>
      <w:outlineLvl w:val="4"/>
    </w:pPr>
    <w:rPr>
      <w:rFonts w:ascii="楷体_GB2312" w:eastAsia="楷体_GB2312"/>
      <w:bCs/>
      <w:sz w:val="28"/>
    </w:rPr>
  </w:style>
  <w:style w:type="paragraph" w:styleId="7">
    <w:name w:val="heading 6"/>
    <w:basedOn w:val="1"/>
    <w:next w:val="1"/>
    <w:link w:val="231"/>
    <w:qFormat/>
    <w:uiPriority w:val="0"/>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styleId="8">
    <w:name w:val="heading 7"/>
    <w:basedOn w:val="1"/>
    <w:next w:val="1"/>
    <w:link w:val="232"/>
    <w:qFormat/>
    <w:uiPriority w:val="0"/>
    <w:pPr>
      <w:keepNext/>
      <w:keepLines/>
      <w:widowControl/>
      <w:tabs>
        <w:tab w:val="left" w:pos="2520"/>
      </w:tabs>
      <w:spacing w:before="240" w:after="64" w:line="317" w:lineRule="auto"/>
      <w:ind w:left="1296" w:hanging="1296"/>
      <w:jc w:val="left"/>
      <w:outlineLvl w:val="6"/>
    </w:pPr>
    <w:rPr>
      <w:b/>
      <w:bCs/>
      <w:sz w:val="24"/>
      <w:szCs w:val="24"/>
    </w:rPr>
  </w:style>
  <w:style w:type="paragraph" w:styleId="9">
    <w:name w:val="heading 8"/>
    <w:basedOn w:val="1"/>
    <w:next w:val="1"/>
    <w:link w:val="233"/>
    <w:qFormat/>
    <w:uiPriority w:val="0"/>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styleId="10">
    <w:name w:val="heading 9"/>
    <w:basedOn w:val="1"/>
    <w:next w:val="1"/>
    <w:link w:val="234"/>
    <w:qFormat/>
    <w:uiPriority w:val="0"/>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default="1" w:styleId="69">
    <w:name w:val="Default Paragraph Font"/>
    <w:semiHidden/>
    <w:unhideWhenUsed/>
    <w:qFormat/>
    <w:uiPriority w:val="1"/>
  </w:style>
  <w:style w:type="table" w:default="1" w:styleId="67">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widowControl/>
      <w:ind w:left="100" w:hanging="200"/>
      <w:jc w:val="left"/>
    </w:pPr>
    <w:rPr>
      <w:sz w:val="20"/>
    </w:rPr>
  </w:style>
  <w:style w:type="paragraph" w:styleId="12">
    <w:name w:val="toc 7"/>
    <w:basedOn w:val="1"/>
    <w:next w:val="1"/>
    <w:qFormat/>
    <w:uiPriority w:val="39"/>
    <w:pPr>
      <w:widowControl/>
      <w:ind w:left="1200"/>
      <w:jc w:val="left"/>
    </w:pPr>
    <w:rPr>
      <w:sz w:val="20"/>
      <w:szCs w:val="21"/>
    </w:rPr>
  </w:style>
  <w:style w:type="paragraph" w:styleId="13">
    <w:name w:val="index 8"/>
    <w:basedOn w:val="1"/>
    <w:next w:val="1"/>
    <w:qFormat/>
    <w:uiPriority w:val="0"/>
    <w:pPr>
      <w:ind w:left="2940"/>
    </w:pPr>
    <w:rPr>
      <w:rFonts w:eastAsia="楷体_GB2312"/>
      <w:sz w:val="26"/>
    </w:rPr>
  </w:style>
  <w:style w:type="paragraph" w:styleId="14">
    <w:name w:val="List Number"/>
    <w:basedOn w:val="1"/>
    <w:link w:val="235"/>
    <w:qFormat/>
    <w:uiPriority w:val="0"/>
    <w:pPr>
      <w:tabs>
        <w:tab w:val="left" w:pos="360"/>
      </w:tabs>
      <w:spacing w:line="360" w:lineRule="auto"/>
      <w:ind w:left="360" w:hanging="360"/>
    </w:pPr>
    <w:rPr>
      <w:rFonts w:ascii="Tahoma" w:hAnsi="Tahoma" w:eastAsia="楷体_GB2312"/>
      <w:sz w:val="24"/>
      <w:szCs w:val="24"/>
      <w:lang w:val="zh-CN"/>
    </w:rPr>
  </w:style>
  <w:style w:type="paragraph" w:styleId="15">
    <w:name w:val="Normal Indent"/>
    <w:basedOn w:val="1"/>
    <w:link w:val="236"/>
    <w:qFormat/>
    <w:uiPriority w:val="0"/>
    <w:pPr>
      <w:ind w:firstLine="420"/>
    </w:pPr>
  </w:style>
  <w:style w:type="paragraph" w:styleId="16">
    <w:name w:val="caption"/>
    <w:basedOn w:val="1"/>
    <w:next w:val="1"/>
    <w:qFormat/>
    <w:uiPriority w:val="0"/>
    <w:rPr>
      <w:rFonts w:ascii="Cambria" w:hAnsi="Cambria" w:eastAsia="黑体"/>
      <w:sz w:val="20"/>
    </w:rPr>
  </w:style>
  <w:style w:type="paragraph" w:styleId="17">
    <w:name w:val="index 5"/>
    <w:basedOn w:val="1"/>
    <w:next w:val="1"/>
    <w:qFormat/>
    <w:uiPriority w:val="0"/>
    <w:pPr>
      <w:ind w:left="1680"/>
    </w:pPr>
    <w:rPr>
      <w:rFonts w:eastAsia="楷体_GB2312"/>
      <w:sz w:val="26"/>
    </w:rPr>
  </w:style>
  <w:style w:type="paragraph" w:styleId="18">
    <w:name w:val="List Bullet"/>
    <w:basedOn w:val="1"/>
    <w:qFormat/>
    <w:uiPriority w:val="0"/>
    <w:pPr>
      <w:tabs>
        <w:tab w:val="left" w:pos="1050"/>
      </w:tabs>
      <w:ind w:left="1050" w:hanging="420"/>
    </w:pPr>
    <w:rPr>
      <w:szCs w:val="24"/>
    </w:rPr>
  </w:style>
  <w:style w:type="paragraph" w:styleId="19">
    <w:name w:val="Document Map"/>
    <w:basedOn w:val="1"/>
    <w:link w:val="237"/>
    <w:qFormat/>
    <w:uiPriority w:val="0"/>
    <w:pPr>
      <w:shd w:val="clear" w:color="auto" w:fill="000080"/>
    </w:pPr>
  </w:style>
  <w:style w:type="paragraph" w:styleId="20">
    <w:name w:val="annotation text"/>
    <w:basedOn w:val="1"/>
    <w:link w:val="238"/>
    <w:qFormat/>
    <w:uiPriority w:val="0"/>
    <w:pPr>
      <w:jc w:val="left"/>
    </w:pPr>
  </w:style>
  <w:style w:type="paragraph" w:styleId="21">
    <w:name w:val="index 6"/>
    <w:basedOn w:val="1"/>
    <w:next w:val="1"/>
    <w:qFormat/>
    <w:uiPriority w:val="0"/>
    <w:pPr>
      <w:ind w:left="2100"/>
    </w:pPr>
    <w:rPr>
      <w:rFonts w:eastAsia="楷体_GB2312"/>
      <w:sz w:val="26"/>
    </w:rPr>
  </w:style>
  <w:style w:type="paragraph" w:styleId="22">
    <w:name w:val="Salutation"/>
    <w:basedOn w:val="1"/>
    <w:next w:val="1"/>
    <w:link w:val="239"/>
    <w:qFormat/>
    <w:uiPriority w:val="0"/>
    <w:pPr>
      <w:spacing w:after="20" w:line="288" w:lineRule="auto"/>
      <w:ind w:firstLine="420"/>
    </w:pPr>
    <w:rPr>
      <w:sz w:val="28"/>
      <w:szCs w:val="24"/>
      <w:lang w:bidi="mn-Mong-CN"/>
    </w:rPr>
  </w:style>
  <w:style w:type="paragraph" w:styleId="23">
    <w:name w:val="Body Text 3"/>
    <w:basedOn w:val="1"/>
    <w:link w:val="240"/>
    <w:qFormat/>
    <w:uiPriority w:val="0"/>
    <w:rPr>
      <w:rFonts w:ascii="宋体"/>
      <w:sz w:val="24"/>
      <w:lang w:bidi="mn-Mong-CN"/>
    </w:rPr>
  </w:style>
  <w:style w:type="paragraph" w:styleId="24">
    <w:name w:val="Closing"/>
    <w:basedOn w:val="1"/>
    <w:link w:val="241"/>
    <w:qFormat/>
    <w:uiPriority w:val="0"/>
    <w:pPr>
      <w:spacing w:after="20" w:line="288" w:lineRule="auto"/>
      <w:ind w:left="100" w:firstLine="420"/>
    </w:pPr>
    <w:rPr>
      <w:sz w:val="28"/>
      <w:szCs w:val="24"/>
      <w:lang w:bidi="mn-Mong-CN"/>
    </w:rPr>
  </w:style>
  <w:style w:type="paragraph" w:styleId="25">
    <w:name w:val="Body Text"/>
    <w:basedOn w:val="1"/>
    <w:next w:val="1"/>
    <w:link w:val="242"/>
    <w:qFormat/>
    <w:uiPriority w:val="99"/>
    <w:rPr>
      <w:rFonts w:ascii="华文中宋" w:eastAsia="华文中宋"/>
      <w:bCs/>
      <w:sz w:val="28"/>
      <w:lang w:val="zh-CN"/>
    </w:rPr>
  </w:style>
  <w:style w:type="paragraph" w:styleId="26">
    <w:name w:val="Body Text Indent"/>
    <w:basedOn w:val="1"/>
    <w:link w:val="243"/>
    <w:qFormat/>
    <w:uiPriority w:val="0"/>
    <w:pPr>
      <w:ind w:firstLine="576"/>
    </w:pPr>
    <w:rPr>
      <w:b/>
      <w:sz w:val="30"/>
    </w:rPr>
  </w:style>
  <w:style w:type="paragraph" w:styleId="27">
    <w:name w:val="List 2"/>
    <w:basedOn w:val="1"/>
    <w:qFormat/>
    <w:uiPriority w:val="0"/>
    <w:pPr>
      <w:widowControl/>
      <w:ind w:left="100" w:hanging="200"/>
      <w:jc w:val="left"/>
    </w:pPr>
    <w:rPr>
      <w:sz w:val="20"/>
    </w:rPr>
  </w:style>
  <w:style w:type="paragraph" w:styleId="28">
    <w:name w:val="Block Text"/>
    <w:basedOn w:val="1"/>
    <w:qFormat/>
    <w:uiPriority w:val="0"/>
    <w:pPr>
      <w:ind w:left="420" w:right="33"/>
      <w:jc w:val="left"/>
    </w:pPr>
    <w:rPr>
      <w:sz w:val="24"/>
    </w:rPr>
  </w:style>
  <w:style w:type="paragraph" w:styleId="29">
    <w:name w:val="List Bullet 2"/>
    <w:basedOn w:val="1"/>
    <w:qFormat/>
    <w:uiPriority w:val="0"/>
    <w:pPr>
      <w:spacing w:line="360" w:lineRule="auto"/>
    </w:pPr>
    <w:rPr>
      <w:sz w:val="24"/>
      <w:szCs w:val="24"/>
    </w:rPr>
  </w:style>
  <w:style w:type="paragraph" w:styleId="30">
    <w:name w:val="index 4"/>
    <w:basedOn w:val="1"/>
    <w:next w:val="1"/>
    <w:unhideWhenUsed/>
    <w:qFormat/>
    <w:uiPriority w:val="0"/>
    <w:pPr>
      <w:ind w:left="600"/>
    </w:pPr>
    <w:rPr>
      <w:szCs w:val="24"/>
    </w:rPr>
  </w:style>
  <w:style w:type="paragraph" w:styleId="31">
    <w:name w:val="toc 5"/>
    <w:basedOn w:val="1"/>
    <w:next w:val="1"/>
    <w:qFormat/>
    <w:uiPriority w:val="39"/>
    <w:pPr>
      <w:widowControl/>
      <w:ind w:left="800"/>
      <w:jc w:val="left"/>
    </w:pPr>
    <w:rPr>
      <w:sz w:val="20"/>
      <w:szCs w:val="21"/>
    </w:rPr>
  </w:style>
  <w:style w:type="paragraph" w:styleId="32">
    <w:name w:val="toc 3"/>
    <w:basedOn w:val="1"/>
    <w:next w:val="1"/>
    <w:qFormat/>
    <w:uiPriority w:val="39"/>
    <w:pPr>
      <w:ind w:left="780"/>
      <w:jc w:val="center"/>
    </w:pPr>
    <w:rPr>
      <w:b/>
      <w:sz w:val="24"/>
      <w:szCs w:val="24"/>
    </w:rPr>
  </w:style>
  <w:style w:type="paragraph" w:styleId="33">
    <w:name w:val="Plain Text"/>
    <w:basedOn w:val="1"/>
    <w:link w:val="244"/>
    <w:qFormat/>
    <w:uiPriority w:val="99"/>
    <w:rPr>
      <w:rFonts w:ascii="宋体" w:hAnsi="Courier New"/>
      <w:sz w:val="20"/>
    </w:rPr>
  </w:style>
  <w:style w:type="paragraph" w:styleId="34">
    <w:name w:val="List Bullet 5"/>
    <w:basedOn w:val="1"/>
    <w:qFormat/>
    <w:uiPriority w:val="0"/>
    <w:pPr>
      <w:widowControl/>
      <w:tabs>
        <w:tab w:val="left" w:pos="2040"/>
      </w:tabs>
      <w:spacing w:line="360" w:lineRule="exact"/>
      <w:ind w:left="2040" w:hanging="360"/>
    </w:pPr>
    <w:rPr>
      <w:rFonts w:eastAsia="楷体_GB2312"/>
      <w:sz w:val="24"/>
    </w:rPr>
  </w:style>
  <w:style w:type="paragraph" w:styleId="35">
    <w:name w:val="toc 8"/>
    <w:basedOn w:val="1"/>
    <w:next w:val="1"/>
    <w:qFormat/>
    <w:uiPriority w:val="39"/>
    <w:pPr>
      <w:widowControl/>
      <w:ind w:left="1400"/>
      <w:jc w:val="left"/>
    </w:pPr>
    <w:rPr>
      <w:sz w:val="20"/>
      <w:szCs w:val="21"/>
    </w:rPr>
  </w:style>
  <w:style w:type="paragraph" w:styleId="36">
    <w:name w:val="index 3"/>
    <w:basedOn w:val="1"/>
    <w:next w:val="1"/>
    <w:qFormat/>
    <w:uiPriority w:val="0"/>
    <w:pPr>
      <w:ind w:left="840"/>
    </w:pPr>
    <w:rPr>
      <w:rFonts w:eastAsia="楷体_GB2312"/>
      <w:sz w:val="26"/>
    </w:rPr>
  </w:style>
  <w:style w:type="paragraph" w:styleId="37">
    <w:name w:val="Date"/>
    <w:basedOn w:val="1"/>
    <w:next w:val="1"/>
    <w:link w:val="245"/>
    <w:qFormat/>
    <w:uiPriority w:val="0"/>
    <w:rPr>
      <w:rFonts w:eastAsia="黑体"/>
      <w:b/>
      <w:sz w:val="36"/>
    </w:rPr>
  </w:style>
  <w:style w:type="paragraph" w:styleId="38">
    <w:name w:val="Body Text Indent 2"/>
    <w:basedOn w:val="1"/>
    <w:link w:val="246"/>
    <w:qFormat/>
    <w:uiPriority w:val="0"/>
    <w:pPr>
      <w:ind w:left="900"/>
    </w:pPr>
    <w:rPr>
      <w:rFonts w:ascii="楷体_GB2312" w:eastAsia="楷体_GB2312"/>
      <w:b/>
      <w:sz w:val="28"/>
    </w:rPr>
  </w:style>
  <w:style w:type="paragraph" w:styleId="39">
    <w:name w:val="endnote text"/>
    <w:basedOn w:val="1"/>
    <w:link w:val="247"/>
    <w:qFormat/>
    <w:uiPriority w:val="0"/>
    <w:pPr>
      <w:widowControl/>
      <w:jc w:val="left"/>
    </w:pPr>
    <w:rPr>
      <w:sz w:val="20"/>
      <w:lang w:bidi="mn-Mong-CN"/>
    </w:rPr>
  </w:style>
  <w:style w:type="paragraph" w:styleId="40">
    <w:name w:val="Balloon Text"/>
    <w:basedOn w:val="1"/>
    <w:link w:val="248"/>
    <w:qFormat/>
    <w:uiPriority w:val="0"/>
    <w:rPr>
      <w:sz w:val="18"/>
      <w:szCs w:val="18"/>
      <w:lang w:val="zh-CN"/>
    </w:rPr>
  </w:style>
  <w:style w:type="paragraph" w:styleId="41">
    <w:name w:val="footer"/>
    <w:basedOn w:val="1"/>
    <w:link w:val="249"/>
    <w:qFormat/>
    <w:uiPriority w:val="0"/>
    <w:pPr>
      <w:tabs>
        <w:tab w:val="center" w:pos="4153"/>
        <w:tab w:val="right" w:pos="8306"/>
      </w:tabs>
      <w:jc w:val="left"/>
    </w:pPr>
    <w:rPr>
      <w:sz w:val="18"/>
    </w:rPr>
  </w:style>
  <w:style w:type="paragraph" w:styleId="42">
    <w:name w:val="envelope return"/>
    <w:basedOn w:val="1"/>
    <w:qFormat/>
    <w:uiPriority w:val="0"/>
    <w:rPr>
      <w:rFonts w:ascii="Arial" w:hAnsi="Arial"/>
    </w:rPr>
  </w:style>
  <w:style w:type="paragraph" w:styleId="43">
    <w:name w:val="header"/>
    <w:basedOn w:val="1"/>
    <w:link w:val="250"/>
    <w:qFormat/>
    <w:uiPriority w:val="0"/>
    <w:pPr>
      <w:pBdr>
        <w:bottom w:val="single" w:color="auto" w:sz="6" w:space="1"/>
      </w:pBdr>
      <w:tabs>
        <w:tab w:val="center" w:pos="4153"/>
        <w:tab w:val="right" w:pos="8306"/>
      </w:tabs>
      <w:jc w:val="center"/>
    </w:pPr>
    <w:rPr>
      <w:sz w:val="18"/>
    </w:rPr>
  </w:style>
  <w:style w:type="paragraph" w:styleId="44">
    <w:name w:val="toc 1"/>
    <w:basedOn w:val="1"/>
    <w:next w:val="1"/>
    <w:qFormat/>
    <w:uiPriority w:val="39"/>
    <w:pPr>
      <w:spacing w:line="440" w:lineRule="exact"/>
    </w:pPr>
    <w:rPr>
      <w:szCs w:val="24"/>
    </w:rPr>
  </w:style>
  <w:style w:type="paragraph" w:styleId="45">
    <w:name w:val="toc 4"/>
    <w:basedOn w:val="1"/>
    <w:next w:val="1"/>
    <w:qFormat/>
    <w:uiPriority w:val="39"/>
    <w:pPr>
      <w:widowControl/>
      <w:ind w:left="600"/>
      <w:jc w:val="left"/>
    </w:pPr>
    <w:rPr>
      <w:sz w:val="20"/>
      <w:szCs w:val="21"/>
    </w:rPr>
  </w:style>
  <w:style w:type="paragraph" w:styleId="46">
    <w:name w:val="index heading"/>
    <w:basedOn w:val="1"/>
    <w:next w:val="47"/>
    <w:qFormat/>
    <w:uiPriority w:val="0"/>
    <w:rPr>
      <w:rFonts w:eastAsia="楷体_GB2312"/>
      <w:sz w:val="26"/>
    </w:rPr>
  </w:style>
  <w:style w:type="paragraph" w:styleId="47">
    <w:name w:val="index 1"/>
    <w:basedOn w:val="1"/>
    <w:next w:val="1"/>
    <w:qFormat/>
    <w:uiPriority w:val="0"/>
  </w:style>
  <w:style w:type="paragraph" w:styleId="48">
    <w:name w:val="Subtitle"/>
    <w:basedOn w:val="1"/>
    <w:next w:val="1"/>
    <w:link w:val="251"/>
    <w:qFormat/>
    <w:uiPriority w:val="0"/>
    <w:pPr>
      <w:spacing w:before="240" w:after="60" w:line="312" w:lineRule="auto"/>
      <w:jc w:val="center"/>
      <w:outlineLvl w:val="1"/>
    </w:pPr>
    <w:rPr>
      <w:rFonts w:ascii="Cambria" w:hAnsi="Cambria"/>
      <w:b/>
      <w:bCs/>
      <w:sz w:val="32"/>
      <w:szCs w:val="32"/>
      <w:lang w:val="zh-CN"/>
    </w:rPr>
  </w:style>
  <w:style w:type="paragraph" w:styleId="49">
    <w:name w:val="List"/>
    <w:basedOn w:val="1"/>
    <w:qFormat/>
    <w:uiPriority w:val="0"/>
    <w:pPr>
      <w:widowControl/>
      <w:ind w:left="200" w:hanging="200"/>
      <w:jc w:val="left"/>
    </w:pPr>
    <w:rPr>
      <w:sz w:val="20"/>
    </w:rPr>
  </w:style>
  <w:style w:type="paragraph" w:styleId="50">
    <w:name w:val="footnote text"/>
    <w:basedOn w:val="1"/>
    <w:link w:val="252"/>
    <w:qFormat/>
    <w:uiPriority w:val="0"/>
    <w:pPr>
      <w:spacing w:line="312" w:lineRule="atLeast"/>
      <w:jc w:val="left"/>
    </w:pPr>
    <w:rPr>
      <w:sz w:val="18"/>
      <w:lang w:bidi="mn-Mong-CN"/>
    </w:rPr>
  </w:style>
  <w:style w:type="paragraph" w:styleId="51">
    <w:name w:val="toc 6"/>
    <w:basedOn w:val="1"/>
    <w:next w:val="1"/>
    <w:qFormat/>
    <w:uiPriority w:val="39"/>
    <w:pPr>
      <w:widowControl/>
      <w:ind w:left="1000"/>
      <w:jc w:val="left"/>
    </w:pPr>
    <w:rPr>
      <w:sz w:val="20"/>
      <w:szCs w:val="21"/>
    </w:rPr>
  </w:style>
  <w:style w:type="paragraph" w:styleId="52">
    <w:name w:val="Body Text Indent 3"/>
    <w:basedOn w:val="1"/>
    <w:link w:val="253"/>
    <w:qFormat/>
    <w:uiPriority w:val="0"/>
    <w:pPr>
      <w:ind w:left="359" w:firstLine="359"/>
    </w:pPr>
  </w:style>
  <w:style w:type="paragraph" w:styleId="53">
    <w:name w:val="index 7"/>
    <w:basedOn w:val="1"/>
    <w:next w:val="1"/>
    <w:qFormat/>
    <w:uiPriority w:val="0"/>
    <w:pPr>
      <w:ind w:left="2520"/>
    </w:pPr>
    <w:rPr>
      <w:rFonts w:eastAsia="楷体_GB2312"/>
      <w:sz w:val="26"/>
    </w:rPr>
  </w:style>
  <w:style w:type="paragraph" w:styleId="54">
    <w:name w:val="index 9"/>
    <w:basedOn w:val="1"/>
    <w:next w:val="1"/>
    <w:qFormat/>
    <w:uiPriority w:val="0"/>
    <w:pPr>
      <w:ind w:left="3360"/>
    </w:pPr>
    <w:rPr>
      <w:rFonts w:eastAsia="楷体_GB2312"/>
      <w:sz w:val="26"/>
    </w:rPr>
  </w:style>
  <w:style w:type="paragraph" w:styleId="55">
    <w:name w:val="table of figures"/>
    <w:basedOn w:val="1"/>
    <w:next w:val="1"/>
    <w:qFormat/>
    <w:uiPriority w:val="0"/>
    <w:pPr>
      <w:ind w:left="420" w:hanging="420"/>
      <w:jc w:val="left"/>
    </w:pPr>
    <w:rPr>
      <w:rFonts w:eastAsia="楷体_GB2312"/>
      <w:smallCaps/>
      <w:sz w:val="24"/>
    </w:rPr>
  </w:style>
  <w:style w:type="paragraph" w:styleId="56">
    <w:name w:val="toc 2"/>
    <w:basedOn w:val="1"/>
    <w:next w:val="1"/>
    <w:qFormat/>
    <w:uiPriority w:val="39"/>
    <w:pPr>
      <w:ind w:left="420"/>
    </w:pPr>
    <w:rPr>
      <w:szCs w:val="24"/>
    </w:rPr>
  </w:style>
  <w:style w:type="paragraph" w:styleId="57">
    <w:name w:val="toc 9"/>
    <w:basedOn w:val="1"/>
    <w:next w:val="1"/>
    <w:qFormat/>
    <w:uiPriority w:val="39"/>
    <w:pPr>
      <w:widowControl/>
      <w:ind w:left="1600"/>
      <w:jc w:val="left"/>
    </w:pPr>
    <w:rPr>
      <w:sz w:val="20"/>
      <w:szCs w:val="21"/>
    </w:rPr>
  </w:style>
  <w:style w:type="paragraph" w:styleId="58">
    <w:name w:val="Body Text 2"/>
    <w:basedOn w:val="1"/>
    <w:link w:val="254"/>
    <w:qFormat/>
    <w:uiPriority w:val="0"/>
    <w:pPr>
      <w:spacing w:after="120" w:line="480" w:lineRule="auto"/>
    </w:pPr>
  </w:style>
  <w:style w:type="paragraph" w:styleId="59">
    <w:name w:val="List 4"/>
    <w:basedOn w:val="1"/>
    <w:qFormat/>
    <w:uiPriority w:val="0"/>
    <w:pPr>
      <w:widowControl/>
      <w:ind w:left="100" w:hanging="200"/>
      <w:jc w:val="left"/>
    </w:pPr>
    <w:rPr>
      <w:sz w:val="20"/>
    </w:rPr>
  </w:style>
  <w:style w:type="paragraph" w:styleId="60">
    <w:name w:val="HTML Preformatted"/>
    <w:basedOn w:val="1"/>
    <w:link w:val="25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lang w:bidi="mn-Mong-CN"/>
    </w:rPr>
  </w:style>
  <w:style w:type="paragraph" w:styleId="61">
    <w:name w:val="Normal (Web)"/>
    <w:basedOn w:val="1"/>
    <w:link w:val="256"/>
    <w:qFormat/>
    <w:uiPriority w:val="99"/>
    <w:pPr>
      <w:spacing w:before="100" w:beforeAutospacing="1" w:after="100" w:afterAutospacing="1"/>
      <w:jc w:val="left"/>
    </w:pPr>
    <w:rPr>
      <w:sz w:val="24"/>
    </w:rPr>
  </w:style>
  <w:style w:type="paragraph" w:styleId="62">
    <w:name w:val="index 2"/>
    <w:basedOn w:val="1"/>
    <w:next w:val="1"/>
    <w:qFormat/>
    <w:uiPriority w:val="0"/>
    <w:pPr>
      <w:ind w:left="420"/>
    </w:pPr>
    <w:rPr>
      <w:rFonts w:eastAsia="楷体_GB2312"/>
      <w:sz w:val="26"/>
    </w:rPr>
  </w:style>
  <w:style w:type="paragraph" w:styleId="63">
    <w:name w:val="Title"/>
    <w:basedOn w:val="1"/>
    <w:next w:val="1"/>
    <w:link w:val="257"/>
    <w:qFormat/>
    <w:uiPriority w:val="0"/>
    <w:pPr>
      <w:spacing w:before="240" w:after="60"/>
      <w:jc w:val="center"/>
      <w:outlineLvl w:val="0"/>
    </w:pPr>
    <w:rPr>
      <w:rFonts w:ascii="Cambria" w:hAnsi="Cambria"/>
      <w:b/>
      <w:bCs/>
      <w:sz w:val="32"/>
      <w:szCs w:val="32"/>
      <w:lang w:val="zh-CN"/>
    </w:rPr>
  </w:style>
  <w:style w:type="paragraph" w:styleId="64">
    <w:name w:val="annotation subject"/>
    <w:basedOn w:val="20"/>
    <w:next w:val="20"/>
    <w:link w:val="258"/>
    <w:qFormat/>
    <w:uiPriority w:val="0"/>
    <w:pPr>
      <w:spacing w:line="360" w:lineRule="auto"/>
    </w:pPr>
    <w:rPr>
      <w:b/>
      <w:bCs/>
      <w:szCs w:val="24"/>
      <w:lang w:bidi="mn-Mong-CN"/>
    </w:rPr>
  </w:style>
  <w:style w:type="paragraph" w:styleId="65">
    <w:name w:val="Body Text First Indent"/>
    <w:basedOn w:val="25"/>
    <w:link w:val="259"/>
    <w:unhideWhenUsed/>
    <w:qFormat/>
    <w:uiPriority w:val="0"/>
    <w:pPr>
      <w:spacing w:after="120"/>
      <w:ind w:firstLine="420"/>
    </w:pPr>
    <w:rPr>
      <w:rFonts w:ascii="Times New Roman" w:eastAsia="宋体"/>
      <w:bCs w:val="0"/>
      <w:sz w:val="20"/>
      <w:lang w:val="en-US" w:bidi="mn-Mong-CN"/>
    </w:rPr>
  </w:style>
  <w:style w:type="paragraph" w:styleId="66">
    <w:name w:val="Body Text First Indent 2"/>
    <w:basedOn w:val="26"/>
    <w:next w:val="1"/>
    <w:link w:val="260"/>
    <w:qFormat/>
    <w:uiPriority w:val="0"/>
    <w:pPr>
      <w:spacing w:after="120"/>
      <w:ind w:left="420" w:firstLine="420"/>
    </w:pPr>
    <w:rPr>
      <w:b w:val="0"/>
      <w:sz w:val="21"/>
      <w:lang w:bidi="mn-Mong-CN"/>
    </w:rPr>
  </w:style>
  <w:style w:type="table" w:styleId="68">
    <w:name w:val="Table Grid"/>
    <w:basedOn w:val="67"/>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
    <w:name w:val="Strong"/>
    <w:qFormat/>
    <w:uiPriority w:val="0"/>
    <w:rPr>
      <w:b/>
      <w:bCs/>
    </w:rPr>
  </w:style>
  <w:style w:type="character" w:styleId="71">
    <w:name w:val="endnote reference"/>
    <w:qFormat/>
    <w:uiPriority w:val="0"/>
    <w:rPr>
      <w:vertAlign w:val="superscript"/>
    </w:rPr>
  </w:style>
  <w:style w:type="character" w:styleId="72">
    <w:name w:val="page number"/>
    <w:basedOn w:val="69"/>
    <w:qFormat/>
    <w:uiPriority w:val="0"/>
  </w:style>
  <w:style w:type="character" w:styleId="73">
    <w:name w:val="FollowedHyperlink"/>
    <w:qFormat/>
    <w:uiPriority w:val="99"/>
    <w:rPr>
      <w:color w:val="auto"/>
      <w:u w:val="none"/>
    </w:rPr>
  </w:style>
  <w:style w:type="character" w:styleId="74">
    <w:name w:val="Emphasis"/>
    <w:qFormat/>
    <w:uiPriority w:val="0"/>
    <w:rPr>
      <w:i/>
    </w:rPr>
  </w:style>
  <w:style w:type="character" w:styleId="75">
    <w:name w:val="HTML Typewriter"/>
    <w:qFormat/>
    <w:uiPriority w:val="0"/>
    <w:rPr>
      <w:rFonts w:ascii="宋体" w:hAnsi="宋体" w:eastAsia="宋体" w:cs="宋体"/>
      <w:sz w:val="24"/>
      <w:szCs w:val="24"/>
    </w:rPr>
  </w:style>
  <w:style w:type="character" w:styleId="76">
    <w:name w:val="Hyperlink"/>
    <w:qFormat/>
    <w:uiPriority w:val="99"/>
    <w:rPr>
      <w:color w:val="auto"/>
      <w:u w:val="none"/>
    </w:rPr>
  </w:style>
  <w:style w:type="character" w:styleId="77">
    <w:name w:val="annotation reference"/>
    <w:basedOn w:val="69"/>
    <w:qFormat/>
    <w:uiPriority w:val="0"/>
    <w:rPr>
      <w:sz w:val="21"/>
      <w:szCs w:val="21"/>
    </w:rPr>
  </w:style>
  <w:style w:type="character" w:styleId="78">
    <w:name w:val="footnote reference"/>
    <w:qFormat/>
    <w:uiPriority w:val="0"/>
    <w:rPr>
      <w:vertAlign w:val="superscript"/>
    </w:rPr>
  </w:style>
  <w:style w:type="paragraph" w:customStyle="1" w:styleId="79">
    <w:name w:val="引文目录1"/>
    <w:basedOn w:val="1"/>
    <w:next w:val="1"/>
    <w:autoRedefine/>
    <w:qFormat/>
    <w:uiPriority w:val="0"/>
    <w:pPr>
      <w:ind w:left="420"/>
    </w:pPr>
  </w:style>
  <w:style w:type="paragraph" w:customStyle="1" w:styleId="80">
    <w:name w:val="TOC Heading1"/>
    <w:next w:val="1"/>
    <w:unhideWhenUsed/>
    <w:qFormat/>
    <w:uiPriority w:val="0"/>
    <w:rPr>
      <w:rFonts w:hint="eastAsia" w:ascii="Times New Roman" w:hAnsi="Times New Roman" w:eastAsia="Times New Roman" w:cs="Times New Roman"/>
      <w:sz w:val="32"/>
      <w:szCs w:val="24"/>
      <w:lang w:val="en-US" w:eastAsia="zh-CN" w:bidi="ar-SA"/>
    </w:rPr>
  </w:style>
  <w:style w:type="paragraph" w:customStyle="1" w:styleId="81">
    <w:name w:val="标题 41"/>
    <w:basedOn w:val="1"/>
    <w:next w:val="1"/>
    <w:qFormat/>
    <w:uiPriority w:val="0"/>
    <w:pPr>
      <w:keepNext/>
      <w:keepLines/>
      <w:numPr>
        <w:ilvl w:val="4"/>
        <w:numId w:val="1"/>
      </w:numPr>
      <w:spacing w:before="280" w:after="290" w:line="376" w:lineRule="auto"/>
      <w:outlineLvl w:val="3"/>
    </w:pPr>
    <w:rPr>
      <w:rFonts w:ascii="Arial" w:hAnsi="Arial" w:eastAsia="黑体"/>
      <w:b/>
      <w:bCs/>
      <w:sz w:val="28"/>
      <w:szCs w:val="28"/>
    </w:rPr>
  </w:style>
  <w:style w:type="table" w:customStyle="1" w:styleId="82">
    <w:name w:val="无格式表格 11"/>
    <w:basedOn w:val="6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3">
    <w:name w:val="无格式表格 21"/>
    <w:basedOn w:val="6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4">
    <w:name w:val="无格式表格 31"/>
    <w:basedOn w:val="6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无格式表格 41"/>
    <w:basedOn w:val="6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无格式表格 51"/>
    <w:basedOn w:val="6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网格表 1 浅色1"/>
    <w:basedOn w:val="6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8">
    <w:name w:val="网格表 21"/>
    <w:basedOn w:val="6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网格表 31"/>
    <w:basedOn w:val="6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网格表 41"/>
    <w:basedOn w:val="6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网格表 5 深色1"/>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网格表 6 彩色1"/>
    <w:basedOn w:val="6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3">
    <w:name w:val="网格表 7 彩色1"/>
    <w:basedOn w:val="6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4">
    <w:name w:val="清单表 1 浅色1"/>
    <w:basedOn w:val="6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5">
    <w:name w:val="清单表 21"/>
    <w:basedOn w:val="6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6">
    <w:name w:val="清单表 31"/>
    <w:basedOn w:val="6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7">
    <w:name w:val="清单表 41"/>
    <w:basedOn w:val="6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8">
    <w:name w:val="清单表 5 深色1"/>
    <w:basedOn w:val="6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9">
    <w:name w:val="清单表 6 彩色1"/>
    <w:basedOn w:val="6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00">
    <w:name w:val="清单表 7 彩色1"/>
    <w:basedOn w:val="6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101">
    <w:name w:val="TOC 标题1"/>
    <w:unhideWhenUsed/>
    <w:qFormat/>
    <w:uiPriority w:val="39"/>
    <w:rPr>
      <w:rFonts w:ascii="Times New Roman" w:hAnsi="Times New Roman" w:eastAsia="宋体" w:cs="Times New Roman"/>
      <w:lang w:val="en-US" w:eastAsia="zh-CN" w:bidi="ar-SA"/>
    </w:rPr>
  </w:style>
  <w:style w:type="character" w:customStyle="1" w:styleId="102">
    <w:name w:val="Heading 2 Char"/>
    <w:basedOn w:val="69"/>
    <w:qFormat/>
    <w:uiPriority w:val="0"/>
    <w:rPr>
      <w:rFonts w:ascii="Arial" w:hAnsi="Arial" w:eastAsia="Arial" w:cs="Arial"/>
      <w:sz w:val="34"/>
    </w:rPr>
  </w:style>
  <w:style w:type="character" w:customStyle="1" w:styleId="103">
    <w:name w:val="Heading 3 Char"/>
    <w:basedOn w:val="69"/>
    <w:qFormat/>
    <w:uiPriority w:val="0"/>
    <w:rPr>
      <w:rFonts w:ascii="Arial" w:hAnsi="Arial" w:eastAsia="Arial" w:cs="Arial"/>
      <w:sz w:val="30"/>
      <w:szCs w:val="30"/>
    </w:rPr>
  </w:style>
  <w:style w:type="character" w:customStyle="1" w:styleId="104">
    <w:name w:val="Heading 4 Char"/>
    <w:basedOn w:val="69"/>
    <w:qFormat/>
    <w:uiPriority w:val="0"/>
    <w:rPr>
      <w:rFonts w:ascii="Arial" w:hAnsi="Arial" w:eastAsia="Arial" w:cs="Arial"/>
      <w:b/>
      <w:bCs/>
      <w:sz w:val="26"/>
      <w:szCs w:val="26"/>
    </w:rPr>
  </w:style>
  <w:style w:type="character" w:customStyle="1" w:styleId="105">
    <w:name w:val="Heading 5 Char"/>
    <w:basedOn w:val="69"/>
    <w:qFormat/>
    <w:uiPriority w:val="0"/>
    <w:rPr>
      <w:rFonts w:ascii="Arial" w:hAnsi="Arial" w:eastAsia="Arial" w:cs="Arial"/>
      <w:b/>
      <w:bCs/>
      <w:sz w:val="24"/>
      <w:szCs w:val="24"/>
    </w:rPr>
  </w:style>
  <w:style w:type="character" w:customStyle="1" w:styleId="106">
    <w:name w:val="Heading 6 Char"/>
    <w:basedOn w:val="69"/>
    <w:qFormat/>
    <w:uiPriority w:val="9"/>
    <w:rPr>
      <w:rFonts w:ascii="Arial" w:hAnsi="Arial" w:eastAsia="Arial" w:cs="Arial"/>
      <w:b/>
      <w:bCs/>
      <w:sz w:val="22"/>
      <w:szCs w:val="22"/>
    </w:rPr>
  </w:style>
  <w:style w:type="character" w:customStyle="1" w:styleId="107">
    <w:name w:val="Heading 7 Char"/>
    <w:basedOn w:val="69"/>
    <w:qFormat/>
    <w:uiPriority w:val="9"/>
    <w:rPr>
      <w:rFonts w:ascii="Arial" w:hAnsi="Arial" w:eastAsia="Arial" w:cs="Arial"/>
      <w:b/>
      <w:bCs/>
      <w:i/>
      <w:iCs/>
      <w:sz w:val="22"/>
      <w:szCs w:val="22"/>
    </w:rPr>
  </w:style>
  <w:style w:type="character" w:customStyle="1" w:styleId="108">
    <w:name w:val="Heading 8 Char"/>
    <w:basedOn w:val="69"/>
    <w:qFormat/>
    <w:uiPriority w:val="9"/>
    <w:rPr>
      <w:rFonts w:ascii="Arial" w:hAnsi="Arial" w:eastAsia="Arial" w:cs="Arial"/>
      <w:i/>
      <w:iCs/>
      <w:sz w:val="22"/>
      <w:szCs w:val="22"/>
    </w:rPr>
  </w:style>
  <w:style w:type="character" w:customStyle="1" w:styleId="109">
    <w:name w:val="Heading 9 Char"/>
    <w:basedOn w:val="69"/>
    <w:qFormat/>
    <w:uiPriority w:val="9"/>
    <w:rPr>
      <w:rFonts w:ascii="Arial" w:hAnsi="Arial" w:eastAsia="Arial" w:cs="Arial"/>
      <w:i/>
      <w:iCs/>
      <w:sz w:val="21"/>
      <w:szCs w:val="21"/>
    </w:rPr>
  </w:style>
  <w:style w:type="character" w:customStyle="1" w:styleId="110">
    <w:name w:val="Title Char"/>
    <w:basedOn w:val="69"/>
    <w:qFormat/>
    <w:uiPriority w:val="0"/>
    <w:rPr>
      <w:sz w:val="48"/>
      <w:szCs w:val="48"/>
    </w:rPr>
  </w:style>
  <w:style w:type="character" w:customStyle="1" w:styleId="111">
    <w:name w:val="Subtitle Char"/>
    <w:basedOn w:val="69"/>
    <w:qFormat/>
    <w:uiPriority w:val="11"/>
    <w:rPr>
      <w:sz w:val="24"/>
      <w:szCs w:val="24"/>
    </w:rPr>
  </w:style>
  <w:style w:type="character" w:customStyle="1" w:styleId="112">
    <w:name w:val="Quote Char"/>
    <w:qFormat/>
    <w:uiPriority w:val="29"/>
    <w:rPr>
      <w:i/>
    </w:rPr>
  </w:style>
  <w:style w:type="character" w:customStyle="1" w:styleId="113">
    <w:name w:val="Intense Quote Char"/>
    <w:qFormat/>
    <w:uiPriority w:val="30"/>
    <w:rPr>
      <w:i/>
    </w:rPr>
  </w:style>
  <w:style w:type="character" w:customStyle="1" w:styleId="114">
    <w:name w:val="Header Char"/>
    <w:basedOn w:val="69"/>
    <w:qFormat/>
    <w:uiPriority w:val="0"/>
  </w:style>
  <w:style w:type="character" w:customStyle="1" w:styleId="115">
    <w:name w:val="Footer Char"/>
    <w:basedOn w:val="69"/>
    <w:qFormat/>
    <w:uiPriority w:val="0"/>
  </w:style>
  <w:style w:type="character" w:customStyle="1" w:styleId="116">
    <w:name w:val="Caption Char"/>
    <w:qFormat/>
    <w:uiPriority w:val="99"/>
  </w:style>
  <w:style w:type="table" w:customStyle="1" w:styleId="117">
    <w:name w:val="Table Grid Light"/>
    <w:basedOn w:val="6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8">
    <w:name w:val="Grid Table 1 Light - Accent 1"/>
    <w:basedOn w:val="6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9">
    <w:name w:val="Grid Table 1 Light - Accent 2"/>
    <w:basedOn w:val="6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0">
    <w:name w:val="Grid Table 1 Light - Accent 3"/>
    <w:basedOn w:val="6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1">
    <w:name w:val="Grid Table 1 Light - Accent 4"/>
    <w:basedOn w:val="6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2">
    <w:name w:val="Grid Table 1 Light - Accent 5"/>
    <w:basedOn w:val="6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3">
    <w:name w:val="Grid Table 1 Light - Accent 6"/>
    <w:basedOn w:val="6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4">
    <w:name w:val="Grid Table 2 - Accent 1"/>
    <w:basedOn w:val="6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5">
    <w:name w:val="Grid Table 2 - Accent 2"/>
    <w:basedOn w:val="6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6">
    <w:name w:val="Grid Table 2 - Accent 3"/>
    <w:basedOn w:val="6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7">
    <w:name w:val="Grid Table 2 - Accent 4"/>
    <w:basedOn w:val="6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8">
    <w:name w:val="Grid Table 2 - Accent 5"/>
    <w:basedOn w:val="6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9">
    <w:name w:val="Grid Table 2 - Accent 6"/>
    <w:basedOn w:val="6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0">
    <w:name w:val="Grid Table 3 - Accent 1"/>
    <w:basedOn w:val="6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1">
    <w:name w:val="Grid Table 3 - Accent 2"/>
    <w:basedOn w:val="6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2">
    <w:name w:val="Grid Table 3 - Accent 3"/>
    <w:basedOn w:val="6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3">
    <w:name w:val="Grid Table 3 - Accent 4"/>
    <w:basedOn w:val="6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4">
    <w:name w:val="Grid Table 3 - Accent 5"/>
    <w:basedOn w:val="6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5">
    <w:name w:val="Grid Table 3 - Accent 6"/>
    <w:basedOn w:val="6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6">
    <w:name w:val="Grid Table 4 - Accent 1"/>
    <w:basedOn w:val="67"/>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7">
    <w:name w:val="Grid Table 4 - Accent 2"/>
    <w:basedOn w:val="67"/>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8">
    <w:name w:val="Grid Table 4 - Accent 3"/>
    <w:basedOn w:val="67"/>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9">
    <w:name w:val="Grid Table 4 - Accent 4"/>
    <w:basedOn w:val="67"/>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0">
    <w:name w:val="Grid Table 4 - Accent 5"/>
    <w:basedOn w:val="67"/>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1">
    <w:name w:val="Grid Table 4 - Accent 6"/>
    <w:basedOn w:val="67"/>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2">
    <w:name w:val="Grid Table 5 Dark- Accent 1"/>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3">
    <w:name w:val="Grid Table 5 Dark - Accent 2"/>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4">
    <w:name w:val="Grid Table 5 Dark - Accent 3"/>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5">
    <w:name w:val="Grid Table 5 Dark- Accent 4"/>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6">
    <w:name w:val="Grid Table 5 Dark - Accent 5"/>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7">
    <w:name w:val="Grid Table 5 Dark - Accent 6"/>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8">
    <w:name w:val="Grid Table 6 Colorful - Accent 1"/>
    <w:basedOn w:val="67"/>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9">
    <w:name w:val="Grid Table 6 Colorful - Accent 2"/>
    <w:basedOn w:val="6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Grid Table 6 Colorful - Accent 3"/>
    <w:basedOn w:val="67"/>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1">
    <w:name w:val="Grid Table 6 Colorful - Accent 4"/>
    <w:basedOn w:val="6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Grid Table 6 Colorful - Accent 5"/>
    <w:basedOn w:val="67"/>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3">
    <w:name w:val="Grid Table 6 Colorful - Accent 6"/>
    <w:basedOn w:val="67"/>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4">
    <w:name w:val="Grid Table 7 Colorful - Accent 1"/>
    <w:basedOn w:val="67"/>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5">
    <w:name w:val="Grid Table 7 Colorful - Accent 2"/>
    <w:basedOn w:val="67"/>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Grid Table 7 Colorful - Accent 3"/>
    <w:basedOn w:val="67"/>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7">
    <w:name w:val="Grid Table 7 Colorful - Accent 4"/>
    <w:basedOn w:val="67"/>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Grid Table 7 Colorful - Accent 5"/>
    <w:basedOn w:val="67"/>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9">
    <w:name w:val="Grid Table 7 Colorful - Accent 6"/>
    <w:basedOn w:val="67"/>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0">
    <w:name w:val="List Table 1 Light - Accent 1"/>
    <w:basedOn w:val="67"/>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1">
    <w:name w:val="List Table 1 Light - Accent 2"/>
    <w:basedOn w:val="67"/>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2">
    <w:name w:val="List Table 1 Light - Accent 3"/>
    <w:basedOn w:val="67"/>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3">
    <w:name w:val="List Table 1 Light - Accent 4"/>
    <w:basedOn w:val="67"/>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4">
    <w:name w:val="List Table 1 Light - Accent 5"/>
    <w:basedOn w:val="67"/>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5">
    <w:name w:val="List Table 1 Light - Accent 6"/>
    <w:basedOn w:val="67"/>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6">
    <w:name w:val="List Table 2 - Accent 1"/>
    <w:basedOn w:val="67"/>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7">
    <w:name w:val="List Table 2 - Accent 2"/>
    <w:basedOn w:val="67"/>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8">
    <w:name w:val="List Table 2 - Accent 3"/>
    <w:basedOn w:val="67"/>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9">
    <w:name w:val="List Table 2 - Accent 4"/>
    <w:basedOn w:val="67"/>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0">
    <w:name w:val="List Table 2 - Accent 5"/>
    <w:basedOn w:val="67"/>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1">
    <w:name w:val="List Table 2 - Accent 6"/>
    <w:basedOn w:val="67"/>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2">
    <w:name w:val="List Table 3 - Accent 1"/>
    <w:basedOn w:val="67"/>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3">
    <w:name w:val="List Table 3 - Accent 2"/>
    <w:basedOn w:val="6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4">
    <w:name w:val="List Table 3 - Accent 3"/>
    <w:basedOn w:val="67"/>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5">
    <w:name w:val="List Table 3 - Accent 4"/>
    <w:basedOn w:val="6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6">
    <w:name w:val="List Table 3 - Accent 5"/>
    <w:basedOn w:val="67"/>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7">
    <w:name w:val="List Table 3 - Accent 6"/>
    <w:basedOn w:val="67"/>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8">
    <w:name w:val="List Table 4 - Accent 1"/>
    <w:basedOn w:val="67"/>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9">
    <w:name w:val="List Table 4 - Accent 2"/>
    <w:basedOn w:val="67"/>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0">
    <w:name w:val="List Table 4 - Accent 3"/>
    <w:basedOn w:val="67"/>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1">
    <w:name w:val="List Table 4 - Accent 4"/>
    <w:basedOn w:val="67"/>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2">
    <w:name w:val="List Table 4 - Accent 5"/>
    <w:basedOn w:val="67"/>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3">
    <w:name w:val="List Table 4 - Accent 6"/>
    <w:basedOn w:val="67"/>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4">
    <w:name w:val="List Table 5 Dark - Accent 1"/>
    <w:basedOn w:val="67"/>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5">
    <w:name w:val="List Table 5 Dark - Accent 2"/>
    <w:basedOn w:val="67"/>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6">
    <w:name w:val="List Table 5 Dark - Accent 3"/>
    <w:basedOn w:val="67"/>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7">
    <w:name w:val="List Table 5 Dark - Accent 4"/>
    <w:basedOn w:val="67"/>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8">
    <w:name w:val="List Table 5 Dark - Accent 5"/>
    <w:basedOn w:val="67"/>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9">
    <w:name w:val="List Table 5 Dark - Accent 6"/>
    <w:basedOn w:val="67"/>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0">
    <w:name w:val="List Table 6 Colorful - Accent 1"/>
    <w:basedOn w:val="67"/>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1">
    <w:name w:val="List Table 6 Colorful - Accent 2"/>
    <w:basedOn w:val="67"/>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2">
    <w:name w:val="List Table 6 Colorful - Accent 3"/>
    <w:basedOn w:val="67"/>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3">
    <w:name w:val="List Table 6 Colorful - Accent 4"/>
    <w:basedOn w:val="67"/>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4">
    <w:name w:val="List Table 6 Colorful - Accent 5"/>
    <w:basedOn w:val="67"/>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5">
    <w:name w:val="List Table 6 Colorful - Accent 6"/>
    <w:basedOn w:val="67"/>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6">
    <w:name w:val="List Table 7 Colorful - Accent 1"/>
    <w:basedOn w:val="67"/>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7">
    <w:name w:val="List Table 7 Colorful - Accent 2"/>
    <w:basedOn w:val="67"/>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8">
    <w:name w:val="List Table 7 Colorful - Accent 3"/>
    <w:basedOn w:val="67"/>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9">
    <w:name w:val="List Table 7 Colorful - Accent 4"/>
    <w:basedOn w:val="67"/>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0">
    <w:name w:val="List Table 7 Colorful - Accent 5"/>
    <w:basedOn w:val="67"/>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1">
    <w:name w:val="List Table 7 Colorful - Accent 6"/>
    <w:basedOn w:val="67"/>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2">
    <w:name w:val="Lined - Accent"/>
    <w:basedOn w:val="6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3">
    <w:name w:val="Lined - Accent 1"/>
    <w:basedOn w:val="67"/>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4">
    <w:name w:val="Lined - Accent 2"/>
    <w:basedOn w:val="67"/>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5">
    <w:name w:val="Lined - Accent 3"/>
    <w:basedOn w:val="67"/>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6">
    <w:name w:val="Lined - Accent 4"/>
    <w:basedOn w:val="67"/>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7">
    <w:name w:val="Lined - Accent 5"/>
    <w:basedOn w:val="67"/>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8">
    <w:name w:val="Lined - Accent 6"/>
    <w:basedOn w:val="67"/>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9">
    <w:name w:val="Bordered &amp; Lined - Accent"/>
    <w:basedOn w:val="6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0">
    <w:name w:val="Bordered &amp; Lined - Accent 1"/>
    <w:basedOn w:val="67"/>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1">
    <w:name w:val="Bordered &amp; Lined - Accent 2"/>
    <w:basedOn w:val="67"/>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2">
    <w:name w:val="Bordered &amp; Lined - Accent 3"/>
    <w:basedOn w:val="67"/>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3">
    <w:name w:val="Bordered &amp; Lined - Accent 4"/>
    <w:basedOn w:val="67"/>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4">
    <w:name w:val="Bordered &amp; Lined - Accent 5"/>
    <w:basedOn w:val="67"/>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5">
    <w:name w:val="Bordered &amp; Lined - Accent 6"/>
    <w:basedOn w:val="67"/>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6">
    <w:name w:val="Bordered"/>
    <w:basedOn w:val="6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7">
    <w:name w:val="Bordered - Accent 1"/>
    <w:basedOn w:val="6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8">
    <w:name w:val="Bordered - Accent 2"/>
    <w:basedOn w:val="6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9">
    <w:name w:val="Bordered - Accent 3"/>
    <w:basedOn w:val="6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0">
    <w:name w:val="Bordered - Accent 4"/>
    <w:basedOn w:val="6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1">
    <w:name w:val="Bordered - Accent 5"/>
    <w:basedOn w:val="6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2">
    <w:name w:val="Bordered - Accent 6"/>
    <w:basedOn w:val="6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3">
    <w:name w:val="Footnote Text Char"/>
    <w:qFormat/>
    <w:uiPriority w:val="0"/>
    <w:rPr>
      <w:sz w:val="18"/>
    </w:rPr>
  </w:style>
  <w:style w:type="character" w:customStyle="1" w:styleId="224">
    <w:name w:val="Endnote Text Char"/>
    <w:qFormat/>
    <w:uiPriority w:val="99"/>
    <w:rPr>
      <w:sz w:val="20"/>
    </w:rPr>
  </w:style>
  <w:style w:type="paragraph" w:customStyle="1" w:styleId="225">
    <w:name w:val="TOC 标题112"/>
    <w:unhideWhenUsed/>
    <w:qFormat/>
    <w:uiPriority w:val="39"/>
    <w:rPr>
      <w:rFonts w:ascii="Times New Roman" w:hAnsi="Times New Roman" w:eastAsia="宋体" w:cs="Times New Roman"/>
      <w:lang w:val="en-US" w:eastAsia="zh-CN" w:bidi="ar-SA"/>
    </w:rPr>
  </w:style>
  <w:style w:type="character" w:customStyle="1" w:styleId="226">
    <w:name w:val="标题 1 字符1"/>
    <w:link w:val="2"/>
    <w:qFormat/>
    <w:uiPriority w:val="0"/>
    <w:rPr>
      <w:rFonts w:ascii="楷体_GB2312" w:eastAsia="楷体_GB2312"/>
      <w:b/>
      <w:sz w:val="28"/>
      <w:lang w:bidi="ar-SA"/>
    </w:rPr>
  </w:style>
  <w:style w:type="character" w:customStyle="1" w:styleId="227">
    <w:name w:val="标题 2 字符1"/>
    <w:link w:val="3"/>
    <w:qFormat/>
    <w:uiPriority w:val="9"/>
    <w:rPr>
      <w:rFonts w:ascii="楷体_GB2312" w:eastAsia="楷体_GB2312"/>
      <w:b/>
      <w:bCs/>
      <w:sz w:val="18"/>
      <w:lang w:bidi="ar-SA"/>
    </w:rPr>
  </w:style>
  <w:style w:type="character" w:customStyle="1" w:styleId="228">
    <w:name w:val="标题 3 字符1"/>
    <w:link w:val="4"/>
    <w:qFormat/>
    <w:uiPriority w:val="0"/>
    <w:rPr>
      <w:rFonts w:eastAsia="楷体_GB2312"/>
      <w:b/>
      <w:bCs/>
      <w:sz w:val="15"/>
      <w:lang w:bidi="ar-SA"/>
    </w:rPr>
  </w:style>
  <w:style w:type="character" w:customStyle="1" w:styleId="229">
    <w:name w:val="标题 4 字符1"/>
    <w:link w:val="5"/>
    <w:qFormat/>
    <w:uiPriority w:val="0"/>
    <w:rPr>
      <w:rFonts w:eastAsia="楷体_GB2312"/>
      <w:b/>
      <w:bCs/>
      <w:sz w:val="13"/>
      <w:lang w:bidi="ar-SA"/>
    </w:rPr>
  </w:style>
  <w:style w:type="character" w:customStyle="1" w:styleId="230">
    <w:name w:val="标题 5 字符1"/>
    <w:link w:val="6"/>
    <w:qFormat/>
    <w:uiPriority w:val="0"/>
    <w:rPr>
      <w:rFonts w:ascii="楷体_GB2312" w:eastAsia="楷体_GB2312"/>
      <w:bCs/>
      <w:sz w:val="28"/>
      <w:lang w:bidi="ar-SA"/>
    </w:rPr>
  </w:style>
  <w:style w:type="character" w:customStyle="1" w:styleId="231">
    <w:name w:val="标题 6 字符1"/>
    <w:link w:val="7"/>
    <w:qFormat/>
    <w:uiPriority w:val="0"/>
    <w:rPr>
      <w:rFonts w:ascii="Arial" w:hAnsi="Arial" w:eastAsia="黑体"/>
      <w:b/>
      <w:bCs/>
      <w:sz w:val="24"/>
      <w:szCs w:val="24"/>
      <w:lang w:bidi="ar-SA"/>
    </w:rPr>
  </w:style>
  <w:style w:type="character" w:customStyle="1" w:styleId="232">
    <w:name w:val="标题 7 字符1"/>
    <w:link w:val="8"/>
    <w:qFormat/>
    <w:uiPriority w:val="0"/>
    <w:rPr>
      <w:b/>
      <w:bCs/>
      <w:sz w:val="24"/>
      <w:szCs w:val="24"/>
      <w:lang w:bidi="ar-SA"/>
    </w:rPr>
  </w:style>
  <w:style w:type="character" w:customStyle="1" w:styleId="233">
    <w:name w:val="标题 8 字符1"/>
    <w:link w:val="9"/>
    <w:qFormat/>
    <w:uiPriority w:val="0"/>
    <w:rPr>
      <w:rFonts w:ascii="Arial" w:hAnsi="Arial" w:eastAsia="黑体"/>
      <w:sz w:val="24"/>
      <w:szCs w:val="24"/>
      <w:lang w:bidi="ar-SA"/>
    </w:rPr>
  </w:style>
  <w:style w:type="character" w:customStyle="1" w:styleId="234">
    <w:name w:val="标题 9 字符1"/>
    <w:link w:val="10"/>
    <w:qFormat/>
    <w:uiPriority w:val="0"/>
    <w:rPr>
      <w:rFonts w:ascii="Arial" w:hAnsi="Arial" w:eastAsia="黑体"/>
      <w:sz w:val="21"/>
      <w:szCs w:val="21"/>
      <w:lang w:bidi="ar-SA"/>
    </w:rPr>
  </w:style>
  <w:style w:type="character" w:customStyle="1" w:styleId="235">
    <w:name w:val="列表编号 字符"/>
    <w:link w:val="14"/>
    <w:qFormat/>
    <w:uiPriority w:val="0"/>
    <w:rPr>
      <w:rFonts w:ascii="Tahoma" w:hAnsi="Tahoma" w:eastAsia="楷体_GB2312"/>
      <w:sz w:val="24"/>
      <w:szCs w:val="24"/>
      <w:lang w:val="zh-CN" w:eastAsia="zh-CN" w:bidi="ar-SA"/>
    </w:rPr>
  </w:style>
  <w:style w:type="character" w:customStyle="1" w:styleId="236">
    <w:name w:val="正文缩进 字符1"/>
    <w:link w:val="15"/>
    <w:qFormat/>
    <w:uiPriority w:val="0"/>
    <w:rPr>
      <w:sz w:val="21"/>
      <w:lang w:bidi="ar-SA"/>
    </w:rPr>
  </w:style>
  <w:style w:type="character" w:customStyle="1" w:styleId="237">
    <w:name w:val="文档结构图 字符1"/>
    <w:link w:val="19"/>
    <w:qFormat/>
    <w:uiPriority w:val="0"/>
    <w:rPr>
      <w:sz w:val="21"/>
      <w:shd w:val="clear" w:color="auto" w:fill="000080"/>
      <w:lang w:bidi="ar-SA"/>
    </w:rPr>
  </w:style>
  <w:style w:type="character" w:customStyle="1" w:styleId="238">
    <w:name w:val="批注文字 字符1"/>
    <w:link w:val="20"/>
    <w:qFormat/>
    <w:uiPriority w:val="0"/>
    <w:rPr>
      <w:sz w:val="21"/>
      <w:lang w:bidi="ar-SA"/>
    </w:rPr>
  </w:style>
  <w:style w:type="character" w:customStyle="1" w:styleId="239">
    <w:name w:val="称呼 字符"/>
    <w:link w:val="22"/>
    <w:qFormat/>
    <w:uiPriority w:val="0"/>
    <w:rPr>
      <w:sz w:val="28"/>
      <w:szCs w:val="24"/>
    </w:rPr>
  </w:style>
  <w:style w:type="character" w:customStyle="1" w:styleId="240">
    <w:name w:val="正文文本 3 字符1"/>
    <w:link w:val="23"/>
    <w:qFormat/>
    <w:uiPriority w:val="0"/>
    <w:rPr>
      <w:rFonts w:ascii="宋体"/>
      <w:sz w:val="24"/>
    </w:rPr>
  </w:style>
  <w:style w:type="character" w:customStyle="1" w:styleId="241">
    <w:name w:val="结束语 字符"/>
    <w:link w:val="24"/>
    <w:qFormat/>
    <w:uiPriority w:val="0"/>
    <w:rPr>
      <w:sz w:val="28"/>
      <w:szCs w:val="24"/>
    </w:rPr>
  </w:style>
  <w:style w:type="character" w:customStyle="1" w:styleId="242">
    <w:name w:val="正文文本 字符1"/>
    <w:link w:val="25"/>
    <w:qFormat/>
    <w:uiPriority w:val="0"/>
    <w:rPr>
      <w:rFonts w:ascii="华文中宋" w:eastAsia="华文中宋"/>
      <w:bCs/>
      <w:sz w:val="28"/>
    </w:rPr>
  </w:style>
  <w:style w:type="character" w:customStyle="1" w:styleId="243">
    <w:name w:val="正文文本缩进 字符1"/>
    <w:link w:val="26"/>
    <w:qFormat/>
    <w:uiPriority w:val="0"/>
    <w:rPr>
      <w:b/>
      <w:sz w:val="30"/>
      <w:lang w:bidi="ar-SA"/>
    </w:rPr>
  </w:style>
  <w:style w:type="character" w:customStyle="1" w:styleId="244">
    <w:name w:val="纯文本 字符1"/>
    <w:link w:val="33"/>
    <w:qFormat/>
    <w:uiPriority w:val="99"/>
    <w:rPr>
      <w:rFonts w:ascii="宋体" w:hAnsi="Courier New"/>
    </w:rPr>
  </w:style>
  <w:style w:type="character" w:customStyle="1" w:styleId="245">
    <w:name w:val="日期 字符1"/>
    <w:link w:val="37"/>
    <w:qFormat/>
    <w:uiPriority w:val="0"/>
    <w:rPr>
      <w:rFonts w:eastAsia="黑体"/>
      <w:b/>
      <w:sz w:val="36"/>
    </w:rPr>
  </w:style>
  <w:style w:type="character" w:customStyle="1" w:styleId="246">
    <w:name w:val="正文文本缩进 2 字符1"/>
    <w:link w:val="38"/>
    <w:qFormat/>
    <w:uiPriority w:val="0"/>
    <w:rPr>
      <w:rFonts w:ascii="楷体_GB2312" w:eastAsia="楷体_GB2312"/>
      <w:b/>
      <w:sz w:val="28"/>
      <w:lang w:bidi="ar-SA"/>
    </w:rPr>
  </w:style>
  <w:style w:type="character" w:customStyle="1" w:styleId="247">
    <w:name w:val="尾注文本 字符1"/>
    <w:link w:val="39"/>
    <w:qFormat/>
    <w:uiPriority w:val="0"/>
  </w:style>
  <w:style w:type="character" w:customStyle="1" w:styleId="248">
    <w:name w:val="批注框文本 字符1"/>
    <w:link w:val="40"/>
    <w:qFormat/>
    <w:uiPriority w:val="0"/>
    <w:rPr>
      <w:sz w:val="18"/>
      <w:szCs w:val="18"/>
    </w:rPr>
  </w:style>
  <w:style w:type="character" w:customStyle="1" w:styleId="249">
    <w:name w:val="页脚 字符1"/>
    <w:link w:val="41"/>
    <w:qFormat/>
    <w:uiPriority w:val="0"/>
    <w:rPr>
      <w:sz w:val="18"/>
      <w:lang w:bidi="ar-SA"/>
    </w:rPr>
  </w:style>
  <w:style w:type="character" w:customStyle="1" w:styleId="250">
    <w:name w:val="页眉 字符1"/>
    <w:link w:val="43"/>
    <w:qFormat/>
    <w:uiPriority w:val="0"/>
    <w:rPr>
      <w:sz w:val="18"/>
      <w:lang w:bidi="ar-SA"/>
    </w:rPr>
  </w:style>
  <w:style w:type="character" w:customStyle="1" w:styleId="251">
    <w:name w:val="副标题 字符1"/>
    <w:link w:val="48"/>
    <w:qFormat/>
    <w:uiPriority w:val="0"/>
    <w:rPr>
      <w:rFonts w:ascii="Cambria" w:hAnsi="Cambria" w:cs="Times New Roman"/>
      <w:b/>
      <w:bCs/>
      <w:sz w:val="32"/>
      <w:szCs w:val="32"/>
    </w:rPr>
  </w:style>
  <w:style w:type="character" w:customStyle="1" w:styleId="252">
    <w:name w:val="脚注文本 字符1"/>
    <w:link w:val="50"/>
    <w:qFormat/>
    <w:uiPriority w:val="0"/>
    <w:rPr>
      <w:sz w:val="18"/>
    </w:rPr>
  </w:style>
  <w:style w:type="character" w:customStyle="1" w:styleId="253">
    <w:name w:val="正文文本缩进 3 字符1"/>
    <w:link w:val="52"/>
    <w:qFormat/>
    <w:uiPriority w:val="0"/>
    <w:rPr>
      <w:sz w:val="21"/>
      <w:lang w:bidi="ar-SA"/>
    </w:rPr>
  </w:style>
  <w:style w:type="character" w:customStyle="1" w:styleId="254">
    <w:name w:val="正文文本 2 字符1"/>
    <w:link w:val="58"/>
    <w:qFormat/>
    <w:uiPriority w:val="0"/>
    <w:rPr>
      <w:sz w:val="21"/>
      <w:lang w:bidi="ar-SA"/>
    </w:rPr>
  </w:style>
  <w:style w:type="character" w:customStyle="1" w:styleId="255">
    <w:name w:val="HTML 预设格式 字符"/>
    <w:link w:val="60"/>
    <w:qFormat/>
    <w:uiPriority w:val="0"/>
    <w:rPr>
      <w:rFonts w:ascii="黑体" w:hAnsi="Courier New" w:eastAsia="黑体" w:cs="楷体_GB2312"/>
    </w:rPr>
  </w:style>
  <w:style w:type="character" w:customStyle="1" w:styleId="256">
    <w:name w:val="普通(网站) 字符"/>
    <w:link w:val="61"/>
    <w:qFormat/>
    <w:uiPriority w:val="0"/>
    <w:rPr>
      <w:sz w:val="24"/>
      <w:lang w:bidi="ar-SA"/>
    </w:rPr>
  </w:style>
  <w:style w:type="character" w:customStyle="1" w:styleId="257">
    <w:name w:val="标题 字符1"/>
    <w:link w:val="63"/>
    <w:qFormat/>
    <w:uiPriority w:val="0"/>
    <w:rPr>
      <w:rFonts w:ascii="Cambria" w:hAnsi="Cambria" w:cs="Times New Roman"/>
      <w:b/>
      <w:bCs/>
      <w:sz w:val="32"/>
      <w:szCs w:val="32"/>
    </w:rPr>
  </w:style>
  <w:style w:type="character" w:customStyle="1" w:styleId="258">
    <w:name w:val="批注主题 字符1"/>
    <w:link w:val="64"/>
    <w:qFormat/>
    <w:uiPriority w:val="0"/>
    <w:rPr>
      <w:b/>
      <w:bCs/>
      <w:sz w:val="21"/>
      <w:szCs w:val="24"/>
    </w:rPr>
  </w:style>
  <w:style w:type="character" w:customStyle="1" w:styleId="259">
    <w:name w:val="正文首行缩进 字符"/>
    <w:link w:val="65"/>
    <w:qFormat/>
    <w:uiPriority w:val="0"/>
  </w:style>
  <w:style w:type="character" w:customStyle="1" w:styleId="260">
    <w:name w:val="正文首行缩进 2 字符"/>
    <w:link w:val="66"/>
    <w:qFormat/>
    <w:uiPriority w:val="0"/>
    <w:rPr>
      <w:sz w:val="21"/>
    </w:rPr>
  </w:style>
  <w:style w:type="character" w:customStyle="1" w:styleId="261">
    <w:name w:val="font21"/>
    <w:qFormat/>
    <w:uiPriority w:val="0"/>
    <w:rPr>
      <w:rFonts w:hint="eastAsia" w:ascii="宋体" w:hAnsi="宋体" w:eastAsia="宋体" w:cs="宋体"/>
      <w:color w:val="000000"/>
      <w:sz w:val="21"/>
      <w:szCs w:val="21"/>
      <w:u w:val="none"/>
    </w:rPr>
  </w:style>
  <w:style w:type="character" w:customStyle="1" w:styleId="262">
    <w:name w:val="列出段落 字符"/>
    <w:link w:val="263"/>
    <w:qFormat/>
    <w:uiPriority w:val="34"/>
    <w:rPr>
      <w:rFonts w:ascii="Calibri" w:hAnsi="Calibri"/>
      <w:sz w:val="21"/>
      <w:szCs w:val="22"/>
    </w:rPr>
  </w:style>
  <w:style w:type="paragraph" w:styleId="263">
    <w:name w:val="List Paragraph"/>
    <w:basedOn w:val="1"/>
    <w:link w:val="262"/>
    <w:qFormat/>
    <w:uiPriority w:val="34"/>
    <w:pPr>
      <w:ind w:firstLine="420"/>
    </w:pPr>
    <w:rPr>
      <w:rFonts w:ascii="Calibri" w:hAnsi="Calibri"/>
      <w:szCs w:val="22"/>
      <w:lang w:val="zh-CN"/>
    </w:rPr>
  </w:style>
  <w:style w:type="character" w:customStyle="1" w:styleId="264">
    <w:name w:val="正文首行缩进两字 Char"/>
    <w:link w:val="265"/>
    <w:qFormat/>
    <w:uiPriority w:val="0"/>
    <w:rPr>
      <w:sz w:val="24"/>
      <w:szCs w:val="24"/>
      <w:lang w:val="en-US" w:eastAsia="zh-CN" w:bidi="ar-SA"/>
    </w:rPr>
  </w:style>
  <w:style w:type="paragraph" w:customStyle="1" w:styleId="265">
    <w:name w:val="正文首行缩进两字"/>
    <w:link w:val="264"/>
    <w:qFormat/>
    <w:uiPriority w:val="0"/>
    <w:pPr>
      <w:spacing w:line="300" w:lineRule="auto"/>
      <w:ind w:left="240" w:right="240" w:firstLine="480"/>
    </w:pPr>
    <w:rPr>
      <w:rFonts w:ascii="Times New Roman" w:hAnsi="Times New Roman" w:eastAsia="宋体" w:cs="Times New Roman"/>
      <w:sz w:val="24"/>
      <w:szCs w:val="24"/>
      <w:lang w:val="en-US" w:eastAsia="zh-CN" w:bidi="ar-SA"/>
    </w:rPr>
  </w:style>
  <w:style w:type="character" w:customStyle="1" w:styleId="266">
    <w:name w:val="font01"/>
    <w:qFormat/>
    <w:uiPriority w:val="0"/>
    <w:rPr>
      <w:rFonts w:hint="eastAsia" w:ascii="宋体" w:hAnsi="宋体" w:eastAsia="宋体" w:cs="宋体"/>
      <w:color w:val="000000"/>
      <w:sz w:val="21"/>
      <w:szCs w:val="21"/>
      <w:u w:val="none"/>
    </w:rPr>
  </w:style>
  <w:style w:type="character" w:customStyle="1" w:styleId="267">
    <w:name w:val="case31"/>
    <w:qFormat/>
    <w:uiPriority w:val="0"/>
    <w:rPr>
      <w:rFonts w:hint="default"/>
      <w:sz w:val="21"/>
      <w:szCs w:val="21"/>
    </w:rPr>
  </w:style>
  <w:style w:type="paragraph" w:customStyle="1" w:styleId="268">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269">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b/>
      <w:bCs/>
      <w:sz w:val="20"/>
    </w:rPr>
  </w:style>
  <w:style w:type="paragraph" w:customStyle="1" w:styleId="270">
    <w:name w:val="font9"/>
    <w:basedOn w:val="1"/>
    <w:qFormat/>
    <w:uiPriority w:val="0"/>
    <w:pPr>
      <w:widowControl/>
      <w:spacing w:before="100" w:beforeAutospacing="1" w:after="100" w:afterAutospacing="1"/>
      <w:jc w:val="left"/>
    </w:pPr>
    <w:rPr>
      <w:b/>
      <w:bCs/>
      <w:sz w:val="20"/>
    </w:rPr>
  </w:style>
  <w:style w:type="paragraph" w:customStyle="1" w:styleId="271">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sz w:val="20"/>
    </w:rPr>
  </w:style>
  <w:style w:type="paragraph" w:customStyle="1" w:styleId="27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273">
    <w:name w:val="font10"/>
    <w:basedOn w:val="1"/>
    <w:qFormat/>
    <w:uiPriority w:val="0"/>
    <w:pPr>
      <w:widowControl/>
      <w:spacing w:before="100" w:beforeAutospacing="1" w:after="100" w:afterAutospacing="1"/>
      <w:jc w:val="left"/>
    </w:pPr>
    <w:rPr>
      <w:rFonts w:hint="eastAsia" w:ascii="楷体_GB2312" w:hAnsi="宋体" w:eastAsia="楷体_GB2312"/>
      <w:b/>
      <w:bCs/>
      <w:sz w:val="18"/>
      <w:szCs w:val="18"/>
    </w:rPr>
  </w:style>
  <w:style w:type="paragraph" w:customStyle="1" w:styleId="274">
    <w:name w:val="xl58"/>
    <w:basedOn w:val="1"/>
    <w:qFormat/>
    <w:uiPriority w:val="0"/>
    <w:pPr>
      <w:widowControl/>
      <w:pBdr>
        <w:left w:val="single" w:color="auto" w:sz="4" w:space="0"/>
        <w:right w:val="single" w:color="auto" w:sz="4" w:space="0"/>
      </w:pBdr>
      <w:spacing w:before="100" w:beforeAutospacing="1" w:after="100" w:afterAutospacing="1"/>
      <w:jc w:val="center"/>
    </w:pPr>
    <w:rPr>
      <w:b/>
      <w:bCs/>
      <w:i/>
      <w:iCs/>
      <w:sz w:val="20"/>
    </w:rPr>
  </w:style>
  <w:style w:type="paragraph" w:customStyle="1" w:styleId="27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276">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77">
    <w:name w:val="font7"/>
    <w:basedOn w:val="1"/>
    <w:qFormat/>
    <w:uiPriority w:val="0"/>
    <w:pPr>
      <w:widowControl/>
      <w:spacing w:before="100" w:beforeAutospacing="1" w:after="100" w:afterAutospacing="1"/>
      <w:jc w:val="left"/>
    </w:pPr>
    <w:rPr>
      <w:b/>
      <w:bCs/>
      <w:i/>
      <w:iCs/>
      <w:sz w:val="20"/>
    </w:rPr>
  </w:style>
  <w:style w:type="paragraph" w:customStyle="1" w:styleId="278">
    <w:name w:val="font11"/>
    <w:basedOn w:val="1"/>
    <w:qFormat/>
    <w:uiPriority w:val="0"/>
    <w:pPr>
      <w:widowControl/>
      <w:spacing w:before="100" w:beforeAutospacing="1" w:after="100" w:afterAutospacing="1"/>
      <w:jc w:val="left"/>
    </w:pPr>
    <w:rPr>
      <w:b/>
      <w:bCs/>
      <w:sz w:val="18"/>
      <w:szCs w:val="18"/>
    </w:rPr>
  </w:style>
  <w:style w:type="paragraph" w:customStyle="1" w:styleId="279">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28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8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282">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283">
    <w:name w:val="Char Char Char Char"/>
    <w:basedOn w:val="19"/>
    <w:qFormat/>
    <w:uiPriority w:val="0"/>
    <w:pPr>
      <w:spacing w:line="360" w:lineRule="auto"/>
    </w:pPr>
    <w:rPr>
      <w:rFonts w:ascii="Tahoma" w:hAnsi="Tahoma"/>
      <w:sz w:val="24"/>
      <w:szCs w:val="24"/>
    </w:rPr>
  </w:style>
  <w:style w:type="paragraph" w:customStyle="1" w:styleId="284">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rPr>
  </w:style>
  <w:style w:type="paragraph" w:customStyle="1" w:styleId="285">
    <w:name w:val="font6"/>
    <w:basedOn w:val="1"/>
    <w:qFormat/>
    <w:uiPriority w:val="0"/>
    <w:pPr>
      <w:widowControl/>
      <w:spacing w:before="100" w:beforeAutospacing="1" w:after="100" w:afterAutospacing="1"/>
      <w:jc w:val="left"/>
    </w:pPr>
    <w:rPr>
      <w:rFonts w:hint="eastAsia" w:ascii="宋体" w:hAnsi="宋体"/>
      <w:b/>
      <w:bCs/>
      <w:sz w:val="20"/>
    </w:rPr>
  </w:style>
  <w:style w:type="paragraph" w:customStyle="1" w:styleId="286">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b/>
      <w:bCs/>
      <w:sz w:val="20"/>
    </w:rPr>
  </w:style>
  <w:style w:type="paragraph" w:customStyle="1" w:styleId="28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楷体_GB2312" w:hAnsi="宋体" w:eastAsia="楷体_GB2312"/>
      <w:b/>
      <w:bCs/>
      <w:sz w:val="24"/>
      <w:szCs w:val="24"/>
    </w:rPr>
  </w:style>
  <w:style w:type="paragraph" w:customStyle="1" w:styleId="28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289">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90">
    <w:name w:val="font12"/>
    <w:basedOn w:val="1"/>
    <w:qFormat/>
    <w:uiPriority w:val="0"/>
    <w:pPr>
      <w:widowControl/>
      <w:spacing w:before="100" w:beforeAutospacing="1" w:after="100" w:afterAutospacing="1"/>
      <w:jc w:val="left"/>
    </w:pPr>
    <w:rPr>
      <w:rFonts w:hint="eastAsia" w:ascii="宋体" w:hAnsi="宋体"/>
      <w:sz w:val="36"/>
      <w:szCs w:val="36"/>
    </w:rPr>
  </w:style>
  <w:style w:type="paragraph" w:customStyle="1" w:styleId="291">
    <w:name w:val="默认段落字体 Para Char"/>
    <w:basedOn w:val="1"/>
    <w:qFormat/>
    <w:uiPriority w:val="0"/>
    <w:pPr>
      <w:tabs>
        <w:tab w:val="left" w:pos="552"/>
      </w:tabs>
      <w:ind w:left="552" w:hanging="420"/>
    </w:pPr>
    <w:rPr>
      <w:sz w:val="24"/>
      <w:szCs w:val="24"/>
    </w:rPr>
  </w:style>
  <w:style w:type="paragraph" w:customStyle="1" w:styleId="292">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29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94">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295">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296">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297">
    <w:name w:val="font8"/>
    <w:basedOn w:val="1"/>
    <w:qFormat/>
    <w:uiPriority w:val="0"/>
    <w:pPr>
      <w:widowControl/>
      <w:spacing w:before="100" w:beforeAutospacing="1" w:after="100" w:afterAutospacing="1"/>
      <w:jc w:val="left"/>
    </w:pPr>
    <w:rPr>
      <w:rFonts w:hint="eastAsia" w:ascii="宋体" w:hAnsi="宋体"/>
      <w:b/>
      <w:bCs/>
      <w:i/>
      <w:iCs/>
      <w:sz w:val="20"/>
    </w:rPr>
  </w:style>
  <w:style w:type="paragraph" w:customStyle="1" w:styleId="29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rPr>
  </w:style>
  <w:style w:type="paragraph" w:customStyle="1" w:styleId="299">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sz w:val="20"/>
    </w:rPr>
  </w:style>
  <w:style w:type="paragraph" w:customStyle="1" w:styleId="300">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01">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0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03">
    <w:name w:val="Char Char1 Char Char Char Char"/>
    <w:basedOn w:val="19"/>
    <w:qFormat/>
    <w:uiPriority w:val="0"/>
    <w:pPr>
      <w:spacing w:line="436" w:lineRule="exact"/>
      <w:ind w:left="357"/>
      <w:jc w:val="left"/>
      <w:outlineLvl w:val="3"/>
    </w:pPr>
    <w:rPr>
      <w:rFonts w:ascii="Tahoma" w:hAnsi="Tahoma"/>
      <w:b/>
      <w:sz w:val="24"/>
      <w:szCs w:val="24"/>
    </w:rPr>
  </w:style>
  <w:style w:type="paragraph" w:customStyle="1" w:styleId="304">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0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06">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307">
    <w:name w:val="xl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08">
    <w:name w:val="font14"/>
    <w:basedOn w:val="1"/>
    <w:qFormat/>
    <w:uiPriority w:val="0"/>
    <w:pPr>
      <w:widowControl/>
      <w:spacing w:before="100" w:beforeAutospacing="1" w:after="100" w:afterAutospacing="1"/>
      <w:jc w:val="left"/>
    </w:pPr>
    <w:rPr>
      <w:sz w:val="36"/>
      <w:szCs w:val="36"/>
    </w:rPr>
  </w:style>
  <w:style w:type="paragraph" w:customStyle="1" w:styleId="30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10">
    <w:name w:val="xl4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11">
    <w:name w:val="font13"/>
    <w:basedOn w:val="1"/>
    <w:qFormat/>
    <w:uiPriority w:val="0"/>
    <w:pPr>
      <w:widowControl/>
      <w:spacing w:before="100" w:beforeAutospacing="1" w:after="100" w:afterAutospacing="1"/>
      <w:jc w:val="left"/>
    </w:pPr>
    <w:rPr>
      <w:i/>
      <w:iCs/>
      <w:sz w:val="36"/>
      <w:szCs w:val="36"/>
    </w:rPr>
  </w:style>
  <w:style w:type="paragraph" w:customStyle="1" w:styleId="312">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13">
    <w:name w:val="样式 段前: 0.5 行 段后: 0.5 行"/>
    <w:basedOn w:val="1"/>
    <w:qFormat/>
    <w:uiPriority w:val="0"/>
    <w:pPr>
      <w:spacing w:before="100" w:beforeAutospacing="1" w:after="100" w:afterAutospacing="1"/>
      <w:ind w:firstLine="200"/>
    </w:pPr>
    <w:rPr>
      <w:rFonts w:cs="宋体"/>
    </w:rPr>
  </w:style>
  <w:style w:type="paragraph" w:customStyle="1" w:styleId="314">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1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16">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317">
    <w:name w:val="普通文字"/>
    <w:basedOn w:val="1"/>
    <w:next w:val="1"/>
    <w:qFormat/>
    <w:uiPriority w:val="0"/>
    <w:rPr>
      <w:rFonts w:ascii="宋体"/>
      <w:sz w:val="24"/>
    </w:rPr>
  </w:style>
  <w:style w:type="paragraph" w:customStyle="1" w:styleId="318">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19">
    <w:name w:val="xl49"/>
    <w:basedOn w:val="1"/>
    <w:qFormat/>
    <w:uiPriority w:val="0"/>
    <w:pPr>
      <w:widowControl/>
      <w:pBdr>
        <w:left w:val="single" w:color="auto" w:sz="4" w:space="0"/>
        <w:right w:val="single" w:color="auto" w:sz="4" w:space="0"/>
      </w:pBdr>
      <w:spacing w:before="100" w:beforeAutospacing="1" w:after="100" w:afterAutospacing="1"/>
      <w:jc w:val="center"/>
    </w:pPr>
    <w:rPr>
      <w:b/>
      <w:bCs/>
      <w:sz w:val="20"/>
    </w:rPr>
  </w:style>
  <w:style w:type="paragraph" w:customStyle="1" w:styleId="32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321">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i/>
      <w:iCs/>
      <w:sz w:val="20"/>
    </w:rPr>
  </w:style>
  <w:style w:type="paragraph" w:customStyle="1" w:styleId="32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table" w:customStyle="1" w:styleId="323">
    <w:name w:val="网格型1"/>
    <w:basedOn w:val="67"/>
    <w:qFormat/>
    <w:uiPriority w:val="59"/>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24">
    <w:name w:val="纯文本 Char1"/>
    <w:qFormat/>
    <w:uiPriority w:val="0"/>
    <w:rPr>
      <w:rFonts w:ascii="宋体" w:hAnsi="Courier New" w:cs="Courier New"/>
      <w:sz w:val="21"/>
      <w:szCs w:val="21"/>
    </w:rPr>
  </w:style>
  <w:style w:type="character" w:customStyle="1" w:styleId="325">
    <w:name w:val="批注文字 Char"/>
    <w:qFormat/>
    <w:uiPriority w:val="0"/>
    <w:rPr>
      <w:sz w:val="21"/>
      <w:szCs w:val="24"/>
    </w:rPr>
  </w:style>
  <w:style w:type="character" w:customStyle="1" w:styleId="326">
    <w:name w:val="批注主题 Char1"/>
    <w:qFormat/>
    <w:uiPriority w:val="0"/>
    <w:rPr>
      <w:b/>
      <w:bCs/>
      <w:sz w:val="21"/>
      <w:lang w:bidi="ar-SA"/>
    </w:rPr>
  </w:style>
  <w:style w:type="paragraph" w:customStyle="1" w:styleId="327">
    <w:name w:val="cucd-TB-Head"/>
    <w:basedOn w:val="1"/>
    <w:next w:val="328"/>
    <w:qFormat/>
    <w:uiPriority w:val="0"/>
    <w:pPr>
      <w:spacing w:line="360" w:lineRule="auto"/>
    </w:pPr>
    <w:rPr>
      <w:rFonts w:ascii="Calibri" w:hAnsi="宋体"/>
      <w:b/>
      <w:sz w:val="24"/>
      <w:szCs w:val="24"/>
    </w:rPr>
  </w:style>
  <w:style w:type="paragraph" w:customStyle="1" w:styleId="328">
    <w:name w:val="cucd-0"/>
    <w:qFormat/>
    <w:uiPriority w:val="0"/>
    <w:pPr>
      <w:spacing w:line="360" w:lineRule="auto"/>
      <w:ind w:firstLine="480"/>
    </w:pPr>
    <w:rPr>
      <w:rFonts w:ascii="Times New Roman" w:hAnsi="Times New Roman" w:eastAsia="宋体" w:cs="Times New Roman"/>
      <w:sz w:val="24"/>
      <w:szCs w:val="24"/>
      <w:lang w:val="en-US" w:eastAsia="zh-CN" w:bidi="ar-SA"/>
    </w:rPr>
  </w:style>
  <w:style w:type="paragraph" w:customStyle="1" w:styleId="329">
    <w:name w:val="cucd-4"/>
    <w:next w:val="328"/>
    <w:qFormat/>
    <w:uiPriority w:val="0"/>
    <w:pPr>
      <w:spacing w:line="360" w:lineRule="auto"/>
      <w:ind w:firstLine="425"/>
      <w:jc w:val="both"/>
      <w:outlineLvl w:val="3"/>
    </w:pPr>
    <w:rPr>
      <w:rFonts w:ascii="Times New Roman" w:hAnsi="Times New Roman" w:eastAsia="宋体" w:cs="Times New Roman"/>
      <w:sz w:val="24"/>
      <w:szCs w:val="24"/>
      <w:lang w:val="en-US" w:eastAsia="zh-CN" w:bidi="ar-SA"/>
    </w:rPr>
  </w:style>
  <w:style w:type="paragraph" w:customStyle="1" w:styleId="330">
    <w:name w:val="普通正文"/>
    <w:basedOn w:val="1"/>
    <w:qFormat/>
    <w:uiPriority w:val="0"/>
    <w:pPr>
      <w:spacing w:before="120" w:after="120" w:line="360" w:lineRule="auto"/>
      <w:ind w:firstLine="480"/>
      <w:jc w:val="left"/>
    </w:pPr>
    <w:rPr>
      <w:rFonts w:ascii="Arial" w:hAnsi="Arial"/>
      <w:sz w:val="24"/>
      <w:szCs w:val="24"/>
    </w:rPr>
  </w:style>
  <w:style w:type="paragraph" w:customStyle="1" w:styleId="331">
    <w:name w:val="cucd-3"/>
    <w:next w:val="1"/>
    <w:qFormat/>
    <w:uiPriority w:val="0"/>
    <w:pPr>
      <w:tabs>
        <w:tab w:val="left" w:pos="709"/>
        <w:tab w:val="left" w:pos="1740"/>
      </w:tabs>
      <w:spacing w:line="360" w:lineRule="auto"/>
      <w:ind w:left="1740" w:hanging="420"/>
      <w:outlineLvl w:val="2"/>
    </w:pPr>
    <w:rPr>
      <w:rFonts w:ascii="Times New Roman" w:hAnsi="Times New Roman" w:eastAsia="宋体" w:cs="Times New Roman"/>
      <w:b/>
      <w:sz w:val="28"/>
      <w:szCs w:val="24"/>
      <w:lang w:val="en-US" w:eastAsia="zh-CN" w:bidi="ar-SA"/>
    </w:rPr>
  </w:style>
  <w:style w:type="paragraph" w:customStyle="1" w:styleId="332">
    <w:name w:val="样式 cucd-0 + 宋体"/>
    <w:basedOn w:val="328"/>
    <w:qFormat/>
    <w:uiPriority w:val="0"/>
    <w:rPr>
      <w:rFonts w:ascii="宋体" w:hAnsi="宋体"/>
    </w:rPr>
  </w:style>
  <w:style w:type="paragraph" w:customStyle="1" w:styleId="333">
    <w:name w:val="_Style 9"/>
    <w:basedOn w:val="1"/>
    <w:qFormat/>
    <w:uiPriority w:val="0"/>
    <w:pPr>
      <w:spacing w:line="360" w:lineRule="auto"/>
    </w:pPr>
    <w:rPr>
      <w:rFonts w:ascii="Tahoma" w:hAnsi="Tahoma"/>
      <w:sz w:val="24"/>
    </w:rPr>
  </w:style>
  <w:style w:type="paragraph" w:customStyle="1" w:styleId="334">
    <w:name w:val="表格正文"/>
    <w:basedOn w:val="1"/>
    <w:link w:val="335"/>
    <w:qFormat/>
    <w:uiPriority w:val="99"/>
    <w:pPr>
      <w:spacing w:line="360" w:lineRule="exact"/>
      <w:jc w:val="center"/>
    </w:pPr>
    <w:rPr>
      <w:rFonts w:cs="Arial"/>
      <w:color w:val="000000"/>
      <w:szCs w:val="28"/>
    </w:rPr>
  </w:style>
  <w:style w:type="character" w:customStyle="1" w:styleId="335">
    <w:name w:val="表格正文 Char Char"/>
    <w:link w:val="334"/>
    <w:qFormat/>
    <w:uiPriority w:val="0"/>
    <w:rPr>
      <w:rFonts w:cs="Arial"/>
      <w:color w:val="000000"/>
      <w:sz w:val="21"/>
      <w:szCs w:val="28"/>
      <w:lang w:bidi="ar-SA"/>
    </w:rPr>
  </w:style>
  <w:style w:type="paragraph" w:customStyle="1" w:styleId="336">
    <w:name w:val="A."/>
    <w:basedOn w:val="1"/>
    <w:qFormat/>
    <w:uiPriority w:val="99"/>
    <w:pPr>
      <w:widowControl/>
      <w:tabs>
        <w:tab w:val="left" w:pos="903"/>
        <w:tab w:val="left" w:pos="1200"/>
      </w:tabs>
      <w:spacing w:before="240" w:line="240" w:lineRule="atLeast"/>
      <w:ind w:left="903" w:hanging="453"/>
    </w:pPr>
    <w:rPr>
      <w:sz w:val="24"/>
    </w:rPr>
  </w:style>
  <w:style w:type="paragraph" w:customStyle="1" w:styleId="337">
    <w:name w:val="标书正文"/>
    <w:basedOn w:val="1"/>
    <w:qFormat/>
    <w:uiPriority w:val="0"/>
    <w:pPr>
      <w:spacing w:line="360" w:lineRule="auto"/>
      <w:ind w:firstLine="480"/>
    </w:pPr>
    <w:rPr>
      <w:sz w:val="24"/>
      <w:szCs w:val="24"/>
    </w:rPr>
  </w:style>
  <w:style w:type="paragraph" w:customStyle="1" w:styleId="338">
    <w:name w:val="正文 New"/>
    <w:qFormat/>
    <w:uiPriority w:val="0"/>
    <w:pPr>
      <w:widowControl w:val="0"/>
      <w:spacing w:line="300" w:lineRule="auto"/>
      <w:jc w:val="both"/>
    </w:pPr>
    <w:rPr>
      <w:rFonts w:ascii="Arial" w:hAnsi="Arial" w:eastAsia="宋体" w:cs="Times New Roman"/>
      <w:sz w:val="21"/>
      <w:szCs w:val="24"/>
      <w:lang w:val="en-US" w:eastAsia="zh-CN" w:bidi="ar-SA"/>
    </w:rPr>
  </w:style>
  <w:style w:type="paragraph" w:customStyle="1" w:styleId="339">
    <w:name w:val="表格文字"/>
    <w:basedOn w:val="1"/>
    <w:qFormat/>
    <w:uiPriority w:val="0"/>
    <w:pPr>
      <w:spacing w:line="360" w:lineRule="auto"/>
      <w:jc w:val="center"/>
    </w:pPr>
    <w:rPr>
      <w:sz w:val="24"/>
      <w:szCs w:val="24"/>
    </w:rPr>
  </w:style>
  <w:style w:type="paragraph" w:customStyle="1" w:styleId="340">
    <w:name w:val="默认段落字体 Para Char Char Char Char Char Char Char"/>
    <w:basedOn w:val="1"/>
    <w:qFormat/>
    <w:uiPriority w:val="0"/>
    <w:pPr>
      <w:spacing w:line="360" w:lineRule="auto"/>
    </w:pPr>
    <w:rPr>
      <w:rFonts w:ascii="Tahoma" w:hAnsi="Tahoma"/>
      <w:sz w:val="24"/>
    </w:rPr>
  </w:style>
  <w:style w:type="paragraph" w:customStyle="1" w:styleId="341">
    <w:name w:val="正文一"/>
    <w:basedOn w:val="1"/>
    <w:qFormat/>
    <w:uiPriority w:val="0"/>
    <w:pPr>
      <w:spacing w:line="360" w:lineRule="auto"/>
      <w:ind w:firstLine="200"/>
    </w:pPr>
    <w:rPr>
      <w:rFonts w:ascii="宋体" w:hAnsi="宋体"/>
      <w:sz w:val="24"/>
      <w:szCs w:val="28"/>
    </w:rPr>
  </w:style>
  <w:style w:type="paragraph" w:customStyle="1" w:styleId="342">
    <w:name w:val="cucd-TB"/>
    <w:qFormat/>
    <w:uiPriority w:val="0"/>
    <w:pPr>
      <w:spacing w:line="360" w:lineRule="auto"/>
      <w:jc w:val="center"/>
    </w:pPr>
    <w:rPr>
      <w:rFonts w:ascii="Times New Roman" w:hAnsi="Times New Roman" w:eastAsia="宋体" w:cs="Times New Roman"/>
      <w:sz w:val="21"/>
      <w:szCs w:val="24"/>
      <w:lang w:val="en-US" w:eastAsia="zh-CN" w:bidi="ar-SA"/>
    </w:rPr>
  </w:style>
  <w:style w:type="paragraph" w:customStyle="1" w:styleId="343">
    <w:name w:val="List Paragraph_c6ec43bb-0761-48c7-b9d3-5c5971195e12"/>
    <w:basedOn w:val="1"/>
    <w:qFormat/>
    <w:uiPriority w:val="34"/>
    <w:pPr>
      <w:spacing w:line="360" w:lineRule="auto"/>
      <w:ind w:firstLine="420"/>
    </w:pPr>
    <w:rPr>
      <w:sz w:val="24"/>
      <w:szCs w:val="24"/>
    </w:rPr>
  </w:style>
  <w:style w:type="table" w:customStyle="1" w:styleId="344">
    <w:name w:val="网格型2"/>
    <w:basedOn w:val="67"/>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45">
    <w:name w:val="尾注文本 Char1"/>
    <w:qFormat/>
    <w:uiPriority w:val="99"/>
    <w:rPr>
      <w:sz w:val="21"/>
      <w:lang w:bidi="ar-SA"/>
    </w:rPr>
  </w:style>
  <w:style w:type="character" w:customStyle="1" w:styleId="346">
    <w:name w:val="Char Char4"/>
    <w:qFormat/>
    <w:uiPriority w:val="0"/>
    <w:rPr>
      <w:rFonts w:ascii="宋体" w:hAnsi="宋体" w:eastAsia="黑体" w:cs="Arial"/>
      <w:b/>
      <w:sz w:val="28"/>
      <w:szCs w:val="32"/>
      <w:lang w:val="en-US" w:eastAsia="zh-CN" w:bidi="ar-SA"/>
    </w:rPr>
  </w:style>
  <w:style w:type="character" w:customStyle="1" w:styleId="347">
    <w:name w:val="正文文本 3 Char1"/>
    <w:qFormat/>
    <w:uiPriority w:val="0"/>
    <w:rPr>
      <w:sz w:val="16"/>
      <w:szCs w:val="16"/>
      <w:lang w:bidi="ar-SA"/>
    </w:rPr>
  </w:style>
  <w:style w:type="character" w:customStyle="1" w:styleId="348">
    <w:name w:val="Variable"/>
    <w:qFormat/>
    <w:uiPriority w:val="0"/>
    <w:rPr>
      <w:i/>
    </w:rPr>
  </w:style>
  <w:style w:type="character" w:customStyle="1" w:styleId="349">
    <w:name w:val="Para head"/>
    <w:qFormat/>
    <w:uiPriority w:val="0"/>
    <w:rPr>
      <w:rFonts w:ascii="Arial" w:hAnsi="Arial" w:eastAsia="Times New Roman"/>
      <w:sz w:val="20"/>
    </w:rPr>
  </w:style>
  <w:style w:type="character" w:customStyle="1" w:styleId="350">
    <w:name w:val="Keyboard"/>
    <w:qFormat/>
    <w:uiPriority w:val="0"/>
    <w:rPr>
      <w:rFonts w:ascii="Courier New" w:hAnsi="Courier New"/>
      <w:b/>
      <w:sz w:val="20"/>
    </w:rPr>
  </w:style>
  <w:style w:type="character" w:customStyle="1" w:styleId="351">
    <w:name w:val="so-ask-best"/>
    <w:qFormat/>
    <w:uiPriority w:val="0"/>
  </w:style>
  <w:style w:type="character" w:customStyle="1" w:styleId="352">
    <w:name w:val="CODE"/>
    <w:qFormat/>
    <w:uiPriority w:val="0"/>
    <w:rPr>
      <w:rFonts w:ascii="Courier New" w:hAnsi="Courier New"/>
      <w:sz w:val="20"/>
    </w:rPr>
  </w:style>
  <w:style w:type="character" w:customStyle="1" w:styleId="353">
    <w:name w:val="Typewriter"/>
    <w:qFormat/>
    <w:uiPriority w:val="0"/>
    <w:rPr>
      <w:rFonts w:ascii="Courier New" w:hAnsi="Courier New"/>
      <w:sz w:val="20"/>
    </w:rPr>
  </w:style>
  <w:style w:type="character" w:customStyle="1" w:styleId="354">
    <w:name w:val="页眉 Char1"/>
    <w:semiHidden/>
    <w:qFormat/>
    <w:uiPriority w:val="99"/>
    <w:rPr>
      <w:rFonts w:ascii="Times New Roman" w:hAnsi="Times New Roman" w:eastAsia="宋体" w:cs="Times New Roman"/>
      <w:sz w:val="18"/>
      <w:szCs w:val="18"/>
    </w:rPr>
  </w:style>
  <w:style w:type="character" w:customStyle="1" w:styleId="355">
    <w:name w:val="Definition"/>
    <w:qFormat/>
    <w:uiPriority w:val="0"/>
    <w:rPr>
      <w:i/>
    </w:rPr>
  </w:style>
  <w:style w:type="character" w:customStyle="1" w:styleId="356">
    <w:name w:val="Char Char42"/>
    <w:qFormat/>
    <w:uiPriority w:val="0"/>
    <w:rPr>
      <w:rFonts w:ascii="宋体" w:hAnsi="宋体" w:eastAsia="黑体" w:cs="Arial"/>
      <w:b/>
      <w:sz w:val="28"/>
      <w:szCs w:val="32"/>
      <w:lang w:val="en-US" w:eastAsia="zh-CN" w:bidi="ar-SA"/>
    </w:rPr>
  </w:style>
  <w:style w:type="character" w:customStyle="1" w:styleId="357">
    <w:name w:val="脚注文本 Char1"/>
    <w:qFormat/>
    <w:uiPriority w:val="0"/>
    <w:rPr>
      <w:rFonts w:ascii="Times New Roman" w:hAnsi="Times New Roman" w:eastAsia="宋体" w:cs="Times New Roman"/>
      <w:sz w:val="18"/>
      <w:szCs w:val="18"/>
    </w:rPr>
  </w:style>
  <w:style w:type="character" w:customStyle="1" w:styleId="358">
    <w:name w:val="脚注文本 Char2"/>
    <w:qFormat/>
    <w:uiPriority w:val="0"/>
    <w:rPr>
      <w:sz w:val="18"/>
      <w:szCs w:val="18"/>
      <w:lang w:bidi="ar-SA"/>
    </w:rPr>
  </w:style>
  <w:style w:type="character" w:customStyle="1" w:styleId="359">
    <w:name w:val="Char Char1"/>
    <w:qFormat/>
    <w:uiPriority w:val="0"/>
    <w:rPr>
      <w:rFonts w:ascii="黑体" w:hAnsi="Arial" w:eastAsia="黑体" w:cs="Arial"/>
      <w:b/>
      <w:bCs/>
      <w:sz w:val="32"/>
      <w:szCs w:val="32"/>
      <w:lang w:val="en-US" w:eastAsia="zh-CN" w:bidi="ar-SA"/>
    </w:rPr>
  </w:style>
  <w:style w:type="character" w:customStyle="1" w:styleId="360">
    <w:name w:val="正文文本缩进 Char"/>
    <w:qFormat/>
    <w:uiPriority w:val="0"/>
    <w:rPr>
      <w:sz w:val="21"/>
      <w:szCs w:val="24"/>
    </w:rPr>
  </w:style>
  <w:style w:type="character" w:customStyle="1" w:styleId="361">
    <w:name w:val="CITE"/>
    <w:qFormat/>
    <w:uiPriority w:val="0"/>
    <w:rPr>
      <w:i/>
    </w:rPr>
  </w:style>
  <w:style w:type="character" w:customStyle="1" w:styleId="362">
    <w:name w:val="页脚 Char1"/>
    <w:semiHidden/>
    <w:qFormat/>
    <w:uiPriority w:val="99"/>
    <w:rPr>
      <w:rFonts w:ascii="Times New Roman" w:hAnsi="Times New Roman" w:eastAsia="宋体" w:cs="Times New Roman"/>
      <w:sz w:val="18"/>
      <w:szCs w:val="18"/>
    </w:rPr>
  </w:style>
  <w:style w:type="character" w:customStyle="1" w:styleId="363">
    <w:name w:val="Char Char"/>
    <w:qFormat/>
    <w:uiPriority w:val="0"/>
    <w:rPr>
      <w:rFonts w:eastAsia="宋体"/>
      <w:b/>
      <w:bCs/>
      <w:sz w:val="21"/>
      <w:szCs w:val="24"/>
      <w:lang w:val="en-US" w:eastAsia="zh-CN" w:bidi="ar-SA"/>
    </w:rPr>
  </w:style>
  <w:style w:type="character" w:customStyle="1" w:styleId="364">
    <w:name w:val="Char Char2"/>
    <w:qFormat/>
    <w:uiPriority w:val="0"/>
    <w:rPr>
      <w:rFonts w:eastAsia="宋体"/>
      <w:sz w:val="21"/>
      <w:szCs w:val="24"/>
      <w:lang w:val="en-US" w:eastAsia="zh-CN" w:bidi="ar-SA"/>
    </w:rPr>
  </w:style>
  <w:style w:type="character" w:customStyle="1" w:styleId="365">
    <w:name w:val="Char Char3"/>
    <w:qFormat/>
    <w:uiPriority w:val="0"/>
    <w:rPr>
      <w:rFonts w:ascii="黑体" w:hAnsi="宋体" w:eastAsia="黑体" w:cs="Arial"/>
      <w:b/>
      <w:bCs/>
      <w:sz w:val="24"/>
      <w:szCs w:val="24"/>
      <w:lang w:val="en-US" w:eastAsia="zh-CN" w:bidi="ar-SA"/>
    </w:rPr>
  </w:style>
  <w:style w:type="character" w:customStyle="1" w:styleId="366">
    <w:name w:val="HTML Markup"/>
    <w:qFormat/>
    <w:uiPriority w:val="0"/>
    <w:rPr>
      <w:vanish/>
      <w:color w:val="FF0000"/>
    </w:rPr>
  </w:style>
  <w:style w:type="character" w:customStyle="1" w:styleId="367">
    <w:name w:val="标题 Char1"/>
    <w:qFormat/>
    <w:uiPriority w:val="10"/>
    <w:rPr>
      <w:rFonts w:ascii="Cambria" w:hAnsi="Cambria" w:eastAsia="宋体" w:cs="Times New Roman"/>
      <w:b/>
      <w:bCs/>
      <w:sz w:val="32"/>
      <w:szCs w:val="32"/>
    </w:rPr>
  </w:style>
  <w:style w:type="character" w:customStyle="1" w:styleId="368">
    <w:name w:val="样式 标题 3 + (中文) 黑体 小四 非加粗 段前: 7.8 磅 段后: 0 磅 行距: 固定值 20 磅 Char"/>
    <w:qFormat/>
    <w:uiPriority w:val="0"/>
    <w:rPr>
      <w:rFonts w:ascii="黑体" w:hAnsi="宋体" w:eastAsia="黑体" w:cs="宋体"/>
      <w:b/>
      <w:bCs/>
      <w:sz w:val="24"/>
      <w:lang w:val="en-US" w:eastAsia="zh-CN" w:bidi="ar-SA"/>
    </w:rPr>
  </w:style>
  <w:style w:type="character" w:customStyle="1" w:styleId="369">
    <w:name w:val="Char Char12"/>
    <w:qFormat/>
    <w:uiPriority w:val="0"/>
    <w:rPr>
      <w:rFonts w:ascii="黑体" w:hAnsi="Arial" w:eastAsia="黑体" w:cs="Arial"/>
      <w:b/>
      <w:bCs/>
      <w:sz w:val="32"/>
      <w:szCs w:val="32"/>
      <w:lang w:val="en-US" w:eastAsia="zh-CN" w:bidi="ar-SA"/>
    </w:rPr>
  </w:style>
  <w:style w:type="character" w:customStyle="1" w:styleId="370">
    <w:name w:val="Comment"/>
    <w:qFormat/>
    <w:uiPriority w:val="0"/>
    <w:rPr>
      <w:vanish/>
    </w:rPr>
  </w:style>
  <w:style w:type="character" w:customStyle="1" w:styleId="371">
    <w:name w:val="Char Char6"/>
    <w:qFormat/>
    <w:uiPriority w:val="0"/>
    <w:rPr>
      <w:rFonts w:eastAsia="宋体"/>
      <w:b/>
      <w:bCs/>
      <w:sz w:val="21"/>
      <w:szCs w:val="24"/>
      <w:lang w:val="en-US" w:eastAsia="zh-CN" w:bidi="ar-SA"/>
    </w:rPr>
  </w:style>
  <w:style w:type="character" w:customStyle="1" w:styleId="372">
    <w:name w:val="正文首行缩进 2 Char1"/>
    <w:qFormat/>
    <w:uiPriority w:val="0"/>
    <w:rPr>
      <w:sz w:val="21"/>
      <w:lang w:bidi="ar-SA"/>
    </w:rPr>
  </w:style>
  <w:style w:type="character" w:customStyle="1" w:styleId="373">
    <w:name w:val="Char Char25"/>
    <w:qFormat/>
    <w:uiPriority w:val="0"/>
    <w:rPr>
      <w:rFonts w:eastAsia="宋体"/>
      <w:sz w:val="21"/>
      <w:szCs w:val="24"/>
      <w:lang w:val="en-US" w:eastAsia="zh-CN" w:bidi="ar-SA"/>
    </w:rPr>
  </w:style>
  <w:style w:type="character" w:customStyle="1" w:styleId="374">
    <w:name w:val="标题 Char2"/>
    <w:qFormat/>
    <w:uiPriority w:val="0"/>
    <w:rPr>
      <w:rFonts w:ascii="Cambria" w:hAnsi="Cambria" w:eastAsia="宋体" w:cs="Times New Roman"/>
      <w:b/>
      <w:bCs/>
      <w:sz w:val="32"/>
      <w:szCs w:val="32"/>
    </w:rPr>
  </w:style>
  <w:style w:type="character" w:customStyle="1" w:styleId="375">
    <w:name w:val="Char Char32"/>
    <w:qFormat/>
    <w:uiPriority w:val="0"/>
    <w:rPr>
      <w:rFonts w:ascii="黑体" w:hAnsi="宋体" w:eastAsia="黑体" w:cs="Arial"/>
      <w:b/>
      <w:bCs/>
      <w:sz w:val="24"/>
      <w:szCs w:val="24"/>
      <w:lang w:val="en-US" w:eastAsia="zh-CN" w:bidi="ar-SA"/>
    </w:rPr>
  </w:style>
  <w:style w:type="character" w:customStyle="1" w:styleId="376">
    <w:name w:val="无间隔 字符"/>
    <w:link w:val="377"/>
    <w:qFormat/>
    <w:uiPriority w:val="1"/>
    <w:rPr>
      <w:rFonts w:ascii="Calibri" w:hAnsi="Calibri"/>
      <w:sz w:val="22"/>
      <w:szCs w:val="22"/>
      <w:lang w:bidi="ar-SA"/>
    </w:rPr>
  </w:style>
  <w:style w:type="paragraph" w:styleId="377">
    <w:name w:val="No Spacing"/>
    <w:link w:val="376"/>
    <w:qFormat/>
    <w:uiPriority w:val="0"/>
    <w:rPr>
      <w:rFonts w:ascii="Calibri" w:hAnsi="Calibri" w:eastAsia="宋体" w:cs="Times New Roman"/>
      <w:sz w:val="22"/>
      <w:szCs w:val="22"/>
      <w:lang w:val="en-US" w:eastAsia="zh-CN" w:bidi="ar-SA"/>
    </w:rPr>
  </w:style>
  <w:style w:type="character" w:customStyle="1" w:styleId="378">
    <w:name w:val="Sample"/>
    <w:qFormat/>
    <w:uiPriority w:val="0"/>
    <w:rPr>
      <w:rFonts w:ascii="Courier New" w:hAnsi="Courier New"/>
    </w:rPr>
  </w:style>
  <w:style w:type="paragraph" w:customStyle="1" w:styleId="379">
    <w:name w:val="xl22"/>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sz w:val="24"/>
    </w:rPr>
  </w:style>
  <w:style w:type="paragraph" w:customStyle="1" w:styleId="380">
    <w:name w:val="z-Top of Form"/>
    <w:next w:val="1"/>
    <w:qFormat/>
    <w:uiPriority w:val="0"/>
    <w:pPr>
      <w:widowControl w:val="0"/>
      <w:pBdr>
        <w:bottom w:val="single" w:color="000000" w:sz="2" w:space="0"/>
      </w:pBdr>
      <w:jc w:val="center"/>
    </w:pPr>
    <w:rPr>
      <w:rFonts w:ascii="Arial" w:hAnsi="Arial" w:eastAsia="宋体" w:cs="Times New Roman"/>
      <w:vanish/>
      <w:sz w:val="16"/>
      <w:lang w:val="en-US" w:eastAsia="zh-CN" w:bidi="ar-SA"/>
    </w:rPr>
  </w:style>
  <w:style w:type="paragraph" w:customStyle="1" w:styleId="381">
    <w:name w:val="列出段落1"/>
    <w:basedOn w:val="1"/>
    <w:link w:val="382"/>
    <w:qFormat/>
    <w:uiPriority w:val="0"/>
    <w:pPr>
      <w:ind w:firstLine="420"/>
    </w:pPr>
    <w:rPr>
      <w:szCs w:val="24"/>
    </w:rPr>
  </w:style>
  <w:style w:type="character" w:customStyle="1" w:styleId="382">
    <w:name w:val="列出段落 Char"/>
    <w:link w:val="381"/>
    <w:qFormat/>
    <w:uiPriority w:val="0"/>
    <w:rPr>
      <w:sz w:val="21"/>
      <w:szCs w:val="24"/>
      <w:lang w:bidi="ar-SA"/>
    </w:rPr>
  </w:style>
  <w:style w:type="paragraph" w:customStyle="1" w:styleId="383">
    <w:name w:val="菲页(卷)"/>
    <w:basedOn w:val="2"/>
    <w:next w:val="384"/>
    <w:qFormat/>
    <w:uiPriority w:val="0"/>
    <w:pPr>
      <w:widowControl/>
      <w:tabs>
        <w:tab w:val="left" w:pos="432"/>
      </w:tabs>
      <w:ind w:left="432" w:hanging="432"/>
      <w:outlineLvl w:val="1"/>
    </w:pPr>
    <w:rPr>
      <w:rFonts w:ascii="黑体" w:eastAsia="黑体"/>
      <w:b w:val="0"/>
      <w:sz w:val="52"/>
    </w:rPr>
  </w:style>
  <w:style w:type="paragraph" w:customStyle="1" w:styleId="384">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385">
    <w:name w:val="样式 (西文) 仿宋_GB2312 居中 行距: 1.5 倍行距"/>
    <w:basedOn w:val="1"/>
    <w:qFormat/>
    <w:uiPriority w:val="0"/>
    <w:pPr>
      <w:spacing w:line="360" w:lineRule="auto"/>
      <w:jc w:val="center"/>
    </w:pPr>
    <w:rPr>
      <w:rFonts w:ascii="宋体" w:hAnsi="宋体" w:cs="宋体"/>
    </w:rPr>
  </w:style>
  <w:style w:type="paragraph" w:customStyle="1" w:styleId="386">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387">
    <w:name w:val="样式 标题 3 + (中文) 黑体 小四 非加粗 段前: 7.8 磅 段后: 0 磅 行距: 固定值 20 磅"/>
    <w:basedOn w:val="4"/>
    <w:qFormat/>
    <w:uiPriority w:val="0"/>
    <w:pPr>
      <w:keepLines/>
      <w:tabs>
        <w:tab w:val="left" w:pos="7200"/>
      </w:tabs>
      <w:spacing w:line="400" w:lineRule="exact"/>
      <w:jc w:val="left"/>
    </w:pPr>
    <w:rPr>
      <w:rFonts w:ascii="宋体" w:hAnsi="宋体" w:eastAsia="黑体" w:cs="宋体"/>
      <w:bCs w:val="0"/>
      <w:sz w:val="30"/>
    </w:rPr>
  </w:style>
  <w:style w:type="paragraph" w:customStyle="1" w:styleId="388">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宋体" w:eastAsia="黑体"/>
      <w:sz w:val="22"/>
    </w:rPr>
  </w:style>
  <w:style w:type="paragraph" w:customStyle="1" w:styleId="389">
    <w:name w:val="文档正文"/>
    <w:basedOn w:val="1"/>
    <w:qFormat/>
    <w:uiPriority w:val="0"/>
    <w:pPr>
      <w:spacing w:line="480" w:lineRule="atLeast"/>
      <w:ind w:firstLine="567"/>
    </w:pPr>
    <w:rPr>
      <w:rFonts w:ascii="仿宋_GB2312" w:eastAsia="仿宋_GB2312"/>
      <w:sz w:val="28"/>
    </w:rPr>
  </w:style>
  <w:style w:type="paragraph" w:customStyle="1" w:styleId="390">
    <w:name w:val="样式 标题 1 + 黑体 三号 非加粗 居中 段前: 6 磅 段后: 6 磅 行距: 固定值 20 磅"/>
    <w:basedOn w:val="2"/>
    <w:qFormat/>
    <w:uiPriority w:val="0"/>
    <w:pPr>
      <w:keepLines/>
      <w:spacing w:before="120" w:after="120" w:line="400" w:lineRule="exact"/>
    </w:pPr>
    <w:rPr>
      <w:rFonts w:ascii="黑体" w:hAnsi="黑体" w:eastAsia="黑体" w:cs="宋体"/>
      <w:b w:val="0"/>
      <w:sz w:val="32"/>
    </w:rPr>
  </w:style>
  <w:style w:type="paragraph" w:customStyle="1" w:styleId="391">
    <w:name w:val="Char Char Char2 Char"/>
    <w:basedOn w:val="1"/>
    <w:qFormat/>
    <w:uiPriority w:val="0"/>
    <w:pPr>
      <w:spacing w:line="360" w:lineRule="auto"/>
      <w:ind w:firstLine="200"/>
    </w:pPr>
    <w:rPr>
      <w:szCs w:val="24"/>
    </w:rPr>
  </w:style>
  <w:style w:type="paragraph" w:customStyle="1" w:styleId="392">
    <w:name w:val="Blockquote"/>
    <w:basedOn w:val="1"/>
    <w:qFormat/>
    <w:uiPriority w:val="0"/>
    <w:pPr>
      <w:spacing w:before="100" w:after="100"/>
      <w:ind w:left="360" w:right="360"/>
      <w:jc w:val="left"/>
    </w:pPr>
    <w:rPr>
      <w:sz w:val="24"/>
    </w:rPr>
  </w:style>
  <w:style w:type="paragraph" w:customStyle="1" w:styleId="393">
    <w:name w:val="修订1"/>
    <w:qFormat/>
    <w:uiPriority w:val="0"/>
    <w:rPr>
      <w:rFonts w:ascii="Times New Roman" w:hAnsi="Times New Roman" w:eastAsia="宋体" w:cs="Times New Roman"/>
      <w:sz w:val="21"/>
      <w:szCs w:val="24"/>
      <w:lang w:val="en-US" w:eastAsia="zh-CN" w:bidi="ar-SA"/>
    </w:rPr>
  </w:style>
  <w:style w:type="paragraph" w:customStyle="1" w:styleId="394">
    <w:name w:val="H1"/>
    <w:basedOn w:val="1"/>
    <w:next w:val="1"/>
    <w:qFormat/>
    <w:uiPriority w:val="0"/>
    <w:pPr>
      <w:keepNext/>
      <w:spacing w:before="100" w:after="100"/>
      <w:jc w:val="left"/>
      <w:outlineLvl w:val="1"/>
    </w:pPr>
    <w:rPr>
      <w:b/>
      <w:sz w:val="48"/>
    </w:rPr>
  </w:style>
  <w:style w:type="paragraph" w:customStyle="1" w:styleId="395">
    <w:name w:val="Char"/>
    <w:basedOn w:val="1"/>
    <w:qFormat/>
    <w:uiPriority w:val="0"/>
    <w:pPr>
      <w:widowControl/>
      <w:spacing w:after="160" w:line="240" w:lineRule="exact"/>
      <w:jc w:val="left"/>
    </w:pPr>
    <w:rPr>
      <w:rFonts w:ascii="Verdana" w:hAnsi="Verdana" w:eastAsia="仿宋_GB2312"/>
      <w:sz w:val="24"/>
      <w:lang w:eastAsia="en-US"/>
    </w:rPr>
  </w:style>
  <w:style w:type="paragraph" w:customStyle="1" w:styleId="396">
    <w:name w:val="H4"/>
    <w:basedOn w:val="1"/>
    <w:next w:val="1"/>
    <w:qFormat/>
    <w:uiPriority w:val="0"/>
    <w:pPr>
      <w:keepNext/>
      <w:spacing w:before="100" w:after="100"/>
      <w:jc w:val="left"/>
      <w:outlineLvl w:val="4"/>
    </w:pPr>
    <w:rPr>
      <w:b/>
      <w:sz w:val="24"/>
    </w:rPr>
  </w:style>
  <w:style w:type="paragraph" w:customStyle="1" w:styleId="397">
    <w:name w:val="Char4"/>
    <w:basedOn w:val="1"/>
    <w:qFormat/>
    <w:uiPriority w:val="0"/>
    <w:pPr>
      <w:widowControl/>
      <w:spacing w:after="160" w:line="240" w:lineRule="exact"/>
      <w:jc w:val="left"/>
    </w:pPr>
    <w:rPr>
      <w:rFonts w:ascii="Verdana" w:hAnsi="Verdana" w:eastAsia="仿宋_GB2312"/>
      <w:sz w:val="24"/>
      <w:lang w:eastAsia="en-US"/>
    </w:rPr>
  </w:style>
  <w:style w:type="paragraph" w:customStyle="1" w:styleId="398">
    <w:name w:val="H6"/>
    <w:basedOn w:val="1"/>
    <w:next w:val="1"/>
    <w:qFormat/>
    <w:uiPriority w:val="0"/>
    <w:pPr>
      <w:keepNext/>
      <w:spacing w:before="100" w:after="100"/>
      <w:jc w:val="left"/>
      <w:outlineLvl w:val="6"/>
    </w:pPr>
    <w:rPr>
      <w:b/>
      <w:sz w:val="16"/>
    </w:rPr>
  </w:style>
  <w:style w:type="paragraph" w:customStyle="1" w:styleId="399">
    <w:name w:val="菲页1"/>
    <w:basedOn w:val="3"/>
    <w:qFormat/>
    <w:uiPriority w:val="0"/>
    <w:pPr>
      <w:keepLines/>
      <w:widowControl/>
      <w:spacing w:before="260" w:after="260" w:line="413" w:lineRule="auto"/>
    </w:pPr>
    <w:rPr>
      <w:rFonts w:ascii="黑体" w:hAnsi="宋体" w:eastAsia="黑体"/>
      <w:b w:val="0"/>
      <w:bCs w:val="0"/>
      <w:sz w:val="52"/>
    </w:rPr>
  </w:style>
  <w:style w:type="paragraph" w:customStyle="1" w:styleId="400">
    <w:name w:val="正文12"/>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01">
    <w:name w:val="z-Bottom of Form"/>
    <w:next w:val="1"/>
    <w:qFormat/>
    <w:uiPriority w:val="0"/>
    <w:pPr>
      <w:widowControl w:val="0"/>
      <w:pBdr>
        <w:top w:val="single" w:color="000000" w:sz="2" w:space="0"/>
      </w:pBdr>
      <w:jc w:val="center"/>
    </w:pPr>
    <w:rPr>
      <w:rFonts w:ascii="Arial" w:hAnsi="Arial" w:eastAsia="宋体" w:cs="Times New Roman"/>
      <w:vanish/>
      <w:sz w:val="16"/>
      <w:lang w:val="en-US" w:eastAsia="zh-CN" w:bidi="ar-SA"/>
    </w:rPr>
  </w:style>
  <w:style w:type="paragraph" w:customStyle="1" w:styleId="402">
    <w:name w:val="表格"/>
    <w:basedOn w:val="1"/>
    <w:qFormat/>
    <w:uiPriority w:val="0"/>
    <w:pPr>
      <w:jc w:val="center"/>
    </w:pPr>
    <w:rPr>
      <w:rFonts w:ascii="华文细黑" w:hAnsi="华文细黑"/>
    </w:rPr>
  </w:style>
  <w:style w:type="paragraph" w:customStyle="1" w:styleId="403">
    <w:name w:val="目录文字"/>
    <w:basedOn w:val="1"/>
    <w:qFormat/>
    <w:uiPriority w:val="0"/>
    <w:pPr>
      <w:widowControl/>
      <w:spacing w:line="480" w:lineRule="auto"/>
      <w:jc w:val="left"/>
    </w:pPr>
    <w:rPr>
      <w:rFonts w:ascii="宋体" w:hAnsi="宋体"/>
      <w:sz w:val="24"/>
    </w:rPr>
  </w:style>
  <w:style w:type="paragraph" w:customStyle="1" w:styleId="404">
    <w:name w:val="H3"/>
    <w:basedOn w:val="1"/>
    <w:next w:val="1"/>
    <w:qFormat/>
    <w:uiPriority w:val="0"/>
    <w:pPr>
      <w:keepNext/>
      <w:spacing w:before="100" w:after="100"/>
      <w:jc w:val="left"/>
      <w:outlineLvl w:val="3"/>
    </w:pPr>
    <w:rPr>
      <w:b/>
      <w:sz w:val="28"/>
    </w:rPr>
  </w:style>
  <w:style w:type="paragraph" w:customStyle="1" w:styleId="405">
    <w:name w:val="Address"/>
    <w:basedOn w:val="1"/>
    <w:next w:val="1"/>
    <w:qFormat/>
    <w:uiPriority w:val="0"/>
    <w:pPr>
      <w:jc w:val="left"/>
    </w:pPr>
    <w:rPr>
      <w:i/>
      <w:sz w:val="24"/>
    </w:rPr>
  </w:style>
  <w:style w:type="paragraph" w:customStyle="1" w:styleId="406">
    <w:name w:val="Definition Term"/>
    <w:basedOn w:val="1"/>
    <w:next w:val="407"/>
    <w:qFormat/>
    <w:uiPriority w:val="0"/>
    <w:pPr>
      <w:jc w:val="left"/>
    </w:pPr>
    <w:rPr>
      <w:sz w:val="24"/>
    </w:rPr>
  </w:style>
  <w:style w:type="paragraph" w:customStyle="1" w:styleId="407">
    <w:name w:val="Definition List"/>
    <w:basedOn w:val="1"/>
    <w:next w:val="406"/>
    <w:qFormat/>
    <w:uiPriority w:val="0"/>
    <w:pPr>
      <w:ind w:left="360"/>
      <w:jc w:val="left"/>
    </w:pPr>
    <w:rPr>
      <w:sz w:val="24"/>
    </w:rPr>
  </w:style>
  <w:style w:type="paragraph" w:customStyle="1" w:styleId="408">
    <w:name w:val="目录"/>
    <w:basedOn w:val="1"/>
    <w:qFormat/>
    <w:uiPriority w:val="0"/>
    <w:pPr>
      <w:widowControl/>
      <w:jc w:val="center"/>
    </w:pPr>
    <w:rPr>
      <w:rFonts w:ascii="宋体"/>
      <w:b/>
      <w:sz w:val="36"/>
    </w:rPr>
  </w:style>
  <w:style w:type="paragraph" w:customStyle="1" w:styleId="409">
    <w:name w:val="H5"/>
    <w:basedOn w:val="1"/>
    <w:next w:val="1"/>
    <w:qFormat/>
    <w:uiPriority w:val="0"/>
    <w:pPr>
      <w:keepNext/>
      <w:spacing w:before="100" w:after="100"/>
      <w:jc w:val="left"/>
      <w:outlineLvl w:val="5"/>
    </w:pPr>
    <w:rPr>
      <w:b/>
      <w:sz w:val="20"/>
    </w:rPr>
  </w:style>
  <w:style w:type="paragraph" w:customStyle="1" w:styleId="410">
    <w:name w:val="修订11"/>
    <w:qFormat/>
    <w:uiPriority w:val="0"/>
    <w:rPr>
      <w:rFonts w:ascii="Times New Roman" w:hAnsi="Times New Roman" w:eastAsia="宋体" w:cs="Times New Roman"/>
      <w:sz w:val="21"/>
      <w:szCs w:val="24"/>
      <w:lang w:val="en-US" w:eastAsia="zh-CN" w:bidi="ar-SA"/>
    </w:rPr>
  </w:style>
  <w:style w:type="paragraph" w:customStyle="1" w:styleId="411">
    <w:name w:val="样式1"/>
    <w:basedOn w:val="1"/>
    <w:qFormat/>
    <w:uiPriority w:val="0"/>
    <w:pPr>
      <w:jc w:val="center"/>
    </w:pPr>
    <w:rPr>
      <w:rFonts w:ascii="幼圆" w:eastAsia="幼圆"/>
      <w:b/>
      <w:sz w:val="32"/>
      <w:szCs w:val="28"/>
    </w:rPr>
  </w:style>
  <w:style w:type="paragraph" w:customStyle="1" w:styleId="412">
    <w:name w:val="样式 标题 2 + Times New Roman 四号 非加粗 段前: 5 磅 段后: 0 磅 行距: 固定值 20..."/>
    <w:basedOn w:val="3"/>
    <w:qFormat/>
    <w:uiPriority w:val="0"/>
    <w:pPr>
      <w:keepLines/>
      <w:spacing w:before="100" w:line="400" w:lineRule="exact"/>
      <w:jc w:val="both"/>
    </w:pPr>
    <w:rPr>
      <w:rFonts w:ascii="Times New Roman" w:eastAsia="黑体" w:cs="宋体"/>
      <w:b w:val="0"/>
      <w:bCs w:val="0"/>
      <w:sz w:val="30"/>
    </w:rPr>
  </w:style>
  <w:style w:type="paragraph" w:customStyle="1" w:styleId="413">
    <w:name w:val="菲页2"/>
    <w:basedOn w:val="4"/>
    <w:qFormat/>
    <w:uiPriority w:val="0"/>
    <w:pPr>
      <w:keepLines/>
      <w:widowControl/>
      <w:tabs>
        <w:tab w:val="left" w:pos="720"/>
      </w:tabs>
      <w:spacing w:before="120" w:after="120" w:line="360" w:lineRule="auto"/>
      <w:ind w:left="720" w:hanging="720"/>
    </w:pPr>
    <w:rPr>
      <w:rFonts w:ascii="黑体" w:hAnsi="宋体" w:eastAsia="黑体"/>
      <w:b w:val="0"/>
      <w:bCs w:val="0"/>
      <w:sz w:val="44"/>
    </w:rPr>
  </w:style>
  <w:style w:type="paragraph" w:customStyle="1" w:styleId="414">
    <w:name w:val="H2"/>
    <w:basedOn w:val="1"/>
    <w:next w:val="1"/>
    <w:qFormat/>
    <w:uiPriority w:val="0"/>
    <w:pPr>
      <w:keepNext/>
      <w:spacing w:before="100" w:after="100"/>
      <w:jc w:val="left"/>
      <w:outlineLvl w:val="2"/>
    </w:pPr>
    <w:rPr>
      <w:b/>
      <w:sz w:val="36"/>
    </w:rPr>
  </w:style>
  <w:style w:type="character" w:customStyle="1" w:styleId="415">
    <w:name w:val="页眉雅黑 Char Char"/>
    <w:link w:val="416"/>
    <w:qFormat/>
    <w:uiPriority w:val="0"/>
    <w:rPr>
      <w:rFonts w:ascii="微软雅黑" w:hAnsi="微软雅黑" w:eastAsia="微软雅黑"/>
      <w:color w:val="000000"/>
      <w:sz w:val="21"/>
      <w:szCs w:val="21"/>
    </w:rPr>
  </w:style>
  <w:style w:type="paragraph" w:customStyle="1" w:styleId="416">
    <w:name w:val="页眉雅黑"/>
    <w:basedOn w:val="43"/>
    <w:link w:val="415"/>
    <w:qFormat/>
    <w:uiPriority w:val="0"/>
    <w:pPr>
      <w:widowControl/>
      <w:pBdr>
        <w:bottom w:val="single" w:color="auto" w:sz="6" w:space="3"/>
      </w:pBdr>
      <w:tabs>
        <w:tab w:val="left" w:pos="600"/>
        <w:tab w:val="center" w:pos="4848"/>
        <w:tab w:val="clear" w:pos="4153"/>
        <w:tab w:val="clear" w:pos="8306"/>
      </w:tabs>
    </w:pPr>
    <w:rPr>
      <w:rFonts w:ascii="微软雅黑" w:hAnsi="微软雅黑" w:eastAsia="微软雅黑"/>
      <w:color w:val="000000"/>
      <w:sz w:val="21"/>
      <w:szCs w:val="21"/>
      <w:lang w:bidi="mn-Mong-CN"/>
    </w:rPr>
  </w:style>
  <w:style w:type="character" w:customStyle="1" w:styleId="417">
    <w:name w:val="批注文字 字符"/>
    <w:qFormat/>
    <w:uiPriority w:val="0"/>
    <w:rPr>
      <w:sz w:val="24"/>
    </w:rPr>
  </w:style>
  <w:style w:type="character" w:customStyle="1" w:styleId="418">
    <w:name w:val="批注文字 Char Char"/>
    <w:qFormat/>
    <w:uiPriority w:val="0"/>
    <w:rPr>
      <w:rFonts w:hint="eastAsia" w:ascii="宋体" w:hAnsi="Times New Roman" w:eastAsia="宋体" w:cs="Times New Roman"/>
      <w:sz w:val="28"/>
      <w:szCs w:val="20"/>
    </w:rPr>
  </w:style>
  <w:style w:type="character" w:customStyle="1" w:styleId="419">
    <w:name w:val="标题 7 字符"/>
    <w:qFormat/>
    <w:uiPriority w:val="0"/>
    <w:rPr>
      <w:b/>
      <w:bCs/>
      <w:sz w:val="24"/>
      <w:szCs w:val="24"/>
    </w:rPr>
  </w:style>
  <w:style w:type="character" w:customStyle="1" w:styleId="420">
    <w:name w:val="文档结构图 字符"/>
    <w:qFormat/>
    <w:uiPriority w:val="0"/>
    <w:rPr>
      <w:rFonts w:ascii="宋体"/>
      <w:sz w:val="18"/>
    </w:rPr>
  </w:style>
  <w:style w:type="character" w:customStyle="1" w:styleId="421">
    <w:name w:val="引用 字符"/>
    <w:link w:val="422"/>
    <w:qFormat/>
    <w:uiPriority w:val="99"/>
    <w:rPr>
      <w:i/>
      <w:iCs/>
      <w:color w:val="000000"/>
      <w:sz w:val="21"/>
      <w:szCs w:val="22"/>
    </w:rPr>
  </w:style>
  <w:style w:type="paragraph" w:styleId="422">
    <w:name w:val="Quote"/>
    <w:basedOn w:val="1"/>
    <w:next w:val="1"/>
    <w:link w:val="421"/>
    <w:qFormat/>
    <w:uiPriority w:val="0"/>
    <w:rPr>
      <w:i/>
      <w:iCs/>
      <w:color w:val="000000"/>
      <w:szCs w:val="22"/>
      <w:lang w:bidi="mn-Mong-CN"/>
    </w:rPr>
  </w:style>
  <w:style w:type="character" w:customStyle="1" w:styleId="423">
    <w:name w:val="引用 Char"/>
    <w:qFormat/>
    <w:uiPriority w:val="0"/>
    <w:rPr>
      <w:i/>
      <w:iCs/>
      <w:color w:val="000000"/>
      <w:sz w:val="21"/>
      <w:lang w:bidi="ar-SA"/>
    </w:rPr>
  </w:style>
  <w:style w:type="character" w:customStyle="1" w:styleId="424">
    <w:name w:val="日期 Char1"/>
    <w:qFormat/>
    <w:uiPriority w:val="0"/>
    <w:rPr>
      <w:sz w:val="21"/>
      <w:szCs w:val="22"/>
    </w:rPr>
  </w:style>
  <w:style w:type="character" w:customStyle="1" w:styleId="425">
    <w:name w:val="脚注文本 字符"/>
    <w:qFormat/>
    <w:uiPriority w:val="0"/>
    <w:rPr>
      <w:sz w:val="18"/>
    </w:rPr>
  </w:style>
  <w:style w:type="character" w:customStyle="1" w:styleId="426">
    <w:name w:val="标题 3 字符"/>
    <w:qFormat/>
    <w:uiPriority w:val="0"/>
    <w:rPr>
      <w:b/>
      <w:sz w:val="32"/>
    </w:rPr>
  </w:style>
  <w:style w:type="character" w:customStyle="1" w:styleId="427">
    <w:name w:val="Char Char Char1"/>
    <w:qFormat/>
    <w:uiPriority w:val="0"/>
    <w:rPr>
      <w:rFonts w:ascii="宋体" w:hAnsi="宋体" w:eastAsia="宋体"/>
      <w:b/>
      <w:sz w:val="24"/>
      <w:lang w:val="en-US" w:eastAsia="zh-CN" w:bidi="ar-SA"/>
    </w:rPr>
  </w:style>
  <w:style w:type="character" w:customStyle="1" w:styleId="428">
    <w:name w:val="标题 2 字符"/>
    <w:qFormat/>
    <w:uiPriority w:val="0"/>
    <w:rPr>
      <w:rFonts w:ascii="Arial" w:hAnsi="Arial" w:eastAsia="黑体"/>
      <w:b/>
      <w:sz w:val="52"/>
    </w:rPr>
  </w:style>
  <w:style w:type="character" w:customStyle="1" w:styleId="429">
    <w:name w:val="页眉 字符"/>
    <w:qFormat/>
    <w:uiPriority w:val="0"/>
    <w:rPr>
      <w:sz w:val="18"/>
      <w:szCs w:val="18"/>
    </w:rPr>
  </w:style>
  <w:style w:type="character" w:customStyle="1" w:styleId="430">
    <w:name w:val="尾注文本 字符"/>
    <w:qFormat/>
    <w:uiPriority w:val="0"/>
  </w:style>
  <w:style w:type="character" w:customStyle="1" w:styleId="431">
    <w:name w:val="15"/>
    <w:qFormat/>
    <w:uiPriority w:val="0"/>
    <w:rPr>
      <w:rFonts w:hint="default" w:ascii="Calibri" w:hAnsi="Calibri"/>
    </w:rPr>
  </w:style>
  <w:style w:type="character" w:customStyle="1" w:styleId="432">
    <w:name w:val="Char Char Char"/>
    <w:qFormat/>
    <w:uiPriority w:val="0"/>
    <w:rPr>
      <w:rFonts w:ascii="宋体" w:hAnsi="宋体" w:eastAsia="宋体"/>
      <w:b/>
      <w:sz w:val="24"/>
      <w:lang w:val="en-US" w:eastAsia="zh-CN" w:bidi="ar-SA"/>
    </w:rPr>
  </w:style>
  <w:style w:type="character" w:customStyle="1" w:styleId="433">
    <w:name w:val="不明显参考1"/>
    <w:qFormat/>
    <w:uiPriority w:val="0"/>
    <w:rPr>
      <w:smallCaps/>
      <w:color w:val="C0504D"/>
      <w:u w:val="single"/>
    </w:rPr>
  </w:style>
  <w:style w:type="character" w:customStyle="1" w:styleId="434">
    <w:name w:val="10"/>
    <w:qFormat/>
    <w:uiPriority w:val="0"/>
    <w:rPr>
      <w:rFonts w:hint="default" w:ascii="Calibri" w:hAnsi="Calibri"/>
    </w:rPr>
  </w:style>
  <w:style w:type="character" w:customStyle="1" w:styleId="435">
    <w:name w:val="infodetail1"/>
    <w:qFormat/>
    <w:uiPriority w:val="0"/>
    <w:rPr>
      <w:rFonts w:hint="default" w:ascii="ˎ̥" w:hAnsi="ˎ̥"/>
      <w:sz w:val="24"/>
      <w:szCs w:val="24"/>
    </w:rPr>
  </w:style>
  <w:style w:type="character" w:customStyle="1" w:styleId="436">
    <w:name w:val="正文文本首行缩进 2 字符"/>
    <w:qFormat/>
    <w:uiPriority w:val="0"/>
  </w:style>
  <w:style w:type="character" w:customStyle="1" w:styleId="437">
    <w:name w:val="Char Char Char2"/>
    <w:qFormat/>
    <w:uiPriority w:val="0"/>
    <w:rPr>
      <w:rFonts w:ascii="宋体" w:hAnsi="宋体" w:eastAsia="宋体"/>
      <w:b/>
      <w:sz w:val="24"/>
      <w:lang w:val="en-US" w:eastAsia="zh-CN" w:bidi="ar-SA"/>
    </w:rPr>
  </w:style>
  <w:style w:type="character" w:customStyle="1" w:styleId="438">
    <w:name w:val="正文文本缩进 3 字符"/>
    <w:qFormat/>
    <w:uiPriority w:val="0"/>
    <w:rPr>
      <w:rFonts w:ascii="宋体" w:hAnsi="MS Sans Serif"/>
      <w:color w:val="000000"/>
      <w:sz w:val="24"/>
    </w:rPr>
  </w:style>
  <w:style w:type="character" w:customStyle="1" w:styleId="439">
    <w:name w:val="不明显强调1"/>
    <w:qFormat/>
    <w:uiPriority w:val="0"/>
    <w:rPr>
      <w:i/>
      <w:iCs/>
      <w:color w:val="808080"/>
    </w:rPr>
  </w:style>
  <w:style w:type="character" w:customStyle="1" w:styleId="440">
    <w:name w:val="标题 4 字符"/>
    <w:qFormat/>
    <w:uiPriority w:val="0"/>
    <w:rPr>
      <w:rFonts w:ascii="Arial" w:hAnsi="Arial" w:eastAsia="黑体"/>
      <w:sz w:val="28"/>
    </w:rPr>
  </w:style>
  <w:style w:type="character" w:customStyle="1" w:styleId="441">
    <w:name w:val="标题 5 字符"/>
    <w:qFormat/>
    <w:uiPriority w:val="0"/>
    <w:rPr>
      <w:b/>
      <w:bCs/>
      <w:sz w:val="28"/>
      <w:szCs w:val="28"/>
    </w:rPr>
  </w:style>
  <w:style w:type="character" w:customStyle="1" w:styleId="442">
    <w:name w:val="正文文本 Char1"/>
    <w:qFormat/>
    <w:uiPriority w:val="0"/>
    <w:rPr>
      <w:sz w:val="21"/>
      <w:szCs w:val="22"/>
    </w:rPr>
  </w:style>
  <w:style w:type="character" w:customStyle="1" w:styleId="443">
    <w:name w:val="正文文本缩进 字符"/>
    <w:qFormat/>
    <w:uiPriority w:val="0"/>
    <w:rPr>
      <w:rFonts w:ascii="宋体" w:hAnsi="Arial"/>
      <w:color w:val="FF6600"/>
      <w:sz w:val="24"/>
      <w:szCs w:val="24"/>
      <w:lang w:val="zh-CN"/>
    </w:rPr>
  </w:style>
  <w:style w:type="character" w:customStyle="1" w:styleId="444">
    <w:name w:val="标题 6 字符"/>
    <w:qFormat/>
    <w:uiPriority w:val="0"/>
    <w:rPr>
      <w:rFonts w:ascii="Arial" w:hAnsi="Arial" w:eastAsia="黑体"/>
      <w:b/>
      <w:bCs/>
      <w:sz w:val="24"/>
      <w:szCs w:val="24"/>
    </w:rPr>
  </w:style>
  <w:style w:type="character" w:customStyle="1" w:styleId="445">
    <w:name w:val="纯文本 字符"/>
    <w:qFormat/>
    <w:uiPriority w:val="0"/>
    <w:rPr>
      <w:rFonts w:ascii="宋体" w:hAnsi="Courier New"/>
      <w:sz w:val="21"/>
    </w:rPr>
  </w:style>
  <w:style w:type="character" w:customStyle="1" w:styleId="446">
    <w:name w:val="标题 8 字符"/>
    <w:qFormat/>
    <w:uiPriority w:val="0"/>
    <w:rPr>
      <w:rFonts w:ascii="Arial" w:hAnsi="Arial" w:eastAsia="黑体"/>
      <w:sz w:val="24"/>
      <w:szCs w:val="24"/>
    </w:rPr>
  </w:style>
  <w:style w:type="character" w:customStyle="1" w:styleId="447">
    <w:name w:val="正文文本 字符"/>
    <w:qFormat/>
    <w:uiPriority w:val="0"/>
    <w:rPr>
      <w:sz w:val="30"/>
    </w:rPr>
  </w:style>
  <w:style w:type="character" w:customStyle="1" w:styleId="448">
    <w:name w:val="正文首行缩进 Char"/>
    <w:qFormat/>
    <w:uiPriority w:val="0"/>
    <w:rPr>
      <w:rFonts w:ascii="华文中宋" w:eastAsia="华文中宋"/>
      <w:sz w:val="21"/>
      <w:lang w:bidi="ar-SA"/>
    </w:rPr>
  </w:style>
  <w:style w:type="character" w:customStyle="1" w:styleId="449">
    <w:name w:val="日期 字符"/>
    <w:qFormat/>
    <w:uiPriority w:val="0"/>
    <w:rPr>
      <w:sz w:val="24"/>
    </w:rPr>
  </w:style>
  <w:style w:type="character" w:customStyle="1" w:styleId="450">
    <w:name w:val="批注框文本 Char1"/>
    <w:qFormat/>
    <w:uiPriority w:val="0"/>
    <w:rPr>
      <w:sz w:val="18"/>
      <w:szCs w:val="18"/>
    </w:rPr>
  </w:style>
  <w:style w:type="character" w:customStyle="1" w:styleId="451">
    <w:name w:val="标题 字符"/>
    <w:qFormat/>
    <w:uiPriority w:val="0"/>
    <w:rPr>
      <w:rFonts w:ascii="Cambria" w:hAnsi="Cambria"/>
      <w:b/>
      <w:bCs/>
      <w:sz w:val="32"/>
      <w:szCs w:val="32"/>
    </w:rPr>
  </w:style>
  <w:style w:type="character" w:customStyle="1" w:styleId="452">
    <w:name w:val="标题4 Char Char"/>
    <w:link w:val="453"/>
    <w:qFormat/>
    <w:uiPriority w:val="0"/>
    <w:rPr>
      <w:rFonts w:ascii="Arial" w:hAnsi="Arial" w:cs="Arial"/>
      <w:b/>
      <w:bCs/>
      <w:sz w:val="24"/>
      <w:szCs w:val="32"/>
    </w:rPr>
  </w:style>
  <w:style w:type="paragraph" w:customStyle="1" w:styleId="453">
    <w:name w:val="标题4"/>
    <w:basedOn w:val="3"/>
    <w:next w:val="30"/>
    <w:link w:val="452"/>
    <w:qFormat/>
    <w:uiPriority w:val="0"/>
    <w:pPr>
      <w:keepLines/>
      <w:spacing w:before="260" w:after="260" w:line="412" w:lineRule="auto"/>
      <w:jc w:val="both"/>
    </w:pPr>
    <w:rPr>
      <w:rFonts w:ascii="Arial" w:hAnsi="Arial" w:eastAsia="宋体" w:cs="Arial"/>
      <w:sz w:val="24"/>
      <w:szCs w:val="32"/>
      <w:lang w:bidi="mn-Mong-CN"/>
    </w:rPr>
  </w:style>
  <w:style w:type="character" w:customStyle="1" w:styleId="454">
    <w:name w:val="textcontents"/>
    <w:qFormat/>
    <w:uiPriority w:val="0"/>
    <w:rPr>
      <w:rFonts w:hint="default" w:ascii="Times New Roman" w:hAnsi="Times New Roman" w:cs="Times New Roman"/>
    </w:rPr>
  </w:style>
  <w:style w:type="character" w:customStyle="1" w:styleId="455">
    <w:name w:val="批注主题 字符"/>
    <w:qFormat/>
    <w:uiPriority w:val="0"/>
    <w:rPr>
      <w:b/>
      <w:bCs/>
      <w:sz w:val="21"/>
      <w:szCs w:val="24"/>
    </w:rPr>
  </w:style>
  <w:style w:type="character" w:customStyle="1" w:styleId="456">
    <w:name w:val="正文文本缩进 Char2"/>
    <w:qFormat/>
    <w:uiPriority w:val="0"/>
    <w:rPr>
      <w:rFonts w:ascii="宋体" w:hAnsi="Arial"/>
      <w:color w:val="FF6600"/>
      <w:sz w:val="24"/>
      <w:szCs w:val="24"/>
      <w:lang w:val="zh-CN"/>
    </w:rPr>
  </w:style>
  <w:style w:type="character" w:customStyle="1" w:styleId="457">
    <w:name w:val="明显引用 Char"/>
    <w:qFormat/>
    <w:uiPriority w:val="0"/>
    <w:rPr>
      <w:b/>
      <w:bCs/>
      <w:i/>
      <w:iCs/>
      <w:color w:val="4F81BD"/>
      <w:sz w:val="21"/>
      <w:szCs w:val="24"/>
    </w:rPr>
  </w:style>
  <w:style w:type="character" w:customStyle="1" w:styleId="458">
    <w:name w:val="标题5 Char Char"/>
    <w:link w:val="459"/>
    <w:qFormat/>
    <w:uiPriority w:val="0"/>
    <w:rPr>
      <w:rFonts w:ascii="Arial" w:hAnsi="Arial" w:cs="Arial"/>
      <w:b/>
      <w:bCs/>
      <w:sz w:val="24"/>
      <w:szCs w:val="32"/>
    </w:rPr>
  </w:style>
  <w:style w:type="paragraph" w:customStyle="1" w:styleId="459">
    <w:name w:val="标题5"/>
    <w:basedOn w:val="4"/>
    <w:link w:val="458"/>
    <w:qFormat/>
    <w:uiPriority w:val="0"/>
    <w:pPr>
      <w:keepLines/>
      <w:spacing w:before="260" w:after="260" w:line="412" w:lineRule="auto"/>
      <w:jc w:val="both"/>
    </w:pPr>
    <w:rPr>
      <w:rFonts w:ascii="Arial" w:hAnsi="Arial" w:eastAsia="宋体" w:cs="Arial"/>
      <w:sz w:val="24"/>
      <w:szCs w:val="32"/>
      <w:lang w:bidi="mn-Mong-CN"/>
    </w:rPr>
  </w:style>
  <w:style w:type="character" w:customStyle="1" w:styleId="460">
    <w:name w:val="页脚 字符"/>
    <w:qFormat/>
    <w:uiPriority w:val="99"/>
    <w:rPr>
      <w:sz w:val="18"/>
      <w:szCs w:val="18"/>
    </w:rPr>
  </w:style>
  <w:style w:type="character" w:customStyle="1" w:styleId="461">
    <w:name w:val="标题 1 Char1"/>
    <w:qFormat/>
    <w:uiPriority w:val="0"/>
    <w:rPr>
      <w:b/>
      <w:bCs/>
      <w:sz w:val="44"/>
      <w:szCs w:val="44"/>
    </w:rPr>
  </w:style>
  <w:style w:type="character" w:customStyle="1" w:styleId="462">
    <w:name w:val="正文文本 2 字符"/>
    <w:qFormat/>
    <w:uiPriority w:val="0"/>
    <w:rPr>
      <w:rFonts w:ascii="宋体" w:hAnsi="宋体"/>
      <w:color w:val="FF0000"/>
      <w:sz w:val="24"/>
      <w:szCs w:val="24"/>
    </w:rPr>
  </w:style>
  <w:style w:type="character" w:customStyle="1" w:styleId="463">
    <w:name w:val="正文文本缩进 2 字符"/>
    <w:qFormat/>
    <w:uiPriority w:val="0"/>
    <w:rPr>
      <w:rFonts w:ascii="宋体" w:hAnsi="MS Sans Serif"/>
      <w:spacing w:val="12"/>
      <w:sz w:val="24"/>
    </w:rPr>
  </w:style>
  <w:style w:type="character" w:customStyle="1" w:styleId="464">
    <w:name w:val="副标题 字符"/>
    <w:qFormat/>
    <w:uiPriority w:val="0"/>
    <w:rPr>
      <w:rFonts w:ascii="Cambria" w:hAnsi="Cambria"/>
      <w:b/>
      <w:bCs/>
      <w:sz w:val="32"/>
      <w:szCs w:val="32"/>
    </w:rPr>
  </w:style>
  <w:style w:type="character" w:customStyle="1" w:styleId="465">
    <w:name w:val="文档结构图 Char1"/>
    <w:qFormat/>
    <w:uiPriority w:val="0"/>
    <w:rPr>
      <w:rFonts w:ascii="宋体"/>
      <w:sz w:val="18"/>
      <w:szCs w:val="18"/>
    </w:rPr>
  </w:style>
  <w:style w:type="character" w:customStyle="1" w:styleId="466">
    <w:name w:val="apple-converted-space"/>
    <w:qFormat/>
    <w:uiPriority w:val="0"/>
  </w:style>
  <w:style w:type="character" w:customStyle="1" w:styleId="467">
    <w:name w:val="明显引用 字符"/>
    <w:link w:val="468"/>
    <w:qFormat/>
    <w:uiPriority w:val="99"/>
    <w:rPr>
      <w:b/>
      <w:bCs/>
      <w:i/>
      <w:iCs/>
      <w:color w:val="4F81BD"/>
      <w:sz w:val="21"/>
      <w:szCs w:val="22"/>
    </w:rPr>
  </w:style>
  <w:style w:type="paragraph" w:styleId="468">
    <w:name w:val="Intense Quote"/>
    <w:basedOn w:val="1"/>
    <w:next w:val="1"/>
    <w:link w:val="467"/>
    <w:qFormat/>
    <w:uiPriority w:val="0"/>
    <w:pPr>
      <w:pBdr>
        <w:bottom w:val="single" w:color="4F81BD" w:sz="4" w:space="4"/>
      </w:pBdr>
      <w:spacing w:before="200" w:after="280"/>
      <w:ind w:left="936" w:right="936"/>
    </w:pPr>
    <w:rPr>
      <w:b/>
      <w:bCs/>
      <w:i/>
      <w:iCs/>
      <w:color w:val="4F81BD"/>
      <w:szCs w:val="22"/>
      <w:lang w:bidi="mn-Mong-CN"/>
    </w:rPr>
  </w:style>
  <w:style w:type="character" w:customStyle="1" w:styleId="469">
    <w:name w:val="明显引用 Char1"/>
    <w:qFormat/>
    <w:uiPriority w:val="30"/>
    <w:rPr>
      <w:b/>
      <w:bCs/>
      <w:i/>
      <w:iCs/>
      <w:color w:val="4F81BD"/>
      <w:sz w:val="21"/>
      <w:lang w:bidi="ar-SA"/>
    </w:rPr>
  </w:style>
  <w:style w:type="character" w:customStyle="1" w:styleId="470">
    <w:name w:val="批注框文本 字符"/>
    <w:qFormat/>
    <w:uiPriority w:val="0"/>
    <w:rPr>
      <w:sz w:val="18"/>
      <w:szCs w:val="18"/>
    </w:rPr>
  </w:style>
  <w:style w:type="character" w:customStyle="1" w:styleId="471">
    <w:name w:val="明显强调1"/>
    <w:qFormat/>
    <w:uiPriority w:val="0"/>
    <w:rPr>
      <w:b/>
      <w:bCs/>
      <w:i/>
      <w:iCs/>
      <w:color w:val="4F81BD"/>
    </w:rPr>
  </w:style>
  <w:style w:type="character" w:customStyle="1" w:styleId="472">
    <w:name w:val="书籍标题1"/>
    <w:qFormat/>
    <w:uiPriority w:val="0"/>
    <w:rPr>
      <w:b/>
      <w:bCs/>
      <w:smallCaps/>
      <w:spacing w:val="5"/>
    </w:rPr>
  </w:style>
  <w:style w:type="character" w:customStyle="1" w:styleId="473">
    <w:name w:val="标题 1 字符"/>
    <w:qFormat/>
    <w:uiPriority w:val="0"/>
    <w:rPr>
      <w:rFonts w:ascii="黑体" w:eastAsia="黑体"/>
      <w:sz w:val="52"/>
    </w:rPr>
  </w:style>
  <w:style w:type="character" w:customStyle="1" w:styleId="474">
    <w:name w:val="正文文本 3 字符"/>
    <w:qFormat/>
    <w:uiPriority w:val="0"/>
    <w:rPr>
      <w:rFonts w:ascii="宋体" w:hAnsi="宋体"/>
      <w:b/>
      <w:bCs/>
      <w:color w:val="FF0000"/>
      <w:sz w:val="24"/>
      <w:szCs w:val="24"/>
    </w:rPr>
  </w:style>
  <w:style w:type="character" w:customStyle="1" w:styleId="475">
    <w:name w:val="明显参考1"/>
    <w:qFormat/>
    <w:uiPriority w:val="0"/>
    <w:rPr>
      <w:b/>
      <w:bCs/>
      <w:smallCaps/>
      <w:color w:val="C0504D"/>
      <w:spacing w:val="5"/>
      <w:u w:val="single"/>
    </w:rPr>
  </w:style>
  <w:style w:type="character" w:customStyle="1" w:styleId="476">
    <w:name w:val="正文缩进 字符"/>
    <w:qFormat/>
    <w:uiPriority w:val="0"/>
    <w:rPr>
      <w:sz w:val="21"/>
      <w:szCs w:val="24"/>
    </w:rPr>
  </w:style>
  <w:style w:type="character" w:customStyle="1" w:styleId="477">
    <w:name w:val="标题 9 字符"/>
    <w:qFormat/>
    <w:uiPriority w:val="0"/>
    <w:rPr>
      <w:rFonts w:ascii="Arial" w:hAnsi="Arial" w:eastAsia="黑体"/>
      <w:sz w:val="21"/>
      <w:szCs w:val="21"/>
    </w:rPr>
  </w:style>
  <w:style w:type="character" w:customStyle="1" w:styleId="478">
    <w:name w:val="gcxx"/>
    <w:qFormat/>
    <w:uiPriority w:val="0"/>
  </w:style>
  <w:style w:type="character" w:customStyle="1" w:styleId="479">
    <w:name w:val="副标题 Char1"/>
    <w:qFormat/>
    <w:uiPriority w:val="11"/>
    <w:rPr>
      <w:rFonts w:ascii="Cambria" w:hAnsi="Cambria" w:cs="Mongolian Baiti"/>
      <w:b/>
      <w:bCs/>
      <w:sz w:val="32"/>
      <w:szCs w:val="32"/>
      <w:lang w:bidi="ar-SA"/>
    </w:rPr>
  </w:style>
  <w:style w:type="paragraph" w:customStyle="1" w:styleId="480">
    <w:name w:val="；要求；"/>
    <w:basedOn w:val="1"/>
    <w:qFormat/>
    <w:uiPriority w:val="0"/>
    <w:pPr>
      <w:spacing w:line="600" w:lineRule="exact"/>
      <w:ind w:left="420"/>
    </w:pPr>
    <w:rPr>
      <w:sz w:val="28"/>
      <w:szCs w:val="24"/>
    </w:rPr>
  </w:style>
  <w:style w:type="paragraph" w:customStyle="1" w:styleId="481">
    <w:name w:val="空半行"/>
    <w:basedOn w:val="1"/>
    <w:qFormat/>
    <w:uiPriority w:val="0"/>
    <w:pPr>
      <w:spacing w:line="120" w:lineRule="exact"/>
    </w:pPr>
    <w:rPr>
      <w:rFonts w:eastAsia="仿宋_GB2312"/>
      <w:color w:val="FFFFFF"/>
      <w:sz w:val="30"/>
    </w:rPr>
  </w:style>
  <w:style w:type="paragraph" w:customStyle="1" w:styleId="482">
    <w:name w:val="Char Char Char1 Char"/>
    <w:basedOn w:val="3"/>
    <w:next w:val="1"/>
    <w:qFormat/>
    <w:uiPriority w:val="0"/>
    <w:pPr>
      <w:keepLines/>
      <w:spacing w:before="120" w:after="120"/>
      <w:jc w:val="left"/>
    </w:pPr>
    <w:rPr>
      <w:rFonts w:ascii="Arial" w:hAnsi="Arial" w:eastAsia="黑体"/>
      <w:bCs w:val="0"/>
      <w:sz w:val="32"/>
    </w:rPr>
  </w:style>
  <w:style w:type="paragraph" w:customStyle="1" w:styleId="483">
    <w:name w:val="_Style 4"/>
    <w:basedOn w:val="1"/>
    <w:qFormat/>
    <w:uiPriority w:val="0"/>
    <w:pPr>
      <w:spacing w:line="360" w:lineRule="auto"/>
      <w:ind w:firstLine="200"/>
    </w:pPr>
    <w:rPr>
      <w:szCs w:val="24"/>
    </w:rPr>
  </w:style>
  <w:style w:type="paragraph" w:customStyle="1" w:styleId="484">
    <w:name w:val="Char Char Char Char Char Char Char Char Char Char"/>
    <w:basedOn w:val="1"/>
    <w:qFormat/>
    <w:uiPriority w:val="0"/>
    <w:pPr>
      <w:tabs>
        <w:tab w:val="left" w:pos="425"/>
        <w:tab w:val="left" w:pos="552"/>
      </w:tabs>
      <w:ind w:left="552" w:hanging="420"/>
    </w:pPr>
    <w:rPr>
      <w:sz w:val="24"/>
      <w:szCs w:val="24"/>
    </w:rPr>
  </w:style>
  <w:style w:type="paragraph" w:customStyle="1" w:styleId="485">
    <w:name w:val="Char Char Char Char Char Char Char Char Char Char2"/>
    <w:basedOn w:val="1"/>
    <w:qFormat/>
    <w:uiPriority w:val="0"/>
    <w:pPr>
      <w:tabs>
        <w:tab w:val="left" w:pos="360"/>
        <w:tab w:val="left" w:pos="855"/>
      </w:tabs>
      <w:ind w:left="855" w:hanging="855"/>
    </w:pPr>
    <w:rPr>
      <w:sz w:val="24"/>
      <w:szCs w:val="24"/>
    </w:rPr>
  </w:style>
  <w:style w:type="paragraph" w:customStyle="1" w:styleId="486">
    <w:name w:val="TOC 标题111"/>
    <w:basedOn w:val="2"/>
    <w:next w:val="1"/>
    <w:qFormat/>
    <w:uiPriority w:val="0"/>
    <w:pPr>
      <w:keepLines/>
      <w:tabs>
        <w:tab w:val="left" w:pos="432"/>
      </w:tabs>
      <w:spacing w:before="340" w:after="330" w:line="576" w:lineRule="auto"/>
      <w:jc w:val="both"/>
      <w:outlineLvl w:val="9"/>
    </w:pPr>
    <w:rPr>
      <w:rFonts w:ascii="Calibri" w:hAnsi="Calibri" w:eastAsia="宋体"/>
      <w:bCs/>
      <w:sz w:val="44"/>
      <w:szCs w:val="44"/>
    </w:rPr>
  </w:style>
  <w:style w:type="paragraph" w:customStyle="1" w:styleId="487">
    <w:name w:val="Default"/>
    <w:qFormat/>
    <w:uiPriority w:val="0"/>
    <w:pPr>
      <w:widowControl w:val="0"/>
    </w:pPr>
    <w:rPr>
      <w:rFonts w:ascii="宋体" w:hAnsi="宋体" w:eastAsia="宋体" w:cs="宋体"/>
      <w:color w:val="000000"/>
      <w:sz w:val="24"/>
      <w:szCs w:val="24"/>
      <w:lang w:val="en-US" w:eastAsia="zh-CN" w:bidi="ar-SA"/>
    </w:rPr>
  </w:style>
  <w:style w:type="paragraph" w:customStyle="1" w:styleId="488">
    <w:name w:val="È±Ê¡ÎÄ±¾"/>
    <w:basedOn w:val="1"/>
    <w:qFormat/>
    <w:uiPriority w:val="0"/>
    <w:pPr>
      <w:widowControl/>
      <w:jc w:val="left"/>
    </w:pPr>
    <w:rPr>
      <w:sz w:val="24"/>
    </w:rPr>
  </w:style>
  <w:style w:type="paragraph" w:customStyle="1" w:styleId="489">
    <w:name w:val="p16"/>
    <w:qFormat/>
    <w:uiPriority w:val="0"/>
    <w:pPr>
      <w:spacing w:before="100" w:beforeAutospacing="1" w:after="100" w:afterAutospacing="1"/>
    </w:pPr>
    <w:rPr>
      <w:rFonts w:ascii="宋体" w:hAnsi="宋体" w:eastAsia="宋体" w:cs="宋体"/>
      <w:sz w:val="24"/>
      <w:lang w:val="en-US" w:eastAsia="zh-CN" w:bidi="ar-SA"/>
    </w:rPr>
  </w:style>
  <w:style w:type="paragraph" w:customStyle="1" w:styleId="490">
    <w:name w:val="Char Char Char Char1"/>
    <w:basedOn w:val="1"/>
    <w:qFormat/>
    <w:uiPriority w:val="0"/>
    <w:rPr>
      <w:szCs w:val="24"/>
    </w:rPr>
  </w:style>
  <w:style w:type="paragraph" w:customStyle="1" w:styleId="491">
    <w:name w:val="纯文本1"/>
    <w:basedOn w:val="1"/>
    <w:link w:val="492"/>
    <w:qFormat/>
    <w:uiPriority w:val="0"/>
    <w:pPr>
      <w:spacing w:line="480" w:lineRule="exact"/>
    </w:pPr>
    <w:rPr>
      <w:rFonts w:ascii="宋体"/>
      <w:sz w:val="24"/>
    </w:rPr>
  </w:style>
  <w:style w:type="character" w:customStyle="1" w:styleId="492">
    <w:name w:val="Plain Text Char1"/>
    <w:link w:val="491"/>
    <w:qFormat/>
    <w:uiPriority w:val="0"/>
    <w:rPr>
      <w:rFonts w:ascii="宋体"/>
      <w:sz w:val="24"/>
      <w:lang w:bidi="ar-SA"/>
    </w:rPr>
  </w:style>
  <w:style w:type="paragraph" w:customStyle="1" w:styleId="493">
    <w:name w:val="_Style 13"/>
    <w:basedOn w:val="1"/>
    <w:next w:val="25"/>
    <w:qFormat/>
    <w:uiPriority w:val="0"/>
    <w:pPr>
      <w:spacing w:line="0" w:lineRule="atLeast"/>
    </w:pPr>
    <w:rPr>
      <w:sz w:val="30"/>
    </w:rPr>
  </w:style>
  <w:style w:type="paragraph" w:customStyle="1" w:styleId="494">
    <w:name w:val="Char Char Char Char Char1 Char"/>
    <w:basedOn w:val="1"/>
    <w:qFormat/>
    <w:uiPriority w:val="0"/>
    <w:rPr>
      <w:szCs w:val="24"/>
    </w:rPr>
  </w:style>
  <w:style w:type="paragraph" w:customStyle="1" w:styleId="495">
    <w:name w:val="1"/>
    <w:basedOn w:val="1"/>
    <w:next w:val="25"/>
    <w:qFormat/>
    <w:uiPriority w:val="0"/>
    <w:pPr>
      <w:spacing w:line="0" w:lineRule="atLeast"/>
    </w:pPr>
    <w:rPr>
      <w:sz w:val="30"/>
    </w:rPr>
  </w:style>
  <w:style w:type="paragraph" w:customStyle="1" w:styleId="496">
    <w:name w:val="Char Char Char Char4"/>
    <w:basedOn w:val="1"/>
    <w:qFormat/>
    <w:uiPriority w:val="0"/>
    <w:rPr>
      <w:szCs w:val="24"/>
    </w:rPr>
  </w:style>
  <w:style w:type="paragraph" w:customStyle="1" w:styleId="497">
    <w:name w:val="纯文本11"/>
    <w:basedOn w:val="1"/>
    <w:qFormat/>
    <w:uiPriority w:val="0"/>
    <w:pPr>
      <w:spacing w:line="480" w:lineRule="exact"/>
    </w:pPr>
    <w:rPr>
      <w:rFonts w:ascii="宋体"/>
      <w:sz w:val="24"/>
    </w:rPr>
  </w:style>
  <w:style w:type="paragraph" w:customStyle="1" w:styleId="498">
    <w:name w:val="p0"/>
    <w:basedOn w:val="1"/>
    <w:qFormat/>
    <w:uiPriority w:val="0"/>
    <w:pPr>
      <w:widowControl/>
    </w:pPr>
    <w:rPr>
      <w:szCs w:val="21"/>
    </w:rPr>
  </w:style>
  <w:style w:type="paragraph" w:customStyle="1" w:styleId="499">
    <w:name w:val="正文 + 宋体"/>
    <w:basedOn w:val="6"/>
    <w:link w:val="500"/>
    <w:qFormat/>
    <w:uiPriority w:val="0"/>
    <w:pPr>
      <w:keepLines/>
      <w:widowControl/>
      <w:tabs>
        <w:tab w:val="clear" w:pos="360"/>
      </w:tabs>
      <w:spacing w:line="360" w:lineRule="auto"/>
      <w:ind w:left="0" w:firstLine="499"/>
      <w:jc w:val="left"/>
    </w:pPr>
    <w:rPr>
      <w:rFonts w:ascii="宋体" w:hAnsi="宋体" w:eastAsia="宋体"/>
      <w:bCs w:val="0"/>
      <w:color w:val="000000"/>
      <w:sz w:val="24"/>
      <w:szCs w:val="24"/>
    </w:rPr>
  </w:style>
  <w:style w:type="character" w:customStyle="1" w:styleId="500">
    <w:name w:val="正文 + 宋体 Char"/>
    <w:link w:val="499"/>
    <w:qFormat/>
    <w:uiPriority w:val="0"/>
    <w:rPr>
      <w:rFonts w:ascii="宋体" w:hAnsi="宋体"/>
      <w:color w:val="000000"/>
      <w:sz w:val="24"/>
      <w:szCs w:val="24"/>
      <w:lang w:bidi="ar-SA"/>
    </w:rPr>
  </w:style>
  <w:style w:type="paragraph" w:customStyle="1" w:styleId="501">
    <w:name w:val="flNote"/>
    <w:basedOn w:val="1"/>
    <w:qFormat/>
    <w:uiPriority w:val="0"/>
    <w:pPr>
      <w:spacing w:before="320" w:after="160" w:line="360" w:lineRule="atLeast"/>
      <w:jc w:val="center"/>
    </w:pPr>
    <w:rPr>
      <w:rFonts w:ascii="Arial" w:eastAsia="黑体"/>
      <w:sz w:val="30"/>
    </w:rPr>
  </w:style>
  <w:style w:type="paragraph" w:customStyle="1" w:styleId="502">
    <w:name w:val="默认段落字体 Para Char Char Char Char"/>
    <w:basedOn w:val="1"/>
    <w:qFormat/>
    <w:uiPriority w:val="0"/>
    <w:pPr>
      <w:widowControl/>
      <w:jc w:val="left"/>
    </w:pPr>
    <w:rPr>
      <w:sz w:val="20"/>
    </w:rPr>
  </w:style>
  <w:style w:type="paragraph" w:customStyle="1" w:styleId="503">
    <w:name w:val="Char Char Char Char12"/>
    <w:basedOn w:val="1"/>
    <w:qFormat/>
    <w:uiPriority w:val="0"/>
    <w:rPr>
      <w:szCs w:val="24"/>
    </w:rPr>
  </w:style>
  <w:style w:type="paragraph" w:customStyle="1" w:styleId="504">
    <w:name w:val="默认段落字体 Para Char Char Char"/>
    <w:basedOn w:val="1"/>
    <w:qFormat/>
    <w:uiPriority w:val="0"/>
  </w:style>
  <w:style w:type="character" w:customStyle="1" w:styleId="505">
    <w:name w:val="引用 Char1"/>
    <w:qFormat/>
    <w:uiPriority w:val="29"/>
    <w:rPr>
      <w:i/>
      <w:iCs/>
      <w:color w:val="000000"/>
      <w:sz w:val="21"/>
      <w:szCs w:val="24"/>
      <w:lang w:bidi="ar-SA"/>
    </w:rPr>
  </w:style>
  <w:style w:type="paragraph" w:customStyle="1" w:styleId="506">
    <w:name w:val="默认段落字体 Para Char Char Char1 Char"/>
    <w:basedOn w:val="1"/>
    <w:qFormat/>
    <w:uiPriority w:val="0"/>
    <w:pPr>
      <w:spacing w:line="360" w:lineRule="auto"/>
      <w:ind w:left="420" w:firstLine="420"/>
    </w:pPr>
    <w:rPr>
      <w:rFonts w:ascii="宋体"/>
    </w:rPr>
  </w:style>
  <w:style w:type="paragraph" w:customStyle="1" w:styleId="507">
    <w:name w:val="cjk"/>
    <w:basedOn w:val="1"/>
    <w:qFormat/>
    <w:uiPriority w:val="0"/>
    <w:pPr>
      <w:widowControl/>
      <w:spacing w:before="100" w:beforeAutospacing="1"/>
    </w:pPr>
    <w:rPr>
      <w:rFonts w:ascii="宋体" w:hAnsi="宋体" w:cs="宋体"/>
      <w:color w:val="000000"/>
      <w:sz w:val="30"/>
      <w:szCs w:val="30"/>
    </w:rPr>
  </w:style>
  <w:style w:type="paragraph" w:customStyle="1" w:styleId="508">
    <w:name w:val="样式"/>
    <w:basedOn w:val="1"/>
    <w:next w:val="26"/>
    <w:link w:val="932"/>
    <w:qFormat/>
    <w:uiPriority w:val="0"/>
    <w:pPr>
      <w:widowControl/>
      <w:spacing w:line="360" w:lineRule="auto"/>
      <w:ind w:firstLine="540"/>
    </w:pPr>
    <w:rPr>
      <w:rFonts w:ascii="宋体" w:hAnsi="MS Sans Serif"/>
      <w:spacing w:val="12"/>
      <w:sz w:val="24"/>
      <w:szCs w:val="24"/>
    </w:rPr>
  </w:style>
  <w:style w:type="paragraph" w:customStyle="1" w:styleId="509">
    <w:name w:val="p15"/>
    <w:basedOn w:val="1"/>
    <w:qFormat/>
    <w:uiPriority w:val="0"/>
    <w:pPr>
      <w:widowControl/>
      <w:spacing w:before="100" w:beforeAutospacing="1" w:after="100" w:afterAutospacing="1"/>
      <w:jc w:val="left"/>
    </w:pPr>
    <w:rPr>
      <w:rFonts w:ascii="宋体" w:hAnsi="宋体" w:cs="宋体"/>
      <w:sz w:val="24"/>
      <w:szCs w:val="24"/>
    </w:rPr>
  </w:style>
  <w:style w:type="paragraph" w:customStyle="1" w:styleId="510">
    <w:name w:val="TOC 标题11"/>
    <w:basedOn w:val="2"/>
    <w:next w:val="1"/>
    <w:qFormat/>
    <w:uiPriority w:val="0"/>
    <w:pPr>
      <w:keepLines/>
      <w:tabs>
        <w:tab w:val="left" w:pos="432"/>
      </w:tabs>
      <w:spacing w:before="340" w:after="330" w:line="576" w:lineRule="auto"/>
      <w:jc w:val="left"/>
      <w:outlineLvl w:val="9"/>
    </w:pPr>
    <w:rPr>
      <w:rFonts w:ascii="Times New Roman" w:eastAsia="宋体"/>
      <w:bCs/>
      <w:sz w:val="44"/>
      <w:szCs w:val="44"/>
    </w:rPr>
  </w:style>
  <w:style w:type="paragraph" w:customStyle="1" w:styleId="511">
    <w:name w:val="字元 字元"/>
    <w:basedOn w:val="1"/>
    <w:qFormat/>
    <w:uiPriority w:val="0"/>
    <w:pPr>
      <w:widowControl/>
      <w:spacing w:after="160" w:line="240" w:lineRule="exact"/>
      <w:jc w:val="left"/>
    </w:pPr>
    <w:rPr>
      <w:rFonts w:ascii="Verdana" w:hAnsi="Verdana" w:eastAsia="MS Mincho" w:cs="Verdana"/>
      <w:sz w:val="20"/>
      <w:lang w:eastAsia="en-US" w:bidi="kn-IN"/>
    </w:rPr>
  </w:style>
  <w:style w:type="character" w:customStyle="1" w:styleId="512">
    <w:name w:val="Char Char18"/>
    <w:qFormat/>
    <w:uiPriority w:val="0"/>
    <w:rPr>
      <w:b/>
      <w:bCs/>
      <w:sz w:val="44"/>
      <w:szCs w:val="44"/>
    </w:rPr>
  </w:style>
  <w:style w:type="character" w:customStyle="1" w:styleId="513">
    <w:name w:val="Char Char41"/>
    <w:qFormat/>
    <w:uiPriority w:val="0"/>
    <w:rPr>
      <w:rFonts w:ascii="华文细黑" w:hAnsi="华文细黑" w:eastAsia="幼圆" w:cs="Tahoma"/>
      <w:b/>
      <w:sz w:val="28"/>
      <w:szCs w:val="32"/>
      <w:lang w:val="en-US" w:eastAsia="zh-CN" w:bidi="ar-SA"/>
    </w:rPr>
  </w:style>
  <w:style w:type="character" w:customStyle="1" w:styleId="514">
    <w:name w:val="Char Char17"/>
    <w:qFormat/>
    <w:uiPriority w:val="0"/>
    <w:rPr>
      <w:b/>
      <w:bCs/>
      <w:sz w:val="24"/>
      <w:szCs w:val="24"/>
    </w:rPr>
  </w:style>
  <w:style w:type="character" w:customStyle="1" w:styleId="515">
    <w:name w:val="Char Char23"/>
    <w:qFormat/>
    <w:uiPriority w:val="0"/>
    <w:rPr>
      <w:rFonts w:ascii="幼圆" w:hAnsi="华文细黑" w:eastAsia="幼圆" w:cs="Tahoma"/>
      <w:b/>
      <w:bCs/>
      <w:sz w:val="30"/>
      <w:szCs w:val="24"/>
    </w:rPr>
  </w:style>
  <w:style w:type="character" w:customStyle="1" w:styleId="516">
    <w:name w:val="Char Char11"/>
    <w:qFormat/>
    <w:uiPriority w:val="0"/>
    <w:rPr>
      <w:rFonts w:ascii="幼圆" w:hAnsi="Tahoma" w:eastAsia="幼圆" w:cs="Tahoma"/>
      <w:b/>
      <w:bCs/>
      <w:sz w:val="32"/>
      <w:szCs w:val="32"/>
      <w:lang w:val="en-US" w:eastAsia="zh-CN" w:bidi="ar-SA"/>
    </w:rPr>
  </w:style>
  <w:style w:type="character" w:customStyle="1" w:styleId="517">
    <w:name w:val="Char Char31"/>
    <w:qFormat/>
    <w:uiPriority w:val="0"/>
    <w:rPr>
      <w:rFonts w:ascii="幼圆" w:hAnsi="华文细黑" w:eastAsia="幼圆" w:cs="Tahoma"/>
      <w:b/>
      <w:bCs/>
      <w:sz w:val="24"/>
      <w:szCs w:val="24"/>
      <w:lang w:val="en-US" w:eastAsia="zh-CN" w:bidi="ar-SA"/>
    </w:rPr>
  </w:style>
  <w:style w:type="character" w:customStyle="1" w:styleId="518">
    <w:name w:val="Char Char24"/>
    <w:qFormat/>
    <w:uiPriority w:val="0"/>
    <w:rPr>
      <w:rFonts w:eastAsia="华文细黑"/>
      <w:sz w:val="21"/>
      <w:szCs w:val="24"/>
      <w:lang w:val="en-US" w:eastAsia="zh-CN" w:bidi="ar-SA"/>
    </w:rPr>
  </w:style>
  <w:style w:type="character" w:customStyle="1" w:styleId="519">
    <w:name w:val="Char Char5"/>
    <w:qFormat/>
    <w:uiPriority w:val="0"/>
    <w:rPr>
      <w:rFonts w:eastAsia="华文细黑"/>
      <w:b/>
      <w:bCs/>
      <w:sz w:val="21"/>
      <w:szCs w:val="24"/>
      <w:lang w:val="en-US" w:eastAsia="zh-CN" w:bidi="ar-SA"/>
    </w:rPr>
  </w:style>
  <w:style w:type="character" w:customStyle="1" w:styleId="520">
    <w:name w:val="Char Char19"/>
    <w:qFormat/>
    <w:uiPriority w:val="0"/>
    <w:rPr>
      <w:rFonts w:ascii="仿宋_GB2312" w:hAnsi="仿宋_GB2312"/>
      <w:b/>
      <w:bCs/>
      <w:sz w:val="28"/>
      <w:szCs w:val="28"/>
    </w:rPr>
  </w:style>
  <w:style w:type="character" w:customStyle="1" w:styleId="521">
    <w:name w:val="Char Char21"/>
    <w:qFormat/>
    <w:uiPriority w:val="0"/>
    <w:rPr>
      <w:rFonts w:ascii="华文细黑" w:hAnsi="华文细黑" w:eastAsia="幼圆" w:cs="Tahoma"/>
      <w:b/>
      <w:sz w:val="30"/>
      <w:szCs w:val="30"/>
    </w:rPr>
  </w:style>
  <w:style w:type="character" w:customStyle="1" w:styleId="522">
    <w:name w:val="Char Char181"/>
    <w:qFormat/>
    <w:uiPriority w:val="0"/>
    <w:rPr>
      <w:rFonts w:ascii="Tahoma" w:hAnsi="Tahoma" w:eastAsia="幼圆"/>
      <w:b/>
      <w:bCs/>
      <w:sz w:val="24"/>
      <w:szCs w:val="24"/>
    </w:rPr>
  </w:style>
  <w:style w:type="character" w:customStyle="1" w:styleId="523">
    <w:name w:val="Char Char20"/>
    <w:qFormat/>
    <w:uiPriority w:val="0"/>
    <w:rPr>
      <w:rFonts w:ascii="Tahoma" w:hAnsi="Tahoma" w:eastAsia="幼圆"/>
      <w:b/>
      <w:bCs/>
      <w:sz w:val="28"/>
      <w:szCs w:val="28"/>
    </w:rPr>
  </w:style>
  <w:style w:type="character" w:customStyle="1" w:styleId="524">
    <w:name w:val="Char Char22"/>
    <w:qFormat/>
    <w:uiPriority w:val="0"/>
    <w:rPr>
      <w:rFonts w:ascii="幼圆" w:hAnsi="华文细黑" w:eastAsia="幼圆" w:cs="Tahoma"/>
      <w:b/>
      <w:bCs/>
      <w:color w:val="FF0000"/>
      <w:sz w:val="30"/>
      <w:szCs w:val="30"/>
    </w:rPr>
  </w:style>
  <w:style w:type="character" w:customStyle="1" w:styleId="525">
    <w:name w:val="Char Char9"/>
    <w:qFormat/>
    <w:uiPriority w:val="0"/>
    <w:rPr>
      <w:sz w:val="18"/>
      <w:szCs w:val="18"/>
    </w:rPr>
  </w:style>
  <w:style w:type="character" w:customStyle="1" w:styleId="526">
    <w:name w:val="手改 Char Char"/>
    <w:qFormat/>
    <w:uiPriority w:val="0"/>
    <w:rPr>
      <w:sz w:val="21"/>
      <w:szCs w:val="24"/>
    </w:rPr>
  </w:style>
  <w:style w:type="character" w:customStyle="1" w:styleId="527">
    <w:name w:val="Char Char16"/>
    <w:qFormat/>
    <w:uiPriority w:val="0"/>
    <w:rPr>
      <w:rFonts w:ascii="Tahoma" w:hAnsi="Tahoma" w:eastAsia="幼圆"/>
      <w:sz w:val="24"/>
      <w:szCs w:val="24"/>
    </w:rPr>
  </w:style>
  <w:style w:type="paragraph" w:customStyle="1" w:styleId="528">
    <w:name w:val="Table Paragraph"/>
    <w:basedOn w:val="1"/>
    <w:qFormat/>
    <w:uiPriority w:val="0"/>
    <w:pPr>
      <w:jc w:val="left"/>
    </w:pPr>
    <w:rPr>
      <w:rFonts w:ascii="Calibri" w:hAnsi="Calibri"/>
      <w:sz w:val="22"/>
      <w:szCs w:val="22"/>
      <w:lang w:eastAsia="en-US"/>
    </w:rPr>
  </w:style>
  <w:style w:type="paragraph" w:customStyle="1" w:styleId="529">
    <w:name w:val="格式３"/>
    <w:basedOn w:val="1"/>
    <w:qFormat/>
    <w:uiPriority w:val="0"/>
    <w:pPr>
      <w:spacing w:line="420" w:lineRule="atLeast"/>
      <w:ind w:left="600" w:hanging="600"/>
    </w:pPr>
    <w:rPr>
      <w:rFonts w:hint="eastAsia" w:ascii="宋体" w:hAnsi="宋体"/>
      <w:color w:val="000000"/>
      <w:sz w:val="24"/>
    </w:rPr>
  </w:style>
  <w:style w:type="table" w:customStyle="1" w:styleId="530">
    <w:name w:val="网格型3"/>
    <w:basedOn w:val="67"/>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31">
    <w:name w:val="Heading 1 Char"/>
    <w:qFormat/>
    <w:uiPriority w:val="0"/>
    <w:rPr>
      <w:rFonts w:ascii="黑体" w:hAnsi="黑体" w:eastAsia="黑体"/>
      <w:b/>
      <w:bCs/>
      <w:sz w:val="72"/>
      <w:szCs w:val="72"/>
      <w:lang w:val="en-US" w:eastAsia="en-US" w:bidi="ar-SA"/>
    </w:rPr>
  </w:style>
  <w:style w:type="character" w:customStyle="1" w:styleId="532">
    <w:name w:val="普通文字 Char Char1"/>
    <w:qFormat/>
    <w:uiPriority w:val="0"/>
    <w:rPr>
      <w:rFonts w:ascii="华文细黑" w:hAnsi="华文细黑" w:eastAsia="华文细黑" w:cs="华文细黑"/>
      <w:sz w:val="21"/>
      <w:szCs w:val="21"/>
      <w:lang w:val="en-US" w:eastAsia="zh-CN" w:bidi="ar-SA"/>
    </w:rPr>
  </w:style>
  <w:style w:type="character" w:customStyle="1" w:styleId="533">
    <w:name w:val="Table Text Char Char"/>
    <w:link w:val="534"/>
    <w:qFormat/>
    <w:uiPriority w:val="0"/>
    <w:rPr>
      <w:rFonts w:ascii="Arial" w:hAnsi="Arial"/>
      <w:sz w:val="18"/>
      <w:lang w:bidi="ar-SA"/>
    </w:rPr>
  </w:style>
  <w:style w:type="paragraph" w:customStyle="1" w:styleId="534">
    <w:name w:val="Table Text Char"/>
    <w:link w:val="533"/>
    <w:qFormat/>
    <w:uiPriority w:val="0"/>
    <w:pPr>
      <w:spacing w:before="80" w:after="80"/>
    </w:pPr>
    <w:rPr>
      <w:rFonts w:ascii="Arial" w:hAnsi="Arial" w:eastAsia="宋体" w:cs="Times New Roman"/>
      <w:sz w:val="18"/>
      <w:lang w:val="en-US" w:eastAsia="zh-CN" w:bidi="ar-SA"/>
    </w:rPr>
  </w:style>
  <w:style w:type="character" w:customStyle="1" w:styleId="535">
    <w:name w:val="t121"/>
    <w:qFormat/>
    <w:uiPriority w:val="0"/>
    <w:rPr>
      <w:sz w:val="21"/>
      <w:szCs w:val="21"/>
    </w:rPr>
  </w:style>
  <w:style w:type="character" w:customStyle="1" w:styleId="536">
    <w:name w:val="表蕊 Char1"/>
    <w:link w:val="537"/>
    <w:qFormat/>
    <w:uiPriority w:val="0"/>
    <w:rPr>
      <w:rFonts w:eastAsia="楷体_GB2312"/>
      <w:spacing w:val="-10"/>
      <w:sz w:val="21"/>
    </w:rPr>
  </w:style>
  <w:style w:type="paragraph" w:customStyle="1" w:styleId="537">
    <w:name w:val="表蕊"/>
    <w:basedOn w:val="1"/>
    <w:link w:val="536"/>
    <w:qFormat/>
    <w:uiPriority w:val="0"/>
    <w:pPr>
      <w:spacing w:line="320" w:lineRule="atLeast"/>
      <w:jc w:val="left"/>
    </w:pPr>
    <w:rPr>
      <w:rFonts w:eastAsia="楷体_GB2312"/>
      <w:spacing w:val="-10"/>
      <w:lang w:bidi="mn-Mong-CN"/>
    </w:rPr>
  </w:style>
  <w:style w:type="character" w:customStyle="1" w:styleId="538">
    <w:name w:val="公文正文 Char"/>
    <w:link w:val="539"/>
    <w:qFormat/>
    <w:uiPriority w:val="0"/>
    <w:rPr>
      <w:rFonts w:ascii="仿宋_GB2312" w:hAnsi="宋体" w:eastAsia="仿宋_GB2312"/>
      <w:sz w:val="28"/>
      <w:szCs w:val="24"/>
      <w:lang w:bidi="ar-SA"/>
    </w:rPr>
  </w:style>
  <w:style w:type="paragraph" w:customStyle="1" w:styleId="539">
    <w:name w:val="公文正文"/>
    <w:link w:val="538"/>
    <w:qFormat/>
    <w:uiPriority w:val="0"/>
    <w:pPr>
      <w:ind w:firstLine="200"/>
    </w:pPr>
    <w:rPr>
      <w:rFonts w:ascii="仿宋_GB2312" w:hAnsi="宋体" w:eastAsia="仿宋_GB2312" w:cs="Times New Roman"/>
      <w:sz w:val="28"/>
      <w:szCs w:val="24"/>
      <w:lang w:val="en-US" w:eastAsia="zh-CN" w:bidi="ar-SA"/>
    </w:rPr>
  </w:style>
  <w:style w:type="character" w:customStyle="1" w:styleId="540">
    <w:name w:val="样式 正文缩进正文（首行缩进两字）表正文正文非缩进特点ALT+Z标题4段1正文（首行缩进两字） Char正文（...1 Char"/>
    <w:qFormat/>
    <w:uiPriority w:val="0"/>
    <w:rPr>
      <w:rFonts w:ascii="Arial" w:hAnsi="Arial" w:eastAsia="宋体"/>
      <w:bCs/>
      <w:sz w:val="28"/>
      <w:szCs w:val="24"/>
      <w:lang w:val="en-US" w:eastAsia="zh-CN" w:bidi="ar-SA"/>
    </w:rPr>
  </w:style>
  <w:style w:type="character" w:customStyle="1" w:styleId="541">
    <w:name w:val="Table Text Char Char Char Char Char Char"/>
    <w:qFormat/>
    <w:uiPriority w:val="0"/>
    <w:rPr>
      <w:rFonts w:ascii="Arial" w:hAnsi="Arial" w:eastAsia="宋体" w:cs="Arial"/>
      <w:sz w:val="18"/>
      <w:szCs w:val="18"/>
      <w:lang w:val="en-US" w:eastAsia="zh-CN" w:bidi="ar-SA"/>
    </w:rPr>
  </w:style>
  <w:style w:type="character" w:customStyle="1" w:styleId="542">
    <w:name w:val="style1 style3"/>
    <w:qFormat/>
    <w:uiPriority w:val="0"/>
  </w:style>
  <w:style w:type="character" w:customStyle="1" w:styleId="543">
    <w:name w:val="apple-style-span"/>
    <w:qFormat/>
    <w:uiPriority w:val="0"/>
  </w:style>
  <w:style w:type="character" w:customStyle="1" w:styleId="544">
    <w:name w:val="param_td12"/>
    <w:qFormat/>
    <w:uiPriority w:val="0"/>
  </w:style>
  <w:style w:type="character" w:customStyle="1" w:styleId="545">
    <w:name w:val="blacktext"/>
    <w:qFormat/>
    <w:uiPriority w:val="0"/>
  </w:style>
  <w:style w:type="character" w:customStyle="1" w:styleId="546">
    <w:name w:val="文档-正文 Char Char"/>
    <w:link w:val="547"/>
    <w:qFormat/>
    <w:uiPriority w:val="0"/>
    <w:rPr>
      <w:rFonts w:ascii="Arial" w:hAnsi="Arial" w:cs="Arial"/>
      <w:sz w:val="24"/>
    </w:rPr>
  </w:style>
  <w:style w:type="paragraph" w:customStyle="1" w:styleId="547">
    <w:name w:val="文档-正文"/>
    <w:basedOn w:val="1"/>
    <w:link w:val="546"/>
    <w:qFormat/>
    <w:uiPriority w:val="0"/>
    <w:pPr>
      <w:widowControl/>
      <w:spacing w:line="360" w:lineRule="auto"/>
      <w:ind w:firstLine="200"/>
      <w:jc w:val="left"/>
    </w:pPr>
    <w:rPr>
      <w:rFonts w:ascii="Arial" w:hAnsi="Arial" w:cs="Arial"/>
      <w:sz w:val="24"/>
      <w:lang w:bidi="mn-Mong-CN"/>
    </w:rPr>
  </w:style>
  <w:style w:type="character" w:customStyle="1" w:styleId="548">
    <w:name w:val="标准段落正文 Char1"/>
    <w:link w:val="549"/>
    <w:qFormat/>
    <w:uiPriority w:val="0"/>
    <w:rPr>
      <w:sz w:val="24"/>
    </w:rPr>
  </w:style>
  <w:style w:type="paragraph" w:customStyle="1" w:styleId="549">
    <w:name w:val="标准段落正文"/>
    <w:basedOn w:val="1"/>
    <w:link w:val="548"/>
    <w:qFormat/>
    <w:uiPriority w:val="0"/>
    <w:pPr>
      <w:spacing w:line="312" w:lineRule="auto"/>
      <w:ind w:firstLine="480"/>
    </w:pPr>
    <w:rPr>
      <w:sz w:val="24"/>
      <w:lang w:bidi="mn-Mong-CN"/>
    </w:rPr>
  </w:style>
  <w:style w:type="character" w:customStyle="1" w:styleId="550">
    <w:name w:val="h Char"/>
    <w:qFormat/>
    <w:uiPriority w:val="0"/>
    <w:rPr>
      <w:rFonts w:eastAsia="宋体"/>
      <w:sz w:val="18"/>
      <w:szCs w:val="18"/>
      <w:lang w:val="en-US" w:eastAsia="zh-CN" w:bidi="ar-SA"/>
    </w:rPr>
  </w:style>
  <w:style w:type="character" w:customStyle="1" w:styleId="551">
    <w:name w:val="方案标题2 Char"/>
    <w:link w:val="552"/>
    <w:qFormat/>
    <w:uiPriority w:val="0"/>
    <w:rPr>
      <w:rFonts w:ascii="黑体" w:hAnsi="Arial" w:eastAsia="黑体"/>
      <w:b/>
      <w:spacing w:val="14"/>
      <w:sz w:val="28"/>
      <w:szCs w:val="32"/>
    </w:rPr>
  </w:style>
  <w:style w:type="paragraph" w:customStyle="1" w:styleId="552">
    <w:name w:val="方案标题2"/>
    <w:basedOn w:val="1"/>
    <w:next w:val="1"/>
    <w:link w:val="551"/>
    <w:qFormat/>
    <w:uiPriority w:val="0"/>
    <w:pPr>
      <w:keepLines/>
      <w:spacing w:before="200" w:after="40"/>
      <w:outlineLvl w:val="1"/>
    </w:pPr>
    <w:rPr>
      <w:rFonts w:ascii="黑体" w:hAnsi="Arial" w:eastAsia="黑体"/>
      <w:b/>
      <w:spacing w:val="14"/>
      <w:sz w:val="28"/>
      <w:szCs w:val="32"/>
      <w:lang w:bidi="mn-Mong-CN"/>
    </w:rPr>
  </w:style>
  <w:style w:type="character" w:customStyle="1" w:styleId="553">
    <w:name w:val="表头 Char"/>
    <w:link w:val="554"/>
    <w:qFormat/>
    <w:uiPriority w:val="0"/>
    <w:rPr>
      <w:rFonts w:eastAsia="黑体"/>
      <w:spacing w:val="-10"/>
      <w:sz w:val="21"/>
    </w:rPr>
  </w:style>
  <w:style w:type="paragraph" w:customStyle="1" w:styleId="554">
    <w:name w:val="表头"/>
    <w:basedOn w:val="1"/>
    <w:link w:val="553"/>
    <w:qFormat/>
    <w:uiPriority w:val="0"/>
    <w:pPr>
      <w:spacing w:line="320" w:lineRule="atLeast"/>
      <w:jc w:val="center"/>
    </w:pPr>
    <w:rPr>
      <w:rFonts w:eastAsia="黑体"/>
      <w:spacing w:val="-10"/>
      <w:lang w:bidi="mn-Mong-CN"/>
    </w:rPr>
  </w:style>
  <w:style w:type="character" w:customStyle="1" w:styleId="555">
    <w:name w:val="style16"/>
    <w:qFormat/>
    <w:uiPriority w:val="0"/>
  </w:style>
  <w:style w:type="character" w:customStyle="1" w:styleId="556">
    <w:name w:val="方案标题3 Char"/>
    <w:link w:val="557"/>
    <w:qFormat/>
    <w:uiPriority w:val="0"/>
    <w:rPr>
      <w:rFonts w:ascii="黑体" w:hAnsi="Arial" w:eastAsia="黑体"/>
      <w:b/>
      <w:spacing w:val="14"/>
      <w:sz w:val="24"/>
      <w:szCs w:val="30"/>
    </w:rPr>
  </w:style>
  <w:style w:type="paragraph" w:customStyle="1" w:styleId="557">
    <w:name w:val="方案标题3"/>
    <w:basedOn w:val="552"/>
    <w:next w:val="1"/>
    <w:link w:val="556"/>
    <w:qFormat/>
    <w:uiPriority w:val="0"/>
    <w:pPr>
      <w:outlineLvl w:val="2"/>
    </w:pPr>
    <w:rPr>
      <w:sz w:val="24"/>
      <w:szCs w:val="30"/>
    </w:rPr>
  </w:style>
  <w:style w:type="character" w:customStyle="1" w:styleId="558">
    <w:name w:val="style_zi_2"/>
    <w:qFormat/>
    <w:uiPriority w:val="0"/>
  </w:style>
  <w:style w:type="character" w:customStyle="1" w:styleId="559">
    <w:name w:val="小四文本缩进 Char"/>
    <w:link w:val="560"/>
    <w:qFormat/>
    <w:uiPriority w:val="0"/>
    <w:rPr>
      <w:sz w:val="24"/>
    </w:rPr>
  </w:style>
  <w:style w:type="paragraph" w:customStyle="1" w:styleId="560">
    <w:name w:val="小四文本缩进"/>
    <w:basedOn w:val="1"/>
    <w:link w:val="559"/>
    <w:qFormat/>
    <w:uiPriority w:val="0"/>
    <w:pPr>
      <w:spacing w:line="360" w:lineRule="auto"/>
      <w:ind w:firstLine="480"/>
    </w:pPr>
    <w:rPr>
      <w:sz w:val="24"/>
      <w:lang w:bidi="mn-Mong-CN"/>
    </w:rPr>
  </w:style>
  <w:style w:type="character" w:customStyle="1" w:styleId="561">
    <w:name w:val="hui3"/>
    <w:qFormat/>
    <w:uiPriority w:val="0"/>
    <w:rPr>
      <w:color w:val="333333"/>
    </w:rPr>
  </w:style>
  <w:style w:type="character" w:customStyle="1" w:styleId="562">
    <w:name w:val="正文首行缩进 Char1"/>
    <w:qFormat/>
    <w:uiPriority w:val="0"/>
    <w:rPr>
      <w:rFonts w:ascii="华文中宋" w:eastAsia="华文中宋"/>
      <w:sz w:val="21"/>
    </w:rPr>
  </w:style>
  <w:style w:type="character" w:customStyle="1" w:styleId="563">
    <w:name w:val="HTML 预设格式 Char1"/>
    <w:qFormat/>
    <w:uiPriority w:val="0"/>
    <w:rPr>
      <w:rFonts w:ascii="Courier New" w:hAnsi="Courier New" w:cs="Courier New"/>
      <w:lang w:bidi="ar-SA"/>
    </w:rPr>
  </w:style>
  <w:style w:type="paragraph" w:customStyle="1" w:styleId="564">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65">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66">
    <w:name w:val="_Style 3"/>
    <w:basedOn w:val="1"/>
    <w:qFormat/>
    <w:uiPriority w:val="0"/>
    <w:pPr>
      <w:widowControl/>
      <w:spacing w:after="160" w:line="240" w:lineRule="exact"/>
      <w:jc w:val="left"/>
    </w:pPr>
  </w:style>
  <w:style w:type="paragraph" w:customStyle="1" w:styleId="567">
    <w:name w:val="文档-标题2"/>
    <w:basedOn w:val="1"/>
    <w:next w:val="1"/>
    <w:qFormat/>
    <w:uiPriority w:val="0"/>
    <w:pPr>
      <w:keepNext/>
      <w:keepLines/>
      <w:tabs>
        <w:tab w:val="left" w:pos="1050"/>
      </w:tabs>
      <w:spacing w:before="260" w:after="260" w:line="416" w:lineRule="auto"/>
      <w:ind w:left="1050" w:hanging="420"/>
      <w:jc w:val="left"/>
      <w:outlineLvl w:val="1"/>
    </w:pPr>
    <w:rPr>
      <w:rFonts w:ascii="Cambria" w:hAnsi="Cambria"/>
      <w:b/>
      <w:bCs/>
      <w:color w:val="7030A0"/>
      <w:sz w:val="32"/>
      <w:szCs w:val="32"/>
    </w:rPr>
  </w:style>
  <w:style w:type="paragraph" w:customStyle="1" w:styleId="568">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569">
    <w:name w:val="Char Char1 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570">
    <w:name w:val="List 1"/>
    <w:basedOn w:val="1"/>
    <w:qFormat/>
    <w:uiPriority w:val="0"/>
    <w:pPr>
      <w:widowControl/>
      <w:spacing w:line="360" w:lineRule="auto"/>
      <w:ind w:left="2520" w:hanging="360"/>
    </w:pPr>
    <w:rPr>
      <w:rFonts w:ascii="宋体"/>
      <w:sz w:val="24"/>
    </w:rPr>
  </w:style>
  <w:style w:type="paragraph" w:customStyle="1" w:styleId="571">
    <w:name w:val="Table Text"/>
    <w:basedOn w:val="1"/>
    <w:qFormat/>
    <w:uiPriority w:val="0"/>
    <w:pPr>
      <w:widowControl/>
      <w:tabs>
        <w:tab w:val="decimal" w:pos="0"/>
      </w:tabs>
      <w:spacing w:before="80" w:after="80"/>
    </w:pPr>
    <w:rPr>
      <w:rFonts w:ascii="Arial" w:hAnsi="Arial"/>
      <w:color w:val="000000"/>
      <w:sz w:val="18"/>
    </w:rPr>
  </w:style>
  <w:style w:type="paragraph" w:customStyle="1" w:styleId="572">
    <w:name w:val="RPT_AbstractBullet"/>
    <w:basedOn w:val="1"/>
    <w:qFormat/>
    <w:uiPriority w:val="0"/>
    <w:pPr>
      <w:numPr>
        <w:ilvl w:val="0"/>
        <w:numId w:val="1"/>
      </w:numPr>
      <w:tabs>
        <w:tab w:val="clear" w:pos="360"/>
      </w:tabs>
      <w:spacing w:before="75" w:line="240" w:lineRule="exact"/>
      <w:ind w:left="1555" w:right="1555" w:firstLine="360"/>
    </w:pPr>
    <w:rPr>
      <w:rFonts w:ascii="IDCSerif" w:hAnsi="IDCSerif"/>
      <w:sz w:val="22"/>
      <w:szCs w:val="24"/>
    </w:rPr>
  </w:style>
  <w:style w:type="paragraph" w:customStyle="1" w:styleId="573">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74">
    <w:name w:val="wen"/>
    <w:basedOn w:val="1"/>
    <w:qFormat/>
    <w:uiPriority w:val="0"/>
    <w:pPr>
      <w:widowControl/>
      <w:spacing w:line="360" w:lineRule="auto"/>
    </w:pPr>
    <w:rPr>
      <w:rFonts w:ascii="仿宋_GB2312" w:hAnsi="华文仿宋" w:eastAsia="仿宋_GB2312"/>
      <w:szCs w:val="21"/>
    </w:rPr>
  </w:style>
  <w:style w:type="paragraph" w:customStyle="1" w:styleId="575">
    <w:name w:val="大标题"/>
    <w:basedOn w:val="2"/>
    <w:qFormat/>
    <w:uiPriority w:val="0"/>
    <w:pPr>
      <w:keepNext w:val="0"/>
      <w:keepLines/>
      <w:pageBreakBefore/>
      <w:tabs>
        <w:tab w:val="left" w:pos="780"/>
      </w:tabs>
      <w:spacing w:line="440" w:lineRule="exact"/>
      <w:outlineLvl w:val="9"/>
    </w:pPr>
    <w:rPr>
      <w:rFonts w:ascii="宋体" w:hAnsi="Arial" w:eastAsia="宋体"/>
      <w:b w:val="0"/>
      <w:sz w:val="36"/>
      <w:szCs w:val="36"/>
      <w:lang w:val="zh-CN"/>
    </w:rPr>
  </w:style>
  <w:style w:type="paragraph" w:customStyle="1" w:styleId="576">
    <w:name w:val="文字"/>
    <w:basedOn w:val="1"/>
    <w:qFormat/>
    <w:uiPriority w:val="0"/>
    <w:pPr>
      <w:tabs>
        <w:tab w:val="left" w:pos="8520"/>
      </w:tabs>
      <w:spacing w:line="312" w:lineRule="auto"/>
      <w:ind w:right="-210" w:firstLine="556"/>
    </w:pPr>
    <w:rPr>
      <w:rFonts w:ascii="宋体"/>
      <w:sz w:val="28"/>
    </w:rPr>
  </w:style>
  <w:style w:type="paragraph" w:customStyle="1" w:styleId="577">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78">
    <w:name w:val="样式 首行缩进:  2 字符"/>
    <w:basedOn w:val="1"/>
    <w:link w:val="579"/>
    <w:qFormat/>
    <w:uiPriority w:val="0"/>
    <w:pPr>
      <w:spacing w:line="440" w:lineRule="exact"/>
      <w:ind w:firstLine="420"/>
    </w:pPr>
    <w:rPr>
      <w:rFonts w:ascii="宋体" w:cs="宋体"/>
      <w:sz w:val="24"/>
    </w:rPr>
  </w:style>
  <w:style w:type="character" w:customStyle="1" w:styleId="579">
    <w:name w:val="样式 首行缩进:  2 字符 Char"/>
    <w:link w:val="578"/>
    <w:qFormat/>
    <w:uiPriority w:val="0"/>
    <w:rPr>
      <w:rFonts w:ascii="宋体" w:cs="宋体"/>
      <w:sz w:val="24"/>
      <w:lang w:bidi="ar-SA"/>
    </w:rPr>
  </w:style>
  <w:style w:type="paragraph" w:customStyle="1" w:styleId="580">
    <w:name w:val="样式 小四 行距: 1.5 倍行距 首行缩进:  2 字符"/>
    <w:basedOn w:val="1"/>
    <w:qFormat/>
    <w:uiPriority w:val="0"/>
    <w:pPr>
      <w:spacing w:line="360" w:lineRule="auto"/>
      <w:ind w:firstLine="480"/>
    </w:pPr>
    <w:rPr>
      <w:rFonts w:cs="宋体"/>
      <w:sz w:val="24"/>
    </w:rPr>
  </w:style>
  <w:style w:type="paragraph" w:customStyle="1" w:styleId="581">
    <w:name w:val="Char Char1 Char Char Char Char Char Char"/>
    <w:basedOn w:val="1"/>
    <w:qFormat/>
    <w:uiPriority w:val="0"/>
    <w:rPr>
      <w:rFonts w:ascii="Tahoma" w:hAnsi="Tahoma"/>
      <w:sz w:val="24"/>
      <w:szCs w:val="24"/>
    </w:rPr>
  </w:style>
  <w:style w:type="paragraph" w:customStyle="1" w:styleId="582">
    <w:name w:val="方案项目"/>
    <w:basedOn w:val="583"/>
    <w:qFormat/>
    <w:uiPriority w:val="0"/>
    <w:pPr>
      <w:numPr>
        <w:ilvl w:val="0"/>
        <w:numId w:val="2"/>
      </w:numPr>
      <w:tabs>
        <w:tab w:val="left" w:pos="360"/>
        <w:tab w:val="clear" w:pos="987"/>
      </w:tabs>
      <w:ind w:left="567" w:firstLine="0"/>
    </w:pPr>
  </w:style>
  <w:style w:type="paragraph" w:customStyle="1" w:styleId="583">
    <w:name w:val="方案正文"/>
    <w:basedOn w:val="1"/>
    <w:qFormat/>
    <w:uiPriority w:val="0"/>
    <w:pPr>
      <w:spacing w:line="360" w:lineRule="auto"/>
      <w:ind w:firstLine="454"/>
      <w:jc w:val="left"/>
    </w:pPr>
    <w:rPr>
      <w:rFonts w:ascii="Arial" w:hAnsi="Arial"/>
      <w:bCs/>
      <w:szCs w:val="24"/>
    </w:rPr>
  </w:style>
  <w:style w:type="paragraph" w:customStyle="1" w:styleId="584">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585">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2"/>
      <w:szCs w:val="22"/>
    </w:rPr>
  </w:style>
  <w:style w:type="paragraph" w:customStyle="1" w:styleId="58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87">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588">
    <w:name w:val="xl120"/>
    <w:basedOn w:val="1"/>
    <w:qFormat/>
    <w:uiPriority w:val="0"/>
    <w:pPr>
      <w:widowControl/>
      <w:spacing w:before="100" w:beforeAutospacing="1" w:after="100" w:afterAutospacing="1"/>
      <w:jc w:val="left"/>
    </w:pPr>
    <w:rPr>
      <w:rFonts w:ascii="宋体" w:hAnsi="宋体" w:cs="宋体"/>
      <w:sz w:val="24"/>
      <w:szCs w:val="24"/>
    </w:rPr>
  </w:style>
  <w:style w:type="paragraph" w:customStyle="1" w:styleId="58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90">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91">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592">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93">
    <w:name w:val="amtext"/>
    <w:basedOn w:val="1"/>
    <w:qFormat/>
    <w:uiPriority w:val="0"/>
    <w:pPr>
      <w:widowControl/>
      <w:numPr>
        <w:ilvl w:val="0"/>
        <w:numId w:val="3"/>
      </w:numPr>
      <w:spacing w:after="240" w:line="240" w:lineRule="atLeast"/>
      <w:jc w:val="left"/>
    </w:pPr>
    <w:rPr>
      <w:color w:val="000000"/>
      <w:sz w:val="24"/>
      <w:lang w:eastAsia="en-US"/>
    </w:rPr>
  </w:style>
  <w:style w:type="paragraph" w:customStyle="1" w:styleId="594">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95">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96">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97">
    <w:name w:val="Item Step in Table"/>
    <w:qFormat/>
    <w:uiPriority w:val="0"/>
    <w:pPr>
      <w:tabs>
        <w:tab w:val="left" w:pos="397"/>
      </w:tabs>
      <w:spacing w:before="40" w:after="40"/>
      <w:ind w:left="432" w:hanging="432"/>
      <w:jc w:val="both"/>
    </w:pPr>
    <w:rPr>
      <w:rFonts w:ascii="Arial" w:hAnsi="Arial" w:eastAsia="宋体" w:cs="Times New Roman"/>
      <w:sz w:val="18"/>
      <w:lang w:val="en-US" w:eastAsia="zh-CN" w:bidi="ar-SA"/>
    </w:rPr>
  </w:style>
  <w:style w:type="paragraph" w:customStyle="1" w:styleId="598">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99">
    <w:name w:val="插入对象"/>
    <w:basedOn w:val="1"/>
    <w:qFormat/>
    <w:uiPriority w:val="0"/>
    <w:pPr>
      <w:keepLines/>
      <w:spacing w:line="354" w:lineRule="auto"/>
      <w:ind w:firstLine="425"/>
      <w:jc w:val="center"/>
    </w:pPr>
    <w:rPr>
      <w:sz w:val="24"/>
    </w:rPr>
  </w:style>
  <w:style w:type="paragraph" w:customStyle="1" w:styleId="600">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01">
    <w:name w:val="Birdseed"/>
    <w:basedOn w:val="1"/>
    <w:qFormat/>
    <w:uiPriority w:val="0"/>
    <w:pPr>
      <w:widowControl/>
      <w:jc w:val="left"/>
    </w:pPr>
    <w:rPr>
      <w:rFonts w:ascii="Palatino Linotype" w:hAnsi="Palatino Linotype"/>
      <w:sz w:val="18"/>
    </w:rPr>
  </w:style>
  <w:style w:type="paragraph" w:customStyle="1" w:styleId="602">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03">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4"/>
      <w:szCs w:val="24"/>
    </w:rPr>
  </w:style>
  <w:style w:type="paragraph" w:customStyle="1" w:styleId="604">
    <w:name w:val="PPAR1"/>
    <w:basedOn w:val="1"/>
    <w:qFormat/>
    <w:uiPriority w:val="0"/>
    <w:pPr>
      <w:keepNext/>
      <w:widowControl/>
      <w:spacing w:before="120" w:after="120"/>
      <w:jc w:val="center"/>
    </w:pPr>
    <w:rPr>
      <w:rFonts w:ascii="Arial" w:hAnsi="Arial"/>
      <w:b/>
      <w:caps/>
      <w:sz w:val="22"/>
      <w:lang w:eastAsia="en-US"/>
    </w:rPr>
  </w:style>
  <w:style w:type="paragraph" w:customStyle="1" w:styleId="605">
    <w:name w:val="标题3"/>
    <w:basedOn w:val="1"/>
    <w:qFormat/>
    <w:uiPriority w:val="0"/>
    <w:pPr>
      <w:keepNext/>
      <w:widowControl/>
      <w:tabs>
        <w:tab w:val="left" w:pos="450"/>
      </w:tabs>
      <w:spacing w:before="120" w:after="60" w:line="354" w:lineRule="auto"/>
      <w:ind w:firstLine="425"/>
      <w:jc w:val="left"/>
    </w:pPr>
    <w:rPr>
      <w:rFonts w:ascii="宋体"/>
      <w:b/>
      <w:sz w:val="24"/>
    </w:rPr>
  </w:style>
  <w:style w:type="paragraph" w:customStyle="1" w:styleId="606">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07">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608">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609">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sz w:val="22"/>
      <w:szCs w:val="22"/>
    </w:rPr>
  </w:style>
  <w:style w:type="paragraph" w:customStyle="1" w:styleId="610">
    <w:name w:val="Char1"/>
    <w:basedOn w:val="1"/>
    <w:qFormat/>
    <w:uiPriority w:val="0"/>
    <w:pPr>
      <w:widowControl/>
      <w:spacing w:after="160" w:line="240" w:lineRule="exact"/>
      <w:jc w:val="left"/>
    </w:pPr>
    <w:rPr>
      <w:rFonts w:ascii="Verdana" w:hAnsi="Verdana"/>
      <w:sz w:val="20"/>
      <w:lang w:eastAsia="en-US"/>
    </w:rPr>
  </w:style>
  <w:style w:type="paragraph" w:customStyle="1" w:styleId="611">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12">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13">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2"/>
      <w:szCs w:val="22"/>
    </w:rPr>
  </w:style>
  <w:style w:type="paragraph" w:customStyle="1" w:styleId="614">
    <w:name w:val="Char Char Char Char Char Char Char Char Char Char Char Char Char Char Char Char"/>
    <w:basedOn w:val="1"/>
    <w:qFormat/>
    <w:uiPriority w:val="0"/>
  </w:style>
  <w:style w:type="paragraph" w:customStyle="1" w:styleId="615">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16">
    <w:name w:val="表格标题"/>
    <w:basedOn w:val="1"/>
    <w:qFormat/>
    <w:uiPriority w:val="0"/>
    <w:pPr>
      <w:spacing w:before="120" w:line="400" w:lineRule="exact"/>
      <w:jc w:val="center"/>
    </w:pPr>
    <w:rPr>
      <w:rFonts w:eastAsia="文鼎CS中宋"/>
      <w:spacing w:val="8"/>
      <w:sz w:val="24"/>
    </w:rPr>
  </w:style>
  <w:style w:type="paragraph" w:customStyle="1" w:styleId="617">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4"/>
      <w:szCs w:val="24"/>
    </w:rPr>
  </w:style>
  <w:style w:type="paragraph" w:customStyle="1" w:styleId="618">
    <w:name w:val="表"/>
    <w:basedOn w:val="1"/>
    <w:qFormat/>
    <w:uiPriority w:val="0"/>
    <w:pPr>
      <w:framePr w:hSpace="180" w:wrap="notBeside" w:vAnchor="text" w:hAnchor="margin" w:y="-74"/>
      <w:suppressLineNumbers/>
      <w:tabs>
        <w:tab w:val="left" w:pos="-17"/>
      </w:tabs>
      <w:spacing w:line="0" w:lineRule="atLeast"/>
    </w:pPr>
    <w:rPr>
      <w:rFonts w:ascii="宋体" w:hAnsi="宋体"/>
    </w:rPr>
  </w:style>
  <w:style w:type="paragraph" w:customStyle="1" w:styleId="619">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2"/>
      <w:szCs w:val="22"/>
    </w:rPr>
  </w:style>
  <w:style w:type="paragraph" w:customStyle="1" w:styleId="620">
    <w:name w:val="a14"/>
    <w:basedOn w:val="1"/>
    <w:qFormat/>
    <w:uiPriority w:val="0"/>
    <w:pPr>
      <w:widowControl/>
      <w:spacing w:before="100" w:beforeAutospacing="1" w:after="100" w:afterAutospacing="1" w:line="300" w:lineRule="atLeast"/>
      <w:ind w:firstLine="375"/>
      <w:jc w:val="left"/>
    </w:pPr>
    <w:rPr>
      <w:rFonts w:ascii="宋体" w:hAnsi="宋体"/>
      <w:szCs w:val="21"/>
    </w:rPr>
  </w:style>
  <w:style w:type="paragraph" w:customStyle="1" w:styleId="621">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2"/>
      <w:szCs w:val="22"/>
    </w:rPr>
  </w:style>
  <w:style w:type="paragraph" w:customStyle="1" w:styleId="622">
    <w:name w:val="宏图高科"/>
    <w:basedOn w:val="1"/>
    <w:qFormat/>
    <w:uiPriority w:val="0"/>
    <w:pPr>
      <w:spacing w:line="360" w:lineRule="auto"/>
      <w:ind w:firstLine="480"/>
    </w:pPr>
    <w:rPr>
      <w:rFonts w:eastAsia="楷体_GB2312"/>
      <w:sz w:val="24"/>
    </w:rPr>
  </w:style>
  <w:style w:type="paragraph" w:customStyle="1" w:styleId="623">
    <w:name w:val="喜"/>
    <w:basedOn w:val="4"/>
    <w:qFormat/>
    <w:uiPriority w:val="0"/>
    <w:pPr>
      <w:keepLines/>
      <w:tabs>
        <w:tab w:val="left" w:pos="600"/>
      </w:tabs>
      <w:spacing w:before="260" w:after="260" w:line="416" w:lineRule="atLeast"/>
      <w:ind w:left="600" w:hanging="420"/>
      <w:jc w:val="left"/>
    </w:pPr>
    <w:rPr>
      <w:rFonts w:eastAsia="宋体"/>
      <w:sz w:val="28"/>
      <w:szCs w:val="28"/>
      <w:lang w:val="zh-CN"/>
    </w:rPr>
  </w:style>
  <w:style w:type="paragraph" w:customStyle="1" w:styleId="624">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25">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26">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27">
    <w:name w:val="四号线第四级"/>
    <w:basedOn w:val="1"/>
    <w:qFormat/>
    <w:uiPriority w:val="0"/>
    <w:pPr>
      <w:tabs>
        <w:tab w:val="left" w:pos="600"/>
      </w:tabs>
      <w:ind w:left="600" w:hanging="420"/>
    </w:pPr>
    <w:rPr>
      <w:szCs w:val="24"/>
    </w:rPr>
  </w:style>
  <w:style w:type="paragraph" w:customStyle="1" w:styleId="628">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629">
    <w:name w:val="Char3"/>
    <w:basedOn w:val="19"/>
    <w:qFormat/>
    <w:uiPriority w:val="0"/>
    <w:pPr>
      <w:numPr>
        <w:ilvl w:val="0"/>
        <w:numId w:val="4"/>
      </w:numPr>
      <w:ind w:firstLine="183"/>
    </w:pPr>
    <w:rPr>
      <w:rFonts w:ascii="Tahoma" w:hAnsi="Tahoma"/>
      <w:sz w:val="24"/>
      <w:lang w:val="zh-CN"/>
    </w:rPr>
  </w:style>
  <w:style w:type="paragraph" w:customStyle="1" w:styleId="630">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31">
    <w:name w:val="正文段"/>
    <w:basedOn w:val="1"/>
    <w:qFormat/>
    <w:uiPriority w:val="0"/>
    <w:pPr>
      <w:widowControl/>
      <w:ind w:firstLine="200"/>
    </w:pPr>
    <w:rPr>
      <w:sz w:val="24"/>
    </w:rPr>
  </w:style>
  <w:style w:type="paragraph" w:customStyle="1" w:styleId="632">
    <w:name w:val="文档-标题3"/>
    <w:basedOn w:val="1"/>
    <w:next w:val="1"/>
    <w:qFormat/>
    <w:uiPriority w:val="0"/>
    <w:pPr>
      <w:keepNext/>
      <w:keepLines/>
      <w:tabs>
        <w:tab w:val="left" w:pos="1050"/>
      </w:tabs>
      <w:spacing w:before="260" w:after="260" w:line="416" w:lineRule="auto"/>
      <w:ind w:left="1050" w:hanging="420"/>
      <w:jc w:val="left"/>
      <w:outlineLvl w:val="2"/>
    </w:pPr>
    <w:rPr>
      <w:rFonts w:ascii="Calibri" w:hAnsi="Calibri"/>
      <w:b/>
      <w:bCs/>
      <w:color w:val="7030A0"/>
      <w:sz w:val="32"/>
      <w:szCs w:val="32"/>
    </w:rPr>
  </w:style>
  <w:style w:type="paragraph" w:customStyle="1" w:styleId="633">
    <w:name w:val="样式一"/>
    <w:basedOn w:val="1"/>
    <w:qFormat/>
    <w:uiPriority w:val="0"/>
    <w:pPr>
      <w:tabs>
        <w:tab w:val="left" w:pos="1080"/>
      </w:tabs>
      <w:spacing w:before="100" w:after="100" w:line="360" w:lineRule="exact"/>
      <w:ind w:left="340" w:hanging="340"/>
    </w:pPr>
    <w:rPr>
      <w:rFonts w:ascii="宋体" w:hAnsi="宋体" w:eastAsia="黑体"/>
      <w:sz w:val="24"/>
      <w:lang w:val="en-GB"/>
    </w:rPr>
  </w:style>
  <w:style w:type="paragraph" w:customStyle="1" w:styleId="634">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sz w:val="24"/>
      <w:szCs w:val="24"/>
    </w:rPr>
  </w:style>
  <w:style w:type="paragraph" w:customStyle="1" w:styleId="635">
    <w:name w:val="样式 宋体 五号 行距: 单倍行距"/>
    <w:basedOn w:val="1"/>
    <w:qFormat/>
    <w:uiPriority w:val="0"/>
    <w:pPr>
      <w:jc w:val="left"/>
    </w:pPr>
    <w:rPr>
      <w:rFonts w:ascii="宋体" w:hAnsi="宋体" w:cs="宋体"/>
    </w:rPr>
  </w:style>
  <w:style w:type="paragraph" w:customStyle="1" w:styleId="636">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37">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38">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39">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40">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41">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42">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43">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44">
    <w:name w:val="Char2 Char Char Char"/>
    <w:basedOn w:val="19"/>
    <w:qFormat/>
    <w:uiPriority w:val="0"/>
    <w:rPr>
      <w:rFonts w:ascii="Tahoma" w:hAnsi="Tahoma"/>
      <w:sz w:val="24"/>
      <w:szCs w:val="24"/>
      <w:lang w:val="zh-CN"/>
    </w:rPr>
  </w:style>
  <w:style w:type="paragraph" w:customStyle="1" w:styleId="645">
    <w:name w:val="Char Char Char Char Char Char Char Char"/>
    <w:basedOn w:val="1"/>
    <w:qFormat/>
    <w:uiPriority w:val="0"/>
  </w:style>
  <w:style w:type="paragraph" w:customStyle="1" w:styleId="646">
    <w:name w:val="小点说明"/>
    <w:basedOn w:val="1"/>
    <w:qFormat/>
    <w:uiPriority w:val="0"/>
    <w:pPr>
      <w:numPr>
        <w:ilvl w:val="0"/>
        <w:numId w:val="5"/>
      </w:numPr>
      <w:spacing w:line="360" w:lineRule="auto"/>
    </w:pPr>
    <w:rPr>
      <w:rFonts w:ascii="宋体" w:hAnsi="宋体"/>
      <w:sz w:val="24"/>
    </w:rPr>
  </w:style>
  <w:style w:type="paragraph" w:customStyle="1" w:styleId="647">
    <w:name w:val="Char2 Char Char Char2"/>
    <w:basedOn w:val="1"/>
    <w:semiHidden/>
    <w:qFormat/>
    <w:uiPriority w:val="0"/>
    <w:pPr>
      <w:keepNext/>
      <w:keepLines/>
      <w:spacing w:line="360" w:lineRule="auto"/>
      <w:ind w:firstLine="200"/>
    </w:pPr>
    <w:rPr>
      <w:rFonts w:ascii="Tahoma" w:hAnsi="Tahoma"/>
      <w:sz w:val="24"/>
    </w:rPr>
  </w:style>
  <w:style w:type="paragraph" w:customStyle="1" w:styleId="648">
    <w:name w:val="方案标题1"/>
    <w:basedOn w:val="2"/>
    <w:qFormat/>
    <w:uiPriority w:val="0"/>
    <w:pPr>
      <w:keepLines/>
      <w:pageBreakBefore/>
      <w:spacing w:before="200" w:line="360" w:lineRule="auto"/>
      <w:jc w:val="both"/>
    </w:pPr>
    <w:rPr>
      <w:rFonts w:ascii="Arial" w:hAnsi="Arial" w:eastAsia="黑体"/>
      <w:b w:val="0"/>
      <w:spacing w:val="14"/>
      <w:sz w:val="32"/>
      <w:szCs w:val="36"/>
      <w:lang w:val="zh-CN"/>
    </w:rPr>
  </w:style>
  <w:style w:type="paragraph" w:customStyle="1" w:styleId="649">
    <w:name w:val="Char1 Char Char Char Char Char Char"/>
    <w:basedOn w:val="1"/>
    <w:next w:val="1"/>
    <w:qFormat/>
    <w:uiPriority w:val="0"/>
    <w:pPr>
      <w:keepNext/>
      <w:keepLines/>
      <w:pageBreakBefore/>
    </w:pPr>
    <w:rPr>
      <w:rFonts w:ascii="Tahoma" w:hAnsi="Tahoma"/>
      <w:sz w:val="24"/>
    </w:rPr>
  </w:style>
  <w:style w:type="paragraph" w:customStyle="1" w:styleId="650">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651">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52">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53">
    <w:name w:val="正文文本 21"/>
    <w:basedOn w:val="1"/>
    <w:qFormat/>
    <w:uiPriority w:val="0"/>
    <w:pPr>
      <w:spacing w:line="300" w:lineRule="auto"/>
      <w:jc w:val="center"/>
    </w:pPr>
    <w:rPr>
      <w:rFonts w:ascii="宋体" w:hAnsi="宋体"/>
      <w:sz w:val="24"/>
    </w:rPr>
  </w:style>
  <w:style w:type="paragraph" w:customStyle="1" w:styleId="654">
    <w:name w:val="默认段落字体 Para Char Char Char Char Char Char Char Char Char Char"/>
    <w:basedOn w:val="1"/>
    <w:qFormat/>
    <w:uiPriority w:val="0"/>
    <w:rPr>
      <w:rFonts w:ascii="Tahoma" w:hAnsi="Tahoma"/>
      <w:sz w:val="24"/>
    </w:rPr>
  </w:style>
  <w:style w:type="paragraph" w:customStyle="1" w:styleId="655">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2"/>
      <w:szCs w:val="22"/>
    </w:rPr>
  </w:style>
  <w:style w:type="paragraph" w:customStyle="1" w:styleId="656">
    <w:name w:val="2 Char Char Char Char Char Char Char"/>
    <w:basedOn w:val="1"/>
    <w:qFormat/>
    <w:uiPriority w:val="0"/>
    <w:rPr>
      <w:rFonts w:ascii="Tahoma" w:hAnsi="Tahoma"/>
      <w:sz w:val="24"/>
    </w:rPr>
  </w:style>
  <w:style w:type="paragraph" w:customStyle="1" w:styleId="657">
    <w:name w:val="样式 加粗 居中"/>
    <w:basedOn w:val="1"/>
    <w:qFormat/>
    <w:uiPriority w:val="0"/>
    <w:pPr>
      <w:jc w:val="center"/>
    </w:pPr>
    <w:rPr>
      <w:rFonts w:eastAsia="黑体"/>
      <w:b/>
      <w:sz w:val="48"/>
    </w:rPr>
  </w:style>
  <w:style w:type="paragraph" w:customStyle="1" w:styleId="658">
    <w:name w:val="Char Char Char Char Char Char"/>
    <w:basedOn w:val="1"/>
    <w:qFormat/>
    <w:uiPriority w:val="0"/>
    <w:rPr>
      <w:rFonts w:ascii="Tahoma" w:hAnsi="Tahoma"/>
      <w:sz w:val="24"/>
    </w:rPr>
  </w:style>
  <w:style w:type="paragraph" w:customStyle="1" w:styleId="659">
    <w:name w:val="正文加重首行缩进2字"/>
    <w:basedOn w:val="1"/>
    <w:qFormat/>
    <w:uiPriority w:val="0"/>
    <w:pPr>
      <w:spacing w:before="100" w:beforeAutospacing="1" w:after="100" w:afterAutospacing="1"/>
      <w:ind w:firstLine="560"/>
    </w:pPr>
    <w:rPr>
      <w:rFonts w:eastAsia="仿宋_GB2312"/>
      <w:b/>
      <w:bCs/>
      <w:sz w:val="24"/>
      <w:szCs w:val="24"/>
    </w:rPr>
  </w:style>
  <w:style w:type="paragraph" w:customStyle="1" w:styleId="66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61">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62">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2"/>
      <w:szCs w:val="22"/>
    </w:rPr>
  </w:style>
  <w:style w:type="paragraph" w:customStyle="1" w:styleId="663">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64">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65">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66">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67">
    <w:name w:val="font0"/>
    <w:basedOn w:val="1"/>
    <w:qFormat/>
    <w:uiPriority w:val="0"/>
    <w:pPr>
      <w:widowControl/>
      <w:spacing w:before="100" w:beforeAutospacing="1" w:after="100" w:afterAutospacing="1"/>
      <w:jc w:val="left"/>
    </w:pPr>
    <w:rPr>
      <w:rFonts w:ascii="宋体" w:hAnsi="宋体" w:cs="宋体"/>
      <w:sz w:val="24"/>
      <w:szCs w:val="24"/>
    </w:rPr>
  </w:style>
  <w:style w:type="paragraph" w:customStyle="1" w:styleId="668">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669">
    <w:name w:val="Char Char Char Char3"/>
    <w:basedOn w:val="19"/>
    <w:qFormat/>
    <w:uiPriority w:val="0"/>
    <w:pPr>
      <w:spacing w:line="360" w:lineRule="auto"/>
    </w:pPr>
    <w:rPr>
      <w:rFonts w:ascii="Tahoma" w:hAnsi="Tahoma"/>
      <w:sz w:val="24"/>
      <w:szCs w:val="24"/>
      <w:lang w:val="zh-CN"/>
    </w:rPr>
  </w:style>
  <w:style w:type="character" w:customStyle="1" w:styleId="670">
    <w:name w:val="itm1"/>
    <w:qFormat/>
    <w:uiPriority w:val="0"/>
    <w:rPr>
      <w:rFonts w:hint="eastAsia" w:ascii="宋体" w:hAnsi="宋体" w:eastAsia="宋体"/>
      <w:sz w:val="21"/>
      <w:szCs w:val="21"/>
    </w:rPr>
  </w:style>
  <w:style w:type="character" w:customStyle="1" w:styleId="671">
    <w:name w:val="已访问的超链接1"/>
    <w:qFormat/>
    <w:uiPriority w:val="0"/>
    <w:rPr>
      <w:rFonts w:ascii="Tahoma" w:hAnsi="Tahoma"/>
      <w:color w:val="585858"/>
      <w:sz w:val="24"/>
      <w:szCs w:val="20"/>
      <w:u w:val="none"/>
    </w:rPr>
  </w:style>
  <w:style w:type="character" w:customStyle="1" w:styleId="672">
    <w:name w:val="结束语 Char1"/>
    <w:qFormat/>
    <w:uiPriority w:val="0"/>
    <w:rPr>
      <w:sz w:val="21"/>
      <w:lang w:bidi="ar-SA"/>
    </w:rPr>
  </w:style>
  <w:style w:type="character" w:customStyle="1" w:styleId="673">
    <w:name w:val="Char Char26"/>
    <w:qFormat/>
    <w:uiPriority w:val="0"/>
    <w:rPr>
      <w:rFonts w:ascii="黑体" w:eastAsia="黑体"/>
      <w:b/>
      <w:bCs/>
      <w:sz w:val="32"/>
      <w:szCs w:val="32"/>
      <w:lang w:val="en-US" w:eastAsia="zh-CN" w:bidi="ar-SA"/>
    </w:rPr>
  </w:style>
  <w:style w:type="character" w:customStyle="1" w:styleId="674">
    <w:name w:val="Char Char Char Char Char Char Char Char Char Char Char Char Char Char"/>
    <w:qFormat/>
    <w:uiPriority w:val="0"/>
    <w:rPr>
      <w:rFonts w:eastAsia="宋体"/>
      <w:b/>
      <w:bCs/>
      <w:sz w:val="32"/>
      <w:szCs w:val="44"/>
      <w:lang w:val="en-US" w:eastAsia="zh-CN" w:bidi="ar-SA"/>
    </w:rPr>
  </w:style>
  <w:style w:type="character" w:customStyle="1" w:styleId="675">
    <w:name w:val="style3"/>
    <w:qFormat/>
    <w:uiPriority w:val="0"/>
    <w:rPr>
      <w:rFonts w:ascii="Tahoma" w:hAnsi="Tahoma"/>
      <w:szCs w:val="20"/>
    </w:rPr>
  </w:style>
  <w:style w:type="character" w:customStyle="1" w:styleId="676">
    <w:name w:val="textnorm_chn1"/>
    <w:qFormat/>
    <w:uiPriority w:val="0"/>
    <w:rPr>
      <w:rFonts w:hint="default" w:ascii="Arial" w:hAnsi="Arial" w:cs="Arial"/>
      <w:color w:val="21254A"/>
      <w:sz w:val="22"/>
      <w:szCs w:val="22"/>
    </w:rPr>
  </w:style>
  <w:style w:type="character" w:customStyle="1" w:styleId="677">
    <w:name w:val="表头 Char Char"/>
    <w:qFormat/>
    <w:uiPriority w:val="0"/>
    <w:rPr>
      <w:rFonts w:eastAsia="黑体"/>
      <w:spacing w:val="-10"/>
      <w:sz w:val="21"/>
      <w:lang w:val="en-US" w:eastAsia="zh-CN" w:bidi="ar-SA"/>
    </w:rPr>
  </w:style>
  <w:style w:type="character" w:customStyle="1" w:styleId="678">
    <w:name w:val="text_list1"/>
    <w:qFormat/>
    <w:uiPriority w:val="0"/>
    <w:rPr>
      <w:rFonts w:hint="default" w:ascii="Arial" w:hAnsi="Arial" w:cs="Arial"/>
      <w:color w:val="000000"/>
      <w:spacing w:val="272"/>
      <w:sz w:val="16"/>
      <w:szCs w:val="16"/>
    </w:rPr>
  </w:style>
  <w:style w:type="character" w:customStyle="1" w:styleId="679">
    <w:name w:val="孙普文字 Char Char"/>
    <w:qFormat/>
    <w:uiPriority w:val="0"/>
    <w:rPr>
      <w:rFonts w:ascii="宋体" w:hAnsi="Courier New" w:eastAsia="宋体"/>
      <w:sz w:val="21"/>
      <w:szCs w:val="21"/>
      <w:lang w:val="en-US" w:eastAsia="zh-CN" w:bidi="ar-SA"/>
    </w:rPr>
  </w:style>
  <w:style w:type="character" w:customStyle="1" w:styleId="680">
    <w:name w:val="小四 段落 宋体 Char Char Char Char1"/>
    <w:link w:val="681"/>
    <w:qFormat/>
    <w:uiPriority w:val="0"/>
    <w:rPr>
      <w:rFonts w:ascii="Tahoma" w:hAnsi="Tahoma"/>
      <w:sz w:val="24"/>
    </w:rPr>
  </w:style>
  <w:style w:type="paragraph" w:customStyle="1" w:styleId="681">
    <w:name w:val="小四 段落 宋体 Char Char Char"/>
    <w:basedOn w:val="14"/>
    <w:link w:val="680"/>
    <w:qFormat/>
    <w:uiPriority w:val="0"/>
    <w:pPr>
      <w:tabs>
        <w:tab w:val="clear" w:pos="360"/>
      </w:tabs>
      <w:ind w:left="0" w:right="-33" w:firstLine="480"/>
      <w:jc w:val="left"/>
    </w:pPr>
    <w:rPr>
      <w:rFonts w:eastAsia="宋体"/>
      <w:szCs w:val="20"/>
      <w:lang w:val="en-US" w:bidi="mn-Mong-CN"/>
    </w:rPr>
  </w:style>
  <w:style w:type="character" w:customStyle="1" w:styleId="682">
    <w:name w:val="txt1"/>
    <w:qFormat/>
    <w:uiPriority w:val="0"/>
    <w:rPr>
      <w:rFonts w:hint="default" w:ascii="ˎ̥" w:hAnsi="ˎ̥"/>
      <w:sz w:val="18"/>
      <w:szCs w:val="18"/>
    </w:rPr>
  </w:style>
  <w:style w:type="character" w:customStyle="1" w:styleId="683">
    <w:name w:val="样式 三号 下划线"/>
    <w:qFormat/>
    <w:uiPriority w:val="0"/>
    <w:rPr>
      <w:rFonts w:ascii="Tahoma" w:hAnsi="Tahoma"/>
      <w:sz w:val="28"/>
      <w:szCs w:val="20"/>
      <w:u w:val="single"/>
    </w:rPr>
  </w:style>
  <w:style w:type="character" w:customStyle="1" w:styleId="684">
    <w:name w:val="文档结构图 Char Char"/>
    <w:qFormat/>
    <w:uiPriority w:val="0"/>
    <w:rPr>
      <w:rFonts w:ascii="宋体"/>
      <w:sz w:val="18"/>
      <w:szCs w:val="18"/>
    </w:rPr>
  </w:style>
  <w:style w:type="character" w:customStyle="1" w:styleId="685">
    <w:name w:val="公文正文 Char Char"/>
    <w:qFormat/>
    <w:uiPriority w:val="0"/>
    <w:rPr>
      <w:rFonts w:ascii="仿宋_GB2312" w:hAnsi="宋体" w:eastAsia="仿宋_GB2312"/>
      <w:sz w:val="28"/>
      <w:szCs w:val="24"/>
      <w:lang w:val="en-US" w:eastAsia="zh-CN" w:bidi="ar-SA"/>
    </w:rPr>
  </w:style>
  <w:style w:type="character" w:customStyle="1" w:styleId="686">
    <w:name w:val="标书正文格式 Char1"/>
    <w:link w:val="687"/>
    <w:qFormat/>
    <w:uiPriority w:val="0"/>
    <w:rPr>
      <w:rFonts w:eastAsia="楷体_GB2312"/>
      <w:sz w:val="24"/>
      <w:szCs w:val="24"/>
      <w:lang w:bidi="ar-SA"/>
    </w:rPr>
  </w:style>
  <w:style w:type="paragraph" w:customStyle="1" w:styleId="687">
    <w:name w:val="标书正文格式"/>
    <w:link w:val="686"/>
    <w:qFormat/>
    <w:uiPriority w:val="0"/>
    <w:pPr>
      <w:spacing w:line="360" w:lineRule="auto"/>
      <w:ind w:firstLine="200"/>
    </w:pPr>
    <w:rPr>
      <w:rFonts w:ascii="Times New Roman" w:hAnsi="Times New Roman" w:eastAsia="楷体_GB2312" w:cs="Times New Roman"/>
      <w:sz w:val="24"/>
      <w:szCs w:val="24"/>
      <w:lang w:val="en-US" w:eastAsia="zh-CN" w:bidi="ar-SA"/>
    </w:rPr>
  </w:style>
  <w:style w:type="character" w:customStyle="1" w:styleId="688">
    <w:name w:val="Footer1 Char Char"/>
    <w:qFormat/>
    <w:uiPriority w:val="0"/>
    <w:rPr>
      <w:rFonts w:ascii="Tahoma" w:hAnsi="Tahoma" w:eastAsia="宋体"/>
      <w:sz w:val="18"/>
      <w:szCs w:val="18"/>
      <w:lang w:val="en-US" w:eastAsia="zh-CN" w:bidi="ar-SA"/>
    </w:rPr>
  </w:style>
  <w:style w:type="character" w:customStyle="1" w:styleId="689">
    <w:name w:val="小四文本缩进 Char Char"/>
    <w:qFormat/>
    <w:uiPriority w:val="0"/>
    <w:rPr>
      <w:sz w:val="24"/>
      <w:lang w:bidi="ar-SA"/>
    </w:rPr>
  </w:style>
  <w:style w:type="character" w:customStyle="1" w:styleId="690">
    <w:name w:val="标题 31"/>
    <w:qFormat/>
    <w:uiPriority w:val="0"/>
    <w:rPr>
      <w:rFonts w:hint="eastAsia" w:ascii="黑体" w:hAnsi="ˎ̥" w:eastAsia="黑体"/>
      <w:sz w:val="28"/>
    </w:rPr>
  </w:style>
  <w:style w:type="character" w:customStyle="1" w:styleId="691">
    <w:name w:val="称呼 Char1"/>
    <w:qFormat/>
    <w:uiPriority w:val="0"/>
    <w:rPr>
      <w:sz w:val="21"/>
      <w:lang w:bidi="ar-SA"/>
    </w:rPr>
  </w:style>
  <w:style w:type="character" w:customStyle="1" w:styleId="692">
    <w:name w:val="标题 2 Char Char Char Char Char Char Char Char Char Char"/>
    <w:qFormat/>
    <w:uiPriority w:val="0"/>
    <w:rPr>
      <w:rFonts w:ascii="Arial" w:hAnsi="Arial" w:eastAsia="黑体"/>
      <w:b/>
      <w:bCs/>
      <w:sz w:val="32"/>
      <w:szCs w:val="32"/>
      <w:lang w:val="en-US" w:eastAsia="zh-CN" w:bidi="ar-SA"/>
    </w:rPr>
  </w:style>
  <w:style w:type="character" w:customStyle="1" w:styleId="693">
    <w:name w:val="方案标题2 Char Char"/>
    <w:qFormat/>
    <w:uiPriority w:val="0"/>
    <w:rPr>
      <w:rFonts w:ascii="黑体" w:hAnsi="Arial" w:eastAsia="黑体"/>
      <w:b/>
      <w:spacing w:val="14"/>
      <w:sz w:val="28"/>
      <w:szCs w:val="32"/>
      <w:lang w:val="en-US" w:eastAsia="zh-CN" w:bidi="ar-SA"/>
    </w:rPr>
  </w:style>
  <w:style w:type="character" w:customStyle="1" w:styleId="694">
    <w:name w:val="方案标题3 Char Char"/>
    <w:qFormat/>
    <w:uiPriority w:val="0"/>
    <w:rPr>
      <w:rFonts w:ascii="黑体" w:hAnsi="Arial" w:eastAsia="黑体"/>
      <w:spacing w:val="14"/>
      <w:sz w:val="24"/>
      <w:szCs w:val="30"/>
      <w:lang w:val="en-US" w:eastAsia="zh-CN" w:bidi="ar-SA"/>
    </w:rPr>
  </w:style>
  <w:style w:type="character" w:customStyle="1" w:styleId="695">
    <w:name w:val="l15 Char Char"/>
    <w:link w:val="696"/>
    <w:qFormat/>
    <w:uiPriority w:val="0"/>
    <w:rPr>
      <w:color w:val="000000"/>
      <w:sz w:val="23"/>
      <w:szCs w:val="23"/>
    </w:rPr>
  </w:style>
  <w:style w:type="paragraph" w:customStyle="1" w:styleId="696">
    <w:name w:val="l15"/>
    <w:basedOn w:val="1"/>
    <w:link w:val="695"/>
    <w:qFormat/>
    <w:uiPriority w:val="0"/>
    <w:pPr>
      <w:widowControl/>
      <w:spacing w:before="100" w:beforeAutospacing="1" w:after="100" w:afterAutospacing="1" w:line="300" w:lineRule="atLeast"/>
      <w:jc w:val="left"/>
    </w:pPr>
    <w:rPr>
      <w:color w:val="000000"/>
      <w:sz w:val="23"/>
      <w:szCs w:val="23"/>
      <w:lang w:bidi="mn-Mong-CN"/>
    </w:rPr>
  </w:style>
  <w:style w:type="character" w:customStyle="1" w:styleId="697">
    <w:name w:val="常规 Char Char"/>
    <w:link w:val="698"/>
    <w:qFormat/>
    <w:uiPriority w:val="0"/>
    <w:rPr>
      <w:rFonts w:ascii="Tahoma" w:hAnsi="Tahoma"/>
      <w:sz w:val="21"/>
      <w:szCs w:val="21"/>
    </w:rPr>
  </w:style>
  <w:style w:type="paragraph" w:customStyle="1" w:styleId="698">
    <w:name w:val="常规"/>
    <w:basedOn w:val="1"/>
    <w:link w:val="697"/>
    <w:qFormat/>
    <w:uiPriority w:val="0"/>
    <w:pPr>
      <w:spacing w:line="360" w:lineRule="auto"/>
      <w:ind w:left="1134"/>
    </w:pPr>
    <w:rPr>
      <w:rFonts w:ascii="Tahoma" w:hAnsi="Tahoma"/>
      <w:szCs w:val="21"/>
      <w:lang w:bidi="mn-Mong-CN"/>
    </w:rPr>
  </w:style>
  <w:style w:type="character" w:customStyle="1" w:styleId="699">
    <w:name w:val="页眉 Char Char"/>
    <w:qFormat/>
    <w:uiPriority w:val="0"/>
    <w:rPr>
      <w:sz w:val="18"/>
      <w:szCs w:val="18"/>
    </w:rPr>
  </w:style>
  <w:style w:type="character" w:customStyle="1" w:styleId="700">
    <w:name w:val="paramname"/>
    <w:qFormat/>
    <w:uiPriority w:val="0"/>
    <w:rPr>
      <w:rFonts w:ascii="Tahoma" w:hAnsi="Tahoma"/>
      <w:szCs w:val="20"/>
    </w:rPr>
  </w:style>
  <w:style w:type="character" w:customStyle="1" w:styleId="701">
    <w:name w:val="p71"/>
    <w:qFormat/>
    <w:uiPriority w:val="0"/>
    <w:rPr>
      <w:rFonts w:ascii="Tahoma" w:hAnsi="Tahoma"/>
      <w:szCs w:val="20"/>
    </w:rPr>
  </w:style>
  <w:style w:type="character" w:customStyle="1" w:styleId="702">
    <w:name w:val="p141"/>
    <w:qFormat/>
    <w:uiPriority w:val="0"/>
    <w:rPr>
      <w:sz w:val="21"/>
      <w:szCs w:val="21"/>
    </w:rPr>
  </w:style>
  <w:style w:type="character" w:customStyle="1" w:styleId="703">
    <w:name w:val="样式 宋体 小四"/>
    <w:qFormat/>
    <w:uiPriority w:val="0"/>
    <w:rPr>
      <w:rFonts w:ascii="宋体" w:hAnsi="宋体"/>
      <w:sz w:val="24"/>
      <w:szCs w:val="20"/>
    </w:rPr>
  </w:style>
  <w:style w:type="character" w:customStyle="1" w:styleId="704">
    <w:name w:val="style31"/>
    <w:qFormat/>
    <w:uiPriority w:val="0"/>
    <w:rPr>
      <w:rFonts w:ascii="Tahoma" w:hAnsi="Tahoma"/>
      <w:sz w:val="23"/>
      <w:szCs w:val="23"/>
    </w:rPr>
  </w:style>
  <w:style w:type="character" w:customStyle="1" w:styleId="705">
    <w:name w:val="css41"/>
    <w:qFormat/>
    <w:uiPriority w:val="0"/>
    <w:rPr>
      <w:rFonts w:hint="default"/>
      <w:spacing w:val="0"/>
      <w:sz w:val="26"/>
      <w:szCs w:val="26"/>
    </w:rPr>
  </w:style>
  <w:style w:type="paragraph" w:customStyle="1" w:styleId="706">
    <w:name w:val="函数注释1"/>
    <w:basedOn w:val="1"/>
    <w:qFormat/>
    <w:uiPriority w:val="0"/>
    <w:pPr>
      <w:spacing w:after="20" w:line="320" w:lineRule="exact"/>
      <w:ind w:left="1678" w:right="210" w:hanging="1049"/>
      <w:jc w:val="left"/>
    </w:pPr>
    <w:rPr>
      <w:sz w:val="24"/>
    </w:rPr>
  </w:style>
  <w:style w:type="paragraph" w:customStyle="1" w:styleId="707">
    <w:name w:val="Char Char Char Char Char Char Char Char Char Char Char Char"/>
    <w:basedOn w:val="1"/>
    <w:qFormat/>
    <w:uiPriority w:val="0"/>
    <w:pPr>
      <w:spacing w:line="360" w:lineRule="auto"/>
    </w:pPr>
    <w:rPr>
      <w:rFonts w:ascii="仿宋_GB2312" w:eastAsia="仿宋_GB2312"/>
      <w:b/>
      <w:sz w:val="32"/>
      <w:szCs w:val="32"/>
    </w:rPr>
  </w:style>
  <w:style w:type="paragraph" w:customStyle="1" w:styleId="708">
    <w:name w:val="Char2"/>
    <w:basedOn w:val="19"/>
    <w:qFormat/>
    <w:uiPriority w:val="0"/>
    <w:pPr>
      <w:tabs>
        <w:tab w:val="left" w:pos="2040"/>
      </w:tabs>
      <w:spacing w:line="360" w:lineRule="auto"/>
      <w:ind w:left="2040" w:hanging="360"/>
    </w:pPr>
    <w:rPr>
      <w:rFonts w:ascii="Tahoma" w:hAnsi="Tahoma"/>
      <w:sz w:val="24"/>
      <w:lang w:val="zh-CN"/>
    </w:rPr>
  </w:style>
  <w:style w:type="paragraph" w:customStyle="1" w:styleId="709">
    <w:name w:val="标准式样"/>
    <w:basedOn w:val="56"/>
    <w:qFormat/>
    <w:uiPriority w:val="0"/>
    <w:pPr>
      <w:spacing w:line="288" w:lineRule="auto"/>
      <w:ind w:left="210" w:firstLine="420"/>
      <w:jc w:val="left"/>
    </w:pPr>
    <w:rPr>
      <w:smallCaps/>
      <w:sz w:val="20"/>
      <w:szCs w:val="20"/>
    </w:rPr>
  </w:style>
  <w:style w:type="paragraph" w:customStyle="1" w:styleId="710">
    <w:name w:val="Javis"/>
    <w:basedOn w:val="1"/>
    <w:qFormat/>
    <w:uiPriority w:val="0"/>
    <w:pPr>
      <w:spacing w:line="360" w:lineRule="auto"/>
      <w:ind w:right="210"/>
    </w:pPr>
    <w:rPr>
      <w:rFonts w:cs="宋体"/>
      <w:sz w:val="24"/>
    </w:rPr>
  </w:style>
  <w:style w:type="paragraph" w:customStyle="1" w:styleId="711">
    <w:name w:val="页眉1"/>
    <w:basedOn w:val="1"/>
    <w:qFormat/>
    <w:uiPriority w:val="0"/>
    <w:pPr>
      <w:pBdr>
        <w:bottom w:val="single" w:color="auto" w:sz="6" w:space="1"/>
      </w:pBdr>
      <w:tabs>
        <w:tab w:val="center" w:pos="4153"/>
        <w:tab w:val="right" w:pos="8306"/>
      </w:tabs>
      <w:spacing w:after="20" w:line="240" w:lineRule="atLeast"/>
      <w:ind w:right="57" w:firstLine="420"/>
      <w:jc w:val="right"/>
    </w:pPr>
    <w:rPr>
      <w:rFonts w:eastAsia="仿宋_GB2312"/>
      <w:sz w:val="18"/>
    </w:rPr>
  </w:style>
  <w:style w:type="paragraph" w:customStyle="1" w:styleId="712">
    <w:name w:val="Char Char Char1 Char Char Char"/>
    <w:basedOn w:val="1"/>
    <w:qFormat/>
    <w:uiPriority w:val="0"/>
    <w:pPr>
      <w:spacing w:line="360" w:lineRule="auto"/>
      <w:ind w:firstLine="200"/>
    </w:pPr>
    <w:rPr>
      <w:rFonts w:ascii="Tahoma" w:hAnsi="Tahoma"/>
      <w:sz w:val="24"/>
    </w:rPr>
  </w:style>
  <w:style w:type="paragraph" w:customStyle="1" w:styleId="713">
    <w:name w:val="并列项-点"/>
    <w:basedOn w:val="1"/>
    <w:qFormat/>
    <w:uiPriority w:val="0"/>
    <w:pPr>
      <w:widowControl/>
      <w:tabs>
        <w:tab w:val="left" w:pos="851"/>
        <w:tab w:val="left" w:pos="927"/>
      </w:tabs>
      <w:spacing w:before="120" w:line="360" w:lineRule="auto"/>
      <w:ind w:left="851" w:hanging="284"/>
    </w:pPr>
    <w:rPr>
      <w:sz w:val="24"/>
    </w:rPr>
  </w:style>
  <w:style w:type="paragraph" w:customStyle="1" w:styleId="714">
    <w:name w:val="MM Topic 3"/>
    <w:basedOn w:val="4"/>
    <w:qFormat/>
    <w:uiPriority w:val="0"/>
    <w:pPr>
      <w:keepLines/>
      <w:tabs>
        <w:tab w:val="left" w:pos="360"/>
      </w:tabs>
      <w:spacing w:before="260" w:after="260" w:line="413" w:lineRule="auto"/>
      <w:ind w:left="360" w:hanging="360"/>
      <w:jc w:val="both"/>
    </w:pPr>
    <w:rPr>
      <w:rFonts w:eastAsia="宋体"/>
      <w:sz w:val="32"/>
      <w:szCs w:val="32"/>
      <w:lang w:val="zh-CN"/>
    </w:rPr>
  </w:style>
  <w:style w:type="paragraph" w:customStyle="1" w:styleId="715">
    <w:name w:val="Char Char Char Char1 Char Char Char"/>
    <w:basedOn w:val="1"/>
    <w:qFormat/>
    <w:uiPriority w:val="0"/>
    <w:pPr>
      <w:spacing w:line="360" w:lineRule="auto"/>
    </w:pPr>
    <w:rPr>
      <w:sz w:val="24"/>
    </w:rPr>
  </w:style>
  <w:style w:type="paragraph" w:customStyle="1" w:styleId="716">
    <w:name w:val="Char Char Char Char Char Char2"/>
    <w:basedOn w:val="1"/>
    <w:qFormat/>
    <w:uiPriority w:val="0"/>
    <w:pPr>
      <w:widowControl/>
      <w:spacing w:after="160" w:line="240" w:lineRule="exact"/>
      <w:jc w:val="left"/>
    </w:pPr>
    <w:rPr>
      <w:rFonts w:ascii="黑体" w:hAnsi="Verdana" w:eastAsia="黑体"/>
      <w:sz w:val="32"/>
      <w:szCs w:val="32"/>
    </w:rPr>
  </w:style>
  <w:style w:type="paragraph" w:customStyle="1" w:styleId="717">
    <w:name w:val="1-二级标题"/>
    <w:basedOn w:val="1"/>
    <w:qFormat/>
    <w:uiPriority w:val="0"/>
    <w:pPr>
      <w:spacing w:line="360" w:lineRule="auto"/>
      <w:ind w:firstLine="200"/>
      <w:outlineLvl w:val="1"/>
    </w:pPr>
    <w:rPr>
      <w:rFonts w:ascii="宋体" w:hAnsi="宋体"/>
      <w:b/>
      <w:sz w:val="24"/>
      <w:szCs w:val="24"/>
    </w:rPr>
  </w:style>
  <w:style w:type="paragraph" w:customStyle="1" w:styleId="718">
    <w:name w:val="项目编号1"/>
    <w:basedOn w:val="1"/>
    <w:next w:val="1"/>
    <w:qFormat/>
    <w:uiPriority w:val="0"/>
    <w:pPr>
      <w:tabs>
        <w:tab w:val="left" w:pos="420"/>
      </w:tabs>
      <w:spacing w:line="360" w:lineRule="auto"/>
      <w:ind w:left="420" w:hanging="420"/>
      <w:jc w:val="left"/>
    </w:pPr>
    <w:rPr>
      <w:rFonts w:ascii="宋体"/>
      <w:sz w:val="24"/>
      <w:szCs w:val="24"/>
    </w:rPr>
  </w:style>
  <w:style w:type="paragraph" w:customStyle="1" w:styleId="719">
    <w:name w:val="Char Char Char Char Char Char Char Char1"/>
    <w:basedOn w:val="1"/>
    <w:qFormat/>
    <w:uiPriority w:val="0"/>
    <w:pPr>
      <w:spacing w:line="360" w:lineRule="auto"/>
    </w:pPr>
    <w:rPr>
      <w:sz w:val="24"/>
    </w:rPr>
  </w:style>
  <w:style w:type="paragraph" w:customStyle="1" w:styleId="720">
    <w:name w:val="项目编号"/>
    <w:basedOn w:val="1"/>
    <w:qFormat/>
    <w:uiPriority w:val="0"/>
    <w:pPr>
      <w:tabs>
        <w:tab w:val="left" w:pos="405"/>
      </w:tabs>
      <w:spacing w:line="360" w:lineRule="auto"/>
      <w:ind w:left="405" w:hanging="405"/>
    </w:pPr>
    <w:rPr>
      <w:rFonts w:ascii="宋体" w:eastAsia="仿宋_GB2312"/>
      <w:sz w:val="24"/>
    </w:rPr>
  </w:style>
  <w:style w:type="paragraph" w:customStyle="1" w:styleId="721">
    <w:name w:val="标准文字"/>
    <w:basedOn w:val="1"/>
    <w:qFormat/>
    <w:uiPriority w:val="0"/>
    <w:pPr>
      <w:spacing w:after="20" w:line="360" w:lineRule="auto"/>
      <w:ind w:firstLine="420"/>
    </w:pPr>
    <w:rPr>
      <w:sz w:val="24"/>
      <w:szCs w:val="24"/>
    </w:rPr>
  </w:style>
  <w:style w:type="paragraph" w:customStyle="1" w:styleId="722">
    <w:name w:val="样式 标题4 楷体_GB2312 四号 加粗 两端对齐 段前: 7.8 磅 段后: 7.8 磅 行距: 1.5 倍行距 + 段前..."/>
    <w:basedOn w:val="5"/>
    <w:next w:val="65"/>
    <w:qFormat/>
    <w:uiPriority w:val="0"/>
    <w:pPr>
      <w:keepLines/>
      <w:tabs>
        <w:tab w:val="left" w:pos="1080"/>
      </w:tabs>
      <w:spacing w:before="100" w:after="100" w:line="372" w:lineRule="auto"/>
      <w:jc w:val="both"/>
    </w:pPr>
    <w:rPr>
      <w:rFonts w:ascii="Arial" w:hAnsi="Arial" w:eastAsia="仿宋_GB2312"/>
      <w:bCs w:val="0"/>
      <w:sz w:val="28"/>
      <w:lang w:val="zh-CN"/>
    </w:rPr>
  </w:style>
  <w:style w:type="paragraph" w:customStyle="1" w:styleId="723">
    <w:name w:val="名词解释11"/>
    <w:basedOn w:val="724"/>
    <w:qFormat/>
    <w:uiPriority w:val="0"/>
    <w:pPr>
      <w:spacing w:after="0"/>
      <w:ind w:firstLine="0"/>
    </w:pPr>
  </w:style>
  <w:style w:type="paragraph" w:customStyle="1" w:styleId="724">
    <w:name w:val="名词解释"/>
    <w:basedOn w:val="1"/>
    <w:qFormat/>
    <w:uiPriority w:val="0"/>
    <w:pPr>
      <w:spacing w:after="20" w:line="288" w:lineRule="auto"/>
      <w:ind w:left="2325" w:hanging="2325"/>
    </w:pPr>
    <w:rPr>
      <w:sz w:val="24"/>
    </w:rPr>
  </w:style>
  <w:style w:type="paragraph" w:customStyle="1" w:styleId="725">
    <w:name w:val="Char Char1 Char Char Char Char Char Char1"/>
    <w:basedOn w:val="1"/>
    <w:qFormat/>
    <w:uiPriority w:val="0"/>
    <w:pPr>
      <w:spacing w:line="360" w:lineRule="auto"/>
    </w:pPr>
    <w:rPr>
      <w:rFonts w:ascii="Tahoma" w:hAnsi="Tahoma"/>
      <w:sz w:val="24"/>
      <w:szCs w:val="24"/>
    </w:rPr>
  </w:style>
  <w:style w:type="paragraph" w:customStyle="1" w:styleId="726">
    <w:name w:val="_Style 1"/>
    <w:basedOn w:val="1"/>
    <w:qFormat/>
    <w:uiPriority w:val="0"/>
    <w:pPr>
      <w:spacing w:line="360" w:lineRule="auto"/>
      <w:ind w:firstLine="420"/>
    </w:pPr>
    <w:rPr>
      <w:rFonts w:ascii="Calibri" w:hAnsi="Calibri"/>
      <w:sz w:val="24"/>
      <w:szCs w:val="22"/>
    </w:rPr>
  </w:style>
  <w:style w:type="paragraph" w:customStyle="1" w:styleId="727">
    <w:name w:val="表中"/>
    <w:basedOn w:val="1"/>
    <w:qFormat/>
    <w:uiPriority w:val="0"/>
    <w:pPr>
      <w:spacing w:line="360" w:lineRule="atLeast"/>
      <w:jc w:val="center"/>
    </w:pPr>
    <w:rPr>
      <w:sz w:val="24"/>
    </w:rPr>
  </w:style>
  <w:style w:type="paragraph" w:customStyle="1" w:styleId="728">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rPr>
  </w:style>
  <w:style w:type="paragraph" w:customStyle="1" w:styleId="729">
    <w:name w:val="Char Char1 Char Char Char Char1 Char Char Char Char Char Char"/>
    <w:basedOn w:val="1"/>
    <w:qFormat/>
    <w:uiPriority w:val="0"/>
    <w:pPr>
      <w:spacing w:line="360" w:lineRule="auto"/>
    </w:pPr>
    <w:rPr>
      <w:rFonts w:ascii="Tahoma" w:hAnsi="Tahoma"/>
      <w:sz w:val="24"/>
    </w:rPr>
  </w:style>
  <w:style w:type="paragraph" w:customStyle="1" w:styleId="730">
    <w:name w:val="_Style 95"/>
    <w:basedOn w:val="19"/>
    <w:qFormat/>
    <w:uiPriority w:val="0"/>
    <w:pPr>
      <w:spacing w:line="360" w:lineRule="auto"/>
    </w:pPr>
    <w:rPr>
      <w:rFonts w:ascii="Tahoma" w:hAnsi="Tahoma"/>
      <w:sz w:val="24"/>
      <w:lang w:val="zh-CN"/>
    </w:rPr>
  </w:style>
  <w:style w:type="paragraph" w:customStyle="1" w:styleId="731">
    <w:name w:val="表格题注"/>
    <w:next w:val="1"/>
    <w:qFormat/>
    <w:uiPriority w:val="0"/>
    <w:pPr>
      <w:keepLines/>
      <w:jc w:val="center"/>
    </w:pPr>
    <w:rPr>
      <w:rFonts w:ascii="Arial" w:hAnsi="Arial" w:eastAsia="宋体" w:cs="Times New Roman"/>
      <w:sz w:val="18"/>
      <w:szCs w:val="18"/>
      <w:lang w:val="en-US" w:eastAsia="zh-CN" w:bidi="ar-SA"/>
    </w:rPr>
  </w:style>
  <w:style w:type="paragraph" w:customStyle="1" w:styleId="732">
    <w:name w:val="1."/>
    <w:basedOn w:val="1"/>
    <w:qFormat/>
    <w:uiPriority w:val="0"/>
    <w:pPr>
      <w:spacing w:line="360" w:lineRule="auto"/>
      <w:ind w:firstLine="480"/>
    </w:pPr>
    <w:rPr>
      <w:sz w:val="24"/>
      <w:szCs w:val="24"/>
    </w:rPr>
  </w:style>
  <w:style w:type="paragraph" w:customStyle="1" w:styleId="733">
    <w:name w:val="MM Topic 2"/>
    <w:basedOn w:val="3"/>
    <w:qFormat/>
    <w:uiPriority w:val="0"/>
    <w:pPr>
      <w:keepLines/>
      <w:tabs>
        <w:tab w:val="left" w:pos="360"/>
        <w:tab w:val="left" w:pos="567"/>
      </w:tabs>
      <w:spacing w:before="260" w:after="260" w:line="416" w:lineRule="atLeast"/>
      <w:ind w:hanging="360"/>
      <w:jc w:val="left"/>
    </w:pPr>
    <w:rPr>
      <w:rFonts w:ascii="Arial" w:hAnsi="Arial" w:eastAsia="黑体"/>
      <w:sz w:val="32"/>
      <w:szCs w:val="32"/>
      <w:lang w:val="zh-CN"/>
    </w:rPr>
  </w:style>
  <w:style w:type="paragraph" w:customStyle="1" w:styleId="734">
    <w:name w:val="_Style 951"/>
    <w:basedOn w:val="19"/>
    <w:qFormat/>
    <w:uiPriority w:val="0"/>
    <w:pPr>
      <w:spacing w:line="360" w:lineRule="auto"/>
    </w:pPr>
    <w:rPr>
      <w:rFonts w:ascii="Tahoma" w:hAnsi="Tahoma"/>
      <w:sz w:val="24"/>
      <w:lang w:val="zh-CN"/>
    </w:rPr>
  </w:style>
  <w:style w:type="paragraph" w:customStyle="1" w:styleId="735">
    <w:name w:val="表内容"/>
    <w:qFormat/>
    <w:uiPriority w:val="0"/>
    <w:rPr>
      <w:rFonts w:ascii="宋体" w:hAnsi="Times New Roman" w:eastAsia="宋体" w:cs="Times New Roman"/>
      <w:sz w:val="24"/>
      <w:szCs w:val="24"/>
      <w:lang w:val="en-US" w:eastAsia="zh-CN" w:bidi="ar-SA"/>
    </w:rPr>
  </w:style>
  <w:style w:type="paragraph" w:customStyle="1" w:styleId="736">
    <w:name w:val="Char12"/>
    <w:basedOn w:val="1"/>
    <w:qFormat/>
    <w:uiPriority w:val="0"/>
    <w:pPr>
      <w:spacing w:line="360" w:lineRule="auto"/>
    </w:pPr>
    <w:rPr>
      <w:rFonts w:ascii="仿宋_GB2312" w:eastAsia="仿宋_GB2312"/>
      <w:b/>
      <w:sz w:val="32"/>
      <w:szCs w:val="32"/>
    </w:rPr>
  </w:style>
  <w:style w:type="paragraph" w:customStyle="1" w:styleId="737">
    <w:name w:val="图形"/>
    <w:basedOn w:val="1"/>
    <w:qFormat/>
    <w:uiPriority w:val="0"/>
    <w:pPr>
      <w:spacing w:after="20" w:line="288" w:lineRule="auto"/>
      <w:ind w:firstLine="420"/>
      <w:jc w:val="center"/>
    </w:pPr>
    <w:rPr>
      <w:sz w:val="24"/>
      <w:szCs w:val="24"/>
    </w:rPr>
  </w:style>
  <w:style w:type="paragraph" w:customStyle="1" w:styleId="738">
    <w:name w:val="Char Char1 Char Char Char Char Char Char Char Char1"/>
    <w:basedOn w:val="1"/>
    <w:qFormat/>
    <w:uiPriority w:val="0"/>
    <w:pPr>
      <w:widowControl/>
      <w:spacing w:after="160" w:line="240" w:lineRule="exact"/>
      <w:jc w:val="left"/>
    </w:pPr>
    <w:rPr>
      <w:rFonts w:ascii="Verdana" w:hAnsi="Verdana"/>
      <w:sz w:val="20"/>
      <w:lang w:eastAsia="en-US"/>
    </w:rPr>
  </w:style>
  <w:style w:type="paragraph" w:customStyle="1" w:styleId="739">
    <w:name w:val="项目编号3"/>
    <w:basedOn w:val="1"/>
    <w:next w:val="1"/>
    <w:qFormat/>
    <w:uiPriority w:val="0"/>
    <w:pPr>
      <w:tabs>
        <w:tab w:val="left" w:pos="425"/>
      </w:tabs>
      <w:spacing w:line="360" w:lineRule="auto"/>
      <w:ind w:firstLine="200"/>
      <w:jc w:val="left"/>
    </w:pPr>
    <w:rPr>
      <w:rFonts w:ascii="宋体"/>
      <w:sz w:val="24"/>
      <w:szCs w:val="24"/>
    </w:rPr>
  </w:style>
  <w:style w:type="paragraph" w:customStyle="1" w:styleId="740">
    <w:name w:val="Char Char Char Char Char Char1"/>
    <w:basedOn w:val="1"/>
    <w:qFormat/>
    <w:uiPriority w:val="0"/>
    <w:pPr>
      <w:spacing w:line="360" w:lineRule="auto"/>
    </w:pPr>
    <w:rPr>
      <w:rFonts w:ascii="Tahoma" w:hAnsi="Tahoma"/>
      <w:sz w:val="24"/>
    </w:rPr>
  </w:style>
  <w:style w:type="paragraph" w:customStyle="1" w:styleId="741">
    <w:name w:val="Char11"/>
    <w:basedOn w:val="1"/>
    <w:qFormat/>
    <w:uiPriority w:val="0"/>
    <w:pPr>
      <w:widowControl/>
      <w:spacing w:after="160" w:line="240" w:lineRule="exact"/>
      <w:jc w:val="left"/>
    </w:pPr>
    <w:rPr>
      <w:rFonts w:ascii="Verdana" w:hAnsi="Verdana"/>
      <w:sz w:val="20"/>
      <w:lang w:eastAsia="en-US"/>
    </w:rPr>
  </w:style>
  <w:style w:type="paragraph" w:customStyle="1" w:styleId="742">
    <w:name w:val="回信地址"/>
    <w:basedOn w:val="1"/>
    <w:qFormat/>
    <w:uiPriority w:val="0"/>
    <w:pPr>
      <w:keepLines/>
      <w:widowControl/>
      <w:spacing w:after="20" w:line="200" w:lineRule="atLeast"/>
      <w:ind w:right="-120" w:firstLine="420"/>
      <w:jc w:val="left"/>
    </w:pPr>
    <w:rPr>
      <w:sz w:val="16"/>
    </w:rPr>
  </w:style>
  <w:style w:type="paragraph" w:customStyle="1" w:styleId="743">
    <w:name w:val="Char Char Char Char Char Char Char Char Char Char1"/>
    <w:basedOn w:val="1"/>
    <w:qFormat/>
    <w:uiPriority w:val="0"/>
    <w:pPr>
      <w:tabs>
        <w:tab w:val="left" w:pos="425"/>
      </w:tabs>
      <w:spacing w:line="360" w:lineRule="auto"/>
      <w:ind w:left="425" w:hanging="425"/>
    </w:pPr>
    <w:rPr>
      <w:sz w:val="28"/>
    </w:rPr>
  </w:style>
  <w:style w:type="paragraph" w:customStyle="1" w:styleId="744">
    <w:name w:val="标书表格字体格式"/>
    <w:next w:val="687"/>
    <w:qFormat/>
    <w:uiPriority w:val="0"/>
    <w:rPr>
      <w:rFonts w:ascii="Times New Roman" w:hAnsi="Times New Roman" w:eastAsia="宋体" w:cs="Times New Roman"/>
      <w:sz w:val="21"/>
      <w:szCs w:val="24"/>
      <w:lang w:val="en-US" w:eastAsia="zh-CN" w:bidi="ar-SA"/>
    </w:rPr>
  </w:style>
  <w:style w:type="paragraph" w:customStyle="1" w:styleId="745">
    <w:name w:val="样式 纯文本 + 楷体_GB2312 小四 行距: 固定值 20 磅1"/>
    <w:basedOn w:val="33"/>
    <w:qFormat/>
    <w:uiPriority w:val="0"/>
    <w:pPr>
      <w:spacing w:line="400" w:lineRule="exact"/>
      <w:ind w:firstLine="200"/>
    </w:pPr>
    <w:rPr>
      <w:rFonts w:ascii="楷体_GB2312" w:eastAsia="楷体_GB2312"/>
      <w:sz w:val="24"/>
    </w:rPr>
  </w:style>
  <w:style w:type="paragraph" w:customStyle="1" w:styleId="746">
    <w:name w:val="Char2 Char Char Char1"/>
    <w:basedOn w:val="19"/>
    <w:qFormat/>
    <w:uiPriority w:val="0"/>
    <w:pPr>
      <w:spacing w:line="360" w:lineRule="auto"/>
    </w:pPr>
    <w:rPr>
      <w:rFonts w:ascii="Tahoma" w:hAnsi="Tahoma"/>
      <w:sz w:val="24"/>
      <w:szCs w:val="24"/>
      <w:lang w:val="zh-CN"/>
    </w:rPr>
  </w:style>
  <w:style w:type="paragraph" w:customStyle="1" w:styleId="747">
    <w:name w:val="章标题"/>
    <w:next w:val="1"/>
    <w:qFormat/>
    <w:uiPriority w:val="0"/>
    <w:pPr>
      <w:jc w:val="both"/>
      <w:outlineLvl w:val="1"/>
    </w:pPr>
    <w:rPr>
      <w:rFonts w:ascii="黑体" w:hAnsi="Times New Roman" w:eastAsia="黑体" w:cs="Times New Roman"/>
      <w:sz w:val="21"/>
      <w:lang w:val="en-US" w:eastAsia="zh-CN" w:bidi="ar-SA"/>
    </w:rPr>
  </w:style>
  <w:style w:type="paragraph" w:customStyle="1" w:styleId="748">
    <w:name w:val="图样式"/>
    <w:basedOn w:val="1"/>
    <w:qFormat/>
    <w:uiPriority w:val="0"/>
    <w:pPr>
      <w:widowControl/>
      <w:spacing w:before="80" w:after="80" w:line="360" w:lineRule="auto"/>
      <w:jc w:val="center"/>
    </w:pPr>
    <w:rPr>
      <w:sz w:val="20"/>
    </w:rPr>
  </w:style>
  <w:style w:type="paragraph" w:customStyle="1" w:styleId="749">
    <w:name w:val="插图题注"/>
    <w:next w:val="1"/>
    <w:qFormat/>
    <w:uiPriority w:val="0"/>
    <w:pPr>
      <w:jc w:val="center"/>
    </w:pPr>
    <w:rPr>
      <w:rFonts w:ascii="Arial" w:hAnsi="Arial" w:eastAsia="宋体" w:cs="Times New Roman"/>
      <w:sz w:val="18"/>
      <w:szCs w:val="18"/>
      <w:lang w:val="en-US" w:eastAsia="zh-CN" w:bidi="ar-SA"/>
    </w:rPr>
  </w:style>
  <w:style w:type="paragraph" w:customStyle="1" w:styleId="750">
    <w:name w:val="题注4"/>
    <w:basedOn w:val="1"/>
    <w:next w:val="16"/>
    <w:qFormat/>
    <w:uiPriority w:val="0"/>
    <w:pPr>
      <w:spacing w:line="360" w:lineRule="auto"/>
      <w:jc w:val="center"/>
    </w:pPr>
    <w:rPr>
      <w:b/>
      <w:color w:val="000000"/>
      <w:sz w:val="24"/>
      <w:szCs w:val="21"/>
      <w:lang w:val="en-GB"/>
    </w:rPr>
  </w:style>
  <w:style w:type="paragraph" w:customStyle="1" w:styleId="751">
    <w:name w:val="样式2"/>
    <w:basedOn w:val="2"/>
    <w:qFormat/>
    <w:uiPriority w:val="0"/>
    <w:pPr>
      <w:keepLines/>
      <w:tabs>
        <w:tab w:val="left" w:pos="425"/>
      </w:tabs>
      <w:spacing w:before="340" w:after="330" w:line="576" w:lineRule="auto"/>
      <w:ind w:left="425" w:hanging="425"/>
      <w:jc w:val="both"/>
    </w:pPr>
    <w:rPr>
      <w:rFonts w:ascii="Times New Roman" w:eastAsia="黑体"/>
      <w:bCs/>
      <w:sz w:val="32"/>
      <w:szCs w:val="44"/>
      <w:lang w:val="zh-CN"/>
    </w:rPr>
  </w:style>
  <w:style w:type="paragraph" w:customStyle="1" w:styleId="752">
    <w:name w:val="MM Topic 1"/>
    <w:basedOn w:val="2"/>
    <w:qFormat/>
    <w:uiPriority w:val="0"/>
    <w:pPr>
      <w:keepLines/>
      <w:tabs>
        <w:tab w:val="left" w:pos="360"/>
      </w:tabs>
      <w:spacing w:before="340" w:after="330" w:line="576" w:lineRule="auto"/>
      <w:ind w:left="360" w:hanging="360"/>
    </w:pPr>
    <w:rPr>
      <w:rFonts w:ascii="Times New Roman" w:eastAsia="宋体"/>
      <w:sz w:val="44"/>
      <w:lang w:val="zh-CN"/>
    </w:rPr>
  </w:style>
  <w:style w:type="paragraph" w:customStyle="1" w:styleId="753">
    <w:name w:val="标题0"/>
    <w:basedOn w:val="63"/>
    <w:next w:val="63"/>
    <w:qFormat/>
    <w:uiPriority w:val="0"/>
    <w:pPr>
      <w:spacing w:line="288" w:lineRule="auto"/>
      <w:ind w:firstLine="420"/>
    </w:pPr>
    <w:rPr>
      <w:rFonts w:ascii="Arial" w:hAnsi="Arial"/>
      <w:sz w:val="52"/>
      <w:lang w:val="en-US"/>
    </w:rPr>
  </w:style>
  <w:style w:type="paragraph" w:customStyle="1" w:styleId="754">
    <w:name w:val="Table"/>
    <w:basedOn w:val="1"/>
    <w:qFormat/>
    <w:uiPriority w:val="0"/>
    <w:pPr>
      <w:spacing w:before="20" w:after="20" w:line="360" w:lineRule="auto"/>
      <w:ind w:left="2268" w:right="709"/>
      <w:jc w:val="center"/>
    </w:pPr>
    <w:rPr>
      <w:rFonts w:ascii="Arial" w:hAnsi="Arial" w:eastAsia="2OcuAe"/>
      <w:spacing w:val="2"/>
      <w:sz w:val="18"/>
    </w:rPr>
  </w:style>
  <w:style w:type="paragraph" w:customStyle="1" w:styleId="755">
    <w:name w:val="样式 段前: 7.8 磅"/>
    <w:basedOn w:val="1"/>
    <w:qFormat/>
    <w:uiPriority w:val="0"/>
    <w:pPr>
      <w:tabs>
        <w:tab w:val="left" w:pos="1559"/>
      </w:tabs>
      <w:spacing w:before="156" w:line="360" w:lineRule="auto"/>
      <w:ind w:left="1559" w:firstLine="200"/>
    </w:pPr>
    <w:rPr>
      <w:sz w:val="24"/>
    </w:rPr>
  </w:style>
  <w:style w:type="paragraph" w:customStyle="1" w:styleId="756">
    <w:name w:val="函数注释2"/>
    <w:basedOn w:val="1"/>
    <w:qFormat/>
    <w:uiPriority w:val="0"/>
    <w:pPr>
      <w:spacing w:after="20" w:line="288" w:lineRule="auto"/>
      <w:ind w:left="1680" w:firstLine="420"/>
    </w:pPr>
    <w:rPr>
      <w:sz w:val="24"/>
      <w:szCs w:val="24"/>
    </w:rPr>
  </w:style>
  <w:style w:type="paragraph" w:customStyle="1" w:styleId="757">
    <w:name w:val="00"/>
    <w:basedOn w:val="1"/>
    <w:qFormat/>
    <w:uiPriority w:val="0"/>
    <w:pPr>
      <w:spacing w:line="360" w:lineRule="auto"/>
      <w:jc w:val="left"/>
    </w:pPr>
    <w:rPr>
      <w:rFonts w:ascii="黑体" w:eastAsia="黑体"/>
      <w:b/>
      <w:bCs/>
      <w:sz w:val="20"/>
    </w:rPr>
  </w:style>
  <w:style w:type="paragraph" w:customStyle="1" w:styleId="758">
    <w:name w:val="Char Char Char Char Char Char Char"/>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759">
    <w:name w:val="Char Char Char Char2"/>
    <w:basedOn w:val="19"/>
    <w:qFormat/>
    <w:uiPriority w:val="0"/>
    <w:rPr>
      <w:rFonts w:ascii="Tahoma" w:hAnsi="Tahoma"/>
      <w:sz w:val="24"/>
      <w:lang w:val="zh-CN"/>
    </w:rPr>
  </w:style>
  <w:style w:type="paragraph" w:customStyle="1" w:styleId="760">
    <w:name w:val="列表_名词"/>
    <w:basedOn w:val="723"/>
    <w:qFormat/>
    <w:uiPriority w:val="0"/>
    <w:pPr>
      <w:tabs>
        <w:tab w:val="left" w:pos="2745"/>
      </w:tabs>
      <w:ind w:left="2745" w:hanging="420"/>
    </w:pPr>
  </w:style>
  <w:style w:type="paragraph" w:customStyle="1" w:styleId="761">
    <w:name w:val="Char Char Char Char Char Char Char Char Char Char Char Char Char Char Char Char1"/>
    <w:basedOn w:val="1"/>
    <w:qFormat/>
    <w:uiPriority w:val="0"/>
    <w:pPr>
      <w:tabs>
        <w:tab w:val="left" w:pos="360"/>
      </w:tabs>
      <w:spacing w:line="360" w:lineRule="auto"/>
    </w:pPr>
    <w:rPr>
      <w:sz w:val="24"/>
      <w:szCs w:val="24"/>
    </w:rPr>
  </w:style>
  <w:style w:type="paragraph" w:customStyle="1" w:styleId="762">
    <w:name w:val="程序代码"/>
    <w:basedOn w:val="1"/>
    <w:qFormat/>
    <w:uiPriority w:val="0"/>
    <w:pPr>
      <w:spacing w:after="20" w:line="288" w:lineRule="auto"/>
      <w:ind w:left="839" w:firstLine="420"/>
    </w:pPr>
    <w:rPr>
      <w:rFonts w:eastAsia="仿宋_GB2312"/>
      <w:sz w:val="24"/>
      <w:szCs w:val="24"/>
    </w:rPr>
  </w:style>
  <w:style w:type="paragraph" w:customStyle="1" w:styleId="763">
    <w:name w:val="Char Char Char1 Char Char Char1"/>
    <w:basedOn w:val="1"/>
    <w:qFormat/>
    <w:uiPriority w:val="0"/>
    <w:pPr>
      <w:spacing w:line="360" w:lineRule="auto"/>
      <w:ind w:firstLine="200"/>
    </w:pPr>
    <w:rPr>
      <w:rFonts w:ascii="Tahoma" w:hAnsi="Tahoma"/>
      <w:sz w:val="24"/>
    </w:rPr>
  </w:style>
  <w:style w:type="paragraph" w:customStyle="1" w:styleId="764">
    <w:name w:val="重点"/>
    <w:basedOn w:val="1"/>
    <w:qFormat/>
    <w:uiPriority w:val="0"/>
    <w:pPr>
      <w:shd w:val="pct10" w:color="auto" w:fill="auto"/>
      <w:spacing w:after="20" w:line="288" w:lineRule="auto"/>
      <w:ind w:firstLine="420"/>
    </w:pPr>
    <w:rPr>
      <w:rFonts w:eastAsia="黑体"/>
      <w:b/>
      <w:sz w:val="24"/>
      <w:szCs w:val="24"/>
    </w:rPr>
  </w:style>
  <w:style w:type="paragraph" w:customStyle="1" w:styleId="765">
    <w:name w:val="简介正文"/>
    <w:basedOn w:val="1"/>
    <w:qFormat/>
    <w:uiPriority w:val="0"/>
    <w:pPr>
      <w:spacing w:after="20" w:line="520" w:lineRule="exact"/>
      <w:ind w:left="1701" w:hanging="1701"/>
    </w:pPr>
    <w:rPr>
      <w:sz w:val="24"/>
    </w:rPr>
  </w:style>
  <w:style w:type="paragraph" w:customStyle="1" w:styleId="766">
    <w:name w:val="正文(缩进)"/>
    <w:basedOn w:val="1"/>
    <w:qFormat/>
    <w:uiPriority w:val="0"/>
    <w:pPr>
      <w:widowControl/>
      <w:spacing w:line="360" w:lineRule="auto"/>
      <w:ind w:firstLine="200"/>
    </w:pPr>
    <w:rPr>
      <w:rFonts w:eastAsia="仿宋_GB2312"/>
      <w:sz w:val="24"/>
    </w:rPr>
  </w:style>
  <w:style w:type="paragraph" w:customStyle="1" w:styleId="767">
    <w:name w:val="列表2"/>
    <w:basedOn w:val="1"/>
    <w:qFormat/>
    <w:uiPriority w:val="0"/>
    <w:pPr>
      <w:tabs>
        <w:tab w:val="left" w:pos="1470"/>
      </w:tabs>
      <w:spacing w:after="20" w:line="288" w:lineRule="auto"/>
      <w:ind w:left="1469" w:hanging="420"/>
    </w:pPr>
    <w:rPr>
      <w:sz w:val="24"/>
      <w:szCs w:val="24"/>
    </w:rPr>
  </w:style>
  <w:style w:type="paragraph" w:customStyle="1" w:styleId="768">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rPr>
  </w:style>
  <w:style w:type="paragraph" w:customStyle="1" w:styleId="769">
    <w:name w:val="Char1 Char Char Char Char Char Char1"/>
    <w:basedOn w:val="1"/>
    <w:qFormat/>
    <w:uiPriority w:val="0"/>
    <w:pPr>
      <w:spacing w:line="360" w:lineRule="auto"/>
    </w:pPr>
    <w:rPr>
      <w:rFonts w:ascii="Tahoma" w:hAnsi="Tahoma"/>
      <w:sz w:val="24"/>
    </w:rPr>
  </w:style>
  <w:style w:type="paragraph" w:customStyle="1" w:styleId="770">
    <w:name w:val="列出段落11"/>
    <w:basedOn w:val="1"/>
    <w:qFormat/>
    <w:uiPriority w:val="34"/>
    <w:pPr>
      <w:ind w:firstLine="420"/>
    </w:pPr>
  </w:style>
  <w:style w:type="paragraph" w:customStyle="1" w:styleId="771">
    <w:name w:val="正文文本缩进 31"/>
    <w:basedOn w:val="1"/>
    <w:qFormat/>
    <w:uiPriority w:val="0"/>
    <w:pPr>
      <w:spacing w:line="360" w:lineRule="auto"/>
      <w:ind w:firstLine="480"/>
    </w:pPr>
    <w:rPr>
      <w:rFonts w:ascii="宋体"/>
      <w:b/>
      <w:lang w:val="zh-CN"/>
    </w:rPr>
  </w:style>
  <w:style w:type="character" w:customStyle="1" w:styleId="772">
    <w:name w:val="标题 4 Char1"/>
    <w:qFormat/>
    <w:uiPriority w:val="0"/>
    <w:rPr>
      <w:rFonts w:ascii="Times New Roman" w:hAnsi="Times New Roman" w:eastAsia="宋体"/>
      <w:sz w:val="20"/>
    </w:rPr>
  </w:style>
  <w:style w:type="paragraph" w:customStyle="1" w:styleId="773">
    <w:name w:val="Body Text 24"/>
    <w:basedOn w:val="1"/>
    <w:qFormat/>
    <w:uiPriority w:val="0"/>
    <w:pPr>
      <w:spacing w:before="60" w:line="360" w:lineRule="exact"/>
    </w:pPr>
    <w:rPr>
      <w:rFonts w:eastAsia="楷体_GB2312"/>
      <w:sz w:val="24"/>
    </w:rPr>
  </w:style>
  <w:style w:type="paragraph" w:customStyle="1" w:styleId="774">
    <w:name w:val="正文 New New New"/>
    <w:qFormat/>
    <w:uiPriority w:val="0"/>
    <w:pPr>
      <w:widowControl w:val="0"/>
      <w:jc w:val="both"/>
    </w:pPr>
    <w:rPr>
      <w:rFonts w:ascii="Times New Roman" w:hAnsi="Times New Roman" w:eastAsia="宋体" w:cs="Times New Roman"/>
      <w:sz w:val="21"/>
      <w:lang w:val="en-US" w:eastAsia="zh-CN" w:bidi="ar-SA"/>
    </w:rPr>
  </w:style>
  <w:style w:type="paragraph" w:customStyle="1" w:styleId="775">
    <w:name w:val="正文 New New New New New New New New New New New New New New New New New New New New New New New"/>
    <w:qFormat/>
    <w:uiPriority w:val="0"/>
    <w:pPr>
      <w:widowControl w:val="0"/>
      <w:jc w:val="both"/>
    </w:pPr>
    <w:rPr>
      <w:rFonts w:ascii="Times New Roman" w:hAnsi="Times New Roman" w:eastAsia="宋体" w:cs="Times New Roman"/>
      <w:sz w:val="21"/>
      <w:lang w:val="en-US" w:eastAsia="zh-CN" w:bidi="ar-SA"/>
    </w:rPr>
  </w:style>
  <w:style w:type="paragraph" w:customStyle="1" w:styleId="776">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777">
    <w:name w:val="正文1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778">
    <w:name w:val="Char Char Char Char11"/>
    <w:basedOn w:val="1"/>
    <w:qFormat/>
    <w:uiPriority w:val="0"/>
    <w:rPr>
      <w:szCs w:val="24"/>
    </w:rPr>
  </w:style>
  <w:style w:type="character" w:customStyle="1" w:styleId="779">
    <w:name w:val="Char Char231"/>
    <w:qFormat/>
    <w:uiPriority w:val="0"/>
    <w:rPr>
      <w:rFonts w:ascii="幼圆" w:hAnsi="华文细黑" w:eastAsia="幼圆" w:cs="Tahoma"/>
      <w:b/>
      <w:bCs/>
      <w:sz w:val="30"/>
      <w:szCs w:val="24"/>
    </w:rPr>
  </w:style>
  <w:style w:type="character" w:customStyle="1" w:styleId="780">
    <w:name w:val="Char Char191"/>
    <w:qFormat/>
    <w:uiPriority w:val="0"/>
    <w:rPr>
      <w:rFonts w:ascii="仿宋_GB2312" w:hAnsi="仿宋_GB2312"/>
      <w:b/>
      <w:bCs/>
      <w:sz w:val="28"/>
      <w:szCs w:val="28"/>
    </w:rPr>
  </w:style>
  <w:style w:type="character" w:customStyle="1" w:styleId="781">
    <w:name w:val="Char Char211"/>
    <w:qFormat/>
    <w:uiPriority w:val="0"/>
    <w:rPr>
      <w:rFonts w:ascii="华文细黑" w:hAnsi="华文细黑" w:eastAsia="幼圆" w:cs="Tahoma"/>
      <w:b/>
      <w:sz w:val="30"/>
      <w:szCs w:val="30"/>
    </w:rPr>
  </w:style>
  <w:style w:type="character" w:customStyle="1" w:styleId="782">
    <w:name w:val="Char Char201"/>
    <w:qFormat/>
    <w:uiPriority w:val="0"/>
    <w:rPr>
      <w:rFonts w:ascii="Tahoma" w:hAnsi="Tahoma" w:eastAsia="幼圆"/>
      <w:b/>
      <w:bCs/>
      <w:sz w:val="28"/>
      <w:szCs w:val="28"/>
    </w:rPr>
  </w:style>
  <w:style w:type="character" w:customStyle="1" w:styleId="783">
    <w:name w:val="Char Char221"/>
    <w:qFormat/>
    <w:uiPriority w:val="0"/>
    <w:rPr>
      <w:rFonts w:ascii="幼圆" w:hAnsi="华文细黑" w:eastAsia="幼圆" w:cs="Tahoma"/>
      <w:b/>
      <w:bCs/>
      <w:color w:val="FF0000"/>
      <w:sz w:val="30"/>
      <w:szCs w:val="30"/>
    </w:rPr>
  </w:style>
  <w:style w:type="character" w:customStyle="1" w:styleId="784">
    <w:name w:val="Char Char161"/>
    <w:qFormat/>
    <w:uiPriority w:val="0"/>
    <w:rPr>
      <w:rFonts w:ascii="Tahoma" w:hAnsi="Tahoma" w:eastAsia="幼圆"/>
      <w:sz w:val="24"/>
      <w:szCs w:val="24"/>
    </w:rPr>
  </w:style>
  <w:style w:type="character" w:customStyle="1" w:styleId="785">
    <w:name w:val="副标题 Char2"/>
    <w:qFormat/>
    <w:uiPriority w:val="0"/>
    <w:rPr>
      <w:rFonts w:ascii="Cambria" w:hAnsi="Cambria" w:cs="Times New Roman"/>
      <w:b/>
      <w:bCs/>
      <w:sz w:val="32"/>
      <w:szCs w:val="32"/>
    </w:rPr>
  </w:style>
  <w:style w:type="character" w:customStyle="1" w:styleId="786">
    <w:name w:val="明显引用 Char2"/>
    <w:qFormat/>
    <w:uiPriority w:val="99"/>
    <w:rPr>
      <w:b/>
      <w:bCs/>
      <w:i/>
      <w:iCs/>
      <w:color w:val="4F81BD"/>
      <w:sz w:val="21"/>
    </w:rPr>
  </w:style>
  <w:style w:type="character" w:customStyle="1" w:styleId="787">
    <w:name w:val="引用 Char2"/>
    <w:qFormat/>
    <w:uiPriority w:val="99"/>
    <w:rPr>
      <w:i/>
      <w:iCs/>
      <w:color w:val="000000"/>
      <w:sz w:val="21"/>
    </w:rPr>
  </w:style>
  <w:style w:type="paragraph" w:customStyle="1" w:styleId="788">
    <w:name w:val="列出段落2"/>
    <w:basedOn w:val="1"/>
    <w:qFormat/>
    <w:uiPriority w:val="0"/>
    <w:pPr>
      <w:jc w:val="left"/>
    </w:pPr>
    <w:rPr>
      <w:rFonts w:ascii="Calibri" w:hAnsi="Calibri"/>
      <w:sz w:val="22"/>
      <w:szCs w:val="22"/>
      <w:lang w:eastAsia="en-US"/>
    </w:rPr>
  </w:style>
  <w:style w:type="paragraph" w:customStyle="1" w:styleId="789">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790">
    <w:name w:val="font15"/>
    <w:basedOn w:val="1"/>
    <w:qFormat/>
    <w:uiPriority w:val="0"/>
    <w:pPr>
      <w:widowControl/>
      <w:spacing w:before="100" w:beforeAutospacing="1" w:after="100" w:afterAutospacing="1"/>
      <w:jc w:val="left"/>
    </w:pPr>
    <w:rPr>
      <w:rFonts w:ascii="宋体" w:hAnsi="宋体" w:cs="宋体"/>
      <w:sz w:val="22"/>
      <w:szCs w:val="22"/>
    </w:rPr>
  </w:style>
  <w:style w:type="character" w:customStyle="1" w:styleId="791">
    <w:name w:val="fontstyle01"/>
    <w:qFormat/>
    <w:uiPriority w:val="0"/>
    <w:rPr>
      <w:rFonts w:hint="eastAsia" w:ascii="宋体" w:hAnsi="宋体" w:eastAsia="宋体"/>
      <w:color w:val="000000"/>
      <w:sz w:val="24"/>
      <w:szCs w:val="24"/>
    </w:rPr>
  </w:style>
  <w:style w:type="character" w:customStyle="1" w:styleId="792">
    <w:name w:val="正文文本缩进 2 Char"/>
    <w:qFormat/>
    <w:uiPriority w:val="0"/>
    <w:rPr>
      <w:sz w:val="24"/>
    </w:rPr>
  </w:style>
  <w:style w:type="table" w:customStyle="1" w:styleId="793">
    <w:name w:val="网格型4"/>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794">
    <w:name w:val="页眉 Char"/>
    <w:qFormat/>
    <w:uiPriority w:val="0"/>
    <w:rPr>
      <w:sz w:val="18"/>
      <w:szCs w:val="18"/>
    </w:rPr>
  </w:style>
  <w:style w:type="character" w:customStyle="1" w:styleId="795">
    <w:name w:val="页脚 Char"/>
    <w:qFormat/>
    <w:uiPriority w:val="0"/>
    <w:rPr>
      <w:sz w:val="18"/>
      <w:szCs w:val="18"/>
    </w:rPr>
  </w:style>
  <w:style w:type="character" w:customStyle="1" w:styleId="796">
    <w:name w:val="bookmark-item"/>
    <w:basedOn w:val="69"/>
    <w:qFormat/>
    <w:uiPriority w:val="0"/>
  </w:style>
  <w:style w:type="character" w:customStyle="1" w:styleId="797">
    <w:name w:val="纯文本 Char"/>
    <w:qFormat/>
    <w:uiPriority w:val="0"/>
    <w:rPr>
      <w:rFonts w:ascii="宋体" w:hAnsi="Courier New" w:eastAsia="宋体"/>
      <w:sz w:val="21"/>
      <w:lang w:val="en-US" w:eastAsia="zh-CN" w:bidi="ar-SA"/>
    </w:rPr>
  </w:style>
  <w:style w:type="character" w:customStyle="1" w:styleId="798">
    <w:name w:val="标题 Char"/>
    <w:qFormat/>
    <w:uiPriority w:val="0"/>
    <w:rPr>
      <w:rFonts w:ascii="Cambria" w:hAnsi="Cambria" w:cs="Times New Roman"/>
      <w:b/>
      <w:bCs/>
      <w:sz w:val="32"/>
      <w:szCs w:val="32"/>
    </w:rPr>
  </w:style>
  <w:style w:type="character" w:customStyle="1" w:styleId="799">
    <w:name w:val="正文文本缩进 2 Char1"/>
    <w:qFormat/>
    <w:uiPriority w:val="99"/>
    <w:rPr>
      <w:rFonts w:ascii="宋体"/>
      <w:b/>
      <w:bCs/>
      <w:sz w:val="24"/>
    </w:rPr>
  </w:style>
  <w:style w:type="character" w:customStyle="1" w:styleId="800">
    <w:name w:val="标题 2 Char"/>
    <w:qFormat/>
    <w:uiPriority w:val="0"/>
    <w:rPr>
      <w:rFonts w:ascii="宋体" w:hAnsi="宋体" w:eastAsia="楷体_GB2312"/>
      <w:b/>
      <w:sz w:val="26"/>
    </w:rPr>
  </w:style>
  <w:style w:type="character" w:customStyle="1" w:styleId="801">
    <w:name w:val="标题 1 Char"/>
    <w:qFormat/>
    <w:uiPriority w:val="0"/>
    <w:rPr>
      <w:rFonts w:eastAsia="楷体_GB2312"/>
      <w:b/>
      <w:sz w:val="44"/>
    </w:rPr>
  </w:style>
  <w:style w:type="character" w:customStyle="1" w:styleId="802">
    <w:name w:val="批注文字 Char1"/>
    <w:semiHidden/>
    <w:qFormat/>
    <w:uiPriority w:val="99"/>
    <w:rPr>
      <w:rFonts w:eastAsia="楷体_GB2312"/>
      <w:sz w:val="26"/>
    </w:rPr>
  </w:style>
  <w:style w:type="character" w:customStyle="1" w:styleId="803">
    <w:name w:val="ca-221"/>
    <w:qFormat/>
    <w:uiPriority w:val="0"/>
    <w:rPr>
      <w:rFonts w:hint="eastAsia" w:ascii="宋体" w:hAnsi="宋体" w:eastAsia="宋体"/>
      <w:color w:val="FF0000"/>
      <w:sz w:val="24"/>
      <w:szCs w:val="24"/>
    </w:rPr>
  </w:style>
  <w:style w:type="character" w:customStyle="1" w:styleId="804">
    <w:name w:val="正文缩进 Char2"/>
    <w:qFormat/>
    <w:uiPriority w:val="0"/>
    <w:rPr>
      <w:rFonts w:eastAsia="楷体_GB2312"/>
      <w:sz w:val="24"/>
      <w:lang w:val="en-US" w:eastAsia="zh-CN" w:bidi="ar-SA"/>
    </w:rPr>
  </w:style>
  <w:style w:type="character" w:customStyle="1" w:styleId="805">
    <w:name w:val="正文首行缩进 Char Char"/>
    <w:link w:val="806"/>
    <w:qFormat/>
    <w:uiPriority w:val="0"/>
    <w:rPr>
      <w:szCs w:val="24"/>
      <w:lang w:bidi="ar-SA"/>
    </w:rPr>
  </w:style>
  <w:style w:type="paragraph" w:customStyle="1" w:styleId="806">
    <w:name w:val="正文首行缩进1"/>
    <w:basedOn w:val="25"/>
    <w:link w:val="805"/>
    <w:qFormat/>
    <w:uiPriority w:val="0"/>
    <w:pPr>
      <w:spacing w:after="120"/>
      <w:ind w:firstLine="420"/>
    </w:pPr>
    <w:rPr>
      <w:rFonts w:ascii="Times New Roman" w:eastAsia="宋体"/>
      <w:bCs w:val="0"/>
      <w:sz w:val="20"/>
      <w:szCs w:val="24"/>
      <w:lang w:val="en-US"/>
    </w:rPr>
  </w:style>
  <w:style w:type="character" w:customStyle="1" w:styleId="807">
    <w:name w:val="纯文本 Char2"/>
    <w:qFormat/>
    <w:uiPriority w:val="0"/>
    <w:rPr>
      <w:rFonts w:ascii="宋体" w:hAnsi="Courier New" w:eastAsia="楷体_GB2312"/>
      <w:sz w:val="26"/>
      <w:lang w:val="en-US" w:eastAsia="zh-CN" w:bidi="ar-SA"/>
    </w:rPr>
  </w:style>
  <w:style w:type="character" w:customStyle="1" w:styleId="808">
    <w:name w:val="正文文本 Char"/>
    <w:qFormat/>
    <w:uiPriority w:val="0"/>
    <w:rPr>
      <w:rFonts w:ascii="楷体_GB2312" w:eastAsia="楷体_GB2312"/>
      <w:sz w:val="28"/>
      <w:lang w:val="en-US" w:eastAsia="zh-CN" w:bidi="ar-SA"/>
    </w:rPr>
  </w:style>
  <w:style w:type="character" w:customStyle="1" w:styleId="809">
    <w:name w:val="HTML 预设格式 Char"/>
    <w:qFormat/>
    <w:uiPriority w:val="0"/>
    <w:rPr>
      <w:rFonts w:ascii="黑体" w:hAnsi="Courier New" w:eastAsia="黑体" w:cs="楷体_GB2312"/>
    </w:rPr>
  </w:style>
  <w:style w:type="character" w:customStyle="1" w:styleId="810">
    <w:name w:val="Andy_2级 Char"/>
    <w:link w:val="811"/>
    <w:qFormat/>
    <w:uiPriority w:val="0"/>
    <w:rPr>
      <w:rFonts w:ascii="Calibri" w:hAnsi="Calibri"/>
      <w:sz w:val="24"/>
    </w:rPr>
  </w:style>
  <w:style w:type="paragraph" w:customStyle="1" w:styleId="811">
    <w:name w:val="Andy_2级"/>
    <w:basedOn w:val="812"/>
    <w:link w:val="810"/>
    <w:qFormat/>
    <w:uiPriority w:val="0"/>
    <w:pPr>
      <w:ind w:firstLine="510"/>
    </w:pPr>
    <w:rPr>
      <w:szCs w:val="20"/>
      <w:lang w:bidi="mn-Mong-CN"/>
    </w:rPr>
  </w:style>
  <w:style w:type="paragraph" w:customStyle="1" w:styleId="812">
    <w:name w:val="Andy_二级"/>
    <w:basedOn w:val="1"/>
    <w:qFormat/>
    <w:uiPriority w:val="0"/>
    <w:pPr>
      <w:spacing w:line="360" w:lineRule="auto"/>
    </w:pPr>
    <w:rPr>
      <w:rFonts w:ascii="Calibri" w:hAnsi="Calibri"/>
      <w:sz w:val="24"/>
      <w:szCs w:val="22"/>
    </w:rPr>
  </w:style>
  <w:style w:type="character" w:customStyle="1" w:styleId="813">
    <w:name w:val="Plain Text Char"/>
    <w:link w:val="814"/>
    <w:qFormat/>
    <w:uiPriority w:val="0"/>
    <w:rPr>
      <w:rFonts w:ascii="宋体" w:hAnsi="Courier New" w:eastAsia="楷体_GB2312"/>
      <w:sz w:val="26"/>
    </w:rPr>
  </w:style>
  <w:style w:type="paragraph" w:customStyle="1" w:styleId="814">
    <w:name w:val="纯文本5"/>
    <w:basedOn w:val="1"/>
    <w:link w:val="813"/>
    <w:qFormat/>
    <w:uiPriority w:val="0"/>
    <w:rPr>
      <w:rFonts w:ascii="宋体" w:hAnsi="Courier New" w:eastAsia="楷体_GB2312"/>
      <w:sz w:val="26"/>
      <w:lang w:bidi="mn-Mong-CN"/>
    </w:rPr>
  </w:style>
  <w:style w:type="character" w:customStyle="1" w:styleId="815">
    <w:name w:val="Andy_3级 Char"/>
    <w:link w:val="816"/>
    <w:qFormat/>
    <w:uiPriority w:val="0"/>
    <w:rPr>
      <w:rFonts w:ascii="Calibri" w:hAnsi="Calibri"/>
      <w:sz w:val="24"/>
    </w:rPr>
  </w:style>
  <w:style w:type="paragraph" w:customStyle="1" w:styleId="816">
    <w:name w:val="Andy_3级"/>
    <w:basedOn w:val="1"/>
    <w:link w:val="815"/>
    <w:qFormat/>
    <w:uiPriority w:val="0"/>
    <w:pPr>
      <w:spacing w:line="360" w:lineRule="auto"/>
      <w:ind w:firstLine="510"/>
    </w:pPr>
    <w:rPr>
      <w:rFonts w:ascii="Calibri" w:hAnsi="Calibri"/>
      <w:sz w:val="24"/>
      <w:lang w:bidi="mn-Mong-CN"/>
    </w:rPr>
  </w:style>
  <w:style w:type="character" w:customStyle="1" w:styleId="817">
    <w:name w:val="Andy_正文 Char"/>
    <w:link w:val="818"/>
    <w:qFormat/>
    <w:uiPriority w:val="0"/>
    <w:rPr>
      <w:rFonts w:ascii="Calibri" w:hAnsi="Calibri"/>
      <w:sz w:val="24"/>
      <w:szCs w:val="24"/>
    </w:rPr>
  </w:style>
  <w:style w:type="paragraph" w:customStyle="1" w:styleId="818">
    <w:name w:val="Andy_正文"/>
    <w:basedOn w:val="1"/>
    <w:link w:val="817"/>
    <w:qFormat/>
    <w:uiPriority w:val="0"/>
    <w:pPr>
      <w:spacing w:line="360" w:lineRule="auto"/>
      <w:ind w:firstLine="480"/>
    </w:pPr>
    <w:rPr>
      <w:rFonts w:ascii="Calibri" w:hAnsi="Calibri"/>
      <w:sz w:val="24"/>
      <w:szCs w:val="24"/>
      <w:lang w:bidi="mn-Mong-CN"/>
    </w:rPr>
  </w:style>
  <w:style w:type="character" w:customStyle="1" w:styleId="819">
    <w:name w:val="中等深浅网格 1 - 着色 2 字符"/>
    <w:link w:val="820"/>
    <w:qFormat/>
    <w:uiPriority w:val="34"/>
    <w:rPr>
      <w:sz w:val="21"/>
      <w:szCs w:val="24"/>
    </w:rPr>
  </w:style>
  <w:style w:type="paragraph" w:customStyle="1" w:styleId="820">
    <w:name w:val="中等深浅网格 1 - 着色 21"/>
    <w:basedOn w:val="1"/>
    <w:link w:val="819"/>
    <w:qFormat/>
    <w:uiPriority w:val="34"/>
    <w:pPr>
      <w:spacing w:line="360" w:lineRule="auto"/>
      <w:ind w:firstLine="420"/>
      <w:jc w:val="left"/>
    </w:pPr>
    <w:rPr>
      <w:szCs w:val="24"/>
      <w:lang w:bidi="mn-Mong-CN"/>
    </w:rPr>
  </w:style>
  <w:style w:type="character" w:customStyle="1" w:styleId="821">
    <w:name w:val="_正文段落 Char"/>
    <w:link w:val="822"/>
    <w:qFormat/>
    <w:uiPriority w:val="0"/>
    <w:rPr>
      <w:sz w:val="24"/>
      <w:szCs w:val="24"/>
    </w:rPr>
  </w:style>
  <w:style w:type="paragraph" w:customStyle="1" w:styleId="822">
    <w:name w:val="_正文段落"/>
    <w:basedOn w:val="1"/>
    <w:link w:val="821"/>
    <w:qFormat/>
    <w:uiPriority w:val="0"/>
    <w:pPr>
      <w:spacing w:line="360" w:lineRule="auto"/>
      <w:ind w:firstLine="200"/>
    </w:pPr>
    <w:rPr>
      <w:sz w:val="24"/>
      <w:szCs w:val="24"/>
      <w:lang w:bidi="mn-Mong-CN"/>
    </w:rPr>
  </w:style>
  <w:style w:type="character" w:customStyle="1" w:styleId="823">
    <w:name w:val="CL 正文1.25 Char"/>
    <w:link w:val="824"/>
    <w:qFormat/>
    <w:uiPriority w:val="0"/>
    <w:rPr>
      <w:rFonts w:ascii="Cambria" w:hAnsi="Cambria"/>
      <w:spacing w:val="4"/>
      <w:sz w:val="24"/>
      <w:szCs w:val="21"/>
    </w:rPr>
  </w:style>
  <w:style w:type="paragraph" w:customStyle="1" w:styleId="824">
    <w:name w:val="CL 正文1.25"/>
    <w:basedOn w:val="1"/>
    <w:link w:val="823"/>
    <w:qFormat/>
    <w:uiPriority w:val="0"/>
    <w:pPr>
      <w:spacing w:line="360" w:lineRule="auto"/>
      <w:ind w:firstLine="200"/>
    </w:pPr>
    <w:rPr>
      <w:rFonts w:ascii="Cambria" w:hAnsi="Cambria"/>
      <w:spacing w:val="4"/>
      <w:sz w:val="24"/>
      <w:szCs w:val="21"/>
      <w:lang w:bidi="mn-Mong-CN"/>
    </w:rPr>
  </w:style>
  <w:style w:type="character" w:customStyle="1" w:styleId="825">
    <w:name w:val="正文缩进 Char1"/>
    <w:qFormat/>
    <w:uiPriority w:val="0"/>
    <w:rPr>
      <w:rFonts w:ascii="Times New Roman" w:hAnsi="Times New Roman" w:eastAsia="楷体_GB2312" w:cs="Times New Roman"/>
      <w:sz w:val="24"/>
      <w:szCs w:val="20"/>
    </w:rPr>
  </w:style>
  <w:style w:type="character" w:customStyle="1" w:styleId="826">
    <w:name w:val="正文缩进 Char"/>
    <w:qFormat/>
    <w:uiPriority w:val="0"/>
    <w:rPr>
      <w:rFonts w:eastAsia="楷体_GB2312"/>
      <w:sz w:val="24"/>
      <w:lang w:val="en-US" w:eastAsia="zh-CN" w:bidi="ar-SA"/>
    </w:rPr>
  </w:style>
  <w:style w:type="paragraph" w:customStyle="1" w:styleId="827">
    <w:name w:val="Char Char3 Char Char Char Char Char Char Char Char Char Char Char Char Char Char Char Char"/>
    <w:basedOn w:val="1"/>
    <w:qFormat/>
    <w:uiPriority w:val="0"/>
    <w:pPr>
      <w:widowControl/>
      <w:spacing w:after="160" w:line="360" w:lineRule="auto"/>
      <w:ind w:firstLine="200"/>
      <w:jc w:val="left"/>
    </w:pPr>
    <w:rPr>
      <w:rFonts w:ascii="宋体" w:hAnsi="宋体"/>
      <w:sz w:val="24"/>
    </w:rPr>
  </w:style>
  <w:style w:type="paragraph" w:customStyle="1" w:styleId="828">
    <w:name w:val="Char Char Char1 Char Char Char Char"/>
    <w:basedOn w:val="1"/>
    <w:qFormat/>
    <w:uiPriority w:val="0"/>
    <w:pPr>
      <w:widowControl/>
      <w:spacing w:after="160" w:line="240" w:lineRule="exact"/>
      <w:jc w:val="left"/>
    </w:pPr>
    <w:rPr>
      <w:sz w:val="24"/>
      <w:szCs w:val="24"/>
    </w:rPr>
  </w:style>
  <w:style w:type="paragraph" w:customStyle="1" w:styleId="829">
    <w:name w:val="小四 段落 宋体 Char Char Char Char Char Char"/>
    <w:basedOn w:val="830"/>
    <w:qFormat/>
    <w:uiPriority w:val="0"/>
    <w:pPr>
      <w:ind w:firstLine="480"/>
    </w:pPr>
    <w:rPr>
      <w:rFonts w:ascii="宋体" w:hAnsi="宋体"/>
    </w:rPr>
  </w:style>
  <w:style w:type="paragraph" w:customStyle="1" w:styleId="830">
    <w:name w:val="小四 段落 宋体 Char Char Char Char Char Char Char"/>
    <w:basedOn w:val="14"/>
    <w:semiHidden/>
    <w:qFormat/>
    <w:uiPriority w:val="0"/>
    <w:pPr>
      <w:tabs>
        <w:tab w:val="clear" w:pos="360"/>
      </w:tabs>
      <w:ind w:left="0" w:right="-33" w:firstLine="545"/>
      <w:jc w:val="left"/>
    </w:pPr>
    <w:rPr>
      <w:rFonts w:ascii="Times New Roman" w:hAnsi="Times New Roman" w:eastAsia="宋体"/>
      <w:lang w:val="en-US"/>
    </w:rPr>
  </w:style>
  <w:style w:type="paragraph" w:customStyle="1" w:styleId="831">
    <w:name w:val="cardlist-value"/>
    <w:basedOn w:val="1"/>
    <w:qFormat/>
    <w:uiPriority w:val="0"/>
    <w:pPr>
      <w:widowControl/>
      <w:spacing w:before="100" w:beforeAutospacing="1" w:after="100" w:afterAutospacing="1"/>
      <w:jc w:val="left"/>
    </w:pPr>
    <w:rPr>
      <w:rFonts w:ascii="宋体" w:hAnsi="宋体" w:cs="宋体"/>
      <w:sz w:val="24"/>
      <w:szCs w:val="24"/>
    </w:rPr>
  </w:style>
  <w:style w:type="paragraph" w:customStyle="1" w:styleId="832">
    <w:name w:val="Default Paragraph Font Para Char"/>
    <w:basedOn w:val="1"/>
    <w:semiHidden/>
    <w:qFormat/>
    <w:uiPriority w:val="0"/>
    <w:pPr>
      <w:widowControl/>
      <w:spacing w:after="160" w:line="240" w:lineRule="exact"/>
      <w:jc w:val="left"/>
    </w:pPr>
    <w:rPr>
      <w:rFonts w:ascii="Verdana" w:hAnsi="Verdana"/>
      <w:sz w:val="20"/>
      <w:lang w:eastAsia="en-US"/>
    </w:rPr>
  </w:style>
  <w:style w:type="paragraph" w:customStyle="1" w:styleId="833">
    <w:name w:val="Plain Text1"/>
    <w:basedOn w:val="1"/>
    <w:qFormat/>
    <w:uiPriority w:val="0"/>
    <w:rPr>
      <w:rFonts w:ascii="宋体" w:hAnsi="Courier New" w:eastAsia="楷体_GB2312"/>
      <w:sz w:val="26"/>
    </w:rPr>
  </w:style>
  <w:style w:type="paragraph" w:customStyle="1" w:styleId="834">
    <w:name w:val="小四 段落 宋体 Char"/>
    <w:basedOn w:val="14"/>
    <w:qFormat/>
    <w:uiPriority w:val="0"/>
    <w:pPr>
      <w:tabs>
        <w:tab w:val="clear" w:pos="360"/>
      </w:tabs>
      <w:ind w:left="0" w:right="-33" w:firstLine="480"/>
      <w:jc w:val="left"/>
    </w:pPr>
    <w:rPr>
      <w:rFonts w:ascii="Times New Roman" w:hAnsi="Times New Roman" w:eastAsia="宋体"/>
      <w:lang w:val="en-US"/>
    </w:rPr>
  </w:style>
  <w:style w:type="paragraph" w:customStyle="1" w:styleId="835">
    <w:name w:val="纯文本2"/>
    <w:basedOn w:val="1"/>
    <w:qFormat/>
    <w:uiPriority w:val="0"/>
    <w:rPr>
      <w:rFonts w:ascii="宋体" w:hAnsi="Courier New" w:eastAsia="楷体_GB2312"/>
      <w:sz w:val="26"/>
    </w:rPr>
  </w:style>
  <w:style w:type="paragraph" w:customStyle="1" w:styleId="836">
    <w:name w:val="Andy_一级"/>
    <w:basedOn w:val="1"/>
    <w:qFormat/>
    <w:uiPriority w:val="0"/>
    <w:pPr>
      <w:keepNext/>
      <w:tabs>
        <w:tab w:val="left" w:pos="420"/>
      </w:tabs>
      <w:spacing w:line="360" w:lineRule="auto"/>
      <w:ind w:left="420" w:hanging="420"/>
    </w:pPr>
    <w:rPr>
      <w:rFonts w:ascii="Calibri" w:hAnsi="Calibri"/>
      <w:b/>
      <w:sz w:val="24"/>
      <w:szCs w:val="22"/>
    </w:rPr>
  </w:style>
  <w:style w:type="paragraph" w:customStyle="1" w:styleId="837">
    <w:name w:val="Andy_4级"/>
    <w:basedOn w:val="1"/>
    <w:qFormat/>
    <w:uiPriority w:val="0"/>
    <w:pPr>
      <w:tabs>
        <w:tab w:val="left" w:pos="420"/>
      </w:tabs>
      <w:spacing w:line="360" w:lineRule="auto"/>
      <w:ind w:left="420" w:firstLine="510"/>
    </w:pPr>
    <w:rPr>
      <w:rFonts w:ascii="Calibri" w:hAnsi="Calibri"/>
      <w:sz w:val="24"/>
    </w:rPr>
  </w:style>
  <w:style w:type="paragraph" w:customStyle="1" w:styleId="838">
    <w:name w:val="纯文本3"/>
    <w:basedOn w:val="1"/>
    <w:qFormat/>
    <w:uiPriority w:val="0"/>
    <w:rPr>
      <w:rFonts w:ascii="宋体" w:hAnsi="Courier New" w:eastAsia="楷体_GB2312"/>
      <w:sz w:val="26"/>
    </w:rPr>
  </w:style>
  <w:style w:type="table" w:customStyle="1" w:styleId="839">
    <w:name w:val="网格型5"/>
    <w:basedOn w:val="67"/>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40">
    <w:name w:val="纯文本4"/>
    <w:basedOn w:val="1"/>
    <w:qFormat/>
    <w:uiPriority w:val="0"/>
    <w:rPr>
      <w:rFonts w:ascii="宋体" w:hAnsi="Courier New" w:eastAsia="楷体_GB2312"/>
      <w:sz w:val="26"/>
    </w:rPr>
  </w:style>
  <w:style w:type="character" w:customStyle="1" w:styleId="841">
    <w:name w:val="批注框文本 Char"/>
    <w:qFormat/>
    <w:uiPriority w:val="0"/>
    <w:rPr>
      <w:rFonts w:eastAsia="楷体_GB2312"/>
      <w:sz w:val="18"/>
      <w:szCs w:val="18"/>
    </w:rPr>
  </w:style>
  <w:style w:type="paragraph" w:customStyle="1" w:styleId="842">
    <w:name w:val="纯文本6"/>
    <w:basedOn w:val="1"/>
    <w:qFormat/>
    <w:uiPriority w:val="0"/>
    <w:rPr>
      <w:rFonts w:ascii="宋体" w:hAnsi="Courier New" w:eastAsia="楷体_GB2312"/>
      <w:sz w:val="26"/>
    </w:rPr>
  </w:style>
  <w:style w:type="paragraph" w:customStyle="1" w:styleId="843">
    <w:name w:val="纯文本7"/>
    <w:basedOn w:val="1"/>
    <w:qFormat/>
    <w:uiPriority w:val="0"/>
    <w:rPr>
      <w:rFonts w:ascii="宋体" w:hAnsi="Courier New" w:eastAsia="楷体_GB2312"/>
      <w:sz w:val="26"/>
      <w:lang w:val="zh-CN"/>
    </w:rPr>
  </w:style>
  <w:style w:type="paragraph" w:customStyle="1" w:styleId="844">
    <w:name w:val="正文_2"/>
    <w:qFormat/>
    <w:uiPriority w:val="0"/>
    <w:pPr>
      <w:widowControl w:val="0"/>
      <w:jc w:val="both"/>
    </w:pPr>
    <w:rPr>
      <w:rFonts w:ascii="Times New Roman" w:hAnsi="Times New Roman" w:eastAsia="宋体" w:cs="Times New Roman"/>
      <w:sz w:val="21"/>
      <w:lang w:val="en-US" w:eastAsia="zh-CN" w:bidi="ar-SA"/>
    </w:rPr>
  </w:style>
  <w:style w:type="paragraph" w:customStyle="1" w:styleId="845">
    <w:name w:val="彩色列表 - 强调文字颜色 11"/>
    <w:basedOn w:val="1"/>
    <w:qFormat/>
    <w:uiPriority w:val="34"/>
    <w:pPr>
      <w:spacing w:line="480" w:lineRule="auto"/>
      <w:ind w:firstLine="420"/>
      <w:jc w:val="left"/>
    </w:pPr>
    <w:rPr>
      <w:rFonts w:ascii="Calibri" w:hAnsi="Calibri"/>
      <w:sz w:val="24"/>
      <w:szCs w:val="22"/>
      <w:lang w:eastAsia="zh-TW"/>
    </w:rPr>
  </w:style>
  <w:style w:type="character" w:customStyle="1" w:styleId="846">
    <w:name w:val="标题 3 Char"/>
    <w:qFormat/>
    <w:uiPriority w:val="0"/>
    <w:rPr>
      <w:rFonts w:eastAsia="楷体_GB2312"/>
      <w:b/>
      <w:sz w:val="26"/>
    </w:rPr>
  </w:style>
  <w:style w:type="character" w:customStyle="1" w:styleId="847">
    <w:name w:val="标题 4 Char"/>
    <w:qFormat/>
    <w:uiPriority w:val="0"/>
    <w:rPr>
      <w:rFonts w:ascii="Arial" w:hAnsi="Arial" w:eastAsia="黑体"/>
      <w:b/>
      <w:bCs/>
      <w:sz w:val="28"/>
      <w:szCs w:val="28"/>
    </w:rPr>
  </w:style>
  <w:style w:type="character" w:customStyle="1" w:styleId="848">
    <w:name w:val="标题 5 Char"/>
    <w:qFormat/>
    <w:uiPriority w:val="0"/>
    <w:rPr>
      <w:rFonts w:ascii="宋体" w:hAnsi="Tms Rmn"/>
      <w:b/>
      <w:sz w:val="28"/>
    </w:rPr>
  </w:style>
  <w:style w:type="character" w:customStyle="1" w:styleId="849">
    <w:name w:val="标题 6 Char"/>
    <w:qFormat/>
    <w:uiPriority w:val="0"/>
    <w:rPr>
      <w:rFonts w:ascii="黑体" w:hAnsi="Tms Rmn" w:eastAsia="黑体"/>
      <w:b/>
      <w:sz w:val="24"/>
    </w:rPr>
  </w:style>
  <w:style w:type="character" w:customStyle="1" w:styleId="850">
    <w:name w:val="标题 7 Char"/>
    <w:qFormat/>
    <w:uiPriority w:val="0"/>
    <w:rPr>
      <w:rFonts w:ascii="宋体" w:hAnsi="Tms Rmn"/>
      <w:b/>
      <w:sz w:val="24"/>
    </w:rPr>
  </w:style>
  <w:style w:type="character" w:customStyle="1" w:styleId="851">
    <w:name w:val="标题 8 Char"/>
    <w:qFormat/>
    <w:uiPriority w:val="0"/>
    <w:rPr>
      <w:rFonts w:ascii="Arial" w:hAnsi="Arial" w:eastAsia="黑体"/>
      <w:sz w:val="24"/>
      <w:szCs w:val="24"/>
    </w:rPr>
  </w:style>
  <w:style w:type="character" w:customStyle="1" w:styleId="852">
    <w:name w:val="标题 9 Char"/>
    <w:qFormat/>
    <w:uiPriority w:val="0"/>
    <w:rPr>
      <w:rFonts w:ascii="Arial" w:hAnsi="Arial" w:eastAsia="黑体"/>
      <w:sz w:val="21"/>
      <w:szCs w:val="21"/>
    </w:rPr>
  </w:style>
  <w:style w:type="character" w:customStyle="1" w:styleId="853">
    <w:name w:val="脚注文本 Char"/>
    <w:semiHidden/>
    <w:qFormat/>
    <w:uiPriority w:val="0"/>
    <w:rPr>
      <w:rFonts w:eastAsia="楷体_GB2312"/>
      <w:sz w:val="18"/>
    </w:rPr>
  </w:style>
  <w:style w:type="character" w:customStyle="1" w:styleId="854">
    <w:name w:val="文档结构图 Char"/>
    <w:semiHidden/>
    <w:qFormat/>
    <w:uiPriority w:val="0"/>
    <w:rPr>
      <w:sz w:val="21"/>
      <w:shd w:val="clear" w:color="auto" w:fill="000080"/>
    </w:rPr>
  </w:style>
  <w:style w:type="character" w:customStyle="1" w:styleId="855">
    <w:name w:val="批注主题 Char"/>
    <w:semiHidden/>
    <w:qFormat/>
    <w:uiPriority w:val="0"/>
    <w:rPr>
      <w:rFonts w:eastAsia="楷体_GB2312"/>
      <w:b/>
      <w:bCs/>
      <w:sz w:val="26"/>
      <w:lang w:val="zh-CN" w:eastAsia="zh-CN"/>
    </w:rPr>
  </w:style>
  <w:style w:type="character" w:customStyle="1" w:styleId="856">
    <w:name w:val="日期 Char"/>
    <w:qFormat/>
    <w:uiPriority w:val="0"/>
    <w:rPr>
      <w:rFonts w:ascii="宋体" w:hAnsi="宋体" w:eastAsia="楷体_GB2312"/>
      <w:sz w:val="24"/>
    </w:rPr>
  </w:style>
  <w:style w:type="character" w:customStyle="1" w:styleId="857">
    <w:name w:val="正文文本 2 Char"/>
    <w:qFormat/>
    <w:uiPriority w:val="0"/>
    <w:rPr>
      <w:rFonts w:eastAsia="楷体_GB2312"/>
      <w:sz w:val="26"/>
    </w:rPr>
  </w:style>
  <w:style w:type="character" w:customStyle="1" w:styleId="858">
    <w:name w:val="正文文本缩进 3 Char"/>
    <w:qFormat/>
    <w:uiPriority w:val="0"/>
    <w:rPr>
      <w:sz w:val="24"/>
      <w:szCs w:val="24"/>
    </w:rPr>
  </w:style>
  <w:style w:type="paragraph" w:customStyle="1" w:styleId="859">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860">
    <w:name w:val="纯文本111"/>
    <w:basedOn w:val="1"/>
    <w:qFormat/>
    <w:uiPriority w:val="0"/>
    <w:rPr>
      <w:rFonts w:ascii="宋体" w:hAnsi="Courier New"/>
      <w:sz w:val="34"/>
    </w:rPr>
  </w:style>
  <w:style w:type="character" w:customStyle="1" w:styleId="861">
    <w:name w:val="尾注文本 Char"/>
    <w:qFormat/>
    <w:uiPriority w:val="0"/>
    <w:rPr>
      <w:rFonts w:eastAsia="楷体_GB2312"/>
      <w:sz w:val="26"/>
    </w:rPr>
  </w:style>
  <w:style w:type="character" w:customStyle="1" w:styleId="862">
    <w:name w:val="未处理的提及1"/>
    <w:basedOn w:val="69"/>
    <w:semiHidden/>
    <w:unhideWhenUsed/>
    <w:qFormat/>
    <w:uiPriority w:val="99"/>
    <w:rPr>
      <w:color w:val="605E5C"/>
      <w:shd w:val="clear" w:color="auto" w:fill="E1DFDD"/>
    </w:rPr>
  </w:style>
  <w:style w:type="paragraph" w:customStyle="1" w:styleId="863">
    <w:name w:val="正文 New New New New"/>
    <w:qFormat/>
    <w:uiPriority w:val="0"/>
    <w:pPr>
      <w:widowControl w:val="0"/>
      <w:jc w:val="both"/>
    </w:pPr>
    <w:rPr>
      <w:rFonts w:ascii="Times New Roman" w:hAnsi="Times New Roman" w:eastAsia="宋体" w:cs="Times New Roman"/>
      <w:szCs w:val="24"/>
      <w:lang w:val="en-US" w:eastAsia="zh-CN" w:bidi="ar-SA"/>
    </w:rPr>
  </w:style>
  <w:style w:type="paragraph" w:customStyle="1" w:styleId="864">
    <w:name w:val="列出段落3"/>
    <w:basedOn w:val="1"/>
    <w:qFormat/>
    <w:uiPriority w:val="34"/>
    <w:pPr>
      <w:ind w:firstLine="420"/>
    </w:pPr>
  </w:style>
  <w:style w:type="table" w:customStyle="1" w:styleId="865">
    <w:name w:val="网格型5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66">
    <w:name w:val="网格型6"/>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67">
    <w:name w:val="网格型41"/>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68">
    <w:name w:val="网格型52"/>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69">
    <w:name w:val="Char Char411"/>
    <w:qFormat/>
    <w:uiPriority w:val="0"/>
    <w:rPr>
      <w:rFonts w:ascii="宋体" w:hAnsi="宋体" w:eastAsia="黑体" w:cs="Arial"/>
      <w:b/>
      <w:sz w:val="28"/>
      <w:szCs w:val="32"/>
      <w:lang w:val="en-US" w:eastAsia="zh-CN" w:bidi="ar-SA"/>
    </w:rPr>
  </w:style>
  <w:style w:type="character" w:customStyle="1" w:styleId="870">
    <w:name w:val="Char Char111"/>
    <w:qFormat/>
    <w:uiPriority w:val="0"/>
    <w:rPr>
      <w:rFonts w:ascii="黑体" w:hAnsi="Arial" w:eastAsia="黑体" w:cs="Arial"/>
      <w:b/>
      <w:bCs/>
      <w:sz w:val="32"/>
      <w:szCs w:val="32"/>
      <w:lang w:val="en-US" w:eastAsia="zh-CN" w:bidi="ar-SA"/>
    </w:rPr>
  </w:style>
  <w:style w:type="character" w:customStyle="1" w:styleId="871">
    <w:name w:val="Char Char51"/>
    <w:qFormat/>
    <w:uiPriority w:val="0"/>
    <w:rPr>
      <w:rFonts w:eastAsia="宋体"/>
      <w:b/>
      <w:bCs/>
      <w:sz w:val="21"/>
      <w:szCs w:val="24"/>
      <w:lang w:val="en-US" w:eastAsia="zh-CN" w:bidi="ar-SA"/>
    </w:rPr>
  </w:style>
  <w:style w:type="character" w:customStyle="1" w:styleId="872">
    <w:name w:val="Char Char2111"/>
    <w:qFormat/>
    <w:uiPriority w:val="0"/>
    <w:rPr>
      <w:rFonts w:eastAsia="宋体"/>
      <w:sz w:val="21"/>
      <w:szCs w:val="24"/>
      <w:lang w:val="en-US" w:eastAsia="zh-CN" w:bidi="ar-SA"/>
    </w:rPr>
  </w:style>
  <w:style w:type="character" w:customStyle="1" w:styleId="873">
    <w:name w:val="Char Char311"/>
    <w:qFormat/>
    <w:uiPriority w:val="0"/>
    <w:rPr>
      <w:rFonts w:ascii="黑体" w:hAnsi="宋体" w:eastAsia="黑体" w:cs="Arial"/>
      <w:b/>
      <w:bCs/>
      <w:sz w:val="24"/>
      <w:szCs w:val="24"/>
      <w:lang w:val="en-US" w:eastAsia="zh-CN" w:bidi="ar-SA"/>
    </w:rPr>
  </w:style>
  <w:style w:type="paragraph" w:customStyle="1" w:styleId="874">
    <w:name w:val="Char111"/>
    <w:basedOn w:val="1"/>
    <w:qFormat/>
    <w:uiPriority w:val="0"/>
    <w:pPr>
      <w:widowControl/>
      <w:spacing w:after="160" w:line="240" w:lineRule="exact"/>
      <w:jc w:val="left"/>
    </w:pPr>
    <w:rPr>
      <w:rFonts w:ascii="Verdana" w:hAnsi="Verdana" w:eastAsia="仿宋_GB2312"/>
      <w:sz w:val="24"/>
      <w:lang w:eastAsia="en-US"/>
    </w:rPr>
  </w:style>
  <w:style w:type="paragraph" w:customStyle="1" w:styleId="875">
    <w:name w:val="正文11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876">
    <w:name w:val="Char Char Char Char Char Char Char Char Char Char11"/>
    <w:basedOn w:val="1"/>
    <w:qFormat/>
    <w:uiPriority w:val="0"/>
    <w:pPr>
      <w:tabs>
        <w:tab w:val="left" w:pos="360"/>
        <w:tab w:val="left" w:pos="855"/>
      </w:tabs>
      <w:ind w:left="855" w:hanging="855"/>
    </w:pPr>
    <w:rPr>
      <w:sz w:val="24"/>
      <w:szCs w:val="24"/>
    </w:rPr>
  </w:style>
  <w:style w:type="paragraph" w:customStyle="1" w:styleId="877">
    <w:name w:val="Char Char Char Char21"/>
    <w:basedOn w:val="1"/>
    <w:qFormat/>
    <w:uiPriority w:val="0"/>
    <w:rPr>
      <w:szCs w:val="24"/>
    </w:rPr>
  </w:style>
  <w:style w:type="paragraph" w:customStyle="1" w:styleId="878">
    <w:name w:val="Char Char Char Char111"/>
    <w:basedOn w:val="1"/>
    <w:qFormat/>
    <w:uiPriority w:val="0"/>
    <w:rPr>
      <w:szCs w:val="24"/>
    </w:rPr>
  </w:style>
  <w:style w:type="paragraph" w:customStyle="1" w:styleId="879">
    <w:name w:val="TOC 标题2"/>
    <w:basedOn w:val="2"/>
    <w:next w:val="1"/>
    <w:unhideWhenUsed/>
    <w:qFormat/>
    <w:uiPriority w:val="39"/>
    <w:pPr>
      <w:keepLines/>
      <w:widowControl/>
      <w:spacing w:before="240" w:line="259" w:lineRule="auto"/>
      <w:jc w:val="left"/>
      <w:outlineLvl w:val="9"/>
    </w:pPr>
    <w:rPr>
      <w:rFonts w:asciiTheme="majorHAnsi" w:hAnsiTheme="majorHAnsi" w:eastAsiaTheme="majorEastAsia" w:cstheme="majorBidi"/>
      <w:b w:val="0"/>
      <w:color w:val="376092" w:themeColor="accent1" w:themeShade="BF"/>
      <w:sz w:val="32"/>
      <w:szCs w:val="32"/>
    </w:rPr>
  </w:style>
  <w:style w:type="paragraph" w:customStyle="1" w:styleId="880">
    <w:name w:val="样式 小四 段前: 5 磅 段后: 5 磅 首行缩进:  2 字符"/>
    <w:basedOn w:val="1"/>
    <w:qFormat/>
    <w:uiPriority w:val="99"/>
    <w:pPr>
      <w:spacing w:line="360" w:lineRule="auto"/>
    </w:pPr>
    <w:rPr>
      <w:rFonts w:ascii="宋体" w:hAnsi="宋体"/>
      <w:szCs w:val="21"/>
    </w:rPr>
  </w:style>
  <w:style w:type="character" w:customStyle="1" w:styleId="881">
    <w:name w:val="未处理的提及2"/>
    <w:basedOn w:val="69"/>
    <w:semiHidden/>
    <w:unhideWhenUsed/>
    <w:qFormat/>
    <w:uiPriority w:val="99"/>
    <w:rPr>
      <w:color w:val="605E5C"/>
      <w:shd w:val="clear" w:color="auto" w:fill="E1DFDD"/>
    </w:rPr>
  </w:style>
  <w:style w:type="table" w:customStyle="1" w:styleId="882">
    <w:name w:val="网格型53"/>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83">
    <w:name w:val="修订2"/>
    <w:hidden/>
    <w:semiHidden/>
    <w:qFormat/>
    <w:uiPriority w:val="99"/>
    <w:rPr>
      <w:rFonts w:ascii="Times New Roman" w:hAnsi="Times New Roman" w:eastAsia="宋体" w:cs="Times New Roman"/>
      <w:sz w:val="21"/>
      <w:lang w:val="en-US" w:eastAsia="zh-CN" w:bidi="ar-SA"/>
    </w:rPr>
  </w:style>
  <w:style w:type="table" w:customStyle="1" w:styleId="884">
    <w:name w:val="网格型11"/>
    <w:basedOn w:val="67"/>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85">
    <w:name w:val="NormalCharacter"/>
    <w:semiHidden/>
    <w:qFormat/>
    <w:uiPriority w:val="0"/>
  </w:style>
  <w:style w:type="table" w:customStyle="1" w:styleId="886">
    <w:name w:val="网格型42"/>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7">
    <w:name w:val="网格型7"/>
    <w:basedOn w:val="67"/>
    <w:unhideWhenUsed/>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88">
    <w:name w:val="首行缩进"/>
    <w:basedOn w:val="1"/>
    <w:qFormat/>
    <w:uiPriority w:val="0"/>
    <w:pPr>
      <w:ind w:firstLine="480"/>
    </w:pPr>
    <w:rPr>
      <w:rFonts w:ascii="Calibri" w:hAnsi="Calibri" w:eastAsia="楷体_GB2312"/>
      <w:sz w:val="26"/>
      <w:lang w:val="zh-CN"/>
    </w:rPr>
  </w:style>
  <w:style w:type="character" w:customStyle="1" w:styleId="889">
    <w:name w:val="未处理的提及3"/>
    <w:basedOn w:val="69"/>
    <w:semiHidden/>
    <w:unhideWhenUsed/>
    <w:qFormat/>
    <w:uiPriority w:val="99"/>
    <w:rPr>
      <w:color w:val="605E5C"/>
      <w:shd w:val="clear" w:color="auto" w:fill="E1DFDD"/>
    </w:rPr>
  </w:style>
  <w:style w:type="table" w:customStyle="1" w:styleId="890">
    <w:name w:val="网格型421"/>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1">
    <w:name w:val="网格型52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2">
    <w:name w:val="网格型61"/>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3">
    <w:name w:val="网格型8"/>
    <w:basedOn w:val="67"/>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4">
    <w:name w:val="网格型12"/>
    <w:basedOn w:val="67"/>
    <w:qFormat/>
    <w:uiPriority w:val="0"/>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5">
    <w:name w:val="网格型21"/>
    <w:basedOn w:val="67"/>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6">
    <w:name w:val="网格型31"/>
    <w:basedOn w:val="67"/>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7">
    <w:name w:val="网格型43"/>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8">
    <w:name w:val="网格型54"/>
    <w:basedOn w:val="67"/>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9">
    <w:name w:val="网格型51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0">
    <w:name w:val="网格型62"/>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1">
    <w:name w:val="网格型411"/>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2">
    <w:name w:val="网格型522"/>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3">
    <w:name w:val="网格型53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4">
    <w:name w:val="网格型111"/>
    <w:basedOn w:val="67"/>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5">
    <w:name w:val="网格型422"/>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06">
    <w:name w:val="_Style 637"/>
    <w:qFormat/>
    <w:uiPriority w:val="99"/>
    <w:pPr>
      <w:widowControl w:val="0"/>
      <w:jc w:val="both"/>
    </w:pPr>
    <w:rPr>
      <w:rFonts w:ascii="Times New Roman" w:hAnsi="Times New Roman" w:eastAsia="宋体" w:cs="Times New Roman"/>
      <w:sz w:val="21"/>
      <w:lang w:val="en-US" w:eastAsia="zh-CN" w:bidi="ar-SA"/>
    </w:rPr>
  </w:style>
  <w:style w:type="character" w:customStyle="1" w:styleId="907">
    <w:name w:val="Char Char91"/>
    <w:qFormat/>
    <w:uiPriority w:val="0"/>
    <w:rPr>
      <w:rFonts w:eastAsia="宋体"/>
      <w:b/>
      <w:bCs/>
      <w:sz w:val="32"/>
      <w:szCs w:val="44"/>
      <w:lang w:val="en-US" w:eastAsia="zh-CN" w:bidi="ar-SA"/>
    </w:rPr>
  </w:style>
  <w:style w:type="character" w:customStyle="1" w:styleId="908">
    <w:name w:val="Body Text Indent Char"/>
    <w:qFormat/>
    <w:uiPriority w:val="0"/>
    <w:rPr>
      <w:rFonts w:ascii="宋体" w:hAnsi="宋体" w:eastAsia="宋体"/>
      <w:sz w:val="21"/>
      <w:lang w:val="en-US" w:eastAsia="zh-CN" w:bidi="ar-SA"/>
    </w:rPr>
  </w:style>
  <w:style w:type="character" w:customStyle="1" w:styleId="909">
    <w:name w:val="Body Text Indent 2 Char"/>
    <w:qFormat/>
    <w:uiPriority w:val="0"/>
    <w:rPr>
      <w:rFonts w:eastAsia="宋体"/>
      <w:sz w:val="21"/>
      <w:szCs w:val="24"/>
      <w:lang w:val="en-US" w:eastAsia="zh-CN" w:bidi="ar-SA"/>
    </w:rPr>
  </w:style>
  <w:style w:type="character" w:customStyle="1" w:styleId="910">
    <w:name w:val="批注文字 Char2"/>
    <w:qFormat/>
    <w:uiPriority w:val="0"/>
    <w:rPr>
      <w:rFonts w:eastAsia="宋体"/>
      <w:sz w:val="21"/>
      <w:szCs w:val="24"/>
      <w:lang w:val="en-US" w:eastAsia="zh-CN" w:bidi="ar-SA"/>
    </w:rPr>
  </w:style>
  <w:style w:type="character" w:customStyle="1" w:styleId="911">
    <w:name w:val="Comment Subject Char"/>
    <w:qFormat/>
    <w:uiPriority w:val="0"/>
    <w:rPr>
      <w:b/>
      <w:sz w:val="24"/>
      <w:lang w:bidi="ar-SA"/>
    </w:rPr>
  </w:style>
  <w:style w:type="character" w:customStyle="1" w:styleId="912">
    <w:name w:val="超链接_0"/>
    <w:qFormat/>
    <w:uiPriority w:val="99"/>
    <w:rPr>
      <w:rFonts w:ascii="Calibri" w:hAnsi="Calibri" w:cs="Times New Roman"/>
      <w:color w:val="0000FF"/>
      <w:u w:val="single"/>
    </w:rPr>
  </w:style>
  <w:style w:type="character" w:customStyle="1" w:styleId="913">
    <w:name w:val="Balloon Text Char"/>
    <w:qFormat/>
    <w:uiPriority w:val="0"/>
    <w:rPr>
      <w:sz w:val="18"/>
      <w:lang w:bidi="ar-SA"/>
    </w:rPr>
  </w:style>
  <w:style w:type="character" w:customStyle="1" w:styleId="914">
    <w:name w:val="Heading 3 Char1"/>
    <w:qFormat/>
    <w:uiPriority w:val="0"/>
    <w:rPr>
      <w:rFonts w:eastAsia="宋体"/>
      <w:b/>
      <w:bCs/>
      <w:sz w:val="24"/>
      <w:szCs w:val="32"/>
      <w:lang w:val="en-US" w:eastAsia="zh-CN" w:bidi="ar-SA"/>
    </w:rPr>
  </w:style>
  <w:style w:type="character" w:customStyle="1" w:styleId="915">
    <w:name w:val="Document Map Char"/>
    <w:qFormat/>
    <w:uiPriority w:val="0"/>
    <w:rPr>
      <w:rFonts w:eastAsia="宋体"/>
      <w:sz w:val="21"/>
      <w:szCs w:val="24"/>
      <w:lang w:val="en-US" w:eastAsia="zh-CN" w:bidi="ar-SA"/>
    </w:rPr>
  </w:style>
  <w:style w:type="character" w:customStyle="1" w:styleId="916">
    <w:name w:val="Comment Text Char1"/>
    <w:qFormat/>
    <w:uiPriority w:val="0"/>
    <w:rPr>
      <w:sz w:val="24"/>
      <w:lang w:bidi="ar-SA"/>
    </w:rPr>
  </w:style>
  <w:style w:type="character" w:customStyle="1" w:styleId="917">
    <w:name w:val="Comment Text Char"/>
    <w:qFormat/>
    <w:uiPriority w:val="0"/>
    <w:rPr>
      <w:rFonts w:cs="Times New Roman"/>
      <w:sz w:val="24"/>
      <w:szCs w:val="24"/>
    </w:rPr>
  </w:style>
  <w:style w:type="character" w:customStyle="1" w:styleId="918">
    <w:name w:val="Date Char"/>
    <w:qFormat/>
    <w:uiPriority w:val="0"/>
    <w:rPr>
      <w:rFonts w:eastAsia="宋体"/>
      <w:sz w:val="21"/>
      <w:szCs w:val="24"/>
      <w:lang w:val="en-US" w:eastAsia="zh-CN" w:bidi="ar-SA"/>
    </w:rPr>
  </w:style>
  <w:style w:type="paragraph" w:customStyle="1" w:styleId="919">
    <w:name w:val="标题_0"/>
    <w:basedOn w:val="920"/>
    <w:qFormat/>
    <w:uiPriority w:val="0"/>
    <w:pPr>
      <w:spacing w:before="120" w:after="120" w:line="360" w:lineRule="auto"/>
      <w:jc w:val="center"/>
      <w:outlineLvl w:val="0"/>
    </w:pPr>
    <w:rPr>
      <w:rFonts w:ascii="黑体" w:hAnsi="Arial" w:eastAsia="黑体"/>
      <w:b/>
      <w:bCs/>
      <w:sz w:val="32"/>
      <w:szCs w:val="32"/>
    </w:rPr>
  </w:style>
  <w:style w:type="paragraph" w:customStyle="1" w:styleId="920">
    <w:name w:val="正文_1"/>
    <w:qFormat/>
    <w:uiPriority w:val="0"/>
    <w:rPr>
      <w:rFonts w:ascii="Times New Roman" w:hAnsi="Times New Roman" w:eastAsia="宋体" w:cs="Times New Roman"/>
      <w:sz w:val="21"/>
      <w:szCs w:val="22"/>
      <w:lang w:val="en-US" w:eastAsia="zh-CN" w:bidi="ar-SA"/>
    </w:rPr>
  </w:style>
  <w:style w:type="paragraph" w:customStyle="1" w:styleId="921">
    <w:name w:val="标题 3_0"/>
    <w:basedOn w:val="859"/>
    <w:next w:val="859"/>
    <w:qFormat/>
    <w:uiPriority w:val="0"/>
    <w:pPr>
      <w:keepNext/>
      <w:keepLines/>
      <w:spacing w:before="260" w:after="260" w:line="413" w:lineRule="auto"/>
      <w:outlineLvl w:val="2"/>
    </w:pPr>
    <w:rPr>
      <w:rFonts w:ascii="Times New Roman" w:hAnsi="Times New Roman"/>
      <w:b/>
      <w:bCs/>
      <w:sz w:val="32"/>
      <w:szCs w:val="32"/>
    </w:rPr>
  </w:style>
  <w:style w:type="paragraph" w:customStyle="1" w:styleId="922">
    <w:name w:val="正文缩进_0"/>
    <w:basedOn w:val="920"/>
    <w:qFormat/>
    <w:uiPriority w:val="0"/>
    <w:pPr>
      <w:widowControl w:val="0"/>
      <w:ind w:firstLine="420"/>
      <w:jc w:val="both"/>
    </w:pPr>
    <w:rPr>
      <w:u w:val="single"/>
    </w:rPr>
  </w:style>
  <w:style w:type="paragraph" w:customStyle="1" w:styleId="923">
    <w:name w:val="标题 4_0"/>
    <w:basedOn w:val="859"/>
    <w:next w:val="859"/>
    <w:qFormat/>
    <w:uiPriority w:val="0"/>
    <w:pPr>
      <w:keepNext/>
      <w:keepLines/>
      <w:spacing w:before="280" w:after="290" w:line="372" w:lineRule="auto"/>
      <w:outlineLvl w:val="3"/>
    </w:pPr>
    <w:rPr>
      <w:rFonts w:ascii="Cambria" w:hAnsi="Cambria"/>
      <w:b/>
      <w:bCs/>
      <w:sz w:val="28"/>
      <w:szCs w:val="28"/>
    </w:rPr>
  </w:style>
  <w:style w:type="paragraph" w:customStyle="1" w:styleId="924">
    <w:name w:val="无间隔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925">
    <w:name w:val="正文文本_0"/>
    <w:basedOn w:val="859"/>
    <w:qFormat/>
    <w:uiPriority w:val="0"/>
    <w:pPr>
      <w:spacing w:after="60" w:line="360" w:lineRule="atLeast"/>
      <w:ind w:left="72" w:right="30"/>
      <w:jc w:val="center"/>
    </w:pPr>
    <w:rPr>
      <w:rFonts w:ascii="Times New Roman" w:hAnsi="Times New Roman"/>
      <w:sz w:val="20"/>
      <w:szCs w:val="20"/>
    </w:rPr>
  </w:style>
  <w:style w:type="paragraph" w:customStyle="1" w:styleId="926">
    <w:name w:val="_Style 37"/>
    <w:basedOn w:val="1"/>
    <w:next w:val="1"/>
    <w:qFormat/>
    <w:uiPriority w:val="0"/>
    <w:rPr>
      <w:szCs w:val="24"/>
    </w:rPr>
  </w:style>
  <w:style w:type="paragraph" w:customStyle="1" w:styleId="927">
    <w:name w:val="2-2ji"/>
    <w:basedOn w:val="3"/>
    <w:qFormat/>
    <w:uiPriority w:val="0"/>
    <w:pPr>
      <w:keepLines/>
      <w:spacing w:line="360" w:lineRule="auto"/>
    </w:pPr>
    <w:rPr>
      <w:rFonts w:ascii="宋体" w:hAnsi="宋体" w:eastAsia="宋体"/>
      <w:sz w:val="36"/>
      <w:szCs w:val="24"/>
      <w:lang w:val="zh-CN"/>
    </w:rPr>
  </w:style>
  <w:style w:type="paragraph" w:customStyle="1" w:styleId="928">
    <w:name w:val="TOC 标题_0"/>
    <w:basedOn w:val="929"/>
    <w:next w:val="859"/>
    <w:qFormat/>
    <w:uiPriority w:val="0"/>
    <w:pPr>
      <w:outlineLvl w:val="9"/>
    </w:pPr>
    <w:rPr>
      <w:rFonts w:ascii="Calibri" w:hAnsi="Calibri"/>
    </w:rPr>
  </w:style>
  <w:style w:type="paragraph" w:customStyle="1" w:styleId="929">
    <w:name w:val="标题 1_0"/>
    <w:basedOn w:val="859"/>
    <w:next w:val="859"/>
    <w:qFormat/>
    <w:uiPriority w:val="0"/>
    <w:pPr>
      <w:keepNext/>
      <w:keepLines/>
      <w:spacing w:before="340" w:after="330" w:line="576" w:lineRule="auto"/>
      <w:outlineLvl w:val="0"/>
    </w:pPr>
    <w:rPr>
      <w:rFonts w:ascii="Times New Roman" w:hAnsi="Times New Roman"/>
      <w:b/>
      <w:bCs/>
      <w:sz w:val="44"/>
      <w:szCs w:val="44"/>
    </w:rPr>
  </w:style>
  <w:style w:type="character" w:customStyle="1" w:styleId="930">
    <w:name w:val="标题 2 Char1"/>
    <w:qFormat/>
    <w:uiPriority w:val="0"/>
    <w:rPr>
      <w:rFonts w:ascii="Arial" w:hAnsi="Arial" w:eastAsia="黑体" w:cs="Calibri"/>
      <w:b/>
      <w:sz w:val="32"/>
      <w:szCs w:val="20"/>
    </w:rPr>
  </w:style>
  <w:style w:type="character" w:customStyle="1" w:styleId="931">
    <w:name w:val="标题 3 Char1"/>
    <w:qFormat/>
    <w:uiPriority w:val="0"/>
    <w:rPr>
      <w:rFonts w:ascii="Calibri" w:hAnsi="Calibri" w:eastAsia="宋体" w:cs="Arial"/>
      <w:b/>
      <w:sz w:val="32"/>
      <w:szCs w:val="20"/>
    </w:rPr>
  </w:style>
  <w:style w:type="character" w:customStyle="1" w:styleId="932">
    <w:name w:val="样式 Char"/>
    <w:link w:val="508"/>
    <w:qFormat/>
    <w:uiPriority w:val="0"/>
    <w:rPr>
      <w:rFonts w:ascii="宋体" w:hAnsi="MS Sans Serif"/>
      <w:spacing w:val="12"/>
      <w:sz w:val="24"/>
      <w:szCs w:val="24"/>
    </w:rPr>
  </w:style>
  <w:style w:type="character" w:customStyle="1" w:styleId="933">
    <w:name w:val="正文文本 (2)"/>
    <w:qFormat/>
    <w:uiPriority w:val="0"/>
    <w:rPr>
      <w:rFonts w:hint="eastAsia" w:ascii="宋体" w:hAnsi="宋体" w:eastAsia="宋体" w:cs="宋体"/>
      <w:color w:val="000000"/>
      <w:spacing w:val="0"/>
      <w:position w:val="0"/>
      <w:sz w:val="20"/>
      <w:szCs w:val="20"/>
      <w:u w:val="none"/>
      <w:lang w:val="zh-TW" w:eastAsia="zh-TW" w:bidi="zh-TW"/>
    </w:rPr>
  </w:style>
  <w:style w:type="character" w:customStyle="1" w:styleId="934">
    <w:name w:val="正文文本 (2) + Consolas"/>
    <w:qFormat/>
    <w:uiPriority w:val="0"/>
    <w:rPr>
      <w:rFonts w:hint="default" w:ascii="Consolas" w:hAnsi="Consolas" w:eastAsia="Consolas" w:cs="Consolas"/>
      <w:b/>
      <w:bCs/>
      <w:color w:val="000000"/>
      <w:spacing w:val="-10"/>
      <w:position w:val="0"/>
      <w:sz w:val="20"/>
      <w:szCs w:val="20"/>
      <w:u w:val="none"/>
      <w:lang w:val="en-US" w:eastAsia="en-US" w:bidi="en-US"/>
    </w:rPr>
  </w:style>
  <w:style w:type="character" w:customStyle="1" w:styleId="935">
    <w:name w:val="图片标题 (2) Exact"/>
    <w:link w:val="936"/>
    <w:qFormat/>
    <w:uiPriority w:val="0"/>
    <w:rPr>
      <w:rFonts w:ascii="宋体" w:hAnsi="宋体" w:cs="宋体"/>
      <w:shd w:val="clear" w:color="auto" w:fill="FFFFFF"/>
      <w:lang w:eastAsia="en-US" w:bidi="en-US"/>
    </w:rPr>
  </w:style>
  <w:style w:type="paragraph" w:customStyle="1" w:styleId="936">
    <w:name w:val="图片标题 (2)"/>
    <w:basedOn w:val="1"/>
    <w:link w:val="935"/>
    <w:qFormat/>
    <w:uiPriority w:val="0"/>
    <w:pPr>
      <w:shd w:val="clear" w:color="auto" w:fill="FFFFFF"/>
      <w:spacing w:line="408" w:lineRule="exact"/>
      <w:jc w:val="left"/>
    </w:pPr>
    <w:rPr>
      <w:rFonts w:ascii="宋体" w:hAnsi="宋体" w:cs="宋体"/>
      <w:sz w:val="20"/>
      <w:lang w:eastAsia="en-US" w:bidi="en-US"/>
    </w:rPr>
  </w:style>
  <w:style w:type="character" w:customStyle="1" w:styleId="937">
    <w:name w:val="图片标题 (2) + Consolas"/>
    <w:qFormat/>
    <w:uiPriority w:val="0"/>
    <w:rPr>
      <w:rFonts w:hint="default" w:ascii="Consolas" w:hAnsi="Consolas" w:eastAsia="Consolas" w:cs="Consolas"/>
      <w:b/>
      <w:bCs/>
      <w:color w:val="000000"/>
      <w:spacing w:val="-10"/>
      <w:position w:val="0"/>
      <w:shd w:val="clear" w:color="auto" w:fill="FFFFFF"/>
      <w:lang w:eastAsia="en-US" w:bidi="en-US"/>
    </w:rPr>
  </w:style>
  <w:style w:type="character" w:customStyle="1" w:styleId="938">
    <w:name w:val="正文文本 (2) + 7.5 pt"/>
    <w:qFormat/>
    <w:uiPriority w:val="0"/>
    <w:rPr>
      <w:rFonts w:hint="eastAsia" w:ascii="宋体" w:hAnsi="宋体" w:eastAsia="宋体" w:cs="宋体"/>
      <w:color w:val="000000"/>
      <w:spacing w:val="0"/>
      <w:position w:val="0"/>
      <w:sz w:val="15"/>
      <w:szCs w:val="15"/>
      <w:u w:val="none"/>
      <w:lang w:val="zh-TW" w:eastAsia="zh-TW" w:bidi="zh-TW"/>
    </w:rPr>
  </w:style>
  <w:style w:type="character" w:customStyle="1" w:styleId="939">
    <w:name w:val="正文文本 (27)"/>
    <w:qFormat/>
    <w:uiPriority w:val="0"/>
    <w:rPr>
      <w:rFonts w:hint="eastAsia" w:ascii="宋体" w:hAnsi="宋体" w:eastAsia="宋体" w:cs="宋体"/>
      <w:spacing w:val="20"/>
      <w:sz w:val="20"/>
      <w:szCs w:val="20"/>
      <w:u w:val="none"/>
      <w:lang w:val="zh-TW" w:eastAsia="zh-TW" w:bidi="zh-TW"/>
    </w:rPr>
  </w:style>
  <w:style w:type="character" w:customStyle="1" w:styleId="940">
    <w:name w:val="正文文本 (27) + 间距 0 pt"/>
    <w:qFormat/>
    <w:uiPriority w:val="0"/>
    <w:rPr>
      <w:rFonts w:hint="eastAsia" w:ascii="宋体" w:hAnsi="宋体" w:eastAsia="宋体" w:cs="宋体"/>
      <w:spacing w:val="0"/>
      <w:sz w:val="20"/>
      <w:szCs w:val="20"/>
      <w:u w:val="none"/>
      <w:lang w:val="en-US" w:eastAsia="en-US" w:bidi="en-US"/>
    </w:rPr>
  </w:style>
  <w:style w:type="table" w:customStyle="1" w:styleId="941">
    <w:name w:val="网格型1111"/>
    <w:basedOn w:val="67"/>
    <w:qFormat/>
    <w:uiPriority w:val="59"/>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42">
    <w:name w:val="网格型31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43">
    <w:name w:val="网格型523"/>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44">
    <w:name w:val="网格型63"/>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945">
    <w:name w:val="16"/>
    <w:basedOn w:val="69"/>
    <w:qFormat/>
    <w:uiPriority w:val="0"/>
    <w:rPr>
      <w:rFonts w:hint="default" w:ascii="Times New Roman" w:hAnsi="Times New Roman" w:cs="Times New Roman"/>
    </w:rPr>
  </w:style>
  <w:style w:type="paragraph" w:customStyle="1" w:styleId="946">
    <w:name w:val="BodyText1I2"/>
    <w:basedOn w:val="947"/>
    <w:qFormat/>
    <w:uiPriority w:val="99"/>
    <w:pPr>
      <w:ind w:left="0" w:firstLine="420"/>
    </w:pPr>
  </w:style>
  <w:style w:type="paragraph" w:customStyle="1" w:styleId="947">
    <w:name w:val="BodyTextIndent"/>
    <w:basedOn w:val="1"/>
    <w:qFormat/>
    <w:uiPriority w:val="99"/>
    <w:pPr>
      <w:spacing w:line="360" w:lineRule="auto"/>
      <w:ind w:left="257"/>
    </w:pPr>
    <w:rPr>
      <w:rFonts w:ascii="宋体" w:hAnsi="宋体" w:eastAsia="仿宋_GB2312"/>
      <w:b/>
      <w:sz w:val="24"/>
    </w:rPr>
  </w:style>
  <w:style w:type="paragraph" w:customStyle="1" w:styleId="948">
    <w:name w:val="索引 41"/>
    <w:basedOn w:val="1"/>
    <w:next w:val="1"/>
    <w:qFormat/>
    <w:uiPriority w:val="0"/>
    <w:pPr>
      <w:ind w:left="600"/>
    </w:pPr>
  </w:style>
  <w:style w:type="paragraph" w:customStyle="1" w:styleId="949">
    <w:name w:val="页眉11"/>
    <w:basedOn w:val="1"/>
    <w:qFormat/>
    <w:uiPriority w:val="0"/>
    <w:pPr>
      <w:pBdr>
        <w:bottom w:val="single" w:color="000000" w:sz="6" w:space="1"/>
      </w:pBdr>
      <w:tabs>
        <w:tab w:val="center" w:pos="4153"/>
        <w:tab w:val="right" w:pos="8306"/>
      </w:tabs>
      <w:jc w:val="center"/>
    </w:pPr>
    <w:rPr>
      <w:sz w:val="18"/>
      <w:szCs w:val="18"/>
    </w:rPr>
  </w:style>
  <w:style w:type="paragraph" w:customStyle="1" w:styleId="950">
    <w:name w:val="页脚1"/>
    <w:basedOn w:val="1"/>
    <w:qFormat/>
    <w:uiPriority w:val="0"/>
    <w:pPr>
      <w:tabs>
        <w:tab w:val="center" w:pos="4153"/>
        <w:tab w:val="right" w:pos="8306"/>
      </w:tabs>
      <w:jc w:val="left"/>
    </w:pPr>
    <w:rPr>
      <w:sz w:val="18"/>
      <w:szCs w:val="18"/>
    </w:rPr>
  </w:style>
  <w:style w:type="character" w:customStyle="1" w:styleId="951">
    <w:name w:val="页码1"/>
    <w:qFormat/>
    <w:uiPriority w:val="0"/>
    <w:rPr>
      <w:rFonts w:hint="default" w:ascii="Times New Roman" w:hAnsi="Times New Roman" w:eastAsia="宋体" w:cs="Times New Roman"/>
      <w:sz w:val="21"/>
      <w:lang w:val="en-US" w:eastAsia="zh-CN" w:bidi="ar-SA"/>
    </w:rPr>
  </w:style>
  <w:style w:type="paragraph" w:customStyle="1" w:styleId="952">
    <w:name w:val="正文缩进11"/>
    <w:basedOn w:val="1"/>
    <w:qFormat/>
    <w:uiPriority w:val="0"/>
    <w:pPr>
      <w:ind w:firstLine="420"/>
    </w:pPr>
  </w:style>
  <w:style w:type="paragraph" w:customStyle="1" w:styleId="953">
    <w:name w:val="标题 411"/>
    <w:basedOn w:val="1"/>
    <w:next w:val="1"/>
    <w:unhideWhenUsed/>
    <w:qFormat/>
    <w:uiPriority w:val="9"/>
    <w:pPr>
      <w:keepNext/>
      <w:keepLines/>
      <w:spacing w:before="320" w:after="200"/>
      <w:outlineLvl w:val="3"/>
    </w:pPr>
    <w:rPr>
      <w:rFonts w:ascii="Arial" w:hAnsi="Arial" w:eastAsia="Arial" w:cs="Arial"/>
      <w:b/>
      <w:bCs/>
      <w:sz w:val="26"/>
      <w:szCs w:val="26"/>
    </w:rPr>
  </w:style>
  <w:style w:type="paragraph" w:customStyle="1" w:styleId="954">
    <w:name w:val="正文文本11"/>
    <w:basedOn w:val="1"/>
    <w:next w:val="1"/>
    <w:autoRedefine/>
    <w:qFormat/>
    <w:uiPriority w:val="0"/>
    <w:rPr>
      <w:rFonts w:ascii="仿宋_GB2312" w:eastAsia="仿宋_GB2312"/>
      <w:sz w:val="28"/>
    </w:rPr>
  </w:style>
  <w:style w:type="paragraph" w:customStyle="1" w:styleId="955">
    <w:name w:val="List Paragraph1"/>
    <w:basedOn w:val="1"/>
    <w:qFormat/>
    <w:uiPriority w:val="99"/>
    <w:pPr>
      <w:ind w:firstLine="420"/>
    </w:pPr>
    <w:rPr>
      <w:rFonts w:ascii="Calibri" w:hAnsi="Calibri" w:cs="Calibri"/>
      <w:szCs w:val="21"/>
    </w:rPr>
  </w:style>
  <w:style w:type="paragraph" w:customStyle="1" w:styleId="956">
    <w:name w:val="_Style 209"/>
    <w:basedOn w:val="1"/>
    <w:next w:val="263"/>
    <w:qFormat/>
    <w:uiPriority w:val="34"/>
    <w:pPr>
      <w:ind w:firstLine="420"/>
    </w:pPr>
    <w:rPr>
      <w:rFonts w:ascii="Calibri" w:hAnsi="Calibri"/>
      <w:szCs w:val="22"/>
    </w:rPr>
  </w:style>
  <w:style w:type="paragraph" w:customStyle="1" w:styleId="957">
    <w:name w:val="普通(网站)11"/>
    <w:basedOn w:val="1"/>
    <w:unhideWhenUsed/>
    <w:qFormat/>
    <w:uiPriority w:val="99"/>
    <w:rPr>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cf165f4b-3157-42ab-8fb6-2c29ff3f9621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68C64755</paraID>
      <start>18</start>
      <end>19</end>
      <status>unmodified</status>
      <modifiedWord/>
      <trackRevisions>false</trackRevisions>
    </reviewItem>
    <reviewItem>
      <errorID>a6a53525-130e-4b52-8d43-97f0df12cf7d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7D4703C8</paraID>
      <start>42</start>
      <end>43</end>
      <status>unmodified</status>
      <modifiedWord/>
      <trackRevisions>false</trackRevisions>
    </reviewItem>
    <reviewItem>
      <errorID>67ae46d9-d7cd-4f36-a6db-2b4f2f3c843d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4531F5DD</paraID>
      <start>14</start>
      <end>15</end>
      <status>unmodified</status>
      <modifiedWord/>
      <trackRevisions>false</trackRevisions>
    </reviewItem>
    <reviewItem>
      <errorID>5c68c26d-3d46-46e4-88ae-7c02ffca647c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5A83A9A5</paraID>
      <start>20</start>
      <end>21</end>
      <status>unmodified</status>
      <modifiedWord/>
      <trackRevisions>false</trackRevisions>
    </reviewItem>
    <reviewItem>
      <errorID>78e0caaa-d36e-4a54-9f0b-24aefbf505de</errorID>
      <errorWord>(</errorWord>
      <group>L1_Format</group>
      <groupName>格式问题</groupName>
      <ability>L2_HalfPunc</ability>
      <abilityName>全半角检查</abilityName>
      <candidateList>
        <item>（</item>
      </candidateList>
      <explain>文本全半角错误。</explain>
      <paraID>5A83A9A5</paraID>
      <start>94</start>
      <end>95</end>
      <status>unmodified</status>
      <modifiedWord/>
      <trackRevisions>false</trackRevisions>
    </reviewItem>
    <reviewItem>
      <errorID>39e00931-378e-4197-8aef-90f60024cc54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3883093E</paraID>
      <start>65</start>
      <end>66</end>
      <status>unmodified</status>
      <modifiedWord/>
      <trackRevisions>false</trackRevisions>
    </reviewItem>
    <reviewItem>
      <errorID>548eeca7-1991-4ddb-8b08-2c95dee56c21</errorID>
      <errorWord>日</errorWord>
      <group>L1_Word</group>
      <groupName>字词问题</groupName>
      <ability>L2_Typo</ability>
      <abilityName>字词错误</abilityName>
      <candidateList>
        <item>日内</item>
      </candidateList>
      <explain/>
      <paraID>1F3E89A3</paraID>
      <start>27</start>
      <end>28</end>
      <status>unmodified</status>
      <modifiedWord/>
      <trackRevisions>false</trackRevisions>
    </reviewItem>
    <reviewItem>
      <errorID>492af393-6539-4076-8475-bcb7d9627b93</errorID>
      <errorWord>2026年0月00日</errorWord>
      <group>L1_Knowledge</group>
      <groupName>知识性问题</groupName>
      <ability>L2_Time</ability>
      <abilityName>日期时间</abilityName>
      <candidateList>
        <item>2026年0月0日</item>
      </candidateList>
      <explain>根据日常书写习惯，日期一般会省略前导零。</explain>
      <paraID>5FA99DC6</paraID>
      <start>9</start>
      <end>19</end>
      <status>unmodified</status>
      <modifiedWord/>
      <trackRevisions>false</trackRevisions>
    </reviewItem>
    <reviewItem>
      <errorID>b4683736-e126-4a1c-bcbc-4653a3eea9f2</errorID>
      <errorWord>2026年0月00日</errorWord>
      <group>L1_Knowledge</group>
      <groupName>知识性问题</groupName>
      <ability>L2_Time</ability>
      <abilityName>日期时间</abilityName>
      <candidateList>
        <item>2026年0月0日</item>
      </candidateList>
      <explain>根据日常书写习惯，日期一般会省略前导零。</explain>
      <paraID>40BAB5AC</paraID>
      <start>9</start>
      <end>19</end>
      <status>unmodified</status>
      <modifiedWord/>
      <trackRevisions>false</trackRevisions>
    </reviewItem>
    <reviewItem>
      <errorID>eead3d59-1938-40c7-ab16-8aca348c9eb2</errorID>
      <errorWord>2026年0月00日</errorWord>
      <group>L1_Knowledge</group>
      <groupName>知识性问题</groupName>
      <ability>L2_Time</ability>
      <abilityName>日期时间</abilityName>
      <candidateList>
        <item>2026年0月0日</item>
      </candidateList>
      <explain>根据日常书写习惯，日期一般会省略前导零。</explain>
      <paraID>3CA05710</paraID>
      <start>5</start>
      <end>15</end>
      <status>unmodified</status>
      <modifiedWord/>
      <trackRevisions>false</trackRevisions>
    </reviewItem>
    <reviewItem>
      <errorID>66a4ec0d-a798-4046-97c0-0aa727e8806e</errorID>
      <errorWord>2026年0月00日</errorWord>
      <group>L1_Knowledge</group>
      <groupName>知识性问题</groupName>
      <ability>L2_Time</ability>
      <abilityName>日期时间</abilityName>
      <candidateList>
        <item>2026年0月0日</item>
      </candidateList>
      <explain>根据日常书写习惯，日期一般会省略前导零。</explain>
      <paraID> 9674A5A</paraID>
      <start>9</start>
      <end>19</end>
      <status>unmodified</status>
      <modifiedWord/>
      <trackRevisions>false</trackRevisions>
    </reviewItem>
    <reviewItem>
      <errorID>3fcbabb8-eeed-48c9-9784-b3e634fd15f1</errorID>
      <errorWord>,</errorWord>
      <group>L1_Format</group>
      <groupName>格式问题</groupName>
      <ability>L2_HalfPunc</ability>
      <abilityName>全半角检查</abilityName>
      <candidateList>
        <item>，</item>
      </candidateList>
      <explain>文本全半角错误。</explain>
      <paraID>  4BB1E7</paraID>
      <start>18</start>
      <end>19</end>
      <status>unmodified</status>
      <modifiedWord/>
      <trackRevisions>false</trackRevisions>
    </reviewItem>
    <reviewItem>
      <errorID>92332d92-6c3f-4159-8c9b-0762fd11fcfa</errorID>
      <errorWord>2026年0月00日</errorWord>
      <group>L1_Knowledge</group>
      <groupName>知识性问题</groupName>
      <ability>L2_Time</ability>
      <abilityName>日期时间</abilityName>
      <candidateList>
        <item>2026年0月0日</item>
      </candidateList>
      <explain>根据日常书写习惯，日期一般会省略前导零。</explain>
      <paraID>27BA32F3</paraID>
      <start>40</start>
      <end>50</end>
      <status>unmodified</status>
      <modifiedWord/>
      <trackRevisions>false</trackRevisions>
    </reviewItem>
    <reviewItem>
      <errorID>a5534af4-bb71-4fda-92ab-27548531cdeb</errorID>
      <errorWord>2026年0月00日</errorWord>
      <group>L1_Knowledge</group>
      <groupName>知识性问题</groupName>
      <ability>L2_Time</ability>
      <abilityName>日期时间</abilityName>
      <candidateList>
        <item>2026年0月0日</item>
      </candidateList>
      <explain>根据日常书写习惯，日期一般会省略前导零。</explain>
      <paraID>748214FC</paraID>
      <start>13</start>
      <end>23</end>
      <status>unmodified</status>
      <modifiedWord/>
      <trackRevisions>false</trackRevisions>
    </reviewItem>
    <reviewItem>
      <errorID>c40ef63c-ee1f-49e2-8b8a-6e4b7c1f16f9</errorID>
      <errorWord>如是</errorWord>
      <group>L1_Word</group>
      <groupName>字词问题</groupName>
      <ability>L2_Typo</ability>
      <abilityName>字词错误</abilityName>
      <candidateList>
        <item>如</item>
      </candidateList>
      <explain/>
      <paraID>4639062B</paraID>
      <start>104</start>
      <end>106</end>
      <status>unmodified</status>
      <modifiedWord/>
      <trackRevisions>false</trackRevisions>
    </reviewItem>
    <reviewItem>
      <errorID>dcb9cf88-021d-4f62-9e34-0ec11d9a8363</errorID>
      <errorWord>如是</errorWord>
      <group>L1_Word</group>
      <groupName>字词问题</groupName>
      <ability>L2_Typo</ability>
      <abilityName>字词错误</abilityName>
      <candidateList>
        <item>如</item>
      </candidateList>
      <explain/>
      <paraID>72076DBA</paraID>
      <start>44</start>
      <end>46</end>
      <status>unmodified</status>
      <modifiedWord/>
      <trackRevisions>false</trackRevisions>
    </reviewItem>
    <reviewItem>
      <errorID>28679b07-a3cb-4b0d-8fe8-71a99159766c</errorID>
      <errorWord>（</errorWord>
      <group>L1_Punc</group>
      <groupName>标点问题</groupName>
      <ability>L2_Punc</ability>
      <abilityName>标点符号检查</abilityName>
      <candidateList/>
      <explain>同一形式括号套用。</explain>
      <paraID>38A3E315</paraID>
      <start>144</start>
      <end>145</end>
      <status>unmodified</status>
      <modifiedWord/>
      <trackRevisions>false</trackRevisions>
    </reviewItem>
    <reviewItem>
      <errorID>1dda2f6c-41c5-45cf-9afc-618974d7d4ce</errorID>
      <errorWord>）</errorWord>
      <group>L1_Punc</group>
      <groupName>标点问题</groupName>
      <ability>L2_Punc</ability>
      <abilityName>标点符号检查</abilityName>
      <candidateList/>
      <explain>同一形式括号套用。</explain>
      <paraID>38A3E315</paraID>
      <start>146</start>
      <end>147</end>
      <status>unmodified</status>
      <modifiedWord/>
      <trackRevisions>false</trackRevisions>
    </reviewItem>
    <reviewItem>
      <errorID>72413193-fbcd-43a1-a9c5-72189b2b5c02</errorID>
      <errorWord>（</errorWord>
      <group>L1_Punc</group>
      <groupName>标点问题</groupName>
      <ability>L2_Punc</ability>
      <abilityName>标点符号检查</abilityName>
      <candidateList/>
      <explain>同一形式括号套用。</explain>
      <paraID>42353304</paraID>
      <start>151</start>
      <end>152</end>
      <status>unmodified</status>
      <modifiedWord/>
      <trackRevisions>false</trackRevisions>
    </reviewItem>
    <reviewItem>
      <errorID>0e026c41-259e-4fe3-bc01-1df23f9f627a</errorID>
      <errorWord>）</errorWord>
      <group>L1_Punc</group>
      <groupName>标点问题</groupName>
      <ability>L2_Punc</ability>
      <abilityName>标点符号检查</abilityName>
      <candidateList/>
      <explain>同一形式括号套用。</explain>
      <paraID>42353304</paraID>
      <start>153</start>
      <end>154</end>
      <status>unmodified</status>
      <modifiedWord/>
      <trackRevisions>false</trackRevisions>
    </reviewItem>
    <reviewItem>
      <errorID>773ccef6-1283-41ac-a347-20c52010d883</errorID>
      <errorWord>及实施细则</errorWord>
      <group>L1_Word</group>
      <groupName>字词问题</groupName>
      <ability>L2_Typo</ability>
      <abilityName>字词错误</abilityName>
      <candidateList>
        <item>及其实施细则</item>
      </candidateList>
      <explain/>
      <paraID>1DE59A96</paraID>
      <start>18</start>
      <end>23</end>
      <status>unmodified</status>
      <modifiedWord/>
      <trackRevisions>false</trackRevisions>
    </reviewItem>
    <reviewItem>
      <errorID>86c13c16-24cc-43c3-a205-543983b5e6a4</errorID>
      <errorWord>(</errorWord>
      <group>L1_Format</group>
      <groupName>格式问题</groupName>
      <ability>L2_HalfPunc</ability>
      <abilityName>全半角检查</abilityName>
      <candidateList>
        <item>（</item>
      </candidateList>
      <explain>文本全半角错误。</explain>
      <paraID> C0A6C08</paraID>
      <start>3</start>
      <end>4</end>
      <status>unmodified</status>
      <modifiedWord/>
      <trackRevisions>false</trackRevisions>
    </reviewItem>
    <reviewItem>
      <errorID>5ac49556-c362-48f8-a85a-264130adb83d</errorID>
      <errorWord>)</errorWord>
      <group>L1_Format</group>
      <groupName>格式问题</groupName>
      <ability>L2_HalfPunc</ability>
      <abilityName>全半角检查</abilityName>
      <candidateList>
        <item>）</item>
      </candidateList>
      <explain>文本全半角错误。</explain>
      <paraID> C0A6C08</paraID>
      <start>6</start>
      <end>7</end>
      <status>unmodified</status>
      <modifiedWord/>
      <trackRevisions>false</trackRevisions>
    </reviewItem>
    <reviewItem>
      <errorID>a0b522cb-4856-4a99-a69a-b331f06de7ce</errorID>
      <errorWord>(</errorWord>
      <group>L1_Format</group>
      <groupName>格式问题</groupName>
      <ability>L2_HalfPunc</ability>
      <abilityName>全半角检查</abilityName>
      <candidateList>
        <item>（</item>
      </candidateList>
      <explain>文本全半角错误。</explain>
      <paraID> C0A6C08</paraID>
      <start>25</start>
      <end>26</end>
      <status>unmodified</status>
      <modifiedWord/>
      <trackRevisions>false</trackRevisions>
    </reviewItem>
    <reviewItem>
      <errorID>4e69d471-8aeb-4ca3-89dd-bd1e4d4d75be</errorID>
      <errorWord>)</errorWord>
      <group>L1_Format</group>
      <groupName>格式问题</groupName>
      <ability>L2_HalfPunc</ability>
      <abilityName>全半角检查</abilityName>
      <candidateList>
        <item>）</item>
      </candidateList>
      <explain>文本全半角错误。</explain>
      <paraID> C0A6C08</paraID>
      <start>28</start>
      <end>29</end>
      <status>unmodified</status>
      <modifiedWord/>
      <trackRevisions>false</trackRevisions>
    </reviewItem>
    <reviewItem>
      <errorID>b191f8a9-7199-4f04-9b0f-767d9f0bf963</errorID>
      <errorWord>(</errorWord>
      <group>L1_Format</group>
      <groupName>格式问题</groupName>
      <ability>L2_HalfPunc</ability>
      <abilityName>全半角检查</abilityName>
      <candidateList>
        <item>（</item>
      </candidateList>
      <explain>文本全半角错误。</explain>
      <paraID> C0A6C08</paraID>
      <start>42</start>
      <end>43</end>
      <status>unmodified</status>
      <modifiedWord/>
      <trackRevisions>false</trackRevisions>
    </reviewItem>
    <reviewItem>
      <errorID>83126e5c-12b5-4750-abfb-017f0a968da0</errorID>
      <errorWord>)</errorWord>
      <group>L1_Format</group>
      <groupName>格式问题</groupName>
      <ability>L2_HalfPunc</ability>
      <abilityName>全半角检查</abilityName>
      <candidateList>
        <item>）</item>
      </candidateList>
      <explain>文本全半角错误。</explain>
      <paraID> C0A6C08</paraID>
      <start>45</start>
      <end>46</end>
      <status>unmodified</status>
      <modifiedWord/>
      <trackRevisions>false</trackRevisions>
    </reviewItem>
    <reviewItem>
      <errorID>7201f7d8-7d4d-419e-9bbd-766ee1f7f8e3</errorID>
      <errorWord>&lt;</errorWord>
      <group>L1_Format</group>
      <groupName>格式问题</groupName>
      <ability>L2_HalfPunc</ability>
      <abilityName>全半角检查</abilityName>
      <candidateList>
        <item>〈</item>
      </candidateList>
      <explain>文本全半角错误。</explain>
      <paraID> C0A6C08</paraID>
      <start>48</start>
      <end>49</end>
      <status>unmodified</status>
      <modifiedWord/>
      <trackRevisions>false</trackRevisions>
    </reviewItem>
    <reviewItem>
      <errorID>728e4b2b-753e-4dfa-9dac-097731b07b36</errorID>
      <errorWord>(</errorWord>
      <group>L1_Format</group>
      <groupName>格式问题</groupName>
      <ability>L2_HalfPunc</ability>
      <abilityName>全半角检查</abilityName>
      <candidateList>
        <item>（</item>
      </candidateList>
      <explain>文本全半角错误。</explain>
      <paraID> C0A6C08</paraID>
      <start>63</start>
      <end>64</end>
      <status>unmodified</status>
      <modifiedWord/>
      <trackRevisions>false</trackRevisions>
    </reviewItem>
    <reviewItem>
      <errorID>fb37975b-9a2b-42fc-8ee0-9bb6030c2fd3</errorID>
      <errorWord>)</errorWord>
      <group>L1_Format</group>
      <groupName>格式问题</groupName>
      <ability>L2_HalfPunc</ability>
      <abilityName>全半角检查</abilityName>
      <candidateList>
        <item>）</item>
      </candidateList>
      <explain>文本全半角错误。</explain>
      <paraID> C0A6C08</paraID>
      <start>66</start>
      <end>67</end>
      <status>unmodified</status>
      <modifiedWord/>
      <trackRevisions>false</trackRevisions>
    </reviewItem>
    <reviewItem>
      <errorID>07791490-b45b-4c92-b7d7-c032b17df362</errorID>
      <errorWord>(</errorWord>
      <group>L1_Format</group>
      <groupName>格式问题</groupName>
      <ability>L2_HalfPunc</ability>
      <abilityName>全半角检查</abilityName>
      <candidateList>
        <item>（</item>
      </candidateList>
      <explain>文本全半角错误。</explain>
      <paraID>2117C029</paraID>
      <start>3</start>
      <end>4</end>
      <status>unmodified</status>
      <modifiedWord/>
      <trackRevisions>false</trackRevisions>
    </reviewItem>
    <reviewItem>
      <errorID>b377cbe4-6a11-4c22-aec0-3a2dc3b988ca</errorID>
      <errorWord>)</errorWord>
      <group>L1_Format</group>
      <groupName>格式问题</groupName>
      <ability>L2_HalfPunc</ability>
      <abilityName>全半角检查</abilityName>
      <candidateList>
        <item>）</item>
      </candidateList>
      <explain>文本全半角错误。</explain>
      <paraID>2117C029</paraID>
      <start>6</start>
      <end>7</end>
      <status>unmodified</status>
      <modifiedWord/>
      <trackRevisions>false</trackRevisions>
    </reviewItem>
    <reviewItem>
      <errorID>23dffbb9-2dd3-4d83-91f0-7ab1b42db10d</errorID>
      <errorWord>(</errorWord>
      <group>L1_Format</group>
      <groupName>格式问题</groupName>
      <ability>L2_HalfPunc</ability>
      <abilityName>全半角检查</abilityName>
      <candidateList>
        <item>（</item>
      </candidateList>
      <explain>文本全半角错误。</explain>
      <paraID>2117C029</paraID>
      <start>28</start>
      <end>29</end>
      <status>unmodified</status>
      <modifiedWord/>
      <trackRevisions>false</trackRevisions>
    </reviewItem>
    <reviewItem>
      <errorID>a1584afa-582c-4a11-922a-57e08294648d</errorID>
      <errorWord>)</errorWord>
      <group>L1_Format</group>
      <groupName>格式问题</groupName>
      <ability>L2_HalfPunc</ability>
      <abilityName>全半角检查</abilityName>
      <candidateList>
        <item>）</item>
      </candidateList>
      <explain>文本全半角错误。</explain>
      <paraID>2117C029</paraID>
      <start>31</start>
      <end>32</end>
      <status>unmodified</status>
      <modifiedWord/>
      <trackRevisions>false</trackRevisions>
    </reviewItem>
    <reviewItem>
      <errorID>552776e6-c82f-4390-9322-6ef50e836828</errorID>
      <errorWord>(</errorWord>
      <group>L1_Format</group>
      <groupName>格式问题</groupName>
      <ability>L2_HalfPunc</ability>
      <abilityName>全半角检查</abilityName>
      <candidateList>
        <item>（</item>
      </candidateList>
      <explain>文本全半角错误。</explain>
      <paraID>2117C029</paraID>
      <start>42</start>
      <end>43</end>
      <status>unmodified</status>
      <modifiedWord/>
      <trackRevisions>false</trackRevisions>
    </reviewItem>
    <reviewItem>
      <errorID>dc297074-4f01-48bd-a03b-6b56da6d019b</errorID>
      <errorWord>)</errorWord>
      <group>L1_Format</group>
      <groupName>格式问题</groupName>
      <ability>L2_HalfPunc</ability>
      <abilityName>全半角检查</abilityName>
      <candidateList>
        <item>）</item>
      </candidateList>
      <explain>文本全半角错误。</explain>
      <paraID>2117C029</paraID>
      <start>45</start>
      <end>46</end>
      <status>unmodified</status>
      <modifiedWord/>
      <trackRevisions>false</trackRevisions>
    </reviewItem>
    <reviewItem>
      <errorID>e4bc67c6-9976-4b6c-864a-d6f2b218f5e3</errorID>
      <errorWord>&lt;</errorWord>
      <group>L1_Format</group>
      <groupName>格式问题</groupName>
      <ability>L2_HalfPunc</ability>
      <abilityName>全半角检查</abilityName>
      <candidateList>
        <item>〈</item>
      </candidateList>
      <explain>文本全半角错误。</explain>
      <paraID>2117C029</paraID>
      <start>48</start>
      <end>49</end>
      <status>unmodified</status>
      <modifiedWord/>
      <trackRevisions>false</trackRevisions>
    </reviewItem>
    <reviewItem>
      <errorID>d3441358-b7f8-49e4-9e76-e89b5a160238</errorID>
      <errorWord>(</errorWord>
      <group>L1_Format</group>
      <groupName>格式问题</groupName>
      <ability>L2_HalfPunc</ability>
      <abilityName>全半角检查</abilityName>
      <candidateList>
        <item>（</item>
      </candidateList>
      <explain>文本全半角错误。</explain>
      <paraID>2117C029</paraID>
      <start>66</start>
      <end>67</end>
      <status>unmodified</status>
      <modifiedWord/>
      <trackRevisions>false</trackRevisions>
    </reviewItem>
    <reviewItem>
      <errorID>4ad1360c-f96b-4398-8db8-4775efb81e8b</errorID>
      <errorWord>)</errorWord>
      <group>L1_Format</group>
      <groupName>格式问题</groupName>
      <ability>L2_HalfPunc</ability>
      <abilityName>全半角检查</abilityName>
      <candidateList>
        <item>）</item>
      </candidateList>
      <explain>文本全半角错误。</explain>
      <paraID>2117C029</paraID>
      <start>69</start>
      <end>70</end>
      <status>unmodified</status>
      <modifiedWord/>
      <trackRevisions>false</trackRevisions>
    </reviewItem>
    <reviewItem>
      <errorID>0793605b-88be-4d75-b95d-5d67e8d60487</errorID>
      <errorWord>(</errorWord>
      <group>L1_Format</group>
      <groupName>格式问题</groupName>
      <ability>L2_HalfPunc</ability>
      <abilityName>全半角检查</abilityName>
      <candidateList>
        <item>（</item>
      </candidateList>
      <explain>文本全半角错误。</explain>
      <paraID>64CAAA07</paraID>
      <start>3</start>
      <end>4</end>
      <status>unmodified</status>
      <modifiedWord/>
      <trackRevisions>false</trackRevisions>
    </reviewItem>
    <reviewItem>
      <errorID>a20b83e3-1807-458c-b6c2-616917639ad6</errorID>
      <errorWord>)</errorWord>
      <group>L1_Format</group>
      <groupName>格式问题</groupName>
      <ability>L2_HalfPunc</ability>
      <abilityName>全半角检查</abilityName>
      <candidateList>
        <item>）</item>
      </candidateList>
      <explain>文本全半角错误。</explain>
      <paraID>64CAAA07</paraID>
      <start>6</start>
      <end>7</end>
      <status>unmodified</status>
      <modifiedWord/>
      <trackRevisions>false</trackRevisions>
    </reviewItem>
    <reviewItem>
      <errorID>ed609e34-01d2-4bc9-ab36-ae5951b1e623</errorID>
      <errorWord>(</errorWord>
      <group>L1_Format</group>
      <groupName>格式问题</groupName>
      <ability>L2_HalfPunc</ability>
      <abilityName>全半角检查</abilityName>
      <candidateList>
        <item>（</item>
      </candidateList>
      <explain>文本全半角错误。</explain>
      <paraID>64CAAA07</paraID>
      <start>27</start>
      <end>28</end>
      <status>unmodified</status>
      <modifiedWord/>
      <trackRevisions>false</trackRevisions>
    </reviewItem>
    <reviewItem>
      <errorID>be433dd9-a3a6-4b33-9ef4-6c1d26a0eccb</errorID>
      <errorWord>)</errorWord>
      <group>L1_Format</group>
      <groupName>格式问题</groupName>
      <ability>L2_HalfPunc</ability>
      <abilityName>全半角检查</abilityName>
      <candidateList>
        <item>）</item>
      </candidateList>
      <explain>文本全半角错误。</explain>
      <paraID>64CAAA07</paraID>
      <start>30</start>
      <end>31</end>
      <status>unmodified</status>
      <modifiedWord/>
      <trackRevisions>false</trackRevisions>
    </reviewItem>
    <reviewItem>
      <errorID>4ce8cfa1-3fdd-4fbd-8641-bdaf197aefe6</errorID>
      <errorWord>&lt;</errorWord>
      <group>L1_Format</group>
      <groupName>格式问题</groupName>
      <ability>L2_HalfPunc</ability>
      <abilityName>全半角检查</abilityName>
      <candidateList>
        <item>〈</item>
      </candidateList>
      <explain>文本全半角错误。</explain>
      <paraID>64CAAA07</paraID>
      <start>33</start>
      <end>34</end>
      <status>unmodified</status>
      <modifiedWord/>
      <trackRevisions>false</trackRevisions>
    </reviewItem>
    <reviewItem>
      <errorID>2d5b91b1-4db0-4704-b8cc-fd2987091803</errorID>
      <errorWord>(</errorWord>
      <group>L1_Format</group>
      <groupName>格式问题</groupName>
      <ability>L2_HalfPunc</ability>
      <abilityName>全半角检查</abilityName>
      <candidateList>
        <item>（</item>
      </candidateList>
      <explain>文本全半角错误。</explain>
      <paraID>5060B21D</paraID>
      <start>36</start>
      <end>37</end>
      <status>unmodified</status>
      <modifiedWord/>
      <trackRevisions>false</trackRevisions>
    </reviewItem>
    <reviewItem>
      <errorID>e929c4dc-f4b9-474a-8100-b6bb043fafba</errorID>
      <errorWord>)</errorWord>
      <group>L1_Format</group>
      <groupName>格式问题</groupName>
      <ability>L2_HalfPunc</ability>
      <abilityName>全半角检查</abilityName>
      <candidateList>
        <item>）</item>
      </candidateList>
      <explain>文本全半角错误。</explain>
      <paraID>5060B21D</paraID>
      <start>39</start>
      <end>40</end>
      <status>unmodified</status>
      <modifiedWord/>
      <trackRevisions>false</trackRevisions>
    </reviewItem>
    <reviewItem>
      <errorID>dbdc4211-b593-43d3-a56c-fca986d1e0d8</errorID>
      <errorWord>做出</errorWord>
      <group>L1_Word</group>
      <groupName>字词问题</groupName>
      <ability>L2_Typo</ability>
      <abilityName>字词错误</abilityName>
      <candidateList>
        <item>作出</item>
      </candidateList>
      <explain/>
      <paraID>1D7C0FDB</paraID>
      <start>79</start>
      <end>81</end>
      <status>unmodified</status>
      <modifiedWord/>
      <trackRevisions>false</trackRevisions>
    </reviewItem>
    <reviewItem>
      <errorID>07dcad2c-6020-4c73-8e3b-37bf57dd8a5d</errorID>
      <errorWord>如是</errorWord>
      <group>L1_Word</group>
      <groupName>字词问题</groupName>
      <ability>L2_Typo</ability>
      <abilityName>字词错误</abilityName>
      <candidateList>
        <item>如</item>
      </candidateList>
      <explain/>
      <paraID>7B7A3AAF</paraID>
      <start>26</start>
      <end>28</end>
      <status>unmodified</status>
      <modifiedWord/>
      <trackRevisions>false</trackRevisions>
    </reviewItem>
    <reviewItem>
      <errorID>7d8ab5af-6987-4973-b67b-02392577623c</errorID>
      <errorWord>涉及到</errorWord>
      <group>L1_Grammar</group>
      <groupName>语法问题</groupName>
      <ability>L2_Grammar</ability>
      <abilityName>语法错误</abilityName>
      <candidateList>
        <item>涉及</item>
      </candidateList>
      <explain>〈动〉牵涉到；关联到：案子～好几个人｜这个问题～面很广。</explain>
      <paraID>7B7A3AAF</paraID>
      <start>70</start>
      <end>73</end>
      <status>unmodified</status>
      <modifiedWord/>
      <trackRevisions>false</trackRevisions>
    </reviewItem>
    <reviewItem>
      <errorID>73ceaf86-805c-4675-af3a-5b29e90ba4ae</errorID>
      <errorWord>,</errorWord>
      <group>L1_Format</group>
      <groupName>格式问题</groupName>
      <ability>L2_HalfPunc</ability>
      <abilityName>全半角检查</abilityName>
      <candidateList>
        <item>，</item>
      </candidateList>
      <explain>文本全半角错误。</explain>
      <paraID>120A181D</paraID>
      <start>23</start>
      <end>24</end>
      <status>unmodified</status>
      <modifiedWord/>
      <trackRevisions>false</trackRevisions>
    </reviewItem>
    <reviewItem>
      <errorID>01494e9d-2720-4d1a-9797-879c355d2733</errorID>
      <errorWord>中华人民共和国政府采购法</errorWord>
      <group>L1_Knowledge</group>
      <groupName>知识性问题</groupName>
      <ability>L2_Knowledge</ability>
      <abilityName>其他知识</abilityName>
      <candidateList>
        <item>《中华人民共和国政府采购法》</item>
      </candidateList>
      <explain>完整法律法规名称需要加书名号，请注意检查。</explain>
      <paraID> A4304D6</paraID>
      <start>16</start>
      <end>30</end>
      <status>modified</status>
      <modifiedWord>《中华人民共和国政府采购法》</modifiedWord>
      <trackRevisions>false</trackRevisions>
    </reviewItem>
    <reviewItem>
      <errorID>0c51d0a1-3f5c-4929-9c4d-fd57f9bf621e</errorID>
      <errorWord>(</errorWord>
      <group>L1_Format</group>
      <groupName>格式问题</groupName>
      <ability>L2_HalfPunc</ability>
      <abilityName>全半角检查</abilityName>
      <candidateList>
        <item>（</item>
      </candidateList>
      <explain>文本全半角错误。</explain>
      <paraID> 2817E9E</paraID>
      <start>3</start>
      <end>4</end>
      <status>unmodified</status>
      <modifiedWord/>
      <trackRevisions>false</trackRevisions>
    </reviewItem>
    <reviewItem>
      <errorID>3353fcfb-37dc-48a0-8f94-20a79a169b5f</errorID>
      <errorWord>)</errorWord>
      <group>L1_Format</group>
      <groupName>格式问题</groupName>
      <ability>L2_HalfPunc</ability>
      <abilityName>全半角检查</abilityName>
      <candidateList>
        <item>）</item>
      </candidateList>
      <explain>文本全半角错误。</explain>
      <paraID> 2817E9E</paraID>
      <start>6</start>
      <end>7</end>
      <status>unmodified</status>
      <modifiedWord/>
      <trackRevisions>false</trackRevisions>
    </reviewItem>
    <reviewItem>
      <errorID>5524f2db-2cda-4557-8098-77fe7f428b38</errorID>
      <errorWord>(</errorWord>
      <group>L1_Format</group>
      <groupName>格式问题</groupName>
      <ability>L2_HalfPunc</ability>
      <abilityName>全半角检查</abilityName>
      <candidateList>
        <item>（</item>
      </candidateList>
      <explain>文本全半角错误。</explain>
      <paraID> 2817E9E</paraID>
      <start>25</start>
      <end>26</end>
      <status>unmodified</status>
      <modifiedWord/>
      <trackRevisions>false</trackRevisions>
    </reviewItem>
    <reviewItem>
      <errorID>739fb2d4-8143-4389-afa0-6c2caf3b62a2</errorID>
      <errorWord>)</errorWord>
      <group>L1_Format</group>
      <groupName>格式问题</groupName>
      <ability>L2_HalfPunc</ability>
      <abilityName>全半角检查</abilityName>
      <candidateList>
        <item>）</item>
      </candidateList>
      <explain>文本全半角错误。</explain>
      <paraID> 2817E9E</paraID>
      <start>28</start>
      <end>29</end>
      <status>unmodified</status>
      <modifiedWord/>
      <trackRevisions>false</trackRevisions>
    </reviewItem>
    <reviewItem>
      <errorID>7c628ea5-27ce-4cc7-b807-eeb9a915b357</errorID>
      <errorWord>(</errorWord>
      <group>L1_Format</group>
      <groupName>格式问题</groupName>
      <ability>L2_HalfPunc</ability>
      <abilityName>全半角检查</abilityName>
      <candidateList>
        <item>（</item>
      </candidateList>
      <explain>文本全半角错误。</explain>
      <paraID> 2817E9E</paraID>
      <start>42</start>
      <end>43</end>
      <status>unmodified</status>
      <modifiedWord/>
      <trackRevisions>false</trackRevisions>
    </reviewItem>
    <reviewItem>
      <errorID>62988765-0aa2-45e2-8c73-0accedcfec1a</errorID>
      <errorWord>)</errorWord>
      <group>L1_Format</group>
      <groupName>格式问题</groupName>
      <ability>L2_HalfPunc</ability>
      <abilityName>全半角检查</abilityName>
      <candidateList>
        <item>）</item>
      </candidateList>
      <explain>文本全半角错误。</explain>
      <paraID> 2817E9E</paraID>
      <start>45</start>
      <end>46</end>
      <status>unmodified</status>
      <modifiedWord/>
      <trackRevisions>false</trackRevisions>
    </reviewItem>
    <reviewItem>
      <errorID>d153c2f5-9ee2-46bb-9993-58a6e1c91281</errorID>
      <errorWord>&lt;</errorWord>
      <group>L1_Format</group>
      <groupName>格式问题</groupName>
      <ability>L2_HalfPunc</ability>
      <abilityName>全半角检查</abilityName>
      <candidateList>
        <item>〈</item>
      </candidateList>
      <explain>文本全半角错误。</explain>
      <paraID> 2817E9E</paraID>
      <start>48</start>
      <end>49</end>
      <status>unmodified</status>
      <modifiedWord/>
      <trackRevisions>false</trackRevisions>
    </reviewItem>
    <reviewItem>
      <errorID>d621e0be-8fd1-4f47-8e3a-4bdba3d9e85e</errorID>
      <errorWord>(</errorWord>
      <group>L1_Format</group>
      <groupName>格式问题</groupName>
      <ability>L2_HalfPunc</ability>
      <abilityName>全半角检查</abilityName>
      <candidateList>
        <item>（</item>
      </candidateList>
      <explain>文本全半角错误。</explain>
      <paraID> 2817E9E</paraID>
      <start>63</start>
      <end>64</end>
      <status>unmodified</status>
      <modifiedWord/>
      <trackRevisions>false</trackRevisions>
    </reviewItem>
    <reviewItem>
      <errorID>cc1ade90-1096-4c9f-b230-c44705394bb1</errorID>
      <errorWord>)</errorWord>
      <group>L1_Format</group>
      <groupName>格式问题</groupName>
      <ability>L2_HalfPunc</ability>
      <abilityName>全半角检查</abilityName>
      <candidateList>
        <item>）</item>
      </candidateList>
      <explain>文本全半角错误。</explain>
      <paraID> 2817E9E</paraID>
      <start>66</start>
      <end>67</end>
      <status>unmodified</status>
      <modifiedWord/>
      <trackRevisions>false</trackRevisions>
    </reviewItem>
    <reviewItem>
      <errorID>bb06cd05-31bf-4b55-beb2-b6962008666d</errorID>
      <errorWord>(</errorWord>
      <group>L1_Format</group>
      <groupName>格式问题</groupName>
      <ability>L2_HalfPunc</ability>
      <abilityName>全半角检查</abilityName>
      <candidateList>
        <item>（</item>
      </candidateList>
      <explain>文本全半角错误。</explain>
      <paraID>61F465A0</paraID>
      <start>3</start>
      <end>4</end>
      <status>unmodified</status>
      <modifiedWord/>
      <trackRevisions>false</trackRevisions>
    </reviewItem>
    <reviewItem>
      <errorID>09c0740a-ca26-4e1a-9af3-6b88fd6be361</errorID>
      <errorWord>)</errorWord>
      <group>L1_Format</group>
      <groupName>格式问题</groupName>
      <ability>L2_HalfPunc</ability>
      <abilityName>全半角检查</abilityName>
      <candidateList>
        <item>）</item>
      </candidateList>
      <explain>文本全半角错误。</explain>
      <paraID>61F465A0</paraID>
      <start>6</start>
      <end>7</end>
      <status>unmodified</status>
      <modifiedWord/>
      <trackRevisions>false</trackRevisions>
    </reviewItem>
    <reviewItem>
      <errorID>70d6a4a0-a176-4f91-a669-79b76749a6c4</errorID>
      <errorWord>(</errorWord>
      <group>L1_Format</group>
      <groupName>格式问题</groupName>
      <ability>L2_HalfPunc</ability>
      <abilityName>全半角检查</abilityName>
      <candidateList>
        <item>（</item>
      </candidateList>
      <explain>文本全半角错误。</explain>
      <paraID>61F465A0</paraID>
      <start>28</start>
      <end>29</end>
      <status>unmodified</status>
      <modifiedWord/>
      <trackRevisions>false</trackRevisions>
    </reviewItem>
    <reviewItem>
      <errorID>21689486-cfc7-4dd7-9f20-d2dcdf1f173b</errorID>
      <errorWord>)</errorWord>
      <group>L1_Format</group>
      <groupName>格式问题</groupName>
      <ability>L2_HalfPunc</ability>
      <abilityName>全半角检查</abilityName>
      <candidateList>
        <item>）</item>
      </candidateList>
      <explain>文本全半角错误。</explain>
      <paraID>61F465A0</paraID>
      <start>31</start>
      <end>32</end>
      <status>unmodified</status>
      <modifiedWord/>
      <trackRevisions>false</trackRevisions>
    </reviewItem>
    <reviewItem>
      <errorID>b3e5e053-d798-4495-9364-b21f532199eb</errorID>
      <errorWord>(</errorWord>
      <group>L1_Format</group>
      <groupName>格式问题</groupName>
      <ability>L2_HalfPunc</ability>
      <abilityName>全半角检查</abilityName>
      <candidateList>
        <item>（</item>
      </candidateList>
      <explain>文本全半角错误。</explain>
      <paraID>61F465A0</paraID>
      <start>42</start>
      <end>43</end>
      <status>unmodified</status>
      <modifiedWord/>
      <trackRevisions>false</trackRevisions>
    </reviewItem>
    <reviewItem>
      <errorID>5a27462c-3a06-4805-800a-bfb99483b398</errorID>
      <errorWord>)</errorWord>
      <group>L1_Format</group>
      <groupName>格式问题</groupName>
      <ability>L2_HalfPunc</ability>
      <abilityName>全半角检查</abilityName>
      <candidateList>
        <item>）</item>
      </candidateList>
      <explain>文本全半角错误。</explain>
      <paraID>61F465A0</paraID>
      <start>45</start>
      <end>46</end>
      <status>unmodified</status>
      <modifiedWord/>
      <trackRevisions>false</trackRevisions>
    </reviewItem>
    <reviewItem>
      <errorID>48ff4848-c5f4-4ad4-8259-35e48da2c3e8</errorID>
      <errorWord>&lt;</errorWord>
      <group>L1_Format</group>
      <groupName>格式问题</groupName>
      <ability>L2_HalfPunc</ability>
      <abilityName>全半角检查</abilityName>
      <candidateList>
        <item>〈</item>
      </candidateList>
      <explain>文本全半角错误。</explain>
      <paraID>61F465A0</paraID>
      <start>48</start>
      <end>49</end>
      <status>unmodified</status>
      <modifiedWord/>
      <trackRevisions>false</trackRevisions>
    </reviewItem>
    <reviewItem>
      <errorID>2e7301dc-1e35-4da8-9ad8-6c1438cb1909</errorID>
      <errorWord>(</errorWord>
      <group>L1_Format</group>
      <groupName>格式问题</groupName>
      <ability>L2_HalfPunc</ability>
      <abilityName>全半角检查</abilityName>
      <candidateList>
        <item>（</item>
      </candidateList>
      <explain>文本全半角错误。</explain>
      <paraID>61F465A0</paraID>
      <start>66</start>
      <end>67</end>
      <status>unmodified</status>
      <modifiedWord/>
      <trackRevisions>false</trackRevisions>
    </reviewItem>
    <reviewItem>
      <errorID>d29c26c1-cd48-47c8-8099-6f0cab94bd93</errorID>
      <errorWord>)</errorWord>
      <group>L1_Format</group>
      <groupName>格式问题</groupName>
      <ability>L2_HalfPunc</ability>
      <abilityName>全半角检查</abilityName>
      <candidateList>
        <item>）</item>
      </candidateList>
      <explain>文本全半角错误。</explain>
      <paraID>61F465A0</paraID>
      <start>69</start>
      <end>70</end>
      <status>unmodified</status>
      <modifiedWord/>
      <trackRevisions>false</trackRevisions>
    </reviewItem>
    <reviewItem>
      <errorID>418a2b87-64f3-4585-b8ec-0a48c0739db5</errorID>
      <errorWord>(</errorWord>
      <group>L1_Format</group>
      <groupName>格式问题</groupName>
      <ability>L2_HalfPunc</ability>
      <abilityName>全半角检查</abilityName>
      <candidateList>
        <item>（</item>
      </candidateList>
      <explain>文本全半角错误。</explain>
      <paraID>62848690</paraID>
      <start>3</start>
      <end>4</end>
      <status>unmodified</status>
      <modifiedWord/>
      <trackRevisions>false</trackRevisions>
    </reviewItem>
    <reviewItem>
      <errorID>51f208f4-8572-4c01-a09b-837e354d34de</errorID>
      <errorWord>)</errorWord>
      <group>L1_Format</group>
      <groupName>格式问题</groupName>
      <ability>L2_HalfPunc</ability>
      <abilityName>全半角检查</abilityName>
      <candidateList>
        <item>）</item>
      </candidateList>
      <explain>文本全半角错误。</explain>
      <paraID>62848690</paraID>
      <start>6</start>
      <end>7</end>
      <status>unmodified</status>
      <modifiedWord/>
      <trackRevisions>false</trackRevisions>
    </reviewItem>
    <reviewItem>
      <errorID>fcea8693-846f-4163-9ccc-90a4bf40f994</errorID>
      <errorWord>(</errorWord>
      <group>L1_Format</group>
      <groupName>格式问题</groupName>
      <ability>L2_HalfPunc</ability>
      <abilityName>全半角检查</abilityName>
      <candidateList>
        <item>（</item>
      </candidateList>
      <explain>文本全半角错误。</explain>
      <paraID>62848690</paraID>
      <start>27</start>
      <end>28</end>
      <status>unmodified</status>
      <modifiedWord/>
      <trackRevisions>false</trackRevisions>
    </reviewItem>
    <reviewItem>
      <errorID>19aaf58a-49ab-45e9-8deb-6f019becae39</errorID>
      <errorWord>)</errorWord>
      <group>L1_Format</group>
      <groupName>格式问题</groupName>
      <ability>L2_HalfPunc</ability>
      <abilityName>全半角检查</abilityName>
      <candidateList>
        <item>）</item>
      </candidateList>
      <explain>文本全半角错误。</explain>
      <paraID>62848690</paraID>
      <start>30</start>
      <end>31</end>
      <status>unmodified</status>
      <modifiedWord/>
      <trackRevisions>false</trackRevisions>
    </reviewItem>
    <reviewItem>
      <errorID>a223aba7-6417-4109-846e-fa91e65f8317</errorID>
      <errorWord>&lt;</errorWord>
      <group>L1_Format</group>
      <groupName>格式问题</groupName>
      <ability>L2_HalfPunc</ability>
      <abilityName>全半角检查</abilityName>
      <candidateList>
        <item>〈</item>
      </candidateList>
      <explain>文本全半角错误。</explain>
      <paraID>62848690</paraID>
      <start>33</start>
      <end>34</end>
      <status>unmodified</status>
      <modifiedWord/>
      <trackRevisions>false</trackRevisions>
    </reviewItem>
    <reviewItem>
      <errorID>2ff99a4d-48f3-4c27-8d9b-f12dd842533f</errorID>
      <errorWord>(</errorWord>
      <group>L1_Format</group>
      <groupName>格式问题</groupName>
      <ability>L2_HalfPunc</ability>
      <abilityName>全半角检查</abilityName>
      <candidateList>
        <item>（</item>
      </candidateList>
      <explain>文本全半角错误。</explain>
      <paraID>5DB14442</paraID>
      <start>36</start>
      <end>37</end>
      <status>unmodified</status>
      <modifiedWord/>
      <trackRevisions>false</trackRevisions>
    </reviewItem>
    <reviewItem>
      <errorID>8016510c-ae8e-4dd2-8f1c-22afcc518f0d</errorID>
      <errorWord>)</errorWord>
      <group>L1_Format</group>
      <groupName>格式问题</groupName>
      <ability>L2_HalfPunc</ability>
      <abilityName>全半角检查</abilityName>
      <candidateList>
        <item>）</item>
      </candidateList>
      <explain>文本全半角错误。</explain>
      <paraID>5DB14442</paraID>
      <start>39</start>
      <end>40</end>
      <status>unmodified</status>
      <modifiedWord/>
      <trackRevisions>false</trackRevisions>
    </reviewItem>
    <reviewItem>
      <errorID>989e130c-b24a-46f3-98f6-708b3117cb82</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588B3E00</paraID>
      <start>6</start>
      <end>17</end>
      <status>unmodified</status>
      <modifiedWord/>
      <trackRevisions>false</trackRevisions>
    </reviewItem>
    <reviewItem>
      <errorID>a698db97-53a0-4cf7-9383-94f6a0926afe</errorID>
      <errorWord>(</errorWord>
      <group>L1_Format</group>
      <groupName>格式问题</groupName>
      <ability>L2_HalfPunc</ability>
      <abilityName>全半角检查</abilityName>
      <candidateList>
        <item>（</item>
      </candidateList>
      <explain>文本全半角错误。</explain>
      <paraID>5A62684C</paraID>
      <start>90</start>
      <end>91</end>
      <status>unmodified</status>
      <modifiedWord/>
      <trackRevisions>false</trackRevisions>
    </reviewItem>
    <reviewItem>
      <errorID>3447323d-1537-4ece-89c1-6b9e16dcc3ad</errorID>
      <errorWord>)</errorWord>
      <group>L1_Format</group>
      <groupName>格式问题</groupName>
      <ability>L2_HalfPunc</ability>
      <abilityName>全半角检查</abilityName>
      <candidateList>
        <item>）</item>
      </candidateList>
      <explain>文本全半角错误。</explain>
      <paraID>5A62684C</paraID>
      <start>97</start>
      <end>98</end>
      <status>unmodified</status>
      <modifiedWord/>
      <trackRevisions>false</trackRevisions>
    </reviewItem>
    <reviewItem>
      <errorID>51183327-7ae9-40af-9309-bc78e6ae3222</errorID>
      <errorWord>详实</errorWord>
      <group>L1_Word</group>
      <groupName>字词问题</groupName>
      <ability>L2_Typo</ability>
      <abilityName>字词错误</abilityName>
      <candidateList>
        <item>翔实</item>
      </candidateList>
      <explain/>
      <paraID>6FB7BBA2</paraID>
      <start>31</start>
      <end>33</end>
      <status>unmodified</status>
      <modifiedWord/>
      <trackRevisions>false</trackRevisions>
    </reviewItem>
    <reviewItem>
      <errorID>261066d1-5f4c-4af0-96f3-53cb81d009b9</errorID>
      <errorWord>待</errorWord>
      <group>L1_Word</group>
      <groupName>字词问题</groupName>
      <ability>L2_Typo</ability>
      <abilityName>字词错误</abilityName>
      <candidateList>
        <item>有待</item>
      </candidateList>
      <explain/>
      <paraID>6FB7BBA2</paraID>
      <start>64</start>
      <end>65</end>
      <status>unmodified</status>
      <modifiedWord/>
      <trackRevisions>false</trackRevisions>
    </reviewItem>
    <reviewItem>
      <errorID>ba2c5ce6-c8ef-486f-a696-a9cd416a1d11</errorID>
      <errorWord>详实</errorWord>
      <group>L1_Word</group>
      <groupName>字词问题</groupName>
      <ability>L2_Typo</ability>
      <abilityName>字词错误</abilityName>
      <candidateList>
        <item>翔实</item>
      </candidateList>
      <explain/>
      <paraID>6C97083A</paraID>
      <start>31</start>
      <end>33</end>
      <status>unmodified</status>
      <modifiedWord/>
      <trackRevisions>false</trackRevisions>
    </reviewItem>
    <reviewItem>
      <errorID>7ac3e970-6887-4d2d-a8b6-933301a8d33e</errorID>
      <errorWord>待</errorWord>
      <group>L1_Word</group>
      <groupName>字词问题</groupName>
      <ability>L2_Typo</ability>
      <abilityName>字词错误</abilityName>
      <candidateList>
        <item>有待</item>
      </candidateList>
      <explain/>
      <paraID>6C97083A</paraID>
      <start>64</start>
      <end>65</end>
      <status>unmodified</status>
      <modifiedWord/>
      <trackRevisions>false</trackRevisions>
    </reviewItem>
    <reviewItem>
      <errorID>09923242-bed1-4963-9565-5076fb68f8f4</errorID>
      <errorWord>详实</errorWord>
      <group>L1_Word</group>
      <groupName>字词问题</groupName>
      <ability>L2_Typo</ability>
      <abilityName>字词错误</abilityName>
      <candidateList>
        <item>翔实</item>
      </candidateList>
      <explain/>
      <paraID> 75EFF97</paraID>
      <start>31</start>
      <end>33</end>
      <status>unmodified</status>
      <modifiedWord/>
      <trackRevisions>false</trackRevisions>
    </reviewItem>
    <reviewItem>
      <errorID>af297f51-a5fc-4981-88bc-73652ca7252a</errorID>
      <errorWord>待</errorWord>
      <group>L1_Word</group>
      <groupName>字词问题</groupName>
      <ability>L2_Typo</ability>
      <abilityName>字词错误</abilityName>
      <candidateList>
        <item>有待</item>
      </candidateList>
      <explain/>
      <paraID> 75EFF97</paraID>
      <start>64</start>
      <end>65</end>
      <status>unmodified</status>
      <modifiedWord/>
      <trackRevisions>false</trackRevisions>
    </reviewItem>
    <reviewItem>
      <errorID>05c85294-d26a-4c3b-bdee-0855f6e68d7b</errorID>
      <errorWord>详实</errorWord>
      <group>L1_Word</group>
      <groupName>字词问题</groupName>
      <ability>L2_Typo</ability>
      <abilityName>字词错误</abilityName>
      <candidateList>
        <item>翔实</item>
      </candidateList>
      <explain/>
      <paraID>49A43ADF</paraID>
      <start>31</start>
      <end>33</end>
      <status>unmodified</status>
      <modifiedWord/>
      <trackRevisions>false</trackRevisions>
    </reviewItem>
    <reviewItem>
      <errorID>d325046d-6f82-4d53-bc25-340b751d4e45</errorID>
      <errorWord>待</errorWord>
      <group>L1_Word</group>
      <groupName>字词问题</groupName>
      <ability>L2_Typo</ability>
      <abilityName>字词错误</abilityName>
      <candidateList>
        <item>有待</item>
      </candidateList>
      <explain/>
      <paraID>49A43ADF</paraID>
      <start>64</start>
      <end>65</end>
      <status>unmodified</status>
      <modifiedWord/>
      <trackRevisions>false</trackRevisions>
    </reviewItem>
    <reviewItem>
      <errorID>52e7dbec-487d-4a6e-99ec-d07e321616fe</errorID>
      <errorWord>详实</errorWord>
      <group>L1_Word</group>
      <groupName>字词问题</groupName>
      <ability>L2_Typo</ability>
      <abilityName>字词错误</abilityName>
      <candidateList>
        <item>翔实</item>
      </candidateList>
      <explain/>
      <paraID> 88D9E21</paraID>
      <start>31</start>
      <end>33</end>
      <status>unmodified</status>
      <modifiedWord/>
      <trackRevisions>false</trackRevisions>
    </reviewItem>
    <reviewItem>
      <errorID>3b493704-1459-4fc5-bea1-b7e2aa186a29</errorID>
      <errorWord>待</errorWord>
      <group>L1_Word</group>
      <groupName>字词问题</groupName>
      <ability>L2_Typo</ability>
      <abilityName>字词错误</abilityName>
      <candidateList>
        <item>有待</item>
      </candidateList>
      <explain/>
      <paraID> 88D9E21</paraID>
      <start>64</start>
      <end>65</end>
      <status>unmodified</status>
      <modifiedWord/>
      <trackRevisions>false</trackRevisions>
    </reviewItem>
    <reviewItem>
      <errorID>3076c5df-5c75-4de0-af9e-76b15e7fc65b</errorID>
      <errorWord>详实</errorWord>
      <group>L1_Word</group>
      <groupName>字词问题</groupName>
      <ability>L2_Typo</ability>
      <abilityName>字词错误</abilityName>
      <candidateList>
        <item>翔实</item>
      </candidateList>
      <explain/>
      <paraID>27D3051E</paraID>
      <start>31</start>
      <end>33</end>
      <status>unmodified</status>
      <modifiedWord/>
      <trackRevisions>false</trackRevisions>
    </reviewItem>
    <reviewItem>
      <errorID>137e3820-028b-4393-813e-3c4a20e699f3</errorID>
      <errorWord>待</errorWord>
      <group>L1_Word</group>
      <groupName>字词问题</groupName>
      <ability>L2_Typo</ability>
      <abilityName>字词错误</abilityName>
      <candidateList>
        <item>有待</item>
      </candidateList>
      <explain/>
      <paraID>27D3051E</paraID>
      <start>64</start>
      <end>65</end>
      <status>unmodified</status>
      <modifiedWord/>
      <trackRevisions>false</trackRevisions>
    </reviewItem>
    <reviewItem>
      <errorID>4c3220c9-72ca-4765-8224-f897502b8fb6</errorID>
      <errorWord>详实</errorWord>
      <group>L1_Word</group>
      <groupName>字词问题</groupName>
      <ability>L2_Typo</ability>
      <abilityName>字词错误</abilityName>
      <candidateList>
        <item>翔实</item>
      </candidateList>
      <explain/>
      <paraID>52E69ED0</paraID>
      <start>31</start>
      <end>33</end>
      <status>unmodified</status>
      <modifiedWord/>
      <trackRevisions>false</trackRevisions>
    </reviewItem>
    <reviewItem>
      <errorID>7e000412-fd6b-4280-b7b3-2206ea41b8a6</errorID>
      <errorWord>待</errorWord>
      <group>L1_Word</group>
      <groupName>字词问题</groupName>
      <ability>L2_Typo</ability>
      <abilityName>字词错误</abilityName>
      <candidateList>
        <item>有待</item>
      </candidateList>
      <explain/>
      <paraID>52E69ED0</paraID>
      <start>64</start>
      <end>65</end>
      <status>unmodified</status>
      <modifiedWord/>
      <trackRevisions>false</trackRevisions>
    </reviewItem>
    <reviewItem>
      <errorID>7572193c-c829-4483-81c9-caa1af22006c</errorID>
      <errorWord>详实</errorWord>
      <group>L1_Word</group>
      <groupName>字词问题</groupName>
      <ability>L2_Typo</ability>
      <abilityName>字词错误</abilityName>
      <candidateList>
        <item>翔实</item>
      </candidateList>
      <explain/>
      <paraID>7D7415B5</paraID>
      <start>31</start>
      <end>33</end>
      <status>unmodified</status>
      <modifiedWord/>
      <trackRevisions>false</trackRevisions>
    </reviewItem>
    <reviewItem>
      <errorID>098fc94f-f42c-4744-953b-9be274a1ba34</errorID>
      <errorWord>待</errorWord>
      <group>L1_Word</group>
      <groupName>字词问题</groupName>
      <ability>L2_Typo</ability>
      <abilityName>字词错误</abilityName>
      <candidateList>
        <item>有待</item>
      </candidateList>
      <explain/>
      <paraID>7D7415B5</paraID>
      <start>64</start>
      <end>65</end>
      <status>unmodified</status>
      <modifiedWord/>
      <trackRevisions>false</trackRevisions>
    </reviewItem>
    <reviewItem>
      <errorID>19c2f4cd-0032-443d-a420-c8756f21191f</errorID>
      <errorWord>及实施细则</errorWord>
      <group>L1_Word</group>
      <groupName>字词问题</groupName>
      <ability>L2_Typo</ability>
      <abilityName>字词错误</abilityName>
      <candidateList>
        <item>及其实施细则</item>
      </candidateList>
      <explain/>
      <paraID>2691D01B</paraID>
      <start>16</start>
      <end>21</end>
      <status>unmodified</status>
      <modifiedWord/>
      <trackRevisions>false</trackRevisions>
    </reviewItem>
    <reviewItem>
      <errorID>8b2ebbb4-eb90-4269-ae9c-1afc84866a76</errorID>
      <errorWord>及实施细则</errorWord>
      <group>L1_Word</group>
      <groupName>字词问题</groupName>
      <ability>L2_Typo</ability>
      <abilityName>字词错误</abilityName>
      <candidateList>
        <item>及其实施细则</item>
      </candidateList>
      <explain/>
      <paraID>679D954B</paraID>
      <start>17</start>
      <end>22</end>
      <status>unmodified</status>
      <modifiedWord/>
      <trackRevisions>false</trackRevisions>
    </reviewItem>
    <reviewItem>
      <errorID>d0242a97-dabc-4d51-9ee2-0374cd2a7762</errorID>
      <errorWord>及实施细则</errorWord>
      <group>L1_Word</group>
      <groupName>字词问题</groupName>
      <ability>L2_Typo</ability>
      <abilityName>字词错误</abilityName>
      <candidateList>
        <item>及其实施细则</item>
      </candidateList>
      <explain/>
      <paraID>679D954B</paraID>
      <start>35</start>
      <end>40</end>
      <status>unmodified</status>
      <modifiedWord/>
      <trackRevisions>false</trackRevisions>
    </reviewItem>
    <reviewItem>
      <errorID>6b9aac16-ca9a-4815-bc3c-e078211c57d2</errorID>
      <errorWord>详实</errorWord>
      <group>L1_Word</group>
      <groupName>字词问题</groupName>
      <ability>L2_Typo</ability>
      <abilityName>字词错误</abilityName>
      <candidateList>
        <item>翔实</item>
      </candidateList>
      <explain/>
      <paraID> D6742F2</paraID>
      <start>31</start>
      <end>33</end>
      <status>unmodified</status>
      <modifiedWord/>
      <trackRevisions>false</trackRevisions>
    </reviewItem>
    <reviewItem>
      <errorID>756c6d33-ba71-4033-9cf9-b95a6309dc15</errorID>
      <errorWord>待</errorWord>
      <group>L1_Word</group>
      <groupName>字词问题</groupName>
      <ability>L2_Typo</ability>
      <abilityName>字词错误</abilityName>
      <candidateList>
        <item>有待</item>
      </candidateList>
      <explain/>
      <paraID> D6742F2</paraID>
      <start>64</start>
      <end>65</end>
      <status>unmodified</status>
      <modifiedWord/>
      <trackRevisions>false</trackRevisions>
    </reviewItem>
    <reviewItem>
      <errorID>ff344489-c940-4f13-aac1-97b2245be55e</errorID>
      <errorWord>详实</errorWord>
      <group>L1_Word</group>
      <groupName>字词问题</groupName>
      <ability>L2_Typo</ability>
      <abilityName>字词错误</abilityName>
      <candidateList>
        <item>翔实</item>
      </candidateList>
      <explain/>
      <paraID>7D56FC5D</paraID>
      <start>31</start>
      <end>33</end>
      <status>unmodified</status>
      <modifiedWord/>
      <trackRevisions>false</trackRevisions>
    </reviewItem>
    <reviewItem>
      <errorID>ebe40c1d-4c0f-4de7-be4e-cadeff0c1c99</errorID>
      <errorWord>待</errorWord>
      <group>L1_Word</group>
      <groupName>字词问题</groupName>
      <ability>L2_Typo</ability>
      <abilityName>字词错误</abilityName>
      <candidateList>
        <item>有待</item>
      </candidateList>
      <explain/>
      <paraID>7D56FC5D</paraID>
      <start>64</start>
      <end>65</end>
      <status>unmodified</status>
      <modifiedWord/>
      <trackRevisions>false</trackRevisions>
    </reviewItem>
    <reviewItem>
      <errorID>6a9aa56c-87f6-4e1a-b618-f4f0b7dc9ea4</errorID>
      <errorWord>详实</errorWord>
      <group>L1_Word</group>
      <groupName>字词问题</groupName>
      <ability>L2_Typo</ability>
      <abilityName>字词错误</abilityName>
      <candidateList>
        <item>翔实</item>
      </candidateList>
      <explain/>
      <paraID>5CFD50A3</paraID>
      <start>31</start>
      <end>33</end>
      <status>unmodified</status>
      <modifiedWord/>
      <trackRevisions>false</trackRevisions>
    </reviewItem>
    <reviewItem>
      <errorID>8ea57315-08c0-49af-8a07-7a586934380e</errorID>
      <errorWord>待</errorWord>
      <group>L1_Word</group>
      <groupName>字词问题</groupName>
      <ability>L2_Typo</ability>
      <abilityName>字词错误</abilityName>
      <candidateList>
        <item>有待</item>
      </candidateList>
      <explain/>
      <paraID>5CFD50A3</paraID>
      <start>64</start>
      <end>65</end>
      <status>unmodified</status>
      <modifiedWord/>
      <trackRevisions>false</trackRevisions>
    </reviewItem>
    <reviewItem>
      <errorID>a93051ba-0296-42af-ba2d-cb6c09d85624</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3221A34F</paraID>
      <start>54</start>
      <end>82</end>
      <status>unmodified</status>
      <modifiedWord/>
      <trackRevisions>false</trackRevisions>
    </reviewItem>
    <reviewItem>
      <errorID>d2ea253c-14c9-4476-a32b-4dc51e88c54e</errorID>
      <errorWord>。</errorWord>
      <group>L1_Format</group>
      <groupName>格式问题</groupName>
      <ability>L2_HalfPunc</ability>
      <abilityName>全半角检查</abilityName>
      <candidateList>
        <item>.</item>
      </candidateList>
      <explain>文本全半角错误。</explain>
      <paraID>2A5A9E49</paraID>
      <start>62</start>
      <end>63</end>
      <status>unmodified</status>
      <modifiedWord/>
      <trackRevisions>false</trackRevisions>
    </reviewItem>
    <reviewItem>
      <errorID>c7de0eb3-76bd-4c00-9fdb-97db7687f638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44A0CB17</paraID>
      <start>33</start>
      <end>34</end>
      <status>unmodified</status>
      <modifiedWord/>
      <trackRevisions>false</trackRevisions>
    </reviewItem>
    <reviewItem>
      <errorID>99f6ed7f-df41-4dc8-888c-5b7d9b6b7e7a</errorID>
      <errorWord>(</errorWord>
      <group>L1_Format</group>
      <groupName>格式问题</groupName>
      <ability>L2_HalfPunc</ability>
      <abilityName>全半角检查</abilityName>
      <candidateList>
        <item>（</item>
      </candidateList>
      <explain>文本全半角错误。</explain>
      <paraID>44A0CB17</paraID>
      <start>107</start>
      <end>108</end>
      <status>unmodified</status>
      <modifiedWord/>
      <trackRevisions>false</trackRevisions>
    </reviewItem>
    <reviewItem>
      <errorID>4bdfbb41-f091-4610-b608-387904b0020a</errorID>
      <errorWord>1、</errorWord>
      <group>L1_Format</group>
      <groupName>格式问题</groupName>
      <ability>L2_Ordinal</ability>
      <abilityName>序号格式</abilityName>
      <candidateList>
        <item>1.</item>
      </candidateList>
      <explain>当前序号格式不规范，建议修改为规范格式[1.]。</explain>
      <paraID> 8A87CC7</paraID>
      <start>0</start>
      <end>2</end>
      <status>unmodified</status>
      <modifiedWord/>
      <trackRevisions>false</trackRevisions>
    </reviewItem>
    <reviewItem>
      <errorID>f0a099d9-137c-4f4c-b972-74065e6f2e00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63094E2A</paraID>
      <start>0</start>
      <end>2</end>
      <status>unmodified</status>
      <modifiedWord/>
      <trackRevisions>false</trackRevisions>
    </reviewItem>
    <reviewItem>
      <errorID>6cacb788-c6c3-47ac-a865-95ebd64f28c5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63094E2A</paraID>
      <start>18</start>
      <end>19</end>
      <status>unmodified</status>
      <modifiedWord/>
      <trackRevisions>false</trackRevisions>
    </reviewItem>
    <reviewItem>
      <errorID>79fa9708-d854-4d2d-b4e9-ea612575461f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137BA7A8</paraID>
      <start>0</start>
      <end>2</end>
      <status>unmodified</status>
      <modifiedWord/>
      <trackRevisions>false</trackRevisions>
    </reviewItem>
    <reviewItem>
      <errorID>b52cdc97-3b7c-484e-96eb-f23019180254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319DE764</paraID>
      <start>0</start>
      <end>2</end>
      <status>unmodified</status>
      <modifiedWord/>
      <trackRevisions>false</trackRevisions>
    </reviewItem>
    <reviewItem>
      <errorID>02b0db7e-6ae8-497e-9110-f4c19b34669c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39B6A8A0</paraID>
      <start>0</start>
      <end>2</end>
      <status>unmodified</status>
      <modifiedWord/>
      <trackRevisions>false</trackRevisions>
    </reviewItem>
    <reviewItem>
      <errorID>5d964c55-34e0-4518-908a-5a72fd7d390e</errorID>
      <errorWord>实施的</errorWord>
      <group>L1_Word</group>
      <groupName>字词问题</groupName>
      <ability>L2_Typo</ability>
      <abilityName>字词错误</abilityName>
      <candidateList>
        <item>实施</item>
      </candidateList>
      <explain>〈动〉实行（法令、政策等）：付诸～｜～细则｜～新的办法。</explain>
      <paraID>39B6A8A0</paraID>
      <start>2</start>
      <end>4</end>
      <status>modified</status>
      <modifiedWord>实施</modifiedWord>
      <trackRevisions>false</trackRevisions>
    </reviewItem>
    <reviewItem>
      <errorID>929d977b-0a4f-41e7-a7b3-b0404d5605ee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1FFFDA2</paraID>
      <start>0</start>
      <end>2</end>
      <status>unmodified</status>
      <modifiedWord/>
      <trackRevisions>false</trackRevisions>
    </reviewItem>
    <reviewItem>
      <errorID>792a93da-d266-4c8e-a19b-c5c33cc6a768</errorID>
      <errorWord>算数平均</errorWord>
      <group>L1_Word</group>
      <groupName>字词问题</groupName>
      <ability>L2_Typo</ability>
      <abilityName>字词错误</abilityName>
      <candidateList>
        <item>算术平均</item>
      </candidateList>
      <explain>存在发音相同字词的误用。</explain>
      <paraID>43D1EB6E</paraID>
      <start>63</start>
      <end>67</end>
      <status>modified</status>
      <modifiedWord>算术平均</modifiedWord>
      <trackRevisions>false</trackRevisions>
    </reviewItem>
    <reviewItem>
      <errorID>51e3dff5-3f6d-46d2-9729-11f266c933ff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43D1EB6E</paraID>
      <start>140</start>
      <end>141</end>
      <status>unmodified</status>
      <modifiedWord/>
      <trackRevisions>false</trackRevisions>
    </reviewItem>
    <reviewItem>
      <errorID>a6743cb5-b05d-471e-838e-e917d0fa234c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6717F03C</paraID>
      <start>0</start>
      <end>2</end>
      <status>unmodified</status>
      <modifiedWord/>
      <trackRevisions>false</trackRevisions>
    </reviewItem>
    <reviewItem>
      <errorID>b7d003f7-18d0-415d-ac76-b603b3d6fcf3</errorID>
      <errorWord>：</errorWord>
      <group>L1_Format</group>
      <groupName>格式问题</groupName>
      <ability>L2_HalfPunc</ability>
      <abilityName>全半角检查</abilityName>
      <candidateList>
        <item>:</item>
      </candidateList>
      <explain>文本全半角错误。</explain>
      <paraID>1F9155FC</paraID>
      <start>52</start>
      <end>53</end>
      <status>unmodified</status>
      <modifiedWord/>
      <trackRevisions>false</trackRevisions>
    </reviewItem>
    <reviewItem>
      <errorID>9ebfe49d-f7f2-4d3b-948d-01a79b3e348b</errorID>
      <errorWord>部份</errorWord>
      <group>L1_Word</group>
      <groupName>字词问题</groupName>
      <ability>L2_Typo</ability>
      <abilityName>字词错误</abilityName>
      <candidateList>
        <item>部分</item>
      </candidateList>
      <explain>〈名〉整体中的局部；整体里的一些个体：检验机器各～的性能｜我校～师生参加了夏令营活动。</explain>
      <paraID> C4F7AC4</paraID>
      <start>32</start>
      <end>34</end>
      <status>unmodified</status>
      <modifiedWord/>
      <trackRevisions>false</trackRevisions>
    </reviewItem>
    <reviewItem>
      <errorID>7ab510ad-8b6f-4d54-9ece-86562d526396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52CB7959</paraID>
      <start>0</start>
      <end>2</end>
      <status>unmodified</status>
      <modifiedWord/>
      <trackRevisions>false</trackRevisions>
    </reviewItem>
    <reviewItem>
      <errorID>aa22e75f-4339-4c79-b328-5e25cca2d4e9</errorID>
      <errorWord>《食品安全法》</errorWord>
      <group>L1_Word</group>
      <groupName>字词问题</groupName>
      <ability>L2_Typo</ability>
      <abilityName>字词错误</abilityName>
      <candidateList>
        <item>《中华人民共和国食品安全法》</item>
      </candidateList>
      <explain/>
      <paraID>6C333632</paraID>
      <start>93</start>
      <end>107</end>
      <status>modified</status>
      <modifiedWord>《中华人民共和国食品安全法》</modifiedWord>
      <trackRevisions>false</trackRevisions>
    </reviewItem>
    <reviewItem>
      <errorID>289802eb-7381-4eae-9aa3-74ca345a749a</errorID>
      <errorWord>国标标准</errorWord>
      <group>L1_Word</group>
      <groupName>字词问题</groupName>
      <ability>L2_Typo</ability>
      <abilityName>字词错误</abilityName>
      <candidateList>
        <item>国家标准</item>
      </candidateList>
      <explain/>
      <paraID>6C333632</paraID>
      <start>128</start>
      <end>132</end>
      <status>modified</status>
      <modifiedWord>国家标准</modifiedWord>
      <trackRevisions>false</trackRevisions>
    </reviewItem>
    <reviewItem>
      <errorID>e3b0f70c-2467-489a-a041-3ede8a20c639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762A6EDA</paraID>
      <start>166</start>
      <end>167</end>
      <status>unmodified</status>
      <modifiedWord/>
      <trackRevisions>false</trackRevisions>
    </reviewItem>
    <reviewItem>
      <errorID>1ba032d4-f497-4698-bfc9-e25bb05f000b</errorID>
      <errorWord>肉整</errorWord>
      <group>L1_Word</group>
      <groupName>字词问题</groupName>
      <ability>L2_Typo</ability>
      <abilityName>字词错误</abilityName>
      <candidateList>
        <item>完整</item>
      </candidateList>
      <explain/>
      <paraID>36484C21</paraID>
      <start>18</start>
      <end>20</end>
      <status>unmodified</status>
      <modifiedWord/>
      <trackRevisions>false</trackRevisions>
    </reviewItem>
    <reviewItem>
      <errorID>8dfa8a20-99e2-499a-a190-db88535ceff2</errorID>
      <errorWord>后退肌肉</errorWord>
      <group>L1_Word</group>
      <groupName>字词问题</groupName>
      <ability>L2_Typo</ability>
      <abilityName>字词错误</abilityName>
      <candidateList>
        <item>后腿肌肉</item>
      </candidateList>
      <explain/>
      <paraID>7CFB70AE</paraID>
      <start>15</start>
      <end>19</end>
      <status>modified</status>
      <modifiedWord>后腿肌肉</modifiedWord>
      <trackRevisions>false</trackRevisions>
    </reviewItem>
    <reviewItem>
      <errorID>b4189472-b006-4ce9-9643-20e2380a9551</errorID>
      <errorWord>粘度</errorWord>
      <group>L1_Word</group>
      <groupName>字词问题</groupName>
      <ability>L2_Alias</ability>
      <abilityName>也作/曾用词</abilityName>
      <candidateList>
        <item>黏度</item>
      </candidateList>
      <explain>词汇[粘度]为不规范表述或旧称，其规范书面表述为[黏度]。</explain>
      <paraID>11E7193D</paraID>
      <start>0</start>
      <end>2</end>
      <status>unmodified</status>
      <modifiedWord/>
      <trackRevisions>false</trackRevisions>
    </reviewItem>
    <reviewItem>
      <errorID>bd3780e0-95f4-4e4a-822c-83969a797fe5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7AD6BF32</paraID>
      <start>50</start>
      <end>51</end>
      <status>unmodified</status>
      <modifiedWord/>
      <trackRevisions>false</trackRevisions>
    </reviewItem>
    <reviewItem>
      <errorID>c09d10af-4ead-437c-b1d1-92f78958f32c</errorID>
      <errorWord>《食品安全法》</errorWord>
      <group>L1_Word</group>
      <groupName>字词问题</groupName>
      <ability>L2_Typo</ability>
      <abilityName>字词错误</abilityName>
      <candidateList>
        <item>《中华人民共和国食品安全法》</item>
      </candidateList>
      <explain/>
      <paraID>7D916DAF</paraID>
      <start>137</start>
      <end>151</end>
      <status>modified</status>
      <modifiedWord>《中华人民共和国食品安全法》</modifiedWord>
      <trackRevisions>false</trackRevisions>
    </reviewItem>
    <reviewItem>
      <errorID>5068c102-6c2c-408e-9a2d-f6ef398666d7</errorID>
      <errorWord>1.0-2.0千</errorWord>
      <group>L1_Knowledge</group>
      <groupName>知识性问题</groupName>
      <ability>L2_Knowledge</ability>
      <abilityName>其他知识</abilityName>
      <candidateList>
        <item>1.0千—2.0千</item>
      </candidateList>
      <explain>1. “1.0-2.0千”中的单位“千”仅出现在后一个数字上，容易引起歧义；根据《现代汉语标点符号数字用法规范手册》，数字表示范围两边需要使用统一的格式。2. 根据标点国标 4.13 中的规则，数字、时间或地域连接符应使用（视觉上更长的）“—”或“～”。</explain>
      <paraID>146E0F2D</paraID>
      <start>58</start>
      <end>66</end>
      <status>unmodified</status>
      <modifiedWord/>
      <trackRevisions>false</trackRevisions>
    </reviewItem>
    <reviewItem>
      <errorID>eb649695-f7be-47b2-bd6f-d65e30bdb06d</errorID>
      <errorWord>《食品安全法》</errorWord>
      <group>L1_Word</group>
      <groupName>字词问题</groupName>
      <ability>L2_Typo</ability>
      <abilityName>字词错误</abilityName>
      <candidateList>
        <item>《中华人民共和国食品安全法》</item>
      </candidateList>
      <explain/>
      <paraID>412C0445</paraID>
      <start>113</start>
      <end>127</end>
      <status>modified</status>
      <modifiedWord>《中华人民共和国食品安全法》</modifiedWord>
      <trackRevisions>false</trackRevisions>
    </reviewItem>
    <reviewItem>
      <errorID>94d24419-ad58-4647-8da6-b890c5513fe4</errorID>
      <errorWord>必须必须</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 AD3237E</paraID>
      <start>5</start>
      <end>7</end>
      <status>modified</status>
      <modifiedWord>必须</modifiedWord>
      <trackRevisions>false</trackRevisions>
    </reviewItem>
    <reviewItem>
      <errorID>449162aa-4642-4764-a625-e1d5b1b92133</errorID>
      <errorWord>国标标准</errorWord>
      <group>L1_Word</group>
      <groupName>字词问题</groupName>
      <ability>L2_Typo</ability>
      <abilityName>字词错误</abilityName>
      <candidateList>
        <item>国家标准</item>
      </candidateList>
      <explain/>
      <paraID>557C190B</paraID>
      <start>185</start>
      <end>189</end>
      <status>ignored</status>
      <modifiedWord/>
      <trackRevisions>false</trackRevisions>
    </reviewItem>
    <reviewItem>
      <errorID>7d395878-6295-4d0d-a9ef-565c572e3ff0</errorID>
      <errorWord>《食品安全法》</errorWord>
      <group>L1_Word</group>
      <groupName>字词问题</groupName>
      <ability>L2_Typo</ability>
      <abilityName>字词错误</abilityName>
      <candidateList>
        <item>《中华人民共和国食品安全法》</item>
      </candidateList>
      <explain/>
      <paraID>7D93CF11</paraID>
      <start>76</start>
      <end>90</end>
      <status>modified</status>
      <modifiedWord>《中华人民共和国食品安全法》</modifiedWord>
      <trackRevisions>false</trackRevisions>
    </reviewItem>
    <reviewItem>
      <errorID>6e25abd8-1e23-4690-baf7-140397c4a669</errorID>
      <errorWord>《食品安全法》</errorWord>
      <group>L1_Word</group>
      <groupName>字词问题</groupName>
      <ability>L2_Typo</ability>
      <abilityName>字词错误</abilityName>
      <candidateList>
        <item>《中华人民共和国食品安全法》</item>
      </candidateList>
      <explain/>
      <paraID> FD8CA67</paraID>
      <start>82</start>
      <end>96</end>
      <status>modified</status>
      <modifiedWord>《中华人民共和国食品安全法》</modifiedWord>
      <trackRevisions>false</trackRevisions>
    </reviewItem>
    <reviewItem>
      <errorID>151eace7-6338-4ada-a7f1-333281ca3c49</errorID>
      <errorWord>西兰花</errorWord>
      <group>L1_Knowledge</group>
      <groupName>知识性问题</groupName>
      <ability>L2_Knowledge</ability>
      <abilityName>其他知识</abilityName>
      <candidateList>
        <item>西蓝花</item>
      </candidateList>
      <explain/>
      <paraID>64C97D89</paraID>
      <start>5</start>
      <end>8</end>
      <status>unmodified</status>
      <modifiedWord/>
      <trackRevisions>false</trackRevisions>
    </reviewItem>
    <reviewItem>
      <errorID>b01d0469-923a-4c20-bb92-2e74a5c33085</errorID>
      <errorWord>《食品安全法》</errorWord>
      <group>L1_Word</group>
      <groupName>字词问题</groupName>
      <ability>L2_Typo</ability>
      <abilityName>字词错误</abilityName>
      <candidateList>
        <item>《中华人民共和国食品安全法》</item>
      </candidateList>
      <explain/>
      <paraID>3D5F5267</paraID>
      <start>89</start>
      <end>103</end>
      <status>modified</status>
      <modifiedWord>《中华人民共和国食品安全法》</modifiedWord>
      <trackRevisions>false</trackRevisions>
    </reviewItem>
    <reviewItem>
      <errorID>5bb1f26e-d160-4ce4-915d-b006f9f648eb</errorID>
      <errorWord>葵花籽</errorWord>
      <group>L1_Knowledge</group>
      <groupName>知识性问题</groupName>
      <ability>L2_Knowledge</ability>
      <abilityName>其他知识</abilityName>
      <candidateList>
        <item>葵花子</item>
      </candidateList>
      <explain/>
      <paraID>2C1FC39C</paraID>
      <start>0</start>
      <end>3</end>
      <status>unmodified</status>
      <modifiedWord/>
      <trackRevisions>false</trackRevisions>
    </reviewItem>
    <reviewItem>
      <errorID>3dcca02f-eeee-4116-b21a-47be2853562a</errorID>
      <errorWord>葵花籽</errorWord>
      <group>L1_Knowledge</group>
      <groupName>知识性问题</groupName>
      <ability>L2_Knowledge</ability>
      <abilityName>其他知识</abilityName>
      <candidateList>
        <item>葵花子</item>
      </candidateList>
      <explain/>
      <paraID>53E5421C</paraID>
      <start>2</start>
      <end>5</end>
      <status>unmodified</status>
      <modifiedWord/>
      <trackRevisions>false</trackRevisions>
    </reviewItem>
    <reviewItem>
      <errorID>9f5f7b0d-4306-4828-a5a9-7d26ea2abeb0</errorID>
      <errorWord>无须</errorWord>
      <group>L1_Word</group>
      <groupName>字词问题</groupName>
      <ability>L2_Typo</ability>
      <abilityName>字词错误</abilityName>
      <candidateList>
        <item>无需</item>
      </candidateList>
      <explain>存在发音相同字词的误用。</explain>
      <paraID>43B7AA60</paraID>
      <start>35</start>
      <end>37</end>
      <status>unmodified</status>
      <modifiedWord/>
      <trackRevisions>false</trackRevisions>
    </reviewItem>
    <reviewItem>
      <errorID>4feb7587-adcd-4f75-bb9b-71533aba1b1c</errorID>
      <errorWord>《食品安全法》</errorWord>
      <group>L1_Word</group>
      <groupName>字词问题</groupName>
      <ability>L2_Typo</ability>
      <abilityName>字词错误</abilityName>
      <candidateList>
        <item>《中华人民共和国食品安全法》</item>
      </candidateList>
      <explain/>
      <paraID>43B7AA60</paraID>
      <start>148</start>
      <end>162</end>
      <status>modified</status>
      <modifiedWord>《中华人民共和国食品安全法》</modifiedWord>
      <trackRevisions>false</trackRevisions>
    </reviewItem>
    <reviewItem>
      <errorID>ec438b96-047f-4129-a444-c947c4d5e67e</errorID>
      <errorWord>、以及</errorWord>
      <group>L1_Punc</group>
      <groupName>标点问题</groupName>
      <ability>L2_Punc</ability>
      <abilityName>标点符号检查</abilityName>
      <candidateList>
        <item>，以及</item>
      </candidateList>
      <explain>连接词前后不宜使用顿号，建议使用逗号。</explain>
      <paraID>6C144862</paraID>
      <start>24</start>
      <end>27</end>
      <status>unmodified</status>
      <modifiedWord/>
      <trackRevisions>false</trackRevisions>
    </reviewItem>
    <reviewItem>
      <errorID>7fe5d59a-b8cc-481b-9c71-c4008e59bcc0</errorID>
      <errorWord>提供提供</errorWord>
      <group>L1_Word</group>
      <groupName>字词问题</groupName>
      <ability>L2_Typo</ability>
      <abilityName>字词错误</abilityName>
      <candidateList>
        <item>提供</item>
      </candidateList>
      <explain/>
      <paraID>1698515E</paraID>
      <start>64</start>
      <end>66</end>
      <status>modified</status>
      <modifiedWord>提供</modifiedWord>
      <trackRevisions>false</trackRevisions>
    </reviewItem>
    <reviewItem>
      <errorID>151d4f80-6011-44b4-941b-b8d16ed78125</errorID>
      <errorWord>:</errorWord>
      <group>L1_Format</group>
      <groupName>格式问题</groupName>
      <ability>L2_HalfPunc</ability>
      <abilityName>全半角检查</abilityName>
      <candidateList>
        <item>：</item>
      </candidateList>
      <explain>文本全半角错误。</explain>
      <paraID>2BF265B4</paraID>
      <start>8</start>
      <end>9</end>
      <status>unmodified</status>
      <modifiedWord/>
      <trackRevisions>false</trackRevisions>
    </reviewItem>
    <reviewItem>
      <errorID>b9d6a328-3acb-433b-b988-1df1fb46b3ac</errorID>
      <errorWord>:</errorWord>
      <group>L1_Format</group>
      <groupName>格式问题</groupName>
      <ability>L2_HalfPunc</ability>
      <abilityName>全半角检查</abilityName>
      <candidateList>
        <item>：</item>
      </candidateList>
      <explain>文本全半角错误。</explain>
      <paraID>6D45CBC7</paraID>
      <start>10</start>
      <end>11</end>
      <status>unmodified</status>
      <modifiedWord/>
      <trackRevisions>false</trackRevisions>
    </reviewItem>
    <reviewItem>
      <errorID>23f9af95-e906-48a8-a871-06a2bf3590d3</errorID>
      <errorWord>餐余垃圾</errorWord>
      <group>L1_Word</group>
      <groupName>字词问题</groupName>
      <ability>L2_Typo</ability>
      <abilityName>字词错误</abilityName>
      <candidateList>
        <item>厨余垃圾</item>
      </candidateList>
      <explain/>
      <paraID>29F4599A</paraID>
      <start>38</start>
      <end>42</end>
      <status>unmodified</status>
      <modifiedWord/>
      <trackRevisions>false</trackRevisions>
    </reviewItem>
    <reviewItem>
      <errorID>2a4e30df-5aaa-4d12-8376-3c19d4ed2f85</errorID>
      <errorWord>病源</errorWord>
      <group>L1_Word</group>
      <groupName>字词问题</groupName>
      <ability>L2_Typo</ability>
      <abilityName>字词错误</abilityName>
      <candidateList>
        <item>病原</item>
      </candidateList>
      <explain>存在发音相同字词的误用。</explain>
      <paraID>5A595CE4</paraID>
      <start>35</start>
      <end>37</end>
      <status>unmodified</status>
      <modifiedWord/>
      <trackRevisions>false</trackRevisions>
    </reviewItem>
    <reviewItem>
      <errorID>bd2b5825-0786-4adf-bcb8-b8eec26b14c6</errorID>
      <errorWord>，</errorWord>
      <group>L1_Word</group>
      <groupName>字词问题</groupName>
      <ability>L2_Typo</ability>
      <abilityName>字词错误</abilityName>
      <candidateList>
        <item>，具</item>
      </candidateList>
      <explain/>
      <paraID> DE93E3B</paraID>
      <start>82</start>
      <end>83</end>
      <status>unmodified</status>
      <modifiedWord/>
      <trackRevisions>false</trackRevisions>
    </reviewItem>
    <reviewItem>
      <errorID>56f5a40b-c495-4d64-b25c-7a5dd67d514d</errorID>
      <errorWord>,</errorWord>
      <group>L1_Format</group>
      <groupName>格式问题</groupName>
      <ability>L2_HalfPunc</ability>
      <abilityName>全半角检查</abilityName>
      <candidateList>
        <item>，</item>
      </candidateList>
      <explain>文本全半角错误。</explain>
      <paraID> DE93E3B</paraID>
      <start>105</start>
      <end>106</end>
      <status>unmodified</status>
      <modifiedWord/>
      <trackRevisions>false</trackRevisions>
    </reviewItem>
    <reviewItem>
      <errorID>18135805-6d95-4ef9-b400-ae0a6d76f04a</errorID>
      <errorWord>,</errorWord>
      <group>L1_Format</group>
      <groupName>格式问题</groupName>
      <ability>L2_HalfPunc</ability>
      <abilityName>全半角检查</abilityName>
      <candidateList>
        <item>，</item>
      </candidateList>
      <explain>文本全半角错误。</explain>
      <paraID>519A4278</paraID>
      <start>57</start>
      <end>58</end>
      <status>unmodified</status>
      <modifiedWord/>
      <trackRevisions>false</trackRevisions>
    </reviewItem>
    <reviewItem>
      <errorID>5d8836d3-ff7c-40b9-91e2-d441cbf4a20e</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 4A42066</paraID>
      <start>48</start>
      <end>50</end>
      <status>unmodified</status>
      <modifiedWord/>
      <trackRevisions>false</trackRevisions>
    </reviewItem>
    <reviewItem>
      <errorID>f7d30c4b-7624-4905-bddd-248efdb16d6d</errorID>
      <errorWord>算数平均</errorWord>
      <group>L1_Word</group>
      <groupName>字词问题</groupName>
      <ability>L2_Typo</ability>
      <abilityName>字词错误</abilityName>
      <candidateList>
        <item>算术平均</item>
      </candidateList>
      <explain>存在发音相同字词的误用。</explain>
      <paraID>5610CB54</paraID>
      <start>197</start>
      <end>201</end>
      <status>modified</status>
      <modifiedWord>算术平均</modifiedWord>
      <trackRevisions>false</trackRevisions>
    </reviewItem>
    <reviewItem>
      <errorID>732bcda1-8eab-4b5c-9d45-afad60ca92cc</errorID>
      <errorWord>须报给</errorWord>
      <group>L1_Word</group>
      <groupName>字词问题</groupName>
      <ability>L2_Typo</ability>
      <abilityName>字词错误</abilityName>
      <candidateList>
        <item>须报</item>
      </candidateList>
      <explain/>
      <paraID>357F00BB</paraID>
      <start>24</start>
      <end>27</end>
      <status>unmodified</status>
      <modifiedWord/>
      <trackRevisions>false</trackRevisions>
    </reviewItem>
    <reviewItem>
      <errorID>8f0154ba-de67-44a3-a3bc-6a59bf6335d2</errorID>
      <errorWord>满</errorWord>
      <group>L1_Word</group>
      <groupName>字词问题</groupName>
      <ability>L2_Typo</ability>
      <abilityName>字词错误</abilityName>
      <candidateList>
        <item>满后</item>
      </candidateList>
      <explain/>
      <paraID>357F00BB</paraID>
      <start>38</start>
      <end>39</end>
      <status>unmodified</status>
      <modifiedWord/>
      <trackRevisions>false</trackRevisions>
    </reviewItem>
    <reviewItem>
      <errorID>b2ba9886-76e8-4127-81e2-97e5fec47173</errorID>
      <errorWord>其它</errorWord>
      <group>L1_Word</group>
      <groupName>字词问题</groupName>
      <ability>L2_Alias</ability>
      <abilityName>也作/曾用词</abilityName>
      <candidateList>
        <item>其他</item>
      </candidateList>
      <explain>词汇[其它]为不规范表述或旧称，其规范书面表述为[其他]。</explain>
      <paraID> ED0FCF6</paraID>
      <start>0</start>
      <end>2</end>
      <status>unmodified</status>
      <modifiedWord/>
      <trackRevisions>false</trackRevisions>
    </reviewItem>
    <reviewItem>
      <errorID>de9abf22-94a4-44a3-b0da-a8308ce31c1f</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797D84B6</paraID>
      <start>45</start>
      <end>47</end>
      <status>unmodified</status>
      <modifiedWord/>
      <trackRevisions>false</trackRevisions>
    </reviewItem>
    <reviewItem>
      <errorID>2fb7e011-0e4b-43f3-ae5d-3178ecfa2a61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5D89C392</paraID>
      <start>0</start>
      <end>2</end>
      <status>unmodified</status>
      <modifiedWord/>
      <trackRevisions>false</trackRevisions>
    </reviewItem>
    <reviewItem>
      <errorID>db404580-38a3-4ff4-af69-dd6ae7b91f93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619B8639</paraID>
      <start>0</start>
      <end>2</end>
      <status>unmodified</status>
      <modifiedWord/>
      <trackRevisions>false</trackRevisions>
    </reviewItem>
    <reviewItem>
      <errorID>2e471de0-7c1f-4ba3-a9ba-9ec117d71712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4F865D3F</paraID>
      <start>0</start>
      <end>2</end>
      <status>unmodified</status>
      <modifiedWord/>
      <trackRevisions>false</trackRevisions>
    </reviewItem>
    <reviewItem>
      <errorID>ac86ad55-a257-45bc-99df-da25973ea8cd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31C90183</paraID>
      <start>0</start>
      <end>2</end>
      <status>unmodified</status>
      <modifiedWord/>
      <trackRevisions>false</trackRevisions>
    </reviewItem>
    <reviewItem>
      <errorID>5d833475-a980-494a-8939-1318f4c80265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156590D0</paraID>
      <start>0</start>
      <end>2</end>
      <status>unmodified</status>
      <modifiedWord/>
      <trackRevisions>false</trackRevisions>
    </reviewItem>
    <reviewItem>
      <errorID>28f05839-619a-4717-8532-5e5dd6c0ab99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4CC35E83</paraID>
      <start>0</start>
      <end>2</end>
      <status>unmodified</status>
      <modifiedWord/>
      <trackRevisions>false</trackRevisions>
    </reviewItem>
    <reviewItem>
      <errorID>33ccfe07-1881-4f6d-8f72-7ee71fbf9995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9B77843</paraID>
      <start>0</start>
      <end>2</end>
      <status>unmodified</status>
      <modifiedWord/>
      <trackRevisions>false</trackRevisions>
    </reviewItem>
    <reviewItem>
      <errorID>8e3d885e-87e2-4eb5-8132-cd1b7594c6ba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71E50C01</paraID>
      <start>0</start>
      <end>2</end>
      <status>unmodified</status>
      <modifiedWord/>
      <trackRevisions>false</trackRevisions>
    </reviewItem>
    <reviewItem>
      <errorID>14ad23fb-81f1-4f5a-ac21-d6318672649c</errorID>
      <errorWord>算数平均</errorWord>
      <group>L1_Word</group>
      <groupName>字词问题</groupName>
      <ability>L2_Typo</ability>
      <abilityName>字词错误</abilityName>
      <candidateList>
        <item>算术平均</item>
      </candidateList>
      <explain>存在发音相同字词的误用。</explain>
      <paraID>682F21A2</paraID>
      <start>60</start>
      <end>64</end>
      <status>modified</status>
      <modifiedWord>算术平均</modifiedWord>
      <trackRevisions>false</trackRevisions>
    </reviewItem>
    <reviewItem>
      <errorID>9ea858b4-279d-442d-a46e-7844752c940c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682F21A2</paraID>
      <start>296</start>
      <end>297</end>
      <status>unmodified</status>
      <modifiedWord/>
      <trackRevisions>false</trackRevisions>
    </reviewItem>
    <reviewItem>
      <errorID>0e81045c-c988-4f92-acc1-cbad968ce205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4BBCD6C</paraID>
      <start>0</start>
      <end>2</end>
      <status>unmodified</status>
      <modifiedWord/>
      <trackRevisions>false</trackRevisions>
    </reviewItem>
    <reviewItem>
      <errorID>5f13a78f-c28b-4813-a2a9-6108ccdfdd6b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DFDFB45</paraID>
      <start>10</start>
      <end>13</end>
      <status>unmodified</status>
      <modifiedWord/>
      <trackRevisions>false</trackRevisions>
    </reviewItem>
    <reviewItem>
      <errorID>91244f7d-318e-45fc-abf2-51f746887da0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DFDFB45</paraID>
      <start>20</start>
      <end>23</end>
      <status>unmodified</status>
      <modifiedWord/>
      <trackRevisions>false</trackRevisions>
    </reviewItem>
    <reviewItem>
      <errorID>b87dc6dc-55ab-4063-a6b7-832fe5d1a1a2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9F1BE67</paraID>
      <start>51</start>
      <end>52</end>
      <status>unmodified</status>
      <modifiedWord/>
      <trackRevisions>false</trackRevisions>
    </reviewItem>
    <reviewItem>
      <errorID>f9eb060d-ff6d-463a-a2c1-55f9b24a2945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9F1BE67</paraID>
      <start>88</start>
      <end>89</end>
      <status>unmodified</status>
      <modifiedWord/>
      <trackRevisions>false</trackRevisions>
    </reviewItem>
    <reviewItem>
      <errorID>82951af4-7e4e-48ad-af2b-5e5156ecd0a9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150C95E2</paraID>
      <start>12</start>
      <end>15</end>
      <status>unmodified</status>
      <modifiedWord/>
      <trackRevisions>false</trackRevisions>
    </reviewItem>
    <reviewItem>
      <errorID>19ed5601-cdf3-4c5c-93bf-0c3b6b217315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150C95E2</paraID>
      <start>59</start>
      <end>60</end>
      <status>unmodified</status>
      <modifiedWord/>
      <trackRevisions>false</trackRevisions>
    </reviewItem>
    <reviewItem>
      <errorID>34cbe60a-8fd2-42f1-85fb-ba436988fc93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150C95E2</paraID>
      <start>96</start>
      <end>97</end>
      <status>unmodified</status>
      <modifiedWord/>
      <trackRevisions>false</trackRevisions>
    </reviewItem>
    <reviewItem>
      <errorID>1763787a-28de-48e3-bdb9-4e1915fc3b69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150C95E2</paraID>
      <start>179</start>
      <end>182</end>
      <status>unmodified</status>
      <modifiedWord/>
      <trackRevisions>false</trackRevisions>
    </reviewItem>
    <reviewItem>
      <errorID>bf1d3a51-cef0-431a-8885-795510befa54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72F56A2E</paraID>
      <start>0</start>
      <end>2</end>
      <status>unmodified</status>
      <modifiedWord/>
      <trackRevisions>false</trackRevisions>
    </reviewItem>
    <reviewItem>
      <errorID>932196b1-92a7-48b3-9770-1df4907c5bf4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78418A5D</paraID>
      <start>0</start>
      <end>2</end>
      <status>unmodified</status>
      <modifiedWord/>
      <trackRevisions>false</trackRevisions>
    </reviewItem>
    <reviewItem>
      <errorID>08a9e639-eb67-4834-afca-d5d477ee66bf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1C908FD8</paraID>
      <start>0</start>
      <end>2</end>
      <status>unmodified</status>
      <modifiedWord/>
      <trackRevisions>false</trackRevisions>
    </reviewItem>
    <reviewItem>
      <errorID>0faafaf0-9b95-4643-917a-0babc341d86e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4271396B</paraID>
      <start>0</start>
      <end>2</end>
      <status>unmodified</status>
      <modifiedWord/>
      <trackRevisions>false</trackRevisions>
    </reviewItem>
    <reviewItem>
      <errorID>eb4231a2-3b0d-4b89-8dea-2b8abbad2211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14903C45</paraID>
      <start>0</start>
      <end>2</end>
      <status>unmodified</status>
      <modifiedWord/>
      <trackRevisions>false</trackRevisions>
    </reviewItem>
    <reviewItem>
      <errorID>b885ee68-c0d7-4c2d-9a38-34d1ea934baf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5963E44E</paraID>
      <start>0</start>
      <end>2</end>
      <status>unmodified</status>
      <modifiedWord/>
      <trackRevisions>false</trackRevisions>
    </reviewItem>
    <reviewItem>
      <errorID>9a2a29d9-6fdd-4fd1-b5eb-d93ca71eef1e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3FCA55B4</paraID>
      <start>0</start>
      <end>2</end>
      <status>unmodified</status>
      <modifiedWord/>
      <trackRevisions>false</trackRevisions>
    </reviewItem>
    <reviewItem>
      <errorID>d5ecd57a-6ca9-4feb-b3a8-16a9aee98c10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54C4257E</paraID>
      <start>0</start>
      <end>2</end>
      <status>unmodified</status>
      <modifiedWord/>
      <trackRevisions>false</trackRevisions>
    </reviewItem>
    <reviewItem>
      <errorID>b438fb7a-f50a-4532-8631-521b312611a4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7CE32E01</paraID>
      <start>0</start>
      <end>2</end>
      <status>unmodified</status>
      <modifiedWord/>
      <trackRevisions>false</trackRevisions>
    </reviewItem>
    <reviewItem>
      <errorID>7bcaa630-a606-4fbb-8d23-f44c68d19e27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4C307F9E</paraID>
      <start>0</start>
      <end>2</end>
      <status>unmodified</status>
      <modifiedWord/>
      <trackRevisions>false</trackRevisions>
    </reviewItem>
    <reviewItem>
      <errorID>f59d3b14-bc02-4391-bc4b-c8322a3b8d8c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3DE23335</paraID>
      <start>0</start>
      <end>2</end>
      <status>unmodified</status>
      <modifiedWord/>
      <trackRevisions>false</trackRevisions>
    </reviewItem>
    <reviewItem>
      <errorID>3600ff2a-82ec-43bc-bce5-904ebddf3c0e</errorID>
      <errorWord>《政府采购法》</errorWord>
      <group>L1_Word</group>
      <groupName>字词问题</groupName>
      <ability>L2_Typo</ability>
      <abilityName>字词错误</abilityName>
      <candidateList>
        <item>《中华人民共和国政府采购法》</item>
      </candidateList>
      <explain/>
      <paraID>3DE23335</paraID>
      <start>3</start>
      <end>10</end>
      <status>unmodified</status>
      <modifiedWord/>
      <trackRevisions>false</trackRevisions>
    </reviewItem>
    <reviewItem>
      <errorID>002930be-12ce-4ba0-a36c-74577a3d455d</errorID>
      <errorWord>第49条</errorWord>
      <group>L1_Knowledge</group>
      <groupName>知识性问题</groupName>
      <ability>L2_Knowledge</ability>
      <abilityName>其他知识</abilityName>
      <candidateList>
        <item>第四十九条</item>
      </candidateList>
      <explain/>
      <paraID>3DE23335</paraID>
      <start>10</start>
      <end>14</end>
      <status>unmodified</status>
      <modifiedWord/>
      <trackRevisions>false</trackRevisions>
    </reviewItem>
    <reviewItem>
      <errorID>b5faf3ef-3061-4935-94bb-eb3d27bacf0e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1DB04E8E</paraID>
      <start>0</start>
      <end>2</end>
      <status>unmodified</status>
      <modifiedWord/>
      <trackRevisions>false</trackRevisions>
    </reviewItem>
    <reviewItem>
      <errorID>afc21eec-c6a3-4291-bbae-1022d768a70d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77A898AF</paraID>
      <start>0</start>
      <end>2</end>
      <status>unmodified</status>
      <modifiedWord/>
      <trackRevisions>false</trackRevisions>
    </reviewItem>
    <reviewItem>
      <errorID>20a73e08-a935-44ac-8343-8d1e0b247262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6D4007C4</paraID>
      <start>0</start>
      <end>2</end>
      <status>unmodified</status>
      <modifiedWord/>
      <trackRevisions>false</trackRevisions>
    </reviewItem>
    <reviewItem>
      <errorID>c3e8f85d-0429-403c-b4cf-15b8762c413f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7F61E0AD</paraID>
      <start>0</start>
      <end>2</end>
      <status>unmodified</status>
      <modifiedWord/>
      <trackRevisions>false</trackRevisions>
    </reviewItem>
    <reviewItem>
      <errorID>d7e2ebf5-3bb1-45d3-b6d8-118f6297b337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90BADAC</paraID>
      <start>0</start>
      <end>2</end>
      <status>unmodified</status>
      <modifiedWord/>
      <trackRevisions>false</trackRevisions>
    </reviewItem>
    <reviewItem>
      <errorID>54d33126-8abb-46f8-8aaa-6cc6c340b0b4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46EF439E</paraID>
      <start>0</start>
      <end>2</end>
      <status>unmodified</status>
      <modifiedWord/>
      <trackRevisions>false</trackRevisions>
    </reviewItem>
    <reviewItem>
      <errorID>033548bd-525b-42ca-afa6-6ffc099b7f49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65B2BD30</paraID>
      <start>0</start>
      <end>2</end>
      <status>unmodified</status>
      <modifiedWord/>
      <trackRevisions>false</trackRevisions>
    </reviewItem>
    <reviewItem>
      <errorID>7a47d066-224a-4ec0-b82a-b416f530ff26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7A61E792</paraID>
      <start>0</start>
      <end>2</end>
      <status>unmodified</status>
      <modifiedWord/>
      <trackRevisions>false</trackRevisions>
    </reviewItem>
    <reviewItem>
      <errorID>0c5ddc1c-61f8-49ef-91b4-6d308ca8f448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3F88D0C7</paraID>
      <start>0</start>
      <end>2</end>
      <status>unmodified</status>
      <modifiedWord/>
      <trackRevisions>false</trackRevisions>
    </reviewItem>
    <reviewItem>
      <errorID>62c4c6fb-9d06-476c-be50-f84203eaca40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24EAE091</paraID>
      <start>0</start>
      <end>2</end>
      <status>unmodified</status>
      <modifiedWord/>
      <trackRevisions>false</trackRevisions>
    </reviewItem>
    <reviewItem>
      <errorID>46e9ee31-6108-4d59-9987-a5cc57a615f4</errorID>
      <errorWord>涨</errorWord>
      <group>L1_Word</group>
      <groupName>字词问题</groupName>
      <ability>L2_Typo</ability>
      <abilityName>字词错误</abilityName>
      <candidateList>
        <item>胀</item>
      </candidateList>
      <explain>存在发音相同字词的误用。</explain>
      <paraID>76383B3F</paraID>
      <start>36</start>
      <end>37</end>
      <status>unmodified</status>
      <modifiedWord/>
      <trackRevisions>false</trackRevisions>
    </reviewItem>
    <reviewItem>
      <errorID>e709a37c-2153-420a-aa1b-5a39f759e6ba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730F78E8</paraID>
      <start>32</start>
      <end>33</end>
      <status>unmodified</status>
      <modifiedWord/>
      <trackRevisions>false</trackRevisions>
    </reviewItem>
    <reviewItem>
      <errorID>d3053bbc-c2a2-42d8-98d3-bfd997a15577</errorID>
      <errorWord>检测体温</errorWord>
      <group>L1_Word</group>
      <groupName>字词问题</groupName>
      <ability>L2_Typo</ability>
      <abilityName>字词错误</abilityName>
      <candidateList>
        <item>监测体温</item>
      </candidateList>
      <explain/>
      <paraID>3F710BC2</paraID>
      <start>11</start>
      <end>15</end>
      <status>unmodified</status>
      <modifiedWord/>
      <trackRevisions>false</trackRevisions>
    </reviewItem>
    <reviewItem>
      <errorID>619dba35-00e5-4dce-a80e-0cec20f91371</errorID>
      <errorWord>应</errorWord>
      <group>L1_Word</group>
      <groupName>字词问题</groupName>
      <ability>L2_Typo</ability>
      <abilityName>字词错误</abilityName>
      <candidateList>
        <item>将</item>
      </candidateList>
      <explain>（jiāng）将要；（jiàng）勇将、上将、游泳健将；（qiāng）请求，将子无怒。</explain>
      <paraID>39540466</paraID>
      <start>34</start>
      <end>35</end>
      <status>unmodified</status>
      <modifiedWord/>
      <trackRevisions>false</trackRevisions>
    </reviewItem>
    <reviewItem>
      <errorID>bc44db24-1397-4bb0-82da-6d14f167c769</errorID>
      <errorWord>赃污</errorWord>
      <group>L1_Word</group>
      <groupName>字词问题</groupName>
      <ability>L2_Typo</ability>
      <abilityName>字词错误</abilityName>
      <candidateList>
        <item>脏污</item>
      </candidateList>
      <explain/>
      <paraID>6E87836F</paraID>
      <start>43</start>
      <end>45</end>
      <status>unmodified</status>
      <modifiedWord/>
      <trackRevisions>false</trackRevisions>
    </reviewItem>
    <reviewItem>
      <errorID>8a1d9002-5fce-438a-9582-f057547e552f</errorID>
      <errorWord>，，</errorWord>
      <group>L1_Punc</group>
      <groupName>标点问题</groupName>
      <ability>L2_Punc</ability>
      <abilityName>标点符号检查</abilityName>
      <candidateList>
        <item>，</item>
      </candidateList>
      <explain/>
      <paraID>6D9AE78F</paraID>
      <start>18</start>
      <end>20</end>
      <status>unmodified</status>
      <modifiedWord/>
      <trackRevisions>false</trackRevisions>
    </reviewItem>
    <reviewItem>
      <errorID>86245be1-df9c-4d51-9822-effd2535e2ce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62BA2ED7</paraID>
      <start>68</start>
      <end>69</end>
      <status>unmodified</status>
      <modifiedWord/>
      <trackRevisions>false</trackRevisions>
    </reviewItem>
    <reviewItem>
      <errorID>c40ef63c-ee1f-49e2-8b8a-6e4b7c1f16f9</errorID>
      <errorWord>如是</errorWord>
      <group>L1_Word</group>
      <groupName>字词问题</groupName>
      <ability>L2_Typo</ability>
      <abilityName>字词错误</abilityName>
      <candidateList>
        <item>如</item>
      </candidateList>
      <explain/>
      <paraID>51D3C161</paraID>
      <start>104</start>
      <end>106</end>
      <status>unmodified</status>
      <modifiedWord/>
      <trackRevisions>false</trackRevisions>
    </reviewItem>
    <reviewItem>
      <errorID>dcb9cf88-021d-4f62-9e34-0ec11d9a8363</errorID>
      <errorWord>如是</errorWord>
      <group>L1_Word</group>
      <groupName>字词问题</groupName>
      <ability>L2_Typo</ability>
      <abilityName>字词错误</abilityName>
      <candidateList>
        <item>如</item>
      </candidateList>
      <explain/>
      <paraID>2E7FE41D</paraID>
      <start>44</start>
      <end>46</end>
      <status>unmodified</status>
      <modifiedWord/>
      <trackRevisions>false</trackRevisions>
    </reviewItem>
    <reviewItem>
      <errorID>28679b07-a3cb-4b0d-8fe8-71a99159766c</errorID>
      <errorWord>（</errorWord>
      <group>L1_Punc</group>
      <groupName>标点问题</groupName>
      <ability>L2_Punc</ability>
      <abilityName>标点符号检查</abilityName>
      <candidateList/>
      <explain>同一形式括号套用。</explain>
      <paraID>4CCEBA88</paraID>
      <start>144</start>
      <end>145</end>
      <status>unmodified</status>
      <modifiedWord/>
      <trackRevisions>false</trackRevisions>
    </reviewItem>
    <reviewItem>
      <errorID>1dda2f6c-41c5-45cf-9afc-618974d7d4ce</errorID>
      <errorWord>）</errorWord>
      <group>L1_Punc</group>
      <groupName>标点问题</groupName>
      <ability>L2_Punc</ability>
      <abilityName>标点符号检查</abilityName>
      <candidateList/>
      <explain>同一形式括号套用。</explain>
      <paraID>4CCEBA88</paraID>
      <start>146</start>
      <end>147</end>
      <status>unmodified</status>
      <modifiedWord/>
      <trackRevisions>false</trackRevisions>
    </reviewItem>
    <reviewItem>
      <errorID>72413193-fbcd-43a1-a9c5-72189b2b5c02</errorID>
      <errorWord>（</errorWord>
      <group>L1_Punc</group>
      <groupName>标点问题</groupName>
      <ability>L2_Punc</ability>
      <abilityName>标点符号检查</abilityName>
      <candidateList/>
      <explain>同一形式括号套用。</explain>
      <paraID>1909F990</paraID>
      <start>151</start>
      <end>152</end>
      <status>unmodified</status>
      <modifiedWord/>
      <trackRevisions>false</trackRevisions>
    </reviewItem>
    <reviewItem>
      <errorID>0e026c41-259e-4fe3-bc01-1df23f9f627a</errorID>
      <errorWord>）</errorWord>
      <group>L1_Punc</group>
      <groupName>标点问题</groupName>
      <ability>L2_Punc</ability>
      <abilityName>标点符号检查</abilityName>
      <candidateList/>
      <explain>同一形式括号套用。</explain>
      <paraID>1909F990</paraID>
      <start>153</start>
      <end>154</end>
      <status>unmodified</status>
      <modifiedWord/>
      <trackRevisions>false</trackRevisions>
    </reviewItem>
    <reviewItem>
      <errorID>e7072d19-8a3f-448f-9cc6-6b246f2044ba</errorID>
      <errorWord>及实施细则</errorWord>
      <group>L1_Word</group>
      <groupName>字词问题</groupName>
      <ability>L2_Typo</ability>
      <abilityName>字词错误</abilityName>
      <candidateList>
        <item>及其实施细则</item>
      </candidateList>
      <explain/>
      <paraID>2D8CFBA9</paraID>
      <start>18</start>
      <end>23</end>
      <status>unmodified</status>
      <modifiedWord/>
      <trackRevisions>false</trackRevisions>
    </reviewItem>
    <reviewItem>
      <errorID>d1de0219-fa07-4f97-bc96-ed119e7bd199</errorID>
      <errorWord>（</errorWord>
      <group>L1_Punc</group>
      <groupName>标点问题</groupName>
      <ability>L2_Punc</ability>
      <abilityName>标点符号检查</abilityName>
      <candidateList/>
      <explain>同一形式括号套用。</explain>
      <paraID>6383A893</paraID>
      <start>18</start>
      <end>19</end>
      <status>unmodified</status>
      <modifiedWord/>
      <trackRevisions>false</trackRevisions>
    </reviewItem>
    <reviewItem>
      <errorID>a20c6c9a-ad82-4087-82fe-3fc57b937609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6383A893</paraID>
      <start>23</start>
      <end>24</end>
      <status>unmodified</status>
      <modifiedWord/>
      <trackRevisions>false</trackRevisions>
    </reviewItem>
    <reviewItem>
      <errorID>e7166fe8-2a1f-4260-880b-1fc8b1765bc3</errorID>
      <errorWord>）</errorWord>
      <group>L1_Punc</group>
      <groupName>标点问题</groupName>
      <ability>L2_Punc</ability>
      <abilityName>标点符号检查</abilityName>
      <candidateList/>
      <explain>同一形式括号套用。</explain>
      <paraID>6383A893</paraID>
      <start>29</start>
      <end>30</end>
      <status>unmodified</status>
      <modifiedWord/>
      <trackRevisions>false</trackRevisions>
    </reviewItem>
    <reviewItem>
      <errorID>e67093bd-feb7-41b5-a1c7-2cea826ca1d3</errorID>
      <errorWord>（</errorWord>
      <group>L1_Punc</group>
      <groupName>标点问题</groupName>
      <ability>L2_Punc</ability>
      <abilityName>标点符号检查</abilityName>
      <candidateList/>
      <explain>同一形式括号套用。</explain>
      <paraID>6383A893</paraID>
      <start>86</start>
      <end>87</end>
      <status>unmodified</status>
      <modifiedWord/>
      <trackRevisions>false</trackRevisions>
    </reviewItem>
    <reviewItem>
      <errorID>f982326c-678e-4769-adf0-9c98e35df358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6383A893</paraID>
      <start>91</start>
      <end>92</end>
      <status>unmodified</status>
      <modifiedWord/>
      <trackRevisions>false</trackRevisions>
    </reviewItem>
    <reviewItem>
      <errorID>89b16ed4-d870-4fad-8f38-47c2572c5cad</errorID>
      <errorWord>）</errorWord>
      <group>L1_Punc</group>
      <groupName>标点问题</groupName>
      <ability>L2_Punc</ability>
      <abilityName>标点符号检查</abilityName>
      <candidateList/>
      <explain>同一形式括号套用。</explain>
      <paraID>6383A893</paraID>
      <start>97</start>
      <end>98</end>
      <status>unmodified</status>
      <modifiedWord/>
      <trackRevisions>false</trackRevisions>
    </reviewItem>
    <reviewItem>
      <errorID>b3a1fadb-7526-4443-bf9c-eb8fd6e9b727</errorID>
      <errorWord>（</errorWord>
      <group>L1_Punc</group>
      <groupName>标点问题</groupName>
      <ability>L2_Punc</ability>
      <abilityName>标点符号检查</abilityName>
      <candidateList/>
      <explain>同一形式括号套用。</explain>
      <paraID>321EB1E2</paraID>
      <start>76</start>
      <end>77</end>
      <status>unmodified</status>
      <modifiedWord/>
      <trackRevisions>false</trackRevisions>
    </reviewItem>
    <reviewItem>
      <errorID>1ae29b21-840a-474e-b99e-e7fa450505be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321EB1E2</paraID>
      <start>81</start>
      <end>82</end>
      <status>unmodified</status>
      <modifiedWord/>
      <trackRevisions>false</trackRevisions>
    </reviewItem>
    <reviewItem>
      <errorID>518fcf48-10da-43c8-93ac-a7dec35ae069</errorID>
      <errorWord>）</errorWord>
      <group>L1_Punc</group>
      <groupName>标点问题</groupName>
      <ability>L2_Punc</ability>
      <abilityName>标点符号检查</abilityName>
      <candidateList/>
      <explain>同一形式括号套用。</explain>
      <paraID>321EB1E2</paraID>
      <start>87</start>
      <end>88</end>
      <status>unmodified</status>
      <modifiedWord/>
      <trackRevisions>false</trackRevisions>
    </reviewItem>
    <reviewItem>
      <errorID>d18be6c9-9cad-45fe-b5eb-43e3101e8947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56316C47</paraID>
      <start>21</start>
      <end>22</end>
      <status>unmodified</status>
      <modifiedWord/>
      <trackRevisions>false</trackRevisions>
    </reviewItem>
    <reviewItem>
      <errorID>5304c7b0-a03b-46da-9803-d7167a806d8e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1A4E2908</paraID>
      <start>14</start>
      <end>15</end>
      <status>unmodified</status>
      <modifiedWord/>
      <trackRevisions>false</trackRevisions>
    </reviewItem>
    <reviewItem>
      <errorID>ef9041d4-6cc8-458f-ac88-6dd60692f583</errorID>
      <errorWord>（</errorWord>
      <group>L1_Punc</group>
      <groupName>标点问题</groupName>
      <ability>L2_Punc</ability>
      <abilityName>标点符号检查</abilityName>
      <candidateList/>
      <explain>同一形式括号套用。</explain>
      <paraID>28B41AA1</paraID>
      <start>18</start>
      <end>19</end>
      <status>unmodified</status>
      <modifiedWord/>
      <trackRevisions>false</trackRevisions>
    </reviewItem>
    <reviewItem>
      <errorID>1213a680-ba45-4832-8632-d35a6eb4a7d8</errorID>
      <errorWord>）</errorWord>
      <group>L1_Punc</group>
      <groupName>标点问题</groupName>
      <ability>L2_Punc</ability>
      <abilityName>标点符号检查</abilityName>
      <candidateList/>
      <explain>同一形式括号套用。</explain>
      <paraID>28B41AA1</paraID>
      <start>24</start>
      <end>25</end>
      <status>unmodified</status>
      <modifiedWord/>
      <trackRevisions>false</trackRevisions>
    </reviewItem>
    <reviewItem>
      <errorID>47f04671-918f-4ff5-9435-c6100dd8e5ae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33436C02</paraID>
      <start>14</start>
      <end>15</end>
      <status>unmodified</status>
      <modifiedWord/>
      <trackRevisions>false</trackRevisions>
    </reviewItem>
    <reviewItem>
      <errorID>0dbae268-2a02-43fe-bc3e-50a6cf63226f</errorID>
      <errorWord>不须</errorWord>
      <group>L1_Word</group>
      <groupName>字词问题</groupName>
      <ability>L2_Typo</ability>
      <abilityName>字词错误</abilityName>
      <candidateList>
        <item>无需</item>
      </candidateList>
      <explain>同“无须”。</explain>
      <paraID>310A59AC</paraID>
      <start>40</start>
      <end>42</end>
      <status>unmodified</status>
      <modifiedWord/>
      <trackRevisions>false</trackRevisions>
    </reviewItem>
    <reviewItem>
      <errorID>3a4f5577-6dd5-49e5-82fb-589b51b71023</errorID>
      <errorWord>*</errorWord>
      <group>L1_Punc</group>
      <groupName>标点问题</groupName>
      <ability>L2_Punc</ability>
      <abilityName>标点符号检查</abilityName>
      <candidateList/>
      <explain/>
      <paraID>51D495D3</paraID>
      <start>0</start>
      <end>1</end>
      <status>unmodified</status>
      <modifiedWord/>
      <trackRevisions>false</trackRevisions>
    </reviewItem>
    <reviewItem>
      <errorID>f34c2bd3-3da4-4d1b-8015-7a78cfc6948b</errorID>
      <errorWord>*</errorWord>
      <group>L1_Punc</group>
      <groupName>标点问题</groupName>
      <ability>L2_Punc</ability>
      <abilityName>标点符号检查</abilityName>
      <candidateList/>
      <explain/>
      <paraID>37F06BEC</paraID>
      <start>0</start>
      <end>1</end>
      <status>unmodified</status>
      <modifiedWord/>
      <trackRevisions>false</trackRevisions>
    </reviewItem>
    <reviewItem>
      <errorID>2384a071-6b2f-4915-abca-3d896ede14ff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65580F6E</paraID>
      <start>14</start>
      <end>15</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76EED1-841E-497D-BAB0-1085B5183AE2}">
  <ds:schemaRefs/>
</ds:datastoreItem>
</file>

<file path=customXml/itemProps3.xml><?xml version="1.0" encoding="utf-8"?>
<ds:datastoreItem xmlns:ds="http://schemas.openxmlformats.org/officeDocument/2006/customXml" ds:itemID="{C21D387D-97F2-44D7-A31A-FD8DAA495EDC}">
  <ds:schemaRefs/>
</ds:datastoreItem>
</file>

<file path=docProps/app.xml><?xml version="1.0" encoding="utf-8"?>
<Properties xmlns="http://schemas.openxmlformats.org/officeDocument/2006/extended-properties" xmlns:vt="http://schemas.openxmlformats.org/officeDocument/2006/docPropsVTypes">
  <Template>Normal</Template>
  <Company>ist</Company>
  <Pages>109</Pages>
  <Words>4268</Words>
  <Characters>4874</Characters>
  <Lines>550</Lines>
  <Paragraphs>155</Paragraphs>
  <TotalTime>2</TotalTime>
  <ScaleCrop>false</ScaleCrop>
  <LinksUpToDate>false</LinksUpToDate>
  <CharactersWithSpaces>4949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2024-02-27T03:10:00Z</dcterms:created>
  <dc:creator>zjt</dc:creator>
  <cp:lastModifiedBy>QQ</cp:lastModifiedBy>
  <cp:lastPrinted>2026-07-20T00:51:00Z</cp:lastPrinted>
  <dcterms:modified xsi:type="dcterms:W3CDTF">2026-07-21T01:14:01Z</dcterms:modified>
  <dc:title>投标邀请函</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B9FD91C2766044C5862C87F0D006DFE0_13</vt:lpwstr>
  </property>
  <property fmtid="{D5CDD505-2E9C-101B-9397-08002B2CF9AE}" pid="4" name="KSOTemplateDocerSaveRecord">
    <vt:lpwstr>eyJoZGlkIjoiZTNiMmJjMGUyMDNhMGI0MjllZTc4OTE3ODRjOTBjMWQiLCJ1c2VySWQiOiIzNzYxMTQwNzYifQ==</vt:lpwstr>
  </property>
</Properties>
</file>