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center"/>
        <w:tabs>
          <w:tab w:val="right" w:pos="9094" w:leader="dot"/>
        </w:tabs>
        <w:rPr>
          <w:b/>
          <w:bCs/>
          <w:sz w:val="36"/>
          <w:szCs w:val="36"/>
        </w:rPr>
      </w:pPr>
      <w:r>
        <w:rPr>
          <w:b/>
          <w:bCs/>
          <w:sz w:val="36"/>
          <w:szCs w:val="36"/>
        </w:rPr>
      </w:r>
      <w:r/>
    </w:p>
    <w:p>
      <w:pPr>
        <w:pStyle w:val="969"/>
        <w:jc w:val="center"/>
        <w:tabs>
          <w:tab w:val="right" w:pos="9094" w:leader="dot"/>
        </w:tabs>
        <w:rPr>
          <w:b/>
          <w:bCs/>
          <w:sz w:val="36"/>
          <w:szCs w:val="36"/>
        </w:rPr>
      </w:pPr>
      <w:r>
        <w:rPr>
          <w:b/>
          <w:bCs/>
          <w:sz w:val="36"/>
          <w:szCs w:val="36"/>
        </w:rPr>
      </w:r>
      <w:r/>
    </w:p>
    <w:p>
      <w:pPr>
        <w:pStyle w:val="969"/>
        <w:jc w:val="center"/>
        <w:tabs>
          <w:tab w:val="right" w:pos="9094" w:leader="dot"/>
        </w:tabs>
        <w:rPr>
          <w:b/>
          <w:sz w:val="36"/>
          <w:szCs w:val="36"/>
        </w:rPr>
      </w:pPr>
      <w:r>
        <w:rPr>
          <w:b/>
          <w:sz w:val="36"/>
          <w:szCs w:val="36"/>
        </w:rPr>
      </w:r>
      <w:r/>
    </w:p>
    <w:p>
      <w:pPr>
        <w:pStyle w:val="969"/>
        <w:jc w:val="center"/>
        <w:tabs>
          <w:tab w:val="right" w:pos="9094" w:leader="dot"/>
        </w:tabs>
        <w:rPr>
          <w:b/>
          <w:bCs/>
          <w:sz w:val="36"/>
          <w:szCs w:val="36"/>
        </w:rPr>
      </w:pPr>
      <w:r>
        <w:rPr>
          <w:rFonts w:hint="eastAsia"/>
          <w:b/>
          <w:sz w:val="32"/>
          <w:szCs w:val="32"/>
        </w:rPr>
        <w:t xml:space="preserve">靖江市人民医院彩色多普勒超声诊断仪采购项目</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 xml:space="preserve">招  标  文  件</w:t>
      </w:r>
      <w:r/>
    </w:p>
    <w:p>
      <w:pPr>
        <w:ind w:firstLine="320"/>
        <w:spacing w:line="360" w:lineRule="auto"/>
        <w:rPr>
          <w:sz w:val="32"/>
          <w:szCs w:val="32"/>
        </w:rPr>
      </w:pPr>
      <w:r>
        <w:rPr>
          <w:sz w:val="32"/>
          <w:szCs w:val="32"/>
        </w:rPr>
      </w:r>
      <w:r/>
    </w:p>
    <w:p>
      <w:pPr>
        <w:ind w:firstLine="1120"/>
        <w:spacing w:line="360" w:lineRule="auto"/>
        <w:rPr>
          <w:sz w:val="32"/>
          <w:szCs w:val="32"/>
        </w:rPr>
      </w:pPr>
      <w:r>
        <w:rPr>
          <w:sz w:val="32"/>
          <w:szCs w:val="32"/>
        </w:rPr>
      </w:r>
      <w:r/>
    </w:p>
    <w:p>
      <w:pPr>
        <w:pStyle w:val="954"/>
      </w:pPr>
      <w:r/>
      <w:r/>
    </w:p>
    <w:p>
      <w:pPr>
        <w:pStyle w:val="954"/>
      </w:pPr>
      <w:r/>
      <w:r/>
    </w:p>
    <w:p>
      <w:pPr>
        <w:pStyle w:val="954"/>
      </w:pPr>
      <w:r/>
      <w:r/>
    </w:p>
    <w:p>
      <w:pPr>
        <w:ind w:firstLine="560"/>
        <w:spacing w:before="156" w:after="156"/>
        <w:rPr>
          <w:rFonts w:ascii="宋体" w:hAnsi="宋体"/>
          <w:sz w:val="28"/>
          <w:szCs w:val="28"/>
        </w:rPr>
      </w:pPr>
      <w:r>
        <w:rPr>
          <w:rFonts w:ascii="宋体" w:hAnsi="宋体"/>
          <w:sz w:val="28"/>
          <w:szCs w:val="28"/>
        </w:rPr>
      </w:r>
      <w:r>
        <w:rPr>
          <w:rFonts w:ascii="宋体" w:hAnsi="宋体"/>
          <w:sz w:val="28"/>
          <w:szCs w:val="28"/>
        </w:rPr>
      </w:r>
      <w:r/>
    </w:p>
    <w:p>
      <w:pPr>
        <w:ind w:firstLine="560"/>
        <w:spacing w:before="156" w:after="156"/>
        <w:rPr>
          <w:rFonts w:ascii="宋体" w:hAnsi="宋体"/>
          <w:sz w:val="28"/>
          <w:szCs w:val="28"/>
        </w:rPr>
      </w:pPr>
      <w:r>
        <w:rPr>
          <w:rFonts w:ascii="宋体" w:hAnsi="宋体"/>
          <w:sz w:val="28"/>
          <w:szCs w:val="28"/>
        </w:rPr>
      </w:r>
      <w:r>
        <w:rPr>
          <w:rFonts w:ascii="宋体" w:hAnsi="宋体"/>
          <w:sz w:val="28"/>
          <w:szCs w:val="28"/>
        </w:rPr>
      </w:r>
      <w:r/>
    </w:p>
    <w:p>
      <w:pPr>
        <w:ind w:firstLine="560"/>
        <w:spacing w:before="156" w:after="156"/>
        <w:rPr>
          <w:rFonts w:ascii="宋体" w:hAnsi="宋体"/>
          <w:sz w:val="28"/>
          <w:szCs w:val="28"/>
        </w:rPr>
      </w:pPr>
      <w:r>
        <w:rPr>
          <w:rFonts w:ascii="宋体" w:hAnsi="宋体"/>
          <w:sz w:val="28"/>
          <w:szCs w:val="28"/>
        </w:rPr>
      </w:r>
      <w:r>
        <w:rPr>
          <w:rFonts w:ascii="宋体" w:hAnsi="宋体"/>
          <w:sz w:val="28"/>
          <w:szCs w:val="28"/>
        </w:rPr>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u w:val="single"/>
        </w:rPr>
      </w:pPr>
      <w:r>
        <w:rPr>
          <w:rFonts w:ascii="宋体" w:hAnsi="宋体"/>
          <w:sz w:val="28"/>
          <w:szCs w:val="28"/>
          <w:u w:val="single"/>
        </w:rPr>
      </w:r>
      <w:r/>
    </w:p>
    <w:p>
      <w:pPr>
        <w:ind w:firstLine="560"/>
        <w:spacing w:before="156" w:after="156"/>
        <w:rPr>
          <w:rFonts w:ascii="宋体" w:hAnsi="宋体"/>
          <w:sz w:val="28"/>
          <w:szCs w:val="28"/>
          <w:u w:val="single"/>
        </w:rPr>
      </w:pPr>
      <w:r>
        <w:rPr>
          <w:rFonts w:hint="eastAsia" w:ascii="宋体" w:hAnsi="宋体"/>
          <w:sz w:val="28"/>
          <w:szCs w:val="28"/>
        </w:rPr>
        <w:t xml:space="preserve">招   标   人（盖章）：</w:t>
      </w:r>
      <w:r>
        <w:rPr>
          <w:rFonts w:hint="eastAsia" w:ascii="宋体" w:hAnsi="宋体"/>
          <w:sz w:val="28"/>
          <w:szCs w:val="28"/>
          <w:u w:val="single"/>
        </w:rPr>
        <w:t xml:space="preserve">    靖江市人民医院               </w:t>
      </w:r>
      <w:r/>
    </w:p>
    <w:p>
      <w:pPr>
        <w:pStyle w:val="954"/>
      </w:pPr>
      <w:r/>
      <w:r/>
    </w:p>
    <w:p>
      <w:pPr>
        <w:ind w:firstLine="560"/>
        <w:spacing w:before="156" w:after="156"/>
        <w:rPr>
          <w:rFonts w:ascii="宋体" w:hAnsi="宋体"/>
          <w:sz w:val="28"/>
          <w:szCs w:val="28"/>
        </w:rPr>
      </w:pPr>
      <w:r/>
      <w:bookmarkStart w:id="0" w:name="_Toc2344"/>
      <w:r/>
      <w:r/>
    </w:p>
    <w:p>
      <w:pPr>
        <w:ind w:firstLine="560"/>
        <w:spacing w:before="156" w:after="156"/>
        <w:rPr>
          <w:rFonts w:ascii="宋体" w:hAnsi="宋体"/>
          <w:sz w:val="28"/>
          <w:szCs w:val="28"/>
        </w:rPr>
      </w:pPr>
      <w:r>
        <w:rPr>
          <w:rFonts w:ascii="宋体" w:hAnsi="宋体"/>
          <w:sz w:val="28"/>
          <w:szCs w:val="28"/>
        </w:rPr>
      </w:r>
      <w:r/>
    </w:p>
    <w:p>
      <w:pPr>
        <w:ind w:firstLine="560"/>
        <w:spacing w:before="156" w:after="156"/>
        <w:rPr>
          <w:rFonts w:ascii="宋体" w:hAnsi="宋体"/>
          <w:sz w:val="28"/>
          <w:szCs w:val="28"/>
        </w:rPr>
      </w:pPr>
      <w:r>
        <w:rPr>
          <w:rFonts w:hint="eastAsia" w:ascii="宋体" w:hAnsi="宋体"/>
          <w:sz w:val="28"/>
          <w:szCs w:val="28"/>
        </w:rPr>
        <w:t xml:space="preserve">采购代理机构（盖章）：</w:t>
      </w:r>
      <w:bookmarkEnd w:id="0"/>
      <w:r>
        <w:rPr>
          <w:rFonts w:hint="eastAsia" w:ascii="宋体" w:hAnsi="宋体"/>
          <w:sz w:val="28"/>
          <w:szCs w:val="28"/>
          <w:u w:val="single"/>
        </w:rPr>
        <w:t xml:space="preserve"> </w:t>
      </w:r>
      <w:bookmarkStart w:id="1" w:name="OLE_LINK7"/>
      <w:r/>
      <w:bookmarkStart w:id="2" w:name="OLE_LINK6"/>
      <w:r>
        <w:rPr>
          <w:rFonts w:hint="eastAsia" w:ascii="宋体" w:hAnsi="宋体"/>
          <w:sz w:val="28"/>
          <w:szCs w:val="28"/>
          <w:u w:val="single"/>
        </w:rPr>
        <w:t xml:space="preserve">江苏智汇锡建工程项目管理有限公司</w:t>
      </w:r>
      <w:bookmarkEnd w:id="1"/>
      <w:r/>
      <w:bookmarkEnd w:id="2"/>
      <w:r>
        <w:rPr>
          <w:rFonts w:hint="eastAsia" w:ascii="宋体" w:hAnsi="宋体"/>
          <w:sz w:val="28"/>
          <w:szCs w:val="28"/>
          <w:u w:val="single"/>
        </w:rPr>
        <w:t xml:space="preserve">  </w:t>
      </w:r>
      <w:r>
        <w:rPr>
          <w:rFonts w:hint="eastAsia" w:ascii="宋体" w:hAnsi="宋体"/>
          <w:sz w:val="28"/>
          <w:szCs w:val="28"/>
        </w:rPr>
        <w:t xml:space="preserve"> </w:t>
      </w:r>
      <w:r/>
    </w:p>
    <w:p>
      <w:pPr>
        <w:pStyle w:val="969"/>
        <w:jc w:val="center"/>
        <w:tabs>
          <w:tab w:val="right" w:pos="9094" w:leader="dot"/>
        </w:tabs>
        <w:rPr>
          <w:rFonts w:ascii="宋体" w:hAnsi="宋体"/>
          <w:b/>
          <w:sz w:val="32"/>
          <w:szCs w:val="32"/>
        </w:rPr>
      </w:pPr>
      <w:r>
        <w:rPr>
          <w:rFonts w:hint="eastAsia" w:ascii="宋体" w:hAnsi="宋体"/>
          <w:b/>
          <w:sz w:val="32"/>
          <w:szCs w:val="32"/>
        </w:rPr>
        <w:t xml:space="preserve"> </w:t>
      </w:r>
      <w:bookmarkStart w:id="3" w:name="_Toc21097"/>
      <w:r/>
      <w:r/>
    </w:p>
    <w:p>
      <w:pPr>
        <w:pStyle w:val="969"/>
        <w:jc w:val="center"/>
        <w:tabs>
          <w:tab w:val="right" w:pos="9094" w:leader="dot"/>
        </w:tabs>
        <w:rPr>
          <w:rFonts w:ascii="宋体" w:hAnsi="宋体"/>
          <w:sz w:val="32"/>
          <w:szCs w:val="32"/>
        </w:rPr>
      </w:pPr>
      <w:r>
        <w:rPr>
          <w:rFonts w:hint="eastAsia" w:ascii="宋体" w:hAnsi="宋体"/>
          <w:sz w:val="32"/>
          <w:szCs w:val="32"/>
        </w:rPr>
        <w:t xml:space="preserve">20</w:t>
      </w:r>
      <w:bookmarkStart w:id="4" w:name="_Toc6218"/>
      <w:r/>
      <w:bookmarkStart w:id="5" w:name="_Toc23445"/>
      <w:r/>
      <w:bookmarkStart w:id="6" w:name="_Toc7487"/>
      <w:r>
        <w:rPr>
          <w:rFonts w:hint="eastAsia" w:ascii="宋体" w:hAnsi="宋体"/>
          <w:sz w:val="32"/>
          <w:szCs w:val="32"/>
        </w:rPr>
        <w:t xml:space="preserve">26年08月</w:t>
      </w:r>
      <w:bookmarkEnd w:id="3"/>
      <w:r/>
      <w:bookmarkEnd w:id="4"/>
      <w:r/>
      <w:bookmarkEnd w:id="5"/>
      <w:r/>
      <w:bookmarkEnd w:id="6"/>
      <w:r/>
      <w:r/>
    </w:p>
    <w:p>
      <w:r/>
      <w:r/>
    </w:p>
    <w:p>
      <w:r/>
      <w:r/>
    </w:p>
    <w:p>
      <w:r/>
      <w:r/>
    </w:p>
    <w:p>
      <w:r/>
      <w:r/>
    </w:p>
    <w:p>
      <w:r/>
      <w:r/>
    </w:p>
    <w:p>
      <w:r/>
      <w:r/>
    </w:p>
    <w:p>
      <w:pPr>
        <w:pStyle w:val="969"/>
        <w:jc w:val="center"/>
        <w:tabs>
          <w:tab w:val="right" w:pos="9094" w:leader="dot"/>
        </w:tabs>
        <w:rPr>
          <w:b/>
          <w:bCs/>
          <w:sz w:val="36"/>
          <w:szCs w:val="36"/>
        </w:rPr>
      </w:pPr>
      <w:r>
        <w:rPr>
          <w:rFonts w:hint="eastAsia"/>
          <w:b/>
          <w:bCs/>
          <w:sz w:val="36"/>
          <w:szCs w:val="36"/>
        </w:rPr>
        <w:t xml:space="preserve">目    录</w:t>
      </w:r>
      <w:r/>
    </w:p>
    <w:p>
      <w:pPr>
        <w:pStyle w:val="969"/>
        <w:spacing w:line="480" w:lineRule="auto"/>
        <w:tabs>
          <w:tab w:val="right" w:pos="9094" w:leader="dot"/>
        </w:tabs>
        <w:rPr>
          <w:sz w:val="36"/>
          <w:szCs w:val="36"/>
        </w:rPr>
      </w:pPr>
      <w:r>
        <w:rPr>
          <w:sz w:val="36"/>
          <w:szCs w:val="36"/>
        </w:rPr>
      </w:r>
      <w:r/>
    </w:p>
    <w:p>
      <w:pPr>
        <w:pStyle w:val="969"/>
        <w:ind w:firstLine="480"/>
        <w:spacing w:line="480" w:lineRule="auto"/>
        <w:tabs>
          <w:tab w:val="right" w:pos="8296" w:leader="dot"/>
        </w:tabs>
        <w:rPr>
          <w:rFonts w:ascii="华文宋体" w:hAnsi="华文宋体" w:eastAsia="华文宋体" w:cs="华文宋体"/>
          <w:b/>
          <w:bCs/>
          <w:sz w:val="24"/>
        </w:rPr>
      </w:pPr>
      <w:r>
        <w:rPr>
          <w:rFonts w:hint="eastAsia" w:ascii="华文中宋" w:hAnsi="华文中宋" w:eastAsia="华文中宋" w:cs="华文中宋"/>
          <w:b/>
          <w:bCs/>
          <w:sz w:val="24"/>
        </w:rPr>
        <w:fldChar w:fldCharType="begin"/>
      </w:r>
      <w:r>
        <w:rPr>
          <w:rFonts w:hint="eastAsia" w:ascii="华文中宋" w:hAnsi="华文中宋" w:eastAsia="华文中宋" w:cs="华文中宋"/>
          <w:b/>
          <w:bCs/>
          <w:sz w:val="24"/>
        </w:rPr>
        <w:instrText xml:space="preserve"> TOC \o "1-1" \h \z \u </w:instrText>
      </w:r>
      <w:r>
        <w:rPr>
          <w:rFonts w:hint="eastAsia" w:ascii="华文中宋" w:hAnsi="华文中宋" w:eastAsia="华文中宋" w:cs="华文中宋"/>
          <w:b/>
          <w:bCs/>
          <w:sz w:val="24"/>
        </w:rPr>
        <w:fldChar w:fldCharType="separate"/>
      </w:r>
      <w:r>
        <w:fldChar w:fldCharType="begin"/>
      </w:r>
      <w:r>
        <w:instrText xml:space="preserve"> HYPERLINK \l "_Toc152268436" </w:instrText>
      </w:r>
      <w:r>
        <w:fldChar w:fldCharType="separate"/>
      </w:r>
      <w:r>
        <w:rPr>
          <w:rStyle w:val="986"/>
          <w:rFonts w:hint="eastAsia" w:ascii="华文宋体" w:hAnsi="华文宋体" w:eastAsia="华文宋体" w:cs="华文宋体"/>
          <w:b/>
          <w:bCs/>
          <w:color w:val="auto"/>
          <w:sz w:val="24"/>
        </w:rPr>
        <w:t xml:space="preserve">供应商CA数字证书和电子签章办理特别提醒</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_Toc152268436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1</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"_Toc152268437" </w:instrText>
      </w:r>
      <w:r>
        <w:fldChar w:fldCharType="separate"/>
      </w:r>
      <w:r>
        <w:rPr>
          <w:rStyle w:val="986"/>
          <w:rFonts w:hint="eastAsia" w:ascii="华文宋体" w:hAnsi="华文宋体" w:eastAsia="华文宋体" w:cs="华文宋体"/>
          <w:b/>
          <w:bCs/>
          <w:color w:val="auto"/>
          <w:sz w:val="24"/>
        </w:rPr>
        <w:t xml:space="preserve">关于政府采购线上合同信用融资功能告知提醒</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_Toc152268437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"_Toc152268438" </w:instrText>
      </w:r>
      <w:r>
        <w:fldChar w:fldCharType="separate"/>
      </w:r>
      <w:r>
        <w:rPr>
          <w:rStyle w:val="986"/>
          <w:rFonts w:hint="eastAsia" w:ascii="华文宋体" w:hAnsi="华文宋体" w:eastAsia="华文宋体" w:cs="华文宋体"/>
          <w:b/>
          <w:bCs/>
          <w:color w:val="auto"/>
          <w:sz w:val="24"/>
        </w:rPr>
        <w:t xml:space="preserve">第一章  招标公告</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_Toc152268438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4</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"_Toc152268439" </w:instrText>
      </w:r>
      <w:r>
        <w:fldChar w:fldCharType="separate"/>
      </w:r>
      <w:r>
        <w:rPr>
          <w:rStyle w:val="986"/>
          <w:rFonts w:hint="eastAsia" w:ascii="华文宋体" w:hAnsi="华文宋体" w:eastAsia="华文宋体" w:cs="华文宋体"/>
          <w:b/>
          <w:bCs/>
          <w:color w:val="auto"/>
          <w:sz w:val="24"/>
        </w:rPr>
        <w:t xml:space="preserve">第二章 投标人须知</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_Toc152268439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7</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"_Toc152268440" </w:instrText>
      </w:r>
      <w:r>
        <w:fldChar w:fldCharType="separate"/>
      </w:r>
      <w:r>
        <w:rPr>
          <w:rStyle w:val="986"/>
          <w:rFonts w:hint="eastAsia" w:ascii="华文宋体" w:hAnsi="华文宋体" w:eastAsia="华文宋体" w:cs="华文宋体"/>
          <w:b/>
          <w:bCs/>
          <w:color w:val="auto"/>
          <w:sz w:val="24"/>
        </w:rPr>
        <w:t xml:space="preserve">第三章 资格审查办法</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_Toc152268440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20</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"_Toc152268441" </w:instrText>
      </w:r>
      <w:r>
        <w:fldChar w:fldCharType="separate"/>
      </w:r>
      <w:r>
        <w:rPr>
          <w:rStyle w:val="986"/>
          <w:rFonts w:hint="eastAsia" w:ascii="华文宋体" w:hAnsi="华文宋体" w:eastAsia="华文宋体" w:cs="华文宋体"/>
          <w:b/>
          <w:bCs/>
          <w:color w:val="auto"/>
          <w:sz w:val="24"/>
        </w:rPr>
        <w:t xml:space="preserve">第四章 评标办法</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_Toc152268441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21</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"_Toc152268442" </w:instrText>
      </w:r>
      <w:r>
        <w:fldChar w:fldCharType="separate"/>
      </w:r>
      <w:r>
        <w:rPr>
          <w:rStyle w:val="986"/>
          <w:rFonts w:hint="eastAsia" w:ascii="华文宋体" w:hAnsi="华文宋体" w:eastAsia="华文宋体" w:cs="华文宋体"/>
          <w:b/>
          <w:bCs/>
          <w:color w:val="auto"/>
          <w:sz w:val="24"/>
        </w:rPr>
        <w:t xml:space="preserve">第五章 合同格式及条款</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_Toc152268442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26</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宋体" w:hAnsi="华文宋体" w:eastAsia="华文宋体" w:cs="华文宋体"/>
          <w:b/>
          <w:bCs/>
          <w:sz w:val="24"/>
        </w:rPr>
      </w:pPr>
      <w:r>
        <w:fldChar w:fldCharType="begin"/>
      </w:r>
      <w:r>
        <w:instrText xml:space="preserve"> HYPERLINK \l "_Toc152268447" </w:instrText>
      </w:r>
      <w:r>
        <w:fldChar w:fldCharType="separate"/>
      </w:r>
      <w:r>
        <w:rPr>
          <w:rStyle w:val="986"/>
          <w:rFonts w:hint="eastAsia" w:ascii="华文宋体" w:hAnsi="华文宋体" w:eastAsia="华文宋体" w:cs="华文宋体"/>
          <w:b/>
          <w:bCs/>
          <w:color w:val="auto"/>
          <w:sz w:val="24"/>
        </w:rPr>
        <w:t xml:space="preserve">第六章 项目采购需求</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_Toc152268447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30</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firstLine="561"/>
        <w:spacing w:line="480" w:lineRule="auto"/>
        <w:tabs>
          <w:tab w:val="right" w:pos="8296" w:leader="dot"/>
        </w:tabs>
        <w:rPr>
          <w:rFonts w:ascii="华文中宋" w:hAnsi="华文中宋" w:eastAsia="华文中宋" w:cs="华文中宋"/>
          <w:sz w:val="24"/>
        </w:rPr>
      </w:pPr>
      <w:r>
        <w:fldChar w:fldCharType="begin"/>
      </w:r>
      <w:r>
        <w:instrText xml:space="preserve"> HYPERLINK \l "_Toc152268448" </w:instrText>
      </w:r>
      <w:r>
        <w:fldChar w:fldCharType="separate"/>
      </w:r>
      <w:r>
        <w:rPr>
          <w:rStyle w:val="986"/>
          <w:rFonts w:hint="eastAsia" w:ascii="华文宋体" w:hAnsi="华文宋体" w:eastAsia="华文宋体" w:cs="华文宋体"/>
          <w:b/>
          <w:bCs/>
          <w:color w:val="auto"/>
          <w:sz w:val="24"/>
        </w:rPr>
        <w:t xml:space="preserve">第七章 电子投标文件格式</w:t>
      </w:r>
      <w:r>
        <w:rPr>
          <w:rFonts w:hint="eastAsia" w:ascii="华文宋体" w:hAnsi="华文宋体" w:eastAsia="华文宋体" w:cs="华文宋体"/>
          <w:b/>
          <w:bCs/>
          <w:sz w:val="24"/>
        </w:rPr>
        <w:tab/>
      </w:r>
      <w:r>
        <w:rPr>
          <w:rFonts w:hint="eastAsia" w:ascii="华文宋体" w:hAnsi="华文宋体" w:eastAsia="华文宋体" w:cs="华文宋体"/>
          <w:b/>
          <w:bCs/>
          <w:sz w:val="24"/>
        </w:rPr>
        <w:fldChar w:fldCharType="begin"/>
      </w:r>
      <w:r>
        <w:rPr>
          <w:rFonts w:hint="eastAsia" w:ascii="华文宋体" w:hAnsi="华文宋体" w:eastAsia="华文宋体" w:cs="华文宋体"/>
          <w:b/>
          <w:bCs/>
          <w:sz w:val="24"/>
        </w:rPr>
        <w:instrText xml:space="preserve"> PAGEREF _Toc152268448 \h </w:instrText>
      </w:r>
      <w:r>
        <w:rPr>
          <w:rFonts w:hint="eastAsia" w:ascii="华文宋体" w:hAnsi="华文宋体" w:eastAsia="华文宋体" w:cs="华文宋体"/>
          <w:b/>
          <w:bCs/>
          <w:sz w:val="24"/>
        </w:rPr>
        <w:fldChar w:fldCharType="separate"/>
      </w:r>
      <w:r>
        <w:rPr>
          <w:rFonts w:hint="eastAsia" w:ascii="华文宋体" w:hAnsi="华文宋体" w:eastAsia="华文宋体" w:cs="华文宋体"/>
          <w:b/>
          <w:bCs/>
          <w:sz w:val="24"/>
        </w:rPr>
        <w:t xml:space="preserve">36</w:t>
      </w:r>
      <w:r>
        <w:rPr>
          <w:rFonts w:hint="eastAsia" w:ascii="华文宋体" w:hAnsi="华文宋体" w:eastAsia="华文宋体" w:cs="华文宋体"/>
          <w:b/>
          <w:bCs/>
          <w:sz w:val="24"/>
        </w:rPr>
        <w:fldChar w:fldCharType="end"/>
      </w:r>
      <w:r>
        <w:rPr>
          <w:rFonts w:hint="eastAsia" w:ascii="华文宋体" w:hAnsi="华文宋体" w:eastAsia="华文宋体" w:cs="华文宋体"/>
          <w:b/>
          <w:bCs/>
          <w:sz w:val="24"/>
        </w:rPr>
        <w:fldChar w:fldCharType="end"/>
      </w:r>
      <w:r/>
    </w:p>
    <w:p>
      <w:pPr>
        <w:pStyle w:val="969"/>
        <w:ind w:right="420"/>
        <w:spacing w:line="360" w:lineRule="auto"/>
        <w:tabs>
          <w:tab w:val="right" w:pos="9151" w:leader="dot"/>
        </w:tabs>
        <w:rPr>
          <w:rFonts w:ascii="华文中宋" w:hAnsi="华文中宋" w:eastAsia="华文中宋" w:cs="华文中宋"/>
          <w:sz w:val="28"/>
          <w:szCs w:val="28"/>
        </w:rPr>
      </w:pPr>
      <w:r>
        <w:rPr>
          <w:rFonts w:hint="eastAsia" w:ascii="华文中宋" w:hAnsi="华文中宋" w:eastAsia="华文中宋" w:cs="华文中宋"/>
          <w:bCs/>
          <w:sz w:val="24"/>
        </w:rPr>
        <w:fldChar w:fldCharType="end"/>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40"/>
        <w:jc w:val="center"/>
        <w:spacing w:before="0" w:after="0" w:line="240" w:lineRule="auto"/>
        <w:rPr>
          <w:rFonts w:ascii="微软雅黑" w:hAnsi="微软雅黑" w:eastAsia="微软雅黑" w:cs="微软雅黑"/>
          <w:b w:val="0"/>
          <w:bCs w:val="0"/>
          <w:sz w:val="32"/>
          <w:szCs w:val="36"/>
        </w:rPr>
        <w:sectPr>
          <w:footnotePr/>
          <w:endnotePr/>
          <w:type w:val="nextPage"/>
          <w:pgSz w:w="11906" w:h="16838" w:orient="portrait"/>
          <w:pgMar w:top="1094" w:right="1179" w:bottom="726" w:left="1570" w:header="851" w:footer="652" w:gutter="0"/>
          <w:pgNumType w:start="1"/>
          <w:cols w:num="1" w:sep="0" w:space="1701" w:equalWidth="1"/>
          <w:docGrid w:linePitch="360"/>
        </w:sectPr>
      </w:pPr>
      <w:r/>
      <w:bookmarkStart w:id="7" w:name="_Toc152268436"/>
      <w:r/>
      <w:bookmarkStart w:id="8" w:name="_Toc150280159"/>
      <w:r/>
      <w:r/>
    </w:p>
    <w:p>
      <w:pPr>
        <w:pStyle w:val="940"/>
        <w:jc w:val="center"/>
        <w:spacing w:before="0" w:after="0" w:line="240" w:lineRule="auto"/>
        <w:rPr>
          <w:rFonts w:ascii="微软雅黑" w:hAnsi="微软雅黑" w:eastAsia="微软雅黑" w:cs="微软雅黑"/>
          <w:b w:val="0"/>
          <w:bCs w:val="0"/>
          <w:sz w:val="32"/>
          <w:szCs w:val="36"/>
        </w:rPr>
      </w:pPr>
      <w:r>
        <w:rPr>
          <w:rFonts w:hint="eastAsia" w:ascii="微软雅黑" w:hAnsi="微软雅黑" w:eastAsia="微软雅黑" w:cs="微软雅黑"/>
          <w:b w:val="0"/>
          <w:bCs w:val="0"/>
          <w:sz w:val="32"/>
          <w:szCs w:val="36"/>
        </w:rPr>
        <w:t xml:space="preserve">供应商CA数字证书和电子签章办理特别提醒</w:t>
      </w:r>
      <w:bookmarkEnd w:id="7"/>
      <w:r/>
      <w:bookmarkEnd w:id="8"/>
      <w:r/>
      <w:r/>
    </w:p>
    <w:p>
      <w:pPr>
        <w:ind w:firstLine="470"/>
        <w:spacing w:line="520" w:lineRule="exact"/>
        <w:rPr>
          <w:rFonts w:ascii="宋体" w:hAnsi="宋体" w:cs="宋体"/>
          <w:sz w:val="24"/>
          <w:szCs w:val="24"/>
        </w:rPr>
      </w:pPr>
      <w:r>
        <w:rPr>
          <w:rFonts w:hint="eastAsia" w:ascii="宋体" w:hAnsi="宋体" w:cs="宋体"/>
          <w:sz w:val="24"/>
          <w:szCs w:val="24"/>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p>
    <w:p>
      <w:pPr>
        <w:ind w:firstLine="480"/>
        <w:spacing w:line="520" w:lineRule="exact"/>
        <w:rPr>
          <w:rFonts w:ascii="宋体" w:hAnsi="宋体" w:cs="宋体"/>
          <w:sz w:val="24"/>
          <w:szCs w:val="24"/>
        </w:rPr>
      </w:pPr>
      <w:r>
        <w:rPr>
          <w:rFonts w:hint="eastAsia" w:ascii="宋体" w:hAnsi="宋体" w:cs="宋体"/>
          <w:sz w:val="24"/>
          <w:szCs w:val="24"/>
        </w:rPr>
        <w:t xml:space="preserve">1.供应商需办理“CA数字证书”，“苏采云”系统仅支持江苏省电子政务证书认证中心CA(由江苏意源科技有限公司提供服务)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520" w:lineRule="exact"/>
        <w:rPr>
          <w:rFonts w:ascii="宋体" w:hAnsi="宋体" w:cs="宋体"/>
          <w:sz w:val="24"/>
          <w:szCs w:val="24"/>
        </w:rPr>
      </w:pPr>
      <w:r>
        <w:rPr>
          <w:rFonts w:hint="eastAsia" w:ascii="宋体" w:hAnsi="宋体" w:cs="宋体"/>
          <w:sz w:val="24"/>
          <w:szCs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520" w:lineRule="exact"/>
        <w:rPr>
          <w:rFonts w:ascii="宋体" w:hAnsi="宋体" w:cs="宋体"/>
          <w:sz w:val="24"/>
          <w:szCs w:val="24"/>
        </w:rPr>
      </w:pPr>
      <w:r>
        <w:rPr>
          <w:rFonts w:hint="eastAsia" w:ascii="宋体" w:hAnsi="宋体" w:cs="宋体"/>
          <w:sz w:val="24"/>
          <w:szCs w:val="24"/>
        </w:rPr>
        <w:t xml:space="preserve">3. “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520" w:lineRule="exact"/>
        <w:rPr>
          <w:rFonts w:ascii="宋体" w:hAnsi="宋体" w:cs="宋体"/>
          <w:sz w:val="24"/>
          <w:szCs w:val="24"/>
        </w:rPr>
      </w:pPr>
      <w:r>
        <w:rPr>
          <w:rFonts w:hint="eastAsia" w:ascii="宋体" w:hAnsi="宋体" w:cs="宋体"/>
          <w:sz w:val="24"/>
          <w:szCs w:val="24"/>
        </w:rPr>
        <w:t xml:space="preserve">4. “CA数字证书”的办理、注册、安装、解绑，详见供应商操作指南，具体网址：“江苏政府采购网”-“办事指南”-“资料下载”-“江苏省政府采购管理交易系统（苏采云）供应商操作指南”。</w:t>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jc w:val="center"/>
        <w:rPr>
          <w:sz w:val="36"/>
          <w:szCs w:val="36"/>
        </w:rPr>
      </w:pPr>
      <w:r>
        <w:rPr>
          <w:rFonts w:hint="eastAsia" w:ascii="微软雅黑" w:hAnsi="微软雅黑" w:eastAsia="微软雅黑" w:cs="微软雅黑"/>
          <w:b/>
          <w:bCs/>
          <w:sz w:val="24"/>
        </w:rPr>
        <w:t xml:space="preserve">如潜在供应商未按上述要求操作，将自行承担所产生的风险。</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40"/>
        <w:jc w:val="center"/>
        <w:spacing w:before="0" w:after="0" w:line="360" w:lineRule="auto"/>
        <w:rPr>
          <w:rFonts w:ascii="黑体" w:hAnsi="黑体" w:eastAsia="黑体"/>
          <w:bCs w:val="0"/>
          <w:sz w:val="28"/>
          <w:szCs w:val="28"/>
        </w:rPr>
      </w:pPr>
      <w:r/>
      <w:bookmarkStart w:id="9" w:name="_Toc152268437"/>
      <w:r>
        <w:rPr>
          <w:rFonts w:ascii="微软雅黑" w:hAnsi="微软雅黑" w:eastAsia="微软雅黑" w:cs="微软雅黑"/>
          <w:b w:val="0"/>
          <w:bCs w:val="0"/>
          <w:sz w:val="32"/>
          <w:szCs w:val="36"/>
        </w:rPr>
        <w:t xml:space="preserve">关于政府采购线上合同信用融资功能告知提醒</w:t>
      </w:r>
      <w:bookmarkEnd w:id="9"/>
      <w:r/>
      <w:r/>
    </w:p>
    <w:p>
      <w:pPr>
        <w:pStyle w:val="951"/>
        <w:ind w:firstLine="0"/>
        <w:spacing w:line="360" w:lineRule="auto"/>
        <w:rPr>
          <w:rFonts w:ascii="华文中宋" w:hAnsi="华文中宋" w:eastAsia="华文中宋"/>
          <w:sz w:val="24"/>
          <w:szCs w:val="28"/>
        </w:rPr>
      </w:pPr>
      <w:r>
        <w:rPr>
          <w:rFonts w:ascii="华文中宋" w:hAnsi="华文中宋" w:eastAsia="华文中宋"/>
          <w:sz w:val="24"/>
          <w:szCs w:val="28"/>
        </w:rPr>
        <w:t xml:space="preserve">各政府采购供应商：</w:t>
      </w:r>
      <w:r/>
    </w:p>
    <w:p>
      <w:pPr>
        <w:pStyle w:val="951"/>
        <w:ind w:firstLine="480"/>
        <w:spacing w:line="360" w:lineRule="auto"/>
        <w:rPr>
          <w:rFonts w:ascii="华文中宋" w:hAnsi="华文中宋" w:eastAsia="华文中宋"/>
          <w:sz w:val="24"/>
          <w:szCs w:val="28"/>
        </w:rPr>
      </w:pPr>
      <w:r>
        <w:rPr>
          <w:rFonts w:ascii="华文中宋" w:hAnsi="华文中宋" w:eastAsia="华文中宋"/>
          <w:sz w:val="24"/>
          <w:szCs w:val="28"/>
        </w:rPr>
        <w:t xml:space="preserve">今年我市已正式启用“苏采云”系统，目前已全面开通政府采购线上合同信用融资（以下简称“政采贷”）功能。成交供应商可凭政府采购合同在中征平台发起贷款申请贷款。</w:t>
      </w:r>
      <w:r/>
    </w:p>
    <w:p>
      <w:pPr>
        <w:pStyle w:val="951"/>
        <w:ind w:firstLine="480"/>
        <w:spacing w:line="360" w:lineRule="auto"/>
        <w:rPr>
          <w:rFonts w:ascii="华文中宋" w:hAnsi="华文中宋" w:eastAsia="华文中宋"/>
          <w:sz w:val="24"/>
          <w:szCs w:val="28"/>
        </w:rPr>
      </w:pPr>
      <w:r>
        <w:rPr>
          <w:rFonts w:ascii="华文中宋" w:hAnsi="华文中宋" w:eastAsia="华文中宋"/>
          <w:sz w:val="24"/>
          <w:szCs w:val="28"/>
        </w:rPr>
        <w:t xml:space="preserve">“政采贷”业务流程</w:t>
      </w:r>
      <w:r/>
    </w:p>
    <w:p>
      <w:pPr>
        <w:pStyle w:val="951"/>
        <w:ind w:firstLine="560"/>
        <w:jc w:val="center"/>
        <w:spacing w:line="360" w:lineRule="auto"/>
        <w:rPr>
          <w:rFonts w:eastAsia="仿宋"/>
          <w:sz w:val="28"/>
          <w:szCs w:val="28"/>
        </w:rPr>
      </w:pPr>
      <w:r>
        <w:rPr>
          <w:rFonts w:eastAsia="仿宋"/>
          <w:sz w:val="28"/>
          <w:szCs w:val="28"/>
        </w:rPr>
        <mc:AlternateContent>
          <mc:Choice Requires="wpg">
            <w:drawing>
              <wp:inline xmlns:wp="http://schemas.openxmlformats.org/drawingml/2006/wordprocessingDrawing" distT="0" distB="0" distL="0" distR="0">
                <wp:extent cx="4576445" cy="174498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0.3pt;height:137.4pt;mso-wrap-distance-left:0.0pt;mso-wrap-distance-top:0.0pt;mso-wrap-distance-right:0.0pt;mso-wrap-distance-bottom:0.0pt;" stroked="f">
                <v:path textboxrect="0,0,0,0"/>
                <v:imagedata r:id="rId11" o:title=""/>
              </v:shape>
            </w:pict>
          </mc:Fallback>
        </mc:AlternateConten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常见问题</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Q1：哪些企业能申请“政采贷”？</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答：江苏省内采用国库集中支付的政府采购项目的中标供应商，可凭政府采购合同申请"政采贷"。</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Q2：供应商在哪里申请“政采贷”？</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答：中标供应商在“中征应收账款融资服务平台”（简称“中征平台”）上向意向银行发起融资申请</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Q3：中标供应商要注意什么？</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答：中标供应商要加强和采购单位的沟通协调，尽早确定融资需求。需要“政采贷”融资的，政府采购合同付款账号应当空置。</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Q4：采购单位要做什么？</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Q5：“政采贷”融资失败怎么办？</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政采贷：</w:t>
      </w:r>
      <w:r>
        <w:fldChar w:fldCharType="begin"/>
      </w:r>
      <w:r>
        <w:instrText xml:space="preserve"> HYPERLINK "http://www.ccgp-jiangsu.gov.cn/jiangsu/paying.html" </w:instrText>
      </w:r>
      <w:r>
        <w:fldChar w:fldCharType="separate"/>
      </w:r>
      <w:r>
        <w:rPr>
          <w:rFonts w:ascii="华文中宋" w:hAnsi="华文中宋" w:eastAsia="华文中宋"/>
          <w:sz w:val="24"/>
        </w:rPr>
        <w:t xml:space="preserve">http://www.ccgp-jiangsu.gov.cn/jiangsu/paying.html</w:t>
      </w:r>
      <w:r>
        <w:rPr>
          <w:rFonts w:ascii="华文中宋" w:hAnsi="华文中宋" w:eastAsia="华文中宋"/>
          <w:sz w:val="24"/>
        </w:rPr>
        <w:fldChar w:fldCharType="end"/>
      </w:r>
      <w:r/>
    </w:p>
    <w:p>
      <w:pPr>
        <w:pStyle w:val="951"/>
        <w:ind w:firstLine="480"/>
        <w:spacing w:line="360" w:lineRule="auto"/>
        <w:rPr>
          <w:rFonts w:ascii="华文中宋" w:hAnsi="华文中宋" w:eastAsia="华文中宋"/>
          <w:sz w:val="24"/>
        </w:rPr>
      </w:pPr>
      <w:r>
        <w:rPr>
          <w:rFonts w:ascii="华文中宋" w:hAnsi="华文中宋" w:eastAsia="华文中宋"/>
          <w:sz w:val="24"/>
        </w:rPr>
        <w:t xml:space="preserve">中征平台：</w:t>
      </w:r>
      <w:r>
        <w:fldChar w:fldCharType="begin"/>
      </w:r>
      <w:r>
        <w:instrText xml:space="preserve"> HYPERLINK "https://www.crcrfsp.com/" </w:instrText>
      </w:r>
      <w:r>
        <w:fldChar w:fldCharType="separate"/>
      </w:r>
      <w:r>
        <w:rPr>
          <w:rFonts w:ascii="华文中宋" w:hAnsi="华文中宋" w:eastAsia="华文中宋"/>
          <w:sz w:val="24"/>
        </w:rPr>
        <w:t xml:space="preserve">https://www.crcrfsp.com/</w:t>
      </w:r>
      <w:r>
        <w:rPr>
          <w:rFonts w:ascii="华文中宋" w:hAnsi="华文中宋" w:eastAsia="华文中宋"/>
          <w:sz w:val="24"/>
        </w:rPr>
        <w:fldChar w:fldCharType="end"/>
      </w:r>
      <w:r/>
    </w:p>
    <w:p>
      <w:pPr>
        <w:pStyle w:val="951"/>
        <w:ind w:firstLine="480"/>
        <w:spacing w:line="360" w:lineRule="auto"/>
        <w:rPr>
          <w:rFonts w:ascii="华文中宋" w:hAnsi="华文中宋" w:eastAsia="华文中宋"/>
          <w:b/>
          <w:bCs/>
          <w:sz w:val="24"/>
        </w:rPr>
      </w:pPr>
      <w:r>
        <w:rPr>
          <w:rFonts w:ascii="华文中宋" w:hAnsi="华文中宋" w:eastAsia="华文中宋"/>
          <w:sz w:val="24"/>
        </w:rPr>
        <w:t xml:space="preserve">联系电话：0523-84821917</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40"/>
        <w:jc w:val="center"/>
        <w:spacing w:before="0" w:after="0" w:line="240" w:lineRule="auto"/>
        <w:rPr>
          <w:sz w:val="36"/>
          <w:szCs w:val="36"/>
        </w:rPr>
      </w:pPr>
      <w:r/>
      <w:bookmarkStart w:id="10" w:name="_Toc152268438"/>
      <w:r/>
      <w:bookmarkStart w:id="11" w:name="_Toc4915"/>
      <w:r>
        <w:rPr>
          <w:rFonts w:hint="eastAsia" w:ascii="微软雅黑" w:hAnsi="微软雅黑" w:eastAsia="微软雅黑" w:cs="微软雅黑"/>
          <w:b w:val="0"/>
          <w:bCs w:val="0"/>
          <w:sz w:val="36"/>
          <w:szCs w:val="36"/>
        </w:rPr>
        <w:t xml:space="preserve">第一章  招标公告</w:t>
      </w:r>
      <w:bookmarkEnd w:id="10"/>
      <w:r/>
      <w:bookmarkEnd w:id="11"/>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1273"/>
        </w:trPr>
        <w:tc>
          <w:tcPr>
            <w:tcW w:w="9044" w:type="dxa"/>
            <w:textDirection w:val="lrTb"/>
            <w:noWrap w:val="false"/>
          </w:tcPr>
          <w:p>
            <w:pPr>
              <w:ind w:firstLine="442"/>
              <w:jc w:val="left"/>
              <w:spacing w:line="360" w:lineRule="auto"/>
              <w:rPr>
                <w:sz w:val="24"/>
                <w:szCs w:val="28"/>
              </w:rPr>
            </w:pPr>
            <w:r>
              <w:rPr>
                <w:rFonts w:hint="eastAsia"/>
                <w:sz w:val="24"/>
                <w:szCs w:val="28"/>
              </w:rPr>
              <w:t xml:space="preserve">靖江市人民医院彩色多普勒超声诊断仪采购项目</w:t>
            </w:r>
            <w:r>
              <w:rPr>
                <w:sz w:val="24"/>
                <w:szCs w:val="28"/>
              </w:rPr>
              <w:t xml:space="preserve"> </w:t>
            </w:r>
            <w:r>
              <w:rPr>
                <w:rFonts w:hint="eastAsia"/>
                <w:sz w:val="24"/>
                <w:szCs w:val="28"/>
                <w:lang w:eastAsia="zh-CN"/>
              </w:rPr>
              <w:t xml:space="preserve">JSZC-321282-JSZH-G2026-0074</w:t>
            </w:r>
            <w:r>
              <w:rPr>
                <w:rFonts w:hint="eastAsia"/>
                <w:sz w:val="24"/>
                <w:szCs w:val="28"/>
              </w:rPr>
              <w:t xml:space="preserve"> </w:t>
            </w:r>
            <w:r>
              <w:rPr>
                <w:sz w:val="24"/>
                <w:szCs w:val="28"/>
              </w:rPr>
              <w:t xml:space="preserve"> 招标项目的潜在投标人应在“苏采云”系统（http://jszfcg.jsczt.cn） 获取招标文件，并于</w:t>
            </w:r>
            <w:r>
              <w:rPr>
                <w:rFonts w:hint="eastAsia"/>
                <w:sz w:val="24"/>
                <w:szCs w:val="28"/>
                <w:lang w:eastAsia="zh-CN"/>
              </w:rPr>
              <w:t xml:space="preserve">2026-09-24</w:t>
            </w:r>
            <w:r>
              <w:rPr>
                <w:sz w:val="24"/>
                <w:szCs w:val="28"/>
              </w:rPr>
              <w:t xml:space="preserve"> 14:00 （北京时间）前递交投标文件。</w:t>
            </w:r>
            <w:r/>
          </w:p>
        </w:tc>
      </w:tr>
    </w:tbl>
    <w:p>
      <w:pPr>
        <w:ind w:firstLine="482"/>
        <w:spacing w:line="360" w:lineRule="auto"/>
        <w:rPr>
          <w:rFonts w:ascii="黑体" w:hAnsi="黑体" w:eastAsia="黑体" w:cs="黑体"/>
          <w:b/>
          <w:bCs/>
          <w:sz w:val="24"/>
          <w:szCs w:val="24"/>
        </w:rPr>
      </w:pPr>
      <w:r>
        <w:rPr>
          <w:rFonts w:ascii="黑体" w:hAnsi="黑体" w:eastAsia="黑体" w:cs="黑体"/>
          <w:b/>
          <w:bCs/>
          <w:sz w:val="24"/>
          <w:szCs w:val="24"/>
        </w:rPr>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一、项目基本情况</w:t>
      </w:r>
      <w:r/>
    </w:p>
    <w:p>
      <w:pPr>
        <w:ind w:firstLine="480"/>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bookmarkStart w:id="12" w:name="OLE_LINK3"/>
      <w:r/>
      <w:bookmarkStart w:id="13" w:name="OLE_LINK2"/>
      <w:r>
        <w:rPr>
          <w:rFonts w:hint="eastAsia" w:asciiTheme="minorEastAsia" w:hAnsiTheme="minorEastAsia" w:eastAsiaTheme="minorEastAsia" w:cstheme="minorEastAsia"/>
          <w:sz w:val="24"/>
          <w:szCs w:val="24"/>
          <w:lang w:eastAsia="zh-CN"/>
        </w:rPr>
        <w:t xml:space="preserve">JSZC-321282-JSZH-G2026-0074</w:t>
      </w:r>
      <w:r>
        <w:rPr>
          <w:rFonts w:hint="eastAsia" w:asciiTheme="minorEastAsia" w:hAnsiTheme="minorEastAsia" w:eastAsiaTheme="minorEastAsia" w:cstheme="minorEastAsia"/>
          <w:sz w:val="24"/>
          <w:szCs w:val="24"/>
        </w:rPr>
        <w:t xml:space="preserve"> </w:t>
      </w:r>
      <w:bookmarkEnd w:id="12"/>
      <w:r/>
      <w:bookmarkEnd w:id="13"/>
      <w:r/>
      <w:r/>
    </w:p>
    <w:p>
      <w:pPr>
        <w:ind w:firstLine="480"/>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rPr>
          <w:rFonts w:hint="eastAsia" w:eastAsiaTheme="minorEastAsia"/>
          <w:sz w:val="24"/>
          <w:szCs w:val="28"/>
        </w:rPr>
        <w:t xml:space="preserve">靖江市人民医院彩色多普勒超声诊断仪采购项目</w:t>
      </w:r>
      <w:r>
        <w:rPr>
          <w:rFonts w:hint="eastAsia" w:asciiTheme="minorEastAsia" w:hAnsiTheme="minorEastAsia" w:eastAsiaTheme="minorEastAsia" w:cstheme="minorEastAsia"/>
          <w:sz w:val="24"/>
          <w:szCs w:val="24"/>
        </w:rPr>
        <w:t xml:space="preserve"> </w:t>
      </w:r>
      <w:r/>
    </w:p>
    <w:p>
      <w:pPr>
        <w:ind w:firstLine="480"/>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预算金额：100万元 </w:t>
      </w:r>
      <w:r/>
    </w:p>
    <w:p>
      <w:pPr>
        <w:ind w:firstLine="480"/>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最高限价（如有）：98万元</w:t>
      </w:r>
      <w:r/>
    </w:p>
    <w:p>
      <w:pPr>
        <w:ind w:firstLine="480"/>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采购需求：</w:t>
      </w:r>
      <w:r/>
    </w:p>
    <w:tbl>
      <w:tblPr>
        <w:tblStyle w:val="704"/>
        <w:tblW w:w="4682" w:type="pct"/>
        <w:tblInd w:w="368" w:type="dxa"/>
        <w:tblLayout w:type="autofit"/>
        <w:tblCellMar>
          <w:left w:w="108" w:type="dxa"/>
          <w:top w:w="0" w:type="dxa"/>
          <w:right w:w="108" w:type="dxa"/>
          <w:bottom w:w="0" w:type="dxa"/>
        </w:tblCellMar>
        <w:tblLook w:val="04A0" w:firstRow="1" w:lastRow="0" w:firstColumn="1" w:lastColumn="0" w:noHBand="0" w:noVBand="1"/>
      </w:tblPr>
      <w:tblGrid>
        <w:gridCol w:w="713"/>
        <w:gridCol w:w="3038"/>
        <w:gridCol w:w="969"/>
        <w:gridCol w:w="952"/>
        <w:gridCol w:w="1401"/>
        <w:gridCol w:w="1704"/>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798"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核心产品</w:t>
            </w:r>
            <w:r/>
          </w:p>
        </w:tc>
        <w:tc>
          <w:tcPr>
            <w:shd w:val="clear" w:color="auto" w:fill="auto"/>
            <w:tcBorders>
              <w:top w:val="single" w:color="000000" w:sz="4" w:space="0"/>
              <w:left w:val="single" w:color="000000" w:sz="4" w:space="0"/>
              <w:bottom w:val="single" w:color="auto" w:sz="4" w:space="0"/>
              <w:right w:val="single" w:color="000000" w:sz="4" w:space="0"/>
            </w:tcBorders>
            <w:tcW w:w="970"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是否接受</w:t>
            </w:r>
            <w:r/>
          </w:p>
          <w:p>
            <w:pPr>
              <w:jc w:val="center"/>
              <w:widowControl/>
              <w:rPr>
                <w:rFonts w:ascii="宋体" w:hAnsi="宋体" w:cs="宋体"/>
                <w:b/>
                <w:bCs/>
                <w:color w:val="000000"/>
                <w:sz w:val="22"/>
              </w:rPr>
            </w:pPr>
            <w:r>
              <w:rPr>
                <w:rFonts w:hint="eastAsia" w:ascii="宋体" w:hAnsi="宋体" w:cs="宋体"/>
                <w:b/>
                <w:bCs/>
                <w:color w:val="000000"/>
                <w:sz w:val="22"/>
                <w:lang w:bidi="ar"/>
              </w:rPr>
              <w:t xml:space="preserve">进口产品</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0"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彩色多普勒超声诊断仪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542" w:type="pct"/>
            <w:vAlign w:val="center"/>
            <w:textDirection w:val="lrTb"/>
            <w:noWrap/>
          </w:tcPr>
          <w:p>
            <w:pPr>
              <w:jc w:val="center"/>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rPr>
                <w:rFonts w:ascii="宋体" w:hAnsi="宋体" w:cs="宋体"/>
                <w:color w:val="000000"/>
                <w:sz w:val="22"/>
              </w:rPr>
            </w:pPr>
            <w:r>
              <w:rPr>
                <w:rFonts w:hint="eastAsia" w:ascii="宋体" w:hAnsi="宋体" w:cs="宋体"/>
                <w:color w:val="000000"/>
                <w:sz w:val="22"/>
                <w:lang w:bidi="ar"/>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70" w:type="pct"/>
            <w:vAlign w:val="center"/>
            <w:textDirection w:val="lrTb"/>
            <w:noWrap/>
          </w:tcPr>
          <w:p>
            <w:pPr>
              <w:jc w:val="center"/>
              <w:rPr>
                <w:rFonts w:ascii="宋体" w:hAnsi="宋体" w:cs="宋体"/>
                <w:color w:val="000000"/>
                <w:sz w:val="22"/>
              </w:rPr>
            </w:pPr>
            <w:r>
              <w:rPr>
                <w:rFonts w:hint="eastAsia" w:ascii="宋体" w:hAnsi="宋体" w:cs="宋体"/>
                <w:color w:val="000000"/>
                <w:sz w:val="22"/>
              </w:rPr>
              <w:t xml:space="preserve">否</w:t>
            </w:r>
            <w:r/>
          </w:p>
        </w:tc>
      </w:tr>
    </w:tbl>
    <w:p>
      <w:pPr>
        <w:ind w:firstLine="480"/>
        <w:jc w:val="left"/>
        <w:spacing w:before="120"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合同履行期限：</w:t>
      </w:r>
      <w:r>
        <w:rPr>
          <w:rFonts w:hint="eastAsia" w:asciiTheme="minorEastAsia" w:hAnsiTheme="minorEastAsia" w:eastAsiaTheme="minorEastAsia" w:cstheme="minorEastAsia"/>
          <w:sz w:val="24"/>
          <w:szCs w:val="24"/>
          <w:u w:val="single"/>
        </w:rPr>
        <w:t xml:space="preserve">30</w:t>
      </w:r>
      <w:r>
        <w:rPr>
          <w:rFonts w:hint="eastAsia" w:asciiTheme="minorEastAsia" w:hAnsiTheme="minorEastAsia" w:eastAsiaTheme="minorEastAsia" w:cstheme="minorEastAsia"/>
          <w:sz w:val="24"/>
          <w:szCs w:val="24"/>
        </w:rPr>
        <w:t xml:space="preserve">日历天。</w:t>
      </w:r>
      <w:r/>
    </w:p>
    <w:p>
      <w:pPr>
        <w:ind w:firstLine="480"/>
        <w:jc w:val="left"/>
        <w:spacing w:before="120"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本项目（是/否）接受联合体投标：否。</w:t>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二、申请人资格条件</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（一）满足《中华人民共和国政府采购法》第二十二条规定：</w:t>
      </w:r>
      <w:r/>
    </w:p>
    <w:p>
      <w:pPr>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1.具有独立承担民事责任的能力（提供有效的法人或者其他组织的营业执照等证明文件原件扫描件）；</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2.具有《政府采购法》第二十二条第（二）、（三）、（四）、（五）项规定的基本资格条件（按投标文件格式要求提供了《基本资格条件声明函》）。</w:t>
      </w:r>
      <w:r/>
    </w:p>
    <w:p>
      <w:pPr>
        <w:ind w:firstLine="480"/>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（二）落实政府采购政策需满足的资格要求：</w:t>
      </w:r>
      <w:r>
        <w:rPr>
          <w:rFonts w:hint="eastAsia" w:asciiTheme="minorEastAsia" w:hAnsiTheme="minorEastAsia" w:eastAsiaTheme="minorEastAsia" w:cstheme="minorEastAsia"/>
          <w:b/>
          <w:bCs/>
          <w:sz w:val="24"/>
          <w:szCs w:val="24"/>
        </w:rPr>
        <w:t xml:space="preserve">无。</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（三）本项目的特定资格要求：</w:t>
      </w:r>
      <w:r>
        <w:rPr>
          <w:rFonts w:hint="eastAsia" w:asciiTheme="minorEastAsia" w:hAnsiTheme="minorEastAsia" w:eastAsiaTheme="minorEastAsia" w:cstheme="minorEastAsia"/>
          <w:b/>
          <w:bCs/>
          <w:sz w:val="24"/>
          <w:szCs w:val="24"/>
          <w:highlight w:val="none"/>
          <w:u w:val="single"/>
        </w:rPr>
        <w:t xml:space="preserve">投标人为</w:t>
      </w:r>
      <w:r>
        <w:rPr>
          <w:rFonts w:hint="eastAsia" w:asciiTheme="minorEastAsia" w:hAnsiTheme="minorEastAsia" w:eastAsiaTheme="minorEastAsia" w:cstheme="minorEastAsia"/>
          <w:b/>
          <w:bCs/>
          <w:sz w:val="24"/>
          <w:szCs w:val="24"/>
          <w:highlight w:val="none"/>
          <w:u w:val="single"/>
          <w:lang w:eastAsia="zh-CN"/>
        </w:rPr>
        <w:t xml:space="preserve">投标产品制造商（注册人/备案人）</w:t>
      </w:r>
      <w:r>
        <w:rPr>
          <w:rFonts w:hint="eastAsia" w:asciiTheme="minorEastAsia" w:hAnsiTheme="minorEastAsia" w:eastAsiaTheme="minorEastAsia" w:cstheme="minorEastAsia"/>
          <w:b/>
          <w:bCs/>
          <w:sz w:val="24"/>
          <w:szCs w:val="24"/>
          <w:highlight w:val="none"/>
          <w:u w:val="single"/>
        </w:rPr>
        <w:t xml:space="preserve">且销售自产产品的，</w:t>
      </w:r>
      <w:r>
        <w:rPr>
          <w:rFonts w:hint="eastAsia" w:asciiTheme="minorEastAsia" w:hAnsiTheme="minorEastAsia" w:eastAsiaTheme="minorEastAsia" w:cstheme="minorEastAsia"/>
          <w:b/>
          <w:bCs/>
          <w:sz w:val="24"/>
          <w:szCs w:val="24"/>
          <w:highlight w:val="none"/>
          <w:u w:val="single"/>
        </w:rPr>
        <w:t xml:space="preserve">具有</w:t>
      </w:r>
      <w:r>
        <w:rPr>
          <w:rFonts w:hint="eastAsia" w:asciiTheme="minorEastAsia" w:hAnsiTheme="minorEastAsia" w:eastAsiaTheme="minorEastAsia" w:cstheme="minorEastAsia"/>
          <w:b/>
          <w:bCs/>
          <w:sz w:val="24"/>
          <w:szCs w:val="24"/>
          <w:highlight w:val="none"/>
          <w:u w:val="single"/>
        </w:rPr>
        <w:t xml:space="preserve">有效的《医疗器械生产许可证》</w:t>
      </w:r>
      <w:r>
        <w:rPr>
          <w:rFonts w:hint="eastAsia" w:asciiTheme="minorEastAsia" w:hAnsiTheme="minorEastAsia" w:eastAsiaTheme="minorEastAsia" w:cstheme="minorEastAsia"/>
          <w:b/>
          <w:bCs/>
          <w:sz w:val="24"/>
          <w:szCs w:val="24"/>
          <w:highlight w:val="none"/>
          <w:u w:val="single"/>
          <w:lang w:eastAsia="zh-CN"/>
        </w:rPr>
        <w:t xml:space="preserve">（</w:t>
      </w:r>
      <w:r>
        <w:rPr>
          <w:rFonts w:hint="eastAsia" w:asciiTheme="minorEastAsia" w:hAnsiTheme="minorEastAsia" w:eastAsiaTheme="minorEastAsia" w:cstheme="minorEastAsia"/>
          <w:b/>
          <w:bCs/>
          <w:sz w:val="24"/>
          <w:szCs w:val="24"/>
          <w:highlight w:val="none"/>
          <w:u w:val="single"/>
          <w:lang w:val="en-US" w:eastAsia="zh-CN"/>
        </w:rPr>
        <w:t xml:space="preserve">许可范围包含投标产品</w:t>
      </w:r>
      <w:r>
        <w:rPr>
          <w:rFonts w:hint="eastAsia" w:asciiTheme="minorEastAsia" w:hAnsiTheme="minorEastAsia" w:eastAsiaTheme="minorEastAsia" w:cstheme="minorEastAsia"/>
          <w:b/>
          <w:bCs/>
          <w:sz w:val="24"/>
          <w:szCs w:val="24"/>
          <w:highlight w:val="none"/>
          <w:u w:val="single"/>
          <w:lang w:eastAsia="zh-CN"/>
        </w:rPr>
        <w:t xml:space="preserve">）</w:t>
      </w:r>
      <w:r>
        <w:rPr>
          <w:rFonts w:hint="eastAsia" w:asciiTheme="minorEastAsia" w:hAnsiTheme="minorEastAsia" w:eastAsiaTheme="minorEastAsia" w:cstheme="minorEastAsia"/>
          <w:b/>
          <w:bCs/>
          <w:sz w:val="24"/>
          <w:szCs w:val="24"/>
          <w:highlight w:val="none"/>
          <w:u w:val="single"/>
        </w:rPr>
        <w:t xml:space="preserve">及产品注册证；</w:t>
      </w:r>
      <w:r>
        <w:rPr>
          <w:rFonts w:hint="eastAsia" w:asciiTheme="minorEastAsia" w:hAnsiTheme="minorEastAsia" w:eastAsiaTheme="minorEastAsia" w:cstheme="minorEastAsia"/>
          <w:b/>
          <w:bCs/>
          <w:sz w:val="24"/>
          <w:szCs w:val="24"/>
          <w:highlight w:val="none"/>
          <w:u w:val="single"/>
          <w:lang w:eastAsia="zh-CN"/>
        </w:rPr>
        <w:t xml:space="preserve">非投标产品制造商的经销商/代理商</w:t>
      </w:r>
      <w:r>
        <w:rPr>
          <w:rFonts w:hint="eastAsia" w:asciiTheme="minorEastAsia" w:hAnsiTheme="minorEastAsia" w:eastAsiaTheme="minorEastAsia" w:cstheme="minorEastAsia"/>
          <w:b/>
          <w:bCs/>
          <w:sz w:val="24"/>
          <w:szCs w:val="24"/>
          <w:highlight w:val="none"/>
          <w:u w:val="single"/>
        </w:rPr>
        <w:t xml:space="preserve">须</w:t>
      </w:r>
      <w:r>
        <w:rPr>
          <w:rFonts w:hint="eastAsia" w:asciiTheme="minorEastAsia" w:hAnsiTheme="minorEastAsia" w:eastAsiaTheme="minorEastAsia" w:cstheme="minorEastAsia"/>
          <w:b/>
          <w:bCs/>
          <w:sz w:val="24"/>
          <w:szCs w:val="24"/>
          <w:highlight w:val="none"/>
          <w:u w:val="single"/>
        </w:rPr>
        <w:t xml:space="preserve">具有</w:t>
      </w:r>
      <w:r>
        <w:rPr>
          <w:rFonts w:hint="eastAsia" w:asciiTheme="minorEastAsia" w:hAnsiTheme="minorEastAsia" w:eastAsiaTheme="minorEastAsia" w:cstheme="minorEastAsia"/>
          <w:b/>
          <w:bCs/>
          <w:sz w:val="24"/>
          <w:szCs w:val="24"/>
          <w:highlight w:val="none"/>
          <w:u w:val="single"/>
        </w:rPr>
        <w:t xml:space="preserve">自身有效的《医疗器械经营许可证》</w:t>
      </w:r>
      <w:r>
        <w:rPr>
          <w:rFonts w:hint="eastAsia" w:asciiTheme="minorEastAsia" w:hAnsiTheme="minorEastAsia" w:eastAsiaTheme="minorEastAsia" w:cstheme="minorEastAsia"/>
          <w:b/>
          <w:bCs/>
          <w:sz w:val="24"/>
          <w:szCs w:val="24"/>
          <w:highlight w:val="none"/>
          <w:u w:val="single"/>
          <w:lang w:eastAsia="zh-CN"/>
        </w:rPr>
        <w:t xml:space="preserve">（</w:t>
      </w:r>
      <w:r>
        <w:rPr>
          <w:rFonts w:hint="eastAsia" w:asciiTheme="minorEastAsia" w:hAnsiTheme="minorEastAsia" w:eastAsiaTheme="minorEastAsia" w:cstheme="minorEastAsia"/>
          <w:b/>
          <w:bCs/>
          <w:sz w:val="24"/>
          <w:szCs w:val="24"/>
          <w:highlight w:val="none"/>
          <w:u w:val="single"/>
          <w:lang w:val="en-US" w:eastAsia="zh-CN"/>
        </w:rPr>
        <w:t xml:space="preserve">许可范围包含投标产品</w:t>
      </w:r>
      <w:r>
        <w:rPr>
          <w:rFonts w:hint="eastAsia" w:asciiTheme="minorEastAsia" w:hAnsiTheme="minorEastAsia" w:eastAsiaTheme="minorEastAsia" w:cstheme="minorEastAsia"/>
          <w:b/>
          <w:bCs/>
          <w:sz w:val="24"/>
          <w:szCs w:val="24"/>
          <w:highlight w:val="none"/>
          <w:u w:val="single"/>
          <w:lang w:eastAsia="zh-CN"/>
        </w:rPr>
        <w:t xml:space="preserve">）</w:t>
      </w:r>
      <w:r>
        <w:rPr>
          <w:rFonts w:hint="eastAsia" w:asciiTheme="minorEastAsia" w:hAnsiTheme="minorEastAsia" w:eastAsiaTheme="minorEastAsia" w:cstheme="minorEastAsia"/>
          <w:b/>
          <w:bCs/>
          <w:sz w:val="24"/>
          <w:szCs w:val="24"/>
          <w:u w:val="single"/>
        </w:rPr>
        <w:t xml:space="preserve">。</w:t>
      </w:r>
      <w:r>
        <w:rPr>
          <w:rFonts w:hint="eastAsia" w:asciiTheme="minorEastAsia" w:hAnsiTheme="minorEastAsia" w:eastAsiaTheme="minorEastAsia" w:cstheme="minorEastAsia"/>
          <w:b/>
          <w:bCs/>
          <w:sz w:val="24"/>
          <w:szCs w:val="24"/>
          <w:u w:val="single"/>
        </w:rPr>
        <w:t xml:space="preserve">（</w:t>
      </w:r>
      <w:r>
        <w:rPr>
          <w:rFonts w:hint="eastAsia" w:asciiTheme="minorEastAsia" w:hAnsiTheme="minorEastAsia" w:eastAsiaTheme="minorEastAsia" w:cstheme="minorEastAsia"/>
          <w:b/>
          <w:bCs/>
          <w:sz w:val="24"/>
          <w:szCs w:val="24"/>
          <w:u w:val="single"/>
        </w:rPr>
        <w:t xml:space="preserve">提供有效的《医疗器械生产许可证》及产品注册证/</w:t>
      </w:r>
      <w:r>
        <w:rPr>
          <w:rFonts w:hint="eastAsia" w:asciiTheme="minorEastAsia" w:hAnsiTheme="minorEastAsia" w:eastAsiaTheme="minorEastAsia" w:cstheme="minorEastAsia"/>
          <w:b/>
          <w:bCs/>
          <w:sz w:val="24"/>
          <w:szCs w:val="24"/>
          <w:u w:val="single"/>
        </w:rPr>
        <w:t xml:space="preserve">《医疗器械经营许可证》</w:t>
      </w:r>
      <w:r>
        <w:rPr>
          <w:rFonts w:hint="eastAsia" w:asciiTheme="minorEastAsia" w:hAnsiTheme="minorEastAsia" w:eastAsiaTheme="minorEastAsia" w:cstheme="minorEastAsia"/>
          <w:b/>
          <w:bCs/>
          <w:sz w:val="24"/>
          <w:szCs w:val="24"/>
          <w:u w:val="single"/>
        </w:rPr>
        <w:t xml:space="preserve">）</w:t>
      </w:r>
      <w:r>
        <w:rPr>
          <w:rFonts w:hint="eastAsia" w:asciiTheme="minorEastAsia" w:hAnsiTheme="minorEastAsia" w:eastAsiaTheme="minorEastAsia" w:cstheme="minorEastAsia"/>
          <w:b/>
          <w:bCs/>
          <w:sz w:val="24"/>
          <w:szCs w:val="24"/>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（四）投标截止时间当日，投标人有下列情形之一的，不得参加本采购项目招标投标活动：</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1.单位负责人为同一人或者存在直接控股、管理关系的不同投标人；</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2.被各级财政主管部门取消采购项目所在地的投标资格且处于有效期内；</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3.被责令停业，暂扣或吊销营业执照，或吊销资质证书；</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4.进入清算程序，或被宣告破产，或其他丧失履约能力的情形；</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5.在“中国政府采购网(www.ccgp.gov.cn)”中被列入“政府采购严重违法失信行为记录名单》”（以采购人或采购代理机构在资格审查时，通过相关网站查询为准）；</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6.在“信用中国（http://www.creditchina.gov.cn/）”网站中被列入“失信被执行人名单”或“税收违法黑名单”（以采购人或采购代理机构在资格审查时，通过相关网站查询为准）；</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7.为采购项目提供整体设计、规范编制或者项目管理、监理、检测等服务的；</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8.法律、法规规定的其他情形。</w:t>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三、获取招标文件</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时间：自招标文件公告发布之日起5个工作日 </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地点：“苏采云”系统（http://jszfcg.jsczt.cn） </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方式：“苏采云”系统（http://jszfcg.jsczt.cn） </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售价：0.00元 </w:t>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四、提交投标文件截止时间、开标时间和地点</w:t>
      </w:r>
      <w:r/>
    </w:p>
    <w:p>
      <w:pPr>
        <w:ind w:firstLine="480"/>
        <w:spacing w:line="360" w:lineRule="auto"/>
        <w:rPr>
          <w:highlight w:val="none"/>
        </w:rPr>
      </w:pPr>
      <w:r>
        <w:rPr>
          <w:rFonts w:hint="eastAsia" w:asciiTheme="minorEastAsia" w:hAnsiTheme="minorEastAsia" w:eastAsiaTheme="minorEastAsia" w:cstheme="minorEastAsia"/>
          <w:sz w:val="24"/>
          <w:szCs w:val="24"/>
          <w:highlight w:val="none"/>
        </w:rPr>
        <w:t xml:space="preserve">2026-0</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24</w:t>
      </w:r>
      <w:r>
        <w:rPr>
          <w:rFonts w:hint="eastAsia" w:asciiTheme="minorEastAsia" w:hAnsiTheme="minorEastAsia" w:eastAsiaTheme="minorEastAsia" w:cstheme="minorEastAsia"/>
          <w:sz w:val="24"/>
          <w:szCs w:val="24"/>
          <w:highlight w:val="none"/>
        </w:rPr>
        <w:t xml:space="preserve">    14:00 （北京时间）</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地点：“苏采云”系统（http://jszfcg.jsczt.cn）</w:t>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五、公告期限</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自本公告发布之日起5个工作日</w:t>
      </w:r>
      <w:r/>
    </w:p>
    <w:p>
      <w:pPr>
        <w:ind w:firstLine="482"/>
        <w:spacing w:line="360" w:lineRule="auto"/>
        <w:rPr>
          <w:rFonts w:ascii="黑体" w:hAnsi="黑体" w:eastAsia="黑体" w:cs="黑体"/>
          <w:b/>
          <w:bCs/>
          <w:sz w:val="24"/>
          <w:szCs w:val="24"/>
        </w:rPr>
      </w:pPr>
      <w:r>
        <w:rPr>
          <w:rFonts w:hint="eastAsia" w:ascii="黑体" w:hAnsi="黑体" w:eastAsia="黑体" w:cs="黑体"/>
          <w:b/>
          <w:bCs/>
          <w:sz w:val="24"/>
          <w:szCs w:val="24"/>
        </w:rPr>
        <w:t xml:space="preserve">六、其他补充事宜</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1.本项目采用全流程电子化方式，潜在投标人访问电子招标投标交易平台的网络地址和方法：</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（1）登录 http://jszfcg.jsczt.cn/，点击“苏采云”进入系统；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（2）投标客户端工具及供应商操作手册可访问江苏省政府采购网，选中“业务工作”，“下载专区”进行下载《江苏省政府采购管理交易系统（苏采云）供应商操作手册及政府采购客户端》。</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2.采购代理机构将数据电文形式的招标文件加载至电子招标投标交易平台，供潜在投标人下载或者查阅。如果项目采购文件变更并发布更正公告，需要重新下载采购文件。</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3.如在制作电子投标文件中有任何疑问，请拨打电子化政府采购技术支持电话：0523-86897512。</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4.如潜在投标人未按上述要求操作，将自行承担所产生的风险。</w:t>
      </w:r>
      <w:r/>
    </w:p>
    <w:p>
      <w:pPr>
        <w:ind w:firstLine="482"/>
        <w:spacing w:line="360" w:lineRule="auto"/>
        <w:rPr>
          <w:rFonts w:ascii="华文中宋" w:hAnsi="华文中宋" w:eastAsia="华文中宋" w:cs="华文中宋"/>
          <w:sz w:val="24"/>
          <w:szCs w:val="24"/>
        </w:rPr>
      </w:pPr>
      <w:r>
        <w:rPr>
          <w:rFonts w:hint="eastAsia" w:ascii="黑体" w:hAnsi="黑体" w:eastAsia="黑体" w:cs="黑体"/>
          <w:b/>
          <w:bCs/>
          <w:sz w:val="24"/>
          <w:szCs w:val="24"/>
        </w:rPr>
        <w:t xml:space="preserve">七、凡对本次采购提出询问，请按以下方式联系。</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360" w:lineRule="auto"/>
        <w:tabs>
          <w:tab w:val="left" w:pos="84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单位名称：靖江市人民医院</w:t>
      </w:r>
      <w:r/>
    </w:p>
    <w:p>
      <w:pPr>
        <w:ind w:firstLine="480"/>
        <w:spacing w:line="360" w:lineRule="auto"/>
        <w:tabs>
          <w:tab w:val="left" w:pos="84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单位地址：靖江市中洲东路28号</w:t>
      </w:r>
      <w:r/>
    </w:p>
    <w:p>
      <w:pPr>
        <w:ind w:firstLine="480"/>
        <w:spacing w:line="360" w:lineRule="auto"/>
        <w:tabs>
          <w:tab w:val="left" w:pos="84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联系人：王先生</w:t>
      </w:r>
      <w:r/>
    </w:p>
    <w:p>
      <w:pPr>
        <w:ind w:firstLine="480"/>
        <w:spacing w:line="360" w:lineRule="auto"/>
        <w:tabs>
          <w:tab w:val="left" w:pos="84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联系电话：0523-84995920</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2.采购代理机构信息（如有）</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单位名称：江苏智汇锡建工程项目管理有限公司</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单位地址：靖江市晨阳社区22幢-9号三楼</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联系人：闻先生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联系电话：13809011110</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3.项目联系方式</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项目联系人：闻先生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电话：13809011110</w:t>
      </w:r>
      <w:r/>
    </w:p>
    <w:p>
      <w:pPr>
        <w:ind w:firstLine="440"/>
        <w:spacing w:line="440" w:lineRule="exact"/>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751"/>
        <w:rPr>
          <w:rFonts w:ascii="华文中宋" w:hAnsi="华文中宋" w:eastAsia="华文中宋" w:cs="华文中宋"/>
          <w:sz w:val="24"/>
          <w:szCs w:val="24"/>
        </w:rPr>
      </w:pPr>
      <w:r>
        <w:rPr>
          <w:rFonts w:ascii="华文中宋" w:hAnsi="华文中宋" w:eastAsia="华文中宋" w:cs="华文中宋"/>
          <w:sz w:val="24"/>
          <w:szCs w:val="24"/>
        </w:rPr>
      </w:r>
      <w:r/>
    </w:p>
    <w:p>
      <w:pPr>
        <w:pStyle w:val="940"/>
        <w:jc w:val="center"/>
        <w:spacing w:before="0" w:after="0" w:line="360" w:lineRule="auto"/>
        <w:rPr>
          <w:rFonts w:ascii="微软雅黑" w:hAnsi="微软雅黑" w:eastAsia="微软雅黑" w:cs="微软雅黑"/>
          <w:b w:val="0"/>
          <w:bCs w:val="0"/>
          <w:sz w:val="36"/>
          <w:szCs w:val="36"/>
        </w:rPr>
      </w:pPr>
      <w:r/>
      <w:bookmarkStart w:id="14" w:name="_Toc387526373"/>
      <w:r/>
      <w:bookmarkStart w:id="15" w:name="_Toc6984"/>
      <w:r/>
      <w:bookmarkStart w:id="16" w:name="_Toc2936"/>
      <w:r/>
      <w:bookmarkStart w:id="17" w:name="_Toc387526177"/>
      <w:r/>
      <w:bookmarkStart w:id="18" w:name="_Toc184635069"/>
      <w:r/>
      <w:bookmarkStart w:id="19" w:name="_Toc387526281"/>
      <w:r/>
      <w:bookmarkStart w:id="20" w:name="_Toc363326679"/>
      <w:r/>
      <w:bookmarkStart w:id="21" w:name="_Toc369077558"/>
      <w:r/>
      <w:bookmarkStart w:id="22" w:name="_Toc152268439"/>
      <w:r/>
      <w:bookmarkStart w:id="23" w:name="_Toc368759512"/>
      <w:r/>
      <w:bookmarkStart w:id="24" w:name="_Toc6770"/>
      <w:r>
        <w:rPr>
          <w:rFonts w:hint="eastAsia" w:ascii="微软雅黑" w:hAnsi="微软雅黑" w:eastAsia="微软雅黑" w:cs="微软雅黑"/>
          <w:b w:val="0"/>
          <w:bCs w:val="0"/>
          <w:sz w:val="36"/>
          <w:szCs w:val="36"/>
        </w:rPr>
        <w:t xml:space="preserve">第二章 投标人须知</w:t>
      </w:r>
      <w:bookmarkEnd w:id="14"/>
      <w:r/>
      <w:bookmarkEnd w:id="15"/>
      <w:r/>
      <w:bookmarkEnd w:id="16"/>
      <w:r/>
      <w:bookmarkEnd w:id="17"/>
      <w:r/>
      <w:bookmarkEnd w:id="18"/>
      <w:r/>
      <w:bookmarkEnd w:id="19"/>
      <w:r/>
      <w:bookmarkEnd w:id="20"/>
      <w:r/>
      <w:bookmarkEnd w:id="21"/>
      <w:r/>
      <w:bookmarkEnd w:id="22"/>
      <w:r/>
      <w:bookmarkEnd w:id="23"/>
      <w:r/>
      <w:bookmarkEnd w:id="24"/>
      <w:r/>
      <w:r/>
    </w:p>
    <w:p>
      <w:pPr>
        <w:pStyle w:val="944"/>
        <w:ind w:firstLine="118"/>
        <w:jc w:val="center"/>
        <w:spacing w:before="0" w:after="0" w:line="360" w:lineRule="auto"/>
        <w:rPr>
          <w:sz w:val="28"/>
          <w:szCs w:val="21"/>
        </w:rPr>
      </w:pPr>
      <w:r/>
      <w:bookmarkStart w:id="25" w:name="_Toc3882"/>
      <w:r/>
      <w:bookmarkStart w:id="26" w:name="_Toc387526374"/>
      <w:r/>
      <w:bookmarkStart w:id="27" w:name="_Toc16205"/>
      <w:r/>
      <w:bookmarkStart w:id="28" w:name="_Toc369077559"/>
      <w:r/>
      <w:bookmarkStart w:id="29" w:name="_Toc9578"/>
      <w:r/>
      <w:bookmarkStart w:id="30" w:name="_Toc387526282"/>
      <w:r/>
      <w:bookmarkStart w:id="31" w:name="_Toc387526178"/>
      <w:r>
        <w:rPr>
          <w:rFonts w:hint="eastAsia"/>
          <w:sz w:val="28"/>
          <w:szCs w:val="21"/>
        </w:rPr>
        <w:t xml:space="preserve">投标人须知前附表</w:t>
      </w:r>
      <w:bookmarkEnd w:id="25"/>
      <w:r/>
      <w:bookmarkEnd w:id="26"/>
      <w:r/>
      <w:bookmarkEnd w:id="27"/>
      <w:r/>
      <w:bookmarkEnd w:id="28"/>
      <w:r/>
      <w:bookmarkEnd w:id="29"/>
      <w:r/>
      <w:bookmarkEnd w:id="30"/>
      <w:r/>
      <w:bookmarkEnd w:id="31"/>
      <w:r/>
      <w:r/>
    </w:p>
    <w:tbl>
      <w:tblPr>
        <w:tblStyle w:val="704"/>
        <w:tblW w:w="9322"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560"/>
        <w:gridCol w:w="5629"/>
      </w:tblGrid>
      <w:tr>
        <w:trPr>
          <w:trHeight w:val="710"/>
        </w:trPr>
        <w:tc>
          <w:tcPr>
            <w:tcW w:w="1133" w:type="dxa"/>
            <w:vAlign w:val="center"/>
            <w:textDirection w:val="lrTb"/>
            <w:noWrap w:val="false"/>
          </w:tcPr>
          <w:p>
            <w:pPr>
              <w:jc w:val="center"/>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条款号</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条款名称</w:t>
            </w:r>
            <w:r/>
          </w:p>
        </w:tc>
        <w:tc>
          <w:tcPr>
            <w:tcW w:w="5629" w:type="dxa"/>
            <w:vAlign w:val="center"/>
            <w:textDirection w:val="lrTb"/>
            <w:noWrap w:val="false"/>
          </w:tcPr>
          <w:p>
            <w:pPr>
              <w:jc w:val="center"/>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编列内容</w:t>
            </w:r>
            <w:r/>
          </w:p>
        </w:tc>
      </w:tr>
      <w:tr>
        <w:trPr>
          <w:trHeight w:val="90"/>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采购人</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名称：靖江市人民医院</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  址：靖江市中洲路28号</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联系人：王先生</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w:t>
            </w:r>
            <w:r>
              <w:rPr>
                <w:rFonts w:hint="eastAsia" w:asciiTheme="minorEastAsia" w:hAnsiTheme="minorEastAsia" w:eastAsiaTheme="minorEastAsia" w:cstheme="minorEastAsia"/>
                <w:sz w:val="22"/>
                <w:szCs w:val="22"/>
                <w:lang w:val="zh-CN"/>
              </w:rPr>
              <w:t xml:space="preserve">0523-84995920</w:t>
            </w:r>
            <w:r/>
          </w:p>
        </w:tc>
      </w:tr>
      <w:tr>
        <w:trPr>
          <w:trHeight w:val="1421"/>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采购代理机构</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名称：江苏智汇锡建工程项目管理有限公司</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地址：靖江市晨阳社区22幢-9号三楼</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 系 人：闻先生</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联系方式：13809011110</w:t>
            </w:r>
            <w:r/>
          </w:p>
        </w:tc>
      </w:tr>
      <w:tr>
        <w:trPr>
          <w:trHeight w:val="703"/>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1.1.4</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项目名称</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靖江市人民医院彩色多普勒超声诊断仪采购项目</w:t>
            </w:r>
            <w:r/>
          </w:p>
        </w:tc>
      </w:tr>
      <w:tr>
        <w:trPr>
          <w:trHeight w:val="635"/>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1.1.5</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项目编号</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JSZC-321282-JSZH-G2026-0074</w:t>
            </w:r>
            <w:r>
              <w:rPr>
                <w:rFonts w:hint="eastAsia" w:asciiTheme="minorEastAsia" w:hAnsiTheme="minorEastAsia" w:eastAsiaTheme="minorEastAsia" w:cstheme="minorEastAsia"/>
                <w:sz w:val="22"/>
                <w:szCs w:val="22"/>
              </w:rPr>
              <w:t xml:space="preserve">   </w:t>
            </w:r>
            <w:r/>
          </w:p>
        </w:tc>
      </w:tr>
      <w:tr>
        <w:trPr>
          <w:trHeight w:val="606"/>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1.1.6</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采购预算</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u w:val="single"/>
              </w:rPr>
              <w:t xml:space="preserve"> 100 </w:t>
            </w:r>
            <w:r>
              <w:rPr>
                <w:rFonts w:hint="eastAsia" w:asciiTheme="minorEastAsia" w:hAnsiTheme="minorEastAsia" w:eastAsiaTheme="minorEastAsia" w:cstheme="minorEastAsia"/>
                <w:b/>
                <w:bCs/>
                <w:sz w:val="22"/>
                <w:szCs w:val="22"/>
              </w:rPr>
              <w:t xml:space="preserve">万元</w:t>
            </w:r>
            <w:r/>
          </w:p>
        </w:tc>
      </w:tr>
      <w:tr>
        <w:trPr>
          <w:trHeight w:val="678"/>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1.1.7</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最高限价</w:t>
            </w:r>
            <w:r/>
          </w:p>
        </w:tc>
        <w:tc>
          <w:tcPr>
            <w:tcW w:w="5629" w:type="dxa"/>
            <w:vAlign w:val="center"/>
            <w:textDirection w:val="lrTb"/>
            <w:noWrap w:val="false"/>
          </w:tcPr>
          <w:p>
            <w:pPr>
              <w:spacing w:line="440" w:lineRule="exact"/>
              <w:rPr>
                <w:rFonts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 98 </w:t>
            </w:r>
            <w:r>
              <w:rPr>
                <w:rFonts w:hint="eastAsia" w:asciiTheme="minorEastAsia" w:hAnsiTheme="minorEastAsia" w:eastAsiaTheme="minorEastAsia" w:cstheme="minorEastAsia"/>
                <w:b/>
                <w:bCs/>
                <w:sz w:val="22"/>
                <w:szCs w:val="22"/>
              </w:rPr>
              <w:t xml:space="preserve">万元</w:t>
            </w:r>
            <w:r/>
          </w:p>
        </w:tc>
      </w:tr>
      <w:tr>
        <w:trPr>
          <w:trHeight w:val="678"/>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1.1.8</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是否接受进口</w:t>
            </w:r>
            <w:r/>
          </w:p>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产品投标</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b/>
                <w:bCs/>
                <w:sz w:val="22"/>
                <w:szCs w:val="22"/>
              </w:rPr>
            </w:pPr>
            <w:r>
              <w:rPr>
                <w:rFonts w:ascii="宋体" w:hAnsi="宋体" w:cs="宋体"/>
                <w:color w:val="000000"/>
                <w:sz w:val="22"/>
                <w:szCs w:val="22"/>
              </w:rPr>
              <w:t xml:space="preserve">□</w:t>
            </w:r>
            <w:r>
              <w:rPr>
                <w:rFonts w:hint="eastAsia" w:asciiTheme="minorEastAsia" w:hAnsiTheme="minorEastAsia" w:eastAsiaTheme="minorEastAsia" w:cstheme="minorEastAsia"/>
                <w:b/>
                <w:sz w:val="22"/>
                <w:szCs w:val="22"/>
              </w:rPr>
              <w:t xml:space="preserve">接受</w:t>
            </w:r>
            <w:r/>
          </w:p>
          <w:p>
            <w:pPr>
              <w:jc w:val="left"/>
              <w:spacing w:line="440" w:lineRule="exact"/>
              <w:rPr>
                <w:rFonts w:asciiTheme="minorEastAsia" w:hAnsiTheme="minorEastAsia" w:eastAsiaTheme="minorEastAsia" w:cstheme="minorEastAsia"/>
                <w:b/>
                <w:bCs/>
                <w:sz w:val="22"/>
                <w:szCs w:val="22"/>
                <w:u w:val="single"/>
              </w:rPr>
            </w:pPr>
            <w:r>
              <w:rPr>
                <w:rFonts w:ascii="宋体" w:hAnsi="宋体" w:cs="宋体"/>
                <w:color w:val="000000"/>
                <w:sz w:val="22"/>
                <w:szCs w:val="22"/>
              </w:rPr>
              <w:t xml:space="preserve">☑不</w:t>
            </w:r>
            <w:r>
              <w:rPr>
                <w:rFonts w:hint="eastAsia" w:asciiTheme="minorEastAsia" w:hAnsiTheme="minorEastAsia" w:eastAsiaTheme="minorEastAsia" w:cstheme="minorEastAsia"/>
                <w:b/>
                <w:sz w:val="22"/>
                <w:szCs w:val="22"/>
              </w:rPr>
              <w:t xml:space="preserve">接受</w:t>
            </w:r>
            <w:r/>
          </w:p>
        </w:tc>
      </w:tr>
      <w:tr>
        <w:trPr>
          <w:trHeight w:val="666"/>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合同履行期限</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u w:val="single"/>
              </w:rPr>
              <w:t xml:space="preserve"> 30 </w:t>
            </w:r>
            <w:r>
              <w:rPr>
                <w:rFonts w:hint="eastAsia" w:asciiTheme="minorEastAsia" w:hAnsiTheme="minorEastAsia" w:eastAsiaTheme="minorEastAsia" w:cstheme="minorEastAsia"/>
                <w:sz w:val="22"/>
                <w:szCs w:val="22"/>
              </w:rPr>
              <w:t xml:space="preserve">日历天</w:t>
            </w:r>
            <w:r/>
          </w:p>
        </w:tc>
      </w:tr>
      <w:tr>
        <w:trPr>
          <w:trHeight w:val="642"/>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验收要求</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
                <w:sz w:val="22"/>
                <w:szCs w:val="22"/>
                <w:u w:val="single"/>
              </w:rPr>
              <w:t xml:space="preserve">符合招标文件要求。</w:t>
            </w:r>
            <w:r/>
          </w:p>
        </w:tc>
      </w:tr>
      <w:tr>
        <w:trPr>
          <w:trHeight w:val="647"/>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本项目核心产品</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
                <w:sz w:val="22"/>
                <w:szCs w:val="22"/>
                <w:u w:val="single"/>
              </w:rPr>
              <w:t xml:space="preserve">彩色多普勒超声诊断仪</w:t>
            </w:r>
            <w:r/>
          </w:p>
        </w:tc>
      </w:tr>
      <w:tr>
        <w:trPr>
          <w:trHeight w:val="484"/>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本项目标的所属行业</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sz w:val="22"/>
                <w:szCs w:val="22"/>
                <w:u w:val="single"/>
              </w:rPr>
              <w:t xml:space="preserve">工业 </w:t>
            </w:r>
            <w:r>
              <w:rPr>
                <w:rFonts w:hint="eastAsia" w:asciiTheme="minorEastAsia" w:hAnsiTheme="minorEastAsia" w:eastAsiaTheme="minorEastAsia" w:cstheme="minorEastAsia"/>
                <w:b/>
                <w:sz w:val="22"/>
                <w:szCs w:val="22"/>
              </w:rPr>
              <w:t xml:space="preserve">行业</w:t>
            </w:r>
            <w:r/>
          </w:p>
        </w:tc>
      </w:tr>
      <w:tr>
        <w:trPr>
          <w:trHeight w:val="618"/>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基本资格条件</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见《第一章招标公告》</w:t>
            </w:r>
            <w:r/>
          </w:p>
        </w:tc>
      </w:tr>
      <w:tr>
        <w:trPr>
          <w:trHeight w:val="594"/>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特定资格条件</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见《第一章招标公告》</w:t>
            </w:r>
            <w:r/>
          </w:p>
        </w:tc>
      </w:tr>
      <w:tr>
        <w:trPr>
          <w:trHeight w:val="833"/>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1.4.4</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是否接受联合体投标</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sz w:val="22"/>
                <w:szCs w:val="22"/>
              </w:rPr>
            </w:pPr>
            <w:r>
              <w:rPr>
                <w:rFonts w:ascii="宋体" w:hAnsi="宋体" w:cs="宋体"/>
                <w:color w:val="000000"/>
                <w:sz w:val="22"/>
                <w:szCs w:val="22"/>
              </w:rPr>
              <w:t xml:space="preserve">□</w:t>
            </w:r>
            <w:r>
              <w:rPr>
                <w:rFonts w:hint="eastAsia" w:asciiTheme="minorEastAsia" w:hAnsiTheme="minorEastAsia" w:eastAsiaTheme="minorEastAsia" w:cstheme="minorEastAsia"/>
                <w:sz w:val="22"/>
                <w:szCs w:val="22"/>
              </w:rPr>
              <w:t xml:space="preserve">接受</w:t>
            </w:r>
            <w:r/>
          </w:p>
          <w:p>
            <w:pPr>
              <w:jc w:val="left"/>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☑不接受</w:t>
            </w:r>
            <w:r/>
          </w:p>
        </w:tc>
      </w:tr>
      <w:tr>
        <w:trPr>
          <w:trHeight w:val="425"/>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2.2.1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投标人提交</w:t>
            </w:r>
            <w:r/>
          </w:p>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询问截止时间</w:t>
            </w:r>
            <w:r/>
          </w:p>
        </w:tc>
        <w:tc>
          <w:tcPr>
            <w:tcW w:w="5629" w:type="dxa"/>
            <w:vAlign w:val="center"/>
            <w:textDirection w:val="lrTb"/>
            <w:noWrap w:val="false"/>
          </w:tcPr>
          <w:p>
            <w:pPr>
              <w:spacing w:line="44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2026年</w:t>
            </w:r>
            <w:r>
              <w:rPr>
                <w:rFonts w:hint="eastAsia" w:asciiTheme="minorEastAsia" w:hAnsiTheme="minorEastAsia" w:eastAsiaTheme="minorEastAsia" w:cstheme="minorEastAsia"/>
                <w:b/>
                <w:sz w:val="22"/>
                <w:szCs w:val="22"/>
                <w:u w:val="single"/>
              </w:rPr>
              <w:t xml:space="preserve"> 0</w:t>
            </w:r>
            <w:r>
              <w:rPr>
                <w:rFonts w:hint="eastAsia" w:asciiTheme="minorEastAsia" w:hAnsiTheme="minorEastAsia" w:eastAsiaTheme="minorEastAsia" w:cstheme="minorEastAsia"/>
                <w:b/>
                <w:sz w:val="22"/>
                <w:szCs w:val="22"/>
                <w:u w:val="single"/>
                <w:lang w:val="en-US" w:eastAsia="zh-CN"/>
              </w:rPr>
              <w:t xml:space="preserve">9</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b/>
                <w:sz w:val="22"/>
                <w:szCs w:val="22"/>
              </w:rPr>
              <w:t xml:space="preserve">月</w:t>
            </w:r>
            <w:r>
              <w:rPr>
                <w:rFonts w:hint="eastAsia" w:asciiTheme="minorEastAsia" w:hAnsiTheme="minorEastAsia" w:eastAsiaTheme="minorEastAsia" w:cstheme="minorEastAsia"/>
                <w:b/>
                <w:sz w:val="22"/>
                <w:szCs w:val="22"/>
                <w:u w:val="single"/>
              </w:rPr>
              <w:t xml:space="preserve"> 09</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b/>
                <w:sz w:val="22"/>
                <w:szCs w:val="22"/>
              </w:rPr>
              <w:t xml:space="preserve">日</w:t>
            </w:r>
            <w:r>
              <w:rPr>
                <w:rFonts w:hint="eastAsia" w:asciiTheme="minorEastAsia" w:hAnsiTheme="minorEastAsia" w:eastAsiaTheme="minorEastAsia" w:cstheme="minorEastAsia"/>
                <w:b/>
                <w:sz w:val="22"/>
                <w:szCs w:val="22"/>
                <w:u w:val="single"/>
              </w:rPr>
              <w:t xml:space="preserve">17:30</w:t>
            </w:r>
            <w:r>
              <w:rPr>
                <w:rFonts w:hint="eastAsia" w:asciiTheme="minorEastAsia" w:hAnsiTheme="minorEastAsia" w:eastAsiaTheme="minorEastAsia" w:cstheme="minorEastAsia"/>
                <w:b/>
                <w:sz w:val="22"/>
                <w:szCs w:val="22"/>
              </w:rPr>
              <w:t xml:space="preserve">时</w:t>
            </w:r>
            <w:r/>
          </w:p>
        </w:tc>
      </w:tr>
      <w:tr>
        <w:trPr>
          <w:trHeight w:val="650"/>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投标有效期</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 90 </w:t>
            </w:r>
            <w:r>
              <w:rPr>
                <w:rFonts w:hint="eastAsia" w:asciiTheme="minorEastAsia" w:hAnsiTheme="minorEastAsia" w:eastAsiaTheme="minorEastAsia" w:cstheme="minorEastAsia"/>
                <w:sz w:val="22"/>
                <w:szCs w:val="22"/>
                <w:lang w:val="zh-CN"/>
              </w:rPr>
              <w:t xml:space="preserve">日（从投标截止日起算）</w:t>
            </w:r>
            <w:r/>
          </w:p>
        </w:tc>
      </w:tr>
      <w:tr>
        <w:trPr>
          <w:trHeight w:val="470"/>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4.1.1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投标文件提交</w:t>
            </w:r>
            <w:r/>
          </w:p>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截止时间</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时间：</w:t>
            </w:r>
            <w:r>
              <w:rPr>
                <w:rFonts w:hint="eastAsia" w:asciiTheme="minorEastAsia" w:hAnsiTheme="minorEastAsia" w:eastAsiaTheme="minorEastAsia" w:cstheme="minorEastAsia"/>
                <w:b/>
                <w:sz w:val="22"/>
                <w:szCs w:val="22"/>
                <w:u w:val="single"/>
              </w:rPr>
              <w:t xml:space="preserve">见招标公告</w:t>
            </w:r>
            <w:r/>
          </w:p>
          <w:p>
            <w:pPr>
              <w:jc w:val="left"/>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地点：</w:t>
            </w:r>
            <w:r>
              <w:rPr>
                <w:rFonts w:hint="eastAsia" w:asciiTheme="minorEastAsia" w:hAnsiTheme="minorEastAsia" w:eastAsiaTheme="minorEastAsia" w:cstheme="minorEastAsia"/>
                <w:b/>
                <w:sz w:val="22"/>
                <w:szCs w:val="22"/>
                <w:u w:val="single"/>
              </w:rPr>
              <w:t xml:space="preserve">见招标公告</w:t>
            </w:r>
            <w:r/>
          </w:p>
        </w:tc>
      </w:tr>
      <w:tr>
        <w:trPr>
          <w:trHeight w:val="690"/>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开标时间和地点</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开标时间：</w:t>
            </w:r>
            <w:r>
              <w:rPr>
                <w:rFonts w:hint="eastAsia" w:asciiTheme="minorEastAsia" w:hAnsiTheme="minorEastAsia" w:eastAsiaTheme="minorEastAsia" w:cstheme="minorEastAsia"/>
                <w:b/>
                <w:sz w:val="22"/>
                <w:szCs w:val="22"/>
                <w:u w:val="single"/>
              </w:rPr>
              <w:t xml:space="preserve">同投标文件提交截止时间</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开标地点：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同投标文件提交地点 </w:t>
            </w:r>
            <w:r/>
          </w:p>
        </w:tc>
      </w:tr>
      <w:tr>
        <w:trPr>
          <w:trHeight w:val="690"/>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5.1.3</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解密时长</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30</w:t>
            </w:r>
            <w:r>
              <w:rPr>
                <w:rFonts w:hint="eastAsia" w:asciiTheme="minorEastAsia" w:hAnsiTheme="minorEastAsia" w:eastAsiaTheme="minorEastAsia" w:cstheme="minorEastAsia"/>
                <w:sz w:val="22"/>
                <w:szCs w:val="22"/>
              </w:rPr>
              <w:t xml:space="preserve">分钟</w:t>
            </w:r>
            <w:r/>
          </w:p>
        </w:tc>
      </w:tr>
      <w:tr>
        <w:trPr>
          <w:trHeight w:val="635"/>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评标委员会成员</w:t>
            </w:r>
            <w:r/>
          </w:p>
        </w:tc>
        <w:tc>
          <w:tcPr>
            <w:tcW w:w="5629" w:type="dxa"/>
            <w:vAlign w:val="center"/>
            <w:textDirection w:val="lrTb"/>
            <w:noWrap w:val="false"/>
          </w:tcPr>
          <w:p>
            <w:pPr>
              <w:jc w:val="left"/>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评标委员会人数：</w:t>
            </w:r>
            <w:r>
              <w:rPr>
                <w:rFonts w:hint="eastAsia" w:asciiTheme="minorEastAsia" w:hAnsiTheme="minorEastAsia" w:eastAsiaTheme="minorEastAsia" w:cstheme="minorEastAsia"/>
                <w:b/>
                <w:sz w:val="22"/>
                <w:szCs w:val="22"/>
                <w:u w:val="single"/>
              </w:rPr>
              <w:t xml:space="preserve"> 5 </w:t>
            </w:r>
            <w:r>
              <w:rPr>
                <w:rFonts w:hint="eastAsia" w:asciiTheme="minorEastAsia" w:hAnsiTheme="minorEastAsia" w:eastAsiaTheme="minorEastAsia" w:cstheme="minorEastAsia"/>
                <w:sz w:val="22"/>
                <w:szCs w:val="22"/>
              </w:rPr>
              <w:t xml:space="preserve">人；其中：采购人代表</w:t>
            </w:r>
            <w:r>
              <w:rPr>
                <w:rFonts w:hint="eastAsia" w:asciiTheme="minorEastAsia" w:hAnsiTheme="minorEastAsia" w:eastAsiaTheme="minorEastAsia" w:cstheme="minorEastAsia"/>
                <w:b/>
                <w:sz w:val="22"/>
                <w:szCs w:val="22"/>
                <w:u w:val="single"/>
              </w:rPr>
              <w:t xml:space="preserve"> 1</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人，评审专家</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4 </w:t>
            </w:r>
            <w:r>
              <w:rPr>
                <w:rFonts w:hint="eastAsia" w:asciiTheme="minorEastAsia" w:hAnsiTheme="minorEastAsia" w:eastAsiaTheme="minorEastAsia" w:cstheme="minorEastAsia"/>
                <w:sz w:val="22"/>
                <w:szCs w:val="22"/>
              </w:rPr>
              <w:t xml:space="preserve">人；或</w:t>
            </w:r>
            <w:r>
              <w:rPr>
                <w:rFonts w:hint="eastAsia" w:asciiTheme="minorEastAsia" w:hAnsiTheme="minorEastAsia" w:eastAsiaTheme="minorEastAsia" w:cstheme="minorEastAsia"/>
                <w:sz w:val="22"/>
                <w:szCs w:val="22"/>
                <w:u w:val="single"/>
              </w:rPr>
              <w:t xml:space="preserve">全部由评审专家</w:t>
            </w:r>
            <w:r>
              <w:rPr>
                <w:rFonts w:hint="eastAsia" w:asciiTheme="minorEastAsia" w:hAnsiTheme="minorEastAsia" w:eastAsiaTheme="minorEastAsia" w:cstheme="minorEastAsia"/>
                <w:sz w:val="22"/>
                <w:szCs w:val="22"/>
              </w:rPr>
              <w:t xml:space="preserve">组成。 </w:t>
            </w:r>
            <w:r/>
          </w:p>
        </w:tc>
      </w:tr>
      <w:tr>
        <w:trPr>
          <w:trHeight w:val="684"/>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5.4.2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评标委员会确定的</w:t>
            </w:r>
            <w:r/>
          </w:p>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中标候选人名单数量</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u w:val="single"/>
              </w:rPr>
              <w:t xml:space="preserve"> 3 </w:t>
            </w:r>
            <w:r>
              <w:rPr>
                <w:rFonts w:hint="eastAsia" w:asciiTheme="minorEastAsia" w:hAnsiTheme="minorEastAsia" w:eastAsiaTheme="minorEastAsia" w:cstheme="minorEastAsia"/>
                <w:sz w:val="22"/>
                <w:szCs w:val="22"/>
              </w:rPr>
              <w:t xml:space="preserve">名</w:t>
            </w:r>
            <w:r/>
          </w:p>
        </w:tc>
      </w:tr>
      <w:tr>
        <w:trPr>
          <w:trHeight w:val="728"/>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6.1.2</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是否委托评标委员会</w:t>
            </w:r>
            <w:r/>
          </w:p>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直接确定中标人</w:t>
            </w:r>
            <w:r/>
          </w:p>
        </w:tc>
        <w:tc>
          <w:tcPr>
            <w:tcW w:w="5629" w:type="dxa"/>
            <w:vAlign w:val="center"/>
            <w:textDirection w:val="lrTb"/>
            <w:noWrap w:val="false"/>
          </w:tcPr>
          <w:p>
            <w:pPr>
              <w:jc w:val="left"/>
              <w:spacing w:line="440" w:lineRule="exact"/>
              <w:rPr>
                <w:sz w:val="22"/>
                <w:szCs w:val="22"/>
              </w:rPr>
            </w:pPr>
            <w:r>
              <w:rPr>
                <w:rFonts w:ascii="宋体" w:hAnsi="宋体" w:cs="宋体"/>
                <w:color w:val="000000"/>
                <w:sz w:val="22"/>
                <w:szCs w:val="22"/>
              </w:rPr>
              <w:t xml:space="preserve">□</w:t>
            </w:r>
            <w:r>
              <w:rPr>
                <w:rFonts w:hint="eastAsia" w:asciiTheme="minorEastAsia" w:hAnsiTheme="minorEastAsia" w:eastAsiaTheme="minorEastAsia" w:cstheme="minorEastAsia"/>
                <w:sz w:val="22"/>
                <w:szCs w:val="22"/>
              </w:rPr>
              <w:t xml:space="preserve">是</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☑否</w:t>
            </w:r>
            <w:r/>
          </w:p>
        </w:tc>
      </w:tr>
      <w:tr>
        <w:trPr>
          <w:trHeight w:val="925"/>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7.2.8</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投诉受理部门</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名称：靖江市财政局</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地址：靖江市政务服务中心4楼</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电话：0523-89182489</w:t>
            </w:r>
            <w:r/>
          </w:p>
        </w:tc>
      </w:tr>
      <w:tr>
        <w:trPr>
          <w:trHeight w:val="185"/>
        </w:trPr>
        <w:tc>
          <w:tcPr>
            <w:tcW w:w="1133"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8.1.1</w:t>
            </w:r>
            <w:r/>
          </w:p>
        </w:tc>
        <w:tc>
          <w:tcPr>
            <w:tcW w:w="2560" w:type="dxa"/>
            <w:vAlign w:val="center"/>
            <w:textDirection w:val="lrTb"/>
            <w:noWrap w:val="false"/>
          </w:tcPr>
          <w:p>
            <w:pPr>
              <w:jc w:val="cente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招标代理费</w:t>
            </w:r>
            <w:r/>
          </w:p>
        </w:tc>
        <w:tc>
          <w:tcPr>
            <w:tcW w:w="5629" w:type="dxa"/>
            <w:vAlign w:val="center"/>
            <w:textDirection w:val="lrTb"/>
            <w:noWrap w:val="false"/>
          </w:tcPr>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（1）根据采购人与招标代理人签订的《委托代理合同》的约定，本项目招标代理服务费用由中标人承担。标准为苏政采协[2024]20号文标准的55%。</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（2）招标代理费不单独列项，无论投标人如何报价，均视为包含在投标人投标报价中。</w:t>
            </w:r>
            <w:r/>
          </w:p>
          <w:p>
            <w:pPr>
              <w:spacing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（3）中标人在领取中标通知书前需将招标代理费用一次性支付给招标代理人。</w:t>
            </w:r>
            <w:r/>
          </w:p>
        </w:tc>
      </w:tr>
    </w:tbl>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24"/>
        </w:rPr>
      </w:pPr>
      <w:r>
        <w:rPr>
          <w:rFonts w:hint="eastAsia" w:ascii="宋体" w:hAnsi="宋体" w:cs="宋体"/>
          <w:b/>
          <w:bCs/>
          <w:sz w:val="32"/>
          <w:szCs w:val="32"/>
        </w:rPr>
        <w:t xml:space="preserve">投标人须知</w:t>
      </w:r>
      <w:r/>
    </w:p>
    <w:p>
      <w:pPr>
        <w:jc w:val="center"/>
        <w:spacing w:before="160" w:after="160" w:line="440" w:lineRule="exact"/>
        <w:rPr>
          <w:rFonts w:ascii="宋体" w:hAnsi="宋体" w:cs="宋体"/>
          <w:b/>
          <w:bCs/>
          <w:sz w:val="28"/>
          <w:szCs w:val="28"/>
        </w:rPr>
      </w:pPr>
      <w:r>
        <w:rPr>
          <w:rFonts w:hint="eastAsia" w:ascii="宋体" w:hAnsi="宋体" w:cs="宋体"/>
          <w:b/>
          <w:bCs/>
          <w:sz w:val="28"/>
          <w:szCs w:val="28"/>
        </w:rPr>
        <w:t xml:space="preserve">一、总则</w:t>
      </w:r>
      <w:r/>
    </w:p>
    <w:p>
      <w:pPr>
        <w:pStyle w:val="944"/>
        <w:ind w:firstLine="482"/>
        <w:spacing w:before="0" w:after="0" w:line="440" w:lineRule="exact"/>
        <w:rPr>
          <w:b/>
          <w:bCs/>
          <w:sz w:val="22"/>
          <w:szCs w:val="22"/>
        </w:rPr>
      </w:pPr>
      <w:r/>
      <w:bookmarkStart w:id="32" w:name="_Toc29754"/>
      <w:r/>
      <w:bookmarkStart w:id="33" w:name="_Toc9727"/>
      <w:r/>
      <w:bookmarkStart w:id="34" w:name="_Toc8645"/>
      <w:r/>
      <w:bookmarkStart w:id="35" w:name="_Toc387526180"/>
      <w:r/>
      <w:bookmarkStart w:id="36" w:name="_Toc5365"/>
      <w:r/>
      <w:bookmarkStart w:id="37" w:name="_Toc3629"/>
      <w:r/>
      <w:bookmarkStart w:id="38" w:name="_Toc3640"/>
      <w:r/>
      <w:bookmarkStart w:id="39" w:name="_Toc387526376"/>
      <w:r/>
      <w:bookmarkStart w:id="40" w:name="_Toc387526284"/>
      <w:r>
        <w:rPr>
          <w:rFonts w:hint="eastAsia"/>
          <w:b/>
          <w:bCs/>
          <w:sz w:val="22"/>
          <w:szCs w:val="22"/>
        </w:rPr>
        <w:t xml:space="preserve">1.1 项目概况</w:t>
      </w:r>
      <w:bookmarkEnd w:id="32"/>
      <w:r/>
      <w:bookmarkEnd w:id="33"/>
      <w:r/>
      <w:bookmarkEnd w:id="34"/>
      <w:r/>
      <w:bookmarkEnd w:id="35"/>
      <w:r/>
      <w:bookmarkEnd w:id="36"/>
      <w:r/>
      <w:bookmarkEnd w:id="37"/>
      <w:r/>
      <w:bookmarkEnd w:id="38"/>
      <w:r/>
      <w:bookmarkEnd w:id="39"/>
      <w:r/>
      <w:bookmarkEnd w:id="40"/>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1.1.1 根据《中华人民共和国政府采购法》、《中华人民共和国政府采购法实施条例》等有关法律、法规和规章的规定，现对本项目进行公开招标采购。</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1.1.2采购人：见投标人须知前附表。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1.1.3采购代理机构：见投标人须知前附表。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1.1.4项目名称：见投标人须知前附表。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1.1.5项目编号：见投标人须知前附表。</w:t>
      </w:r>
      <w:bookmarkStart w:id="41" w:name="_Toc12333"/>
      <w:r/>
      <w:bookmarkStart w:id="42" w:name="_Toc10060"/>
      <w:r/>
      <w:bookmarkStart w:id="43" w:name="_Toc30088"/>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1.1.6采购预算：见投标人须知前附表。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1.1.7最高限价：见投标人须知前附表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1.1.8是否接受进口产品投标：见投标人须知前附表。进口产品是指通过中国海关报关验放进入中国境内且产自关境外的产品。</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1.2</w:t>
      </w:r>
      <w:bookmarkEnd w:id="41"/>
      <w:r/>
      <w:bookmarkEnd w:id="42"/>
      <w:r/>
      <w:bookmarkEnd w:id="43"/>
      <w:r>
        <w:rPr>
          <w:rFonts w:hint="eastAsia" w:ascii="黑体" w:cs="黑体"/>
          <w:b/>
          <w:bCs/>
          <w:sz w:val="22"/>
          <w:szCs w:val="22"/>
        </w:rPr>
        <w:t xml:space="preserve">合同履行期限及验收要求</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1.2.1合同履行期限：见投标须知前附表。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1.2.2 验收要求：见投标须知前附表。</w:t>
      </w:r>
      <w:r/>
    </w:p>
    <w:p>
      <w:pPr>
        <w:pStyle w:val="944"/>
        <w:ind w:firstLine="482"/>
        <w:spacing w:before="0" w:after="0" w:line="440" w:lineRule="exact"/>
        <w:rPr>
          <w:rFonts w:ascii="黑体" w:cs="黑体"/>
          <w:b/>
          <w:bCs/>
          <w:sz w:val="22"/>
          <w:szCs w:val="22"/>
        </w:rPr>
      </w:pPr>
      <w:r/>
      <w:bookmarkStart w:id="44" w:name="_Toc10223"/>
      <w:r/>
      <w:bookmarkStart w:id="45" w:name="_Toc19315"/>
      <w:r/>
      <w:bookmarkStart w:id="46" w:name="_Toc23392"/>
      <w:r>
        <w:rPr>
          <w:rFonts w:hint="eastAsia" w:ascii="黑体" w:cs="黑体"/>
          <w:b/>
          <w:bCs/>
          <w:sz w:val="22"/>
          <w:szCs w:val="22"/>
        </w:rPr>
        <w:t xml:space="preserve">1.3 本项目核心产品及所属行业</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1.3.1 本项目核心产品：见投标人须知前附表。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1.3.2 本项目所属行业：见投标人须知前附表。</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1.4 投标人的资格条件</w:t>
      </w:r>
      <w:bookmarkEnd w:id="44"/>
      <w:r/>
      <w:bookmarkEnd w:id="45"/>
      <w:r/>
      <w:bookmarkEnd w:id="46"/>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1.4.1 参加本次政府采购活动的投标人应当具备的资格条件：见“投标人须知前附表”。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1.4.2 参加本次政府采购活动的投标人应当具备的特定资格条件：见“投标人须知前附表”。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1.4.3 投标截止时间当日，投标人有下列情形之一的，不得参加本采购项目招标投标活动：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（1）单位负责人为同一人或者存在直接控股、管理关系的不同投标人；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（2）被各级财政主管部门取消采购项目所在地的投标资格且处于有效期内；</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（3）被责令停业，暂扣或吊销营业执照，或吊销资质证书；</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（4）进入清算程序，或被宣告破产，或其他丧失履约能力的情形；</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（5）在“中国政府采购网(www.ccgp.gov.cn)”中被列入“政府采购严重违法失信行为记录名单》” （由采购人或采购代理机构在资格审查时，通过相关网站查询为准）；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（6）在“信用中国（http://www.creditchina.gov.cn/）”网站中被列入“失信被执行人名单”或“税收违法黑名单”（由采购人或采购代理机构在资格审查时，通过相关网站查询为准）；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（7）为采购项目提供整体设计、规范编制或者项目管理、监理、检测等服务的投标人，不得再参加该采购项目的其他采购活动；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（8）法律、法规规定的其他情形。</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1.4.4 本项目是否接受联合体投标：见供应商须知前附表。</w:t>
      </w:r>
      <w:r/>
    </w:p>
    <w:p>
      <w:pPr>
        <w:pStyle w:val="944"/>
        <w:ind w:firstLine="482"/>
        <w:spacing w:before="0" w:after="0" w:line="440" w:lineRule="exact"/>
        <w:rPr>
          <w:rFonts w:ascii="黑体" w:cs="黑体"/>
          <w:b/>
          <w:bCs/>
          <w:sz w:val="22"/>
          <w:szCs w:val="22"/>
        </w:rPr>
      </w:pPr>
      <w:r/>
      <w:bookmarkStart w:id="47" w:name="_Toc4763"/>
      <w:r/>
      <w:bookmarkStart w:id="48" w:name="_Toc9211"/>
      <w:r/>
      <w:bookmarkStart w:id="49" w:name="_Toc2634"/>
      <w:r>
        <w:rPr>
          <w:rFonts w:hint="eastAsia" w:ascii="黑体" w:cs="黑体"/>
          <w:b/>
          <w:bCs/>
          <w:sz w:val="22"/>
          <w:szCs w:val="22"/>
        </w:rPr>
        <w:t xml:space="preserve">1.5 投标费用</w:t>
      </w:r>
      <w:bookmarkEnd w:id="47"/>
      <w:r/>
      <w:bookmarkEnd w:id="48"/>
      <w:r/>
      <w:bookmarkEnd w:id="49"/>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投标人应自行承担所有与编写、提交投标文件等有关费用。采购人和采购人代理人在任何情况下均无义务和责任承担这些费用。</w:t>
      </w:r>
      <w:r/>
    </w:p>
    <w:p>
      <w:pPr>
        <w:pStyle w:val="944"/>
        <w:ind w:firstLine="482"/>
        <w:spacing w:before="0" w:after="0" w:line="440" w:lineRule="exact"/>
        <w:rPr>
          <w:rFonts w:ascii="黑体" w:cs="黑体"/>
          <w:b/>
          <w:bCs/>
          <w:sz w:val="22"/>
          <w:szCs w:val="22"/>
        </w:rPr>
      </w:pPr>
      <w:r/>
      <w:bookmarkStart w:id="50" w:name="_Toc11299"/>
      <w:r/>
      <w:bookmarkStart w:id="51" w:name="_Toc27420"/>
      <w:r/>
      <w:bookmarkStart w:id="52" w:name="_Toc14340"/>
      <w:r>
        <w:rPr>
          <w:rFonts w:hint="eastAsia" w:ascii="黑体" w:cs="黑体"/>
          <w:b/>
          <w:bCs/>
          <w:sz w:val="22"/>
          <w:szCs w:val="22"/>
        </w:rPr>
        <w:t xml:space="preserve">1.6</w:t>
      </w:r>
      <w:bookmarkEnd w:id="50"/>
      <w:r>
        <w:rPr>
          <w:rFonts w:hint="eastAsia" w:ascii="黑体" w:cs="黑体"/>
          <w:b/>
          <w:bCs/>
          <w:sz w:val="22"/>
          <w:szCs w:val="22"/>
        </w:rPr>
        <w:t xml:space="preserve"> </w:t>
      </w:r>
      <w:bookmarkEnd w:id="51"/>
      <w:r/>
      <w:bookmarkEnd w:id="52"/>
      <w:r>
        <w:rPr>
          <w:rFonts w:hint="eastAsia" w:ascii="黑体" w:cs="黑体"/>
          <w:b/>
          <w:bCs/>
          <w:sz w:val="22"/>
          <w:szCs w:val="22"/>
        </w:rPr>
        <w:t xml:space="preserve">政府采购政策功能落实</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1.6.1 中小企业</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（1）根据《政府采购促进中小企业发展管理办法》（财库〔2020〕46号）规定，在政府采购活动中，供应商提供的服务全部由中小企业承接，享受中小企业扶持政策：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（2）采购人、采购代理机构将对符合规定的小微企业报价给予10%的价格扣除，用扣除后的价格参与评审。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（3）中小企业参加政府采购活动，应当出具《中小企业声明函》。否则不得享受相关中小企业扶持政策。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1.6.2 残疾人福利性单位</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根据《关于促进残疾人就业政府采购政策的通知》（财库〔2017〕141号）的规定，残疾人福利性单位视同小型、微型企业,享受评审中价格扣除政策。残疾人福利性单位属于小型、微型企业的，不重复享受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（2）残疾人福利性单位在参加政府采购活动时，应当按招标文件要求提供《残疾人福利性单位声明函》，并对声明的真实性负责。否则不得享受相关中小企业扶持政策。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1.6.3 监狱企业</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（1）根据《财政部 司法部关于政府采购支持监狱企业发展有关问题的通知》（财库〔2014〕68号）的规定，监狱企业视同小型、微型企业，享受评审中价格扣除政策。监狱企业属于小型、微型企业的，不重复享受政策。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（2）监狱企业参加政府采购活动时，应当提供由省级以上监狱管理局、戒毒管理局（含新疆生产建设兵团）出具的属于监狱企业的证明文件。否则不得享受相关中小企业扶持政策。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1.6.4 采购本国产品</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（2）当采购项目或者采购包中含有多种产品，投标人为该采购项目或者采购包提供的符合本国产品标准的产品成本之和占该投标人提供的全部产品成本之和的比例达到80%（投标人需在“第七章 投标文件格式”的“投标分项报价表”中填写比例数值）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（3）投标人需按照招标文件的要求提供《关于符合本国产品标准的声明函》，如不提供将不享受本国产品价格评审优惠。</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投标人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评标过程中，如发现投标人在《关于符合本国产品标准的声明函》内容含义不明确、同类事项与投标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pStyle w:val="944"/>
        <w:ind w:firstLine="482"/>
        <w:spacing w:before="0" w:after="0" w:line="440" w:lineRule="exact"/>
        <w:rPr>
          <w:rFonts w:ascii="黑体" w:cs="黑体"/>
          <w:b/>
          <w:bCs/>
          <w:sz w:val="22"/>
          <w:szCs w:val="22"/>
        </w:rPr>
      </w:pPr>
      <w:r/>
      <w:bookmarkStart w:id="53" w:name="_Toc20762"/>
      <w:r/>
      <w:bookmarkStart w:id="54" w:name="_Toc11883"/>
      <w:r/>
      <w:bookmarkStart w:id="55" w:name="_Toc1291"/>
      <w:r>
        <w:rPr>
          <w:rFonts w:hint="eastAsia" w:ascii="黑体" w:cs="黑体"/>
          <w:b/>
          <w:bCs/>
          <w:sz w:val="22"/>
          <w:szCs w:val="22"/>
        </w:rPr>
        <w:t xml:space="preserve">1.7 相同品牌产品投标 </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1.7.3 非单一产品采购项目，采购人确定的核心产品见投标须知前附表。多家供应商提供的核心产品品牌相同的，按本章第1.7.1款、第1.7.2款规定处理。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1.7.4 如按上述办法认定后的合格供应商数量少于3家的，将予以废标。</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1.8 投标语言及计量单位</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1.8.1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1.8.2 投标文件中所使用的计量单位，除招标文件有特殊规定外，应使用中华人民共和国法定计量单位。</w:t>
      </w:r>
      <w:bookmarkEnd w:id="53"/>
      <w:r/>
      <w:bookmarkEnd w:id="54"/>
      <w:r/>
      <w:bookmarkEnd w:id="55"/>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二、招标文件</w:t>
      </w:r>
      <w:r/>
    </w:p>
    <w:p>
      <w:pPr>
        <w:pStyle w:val="944"/>
        <w:ind w:firstLine="482"/>
        <w:spacing w:before="0" w:after="0" w:line="440" w:lineRule="exact"/>
        <w:rPr>
          <w:rFonts w:ascii="黑体" w:cs="黑体"/>
          <w:b/>
          <w:bCs/>
          <w:sz w:val="22"/>
          <w:szCs w:val="22"/>
        </w:rPr>
      </w:pPr>
      <w:r/>
      <w:bookmarkStart w:id="56" w:name="_Toc20640"/>
      <w:r/>
      <w:bookmarkStart w:id="57" w:name="_Toc27315"/>
      <w:r/>
      <w:bookmarkStart w:id="58" w:name="_Toc23238"/>
      <w:r>
        <w:rPr>
          <w:rFonts w:hint="eastAsia" w:ascii="黑体" w:cs="黑体"/>
          <w:b/>
          <w:bCs/>
          <w:sz w:val="22"/>
          <w:szCs w:val="22"/>
        </w:rPr>
        <w:t xml:space="preserve">2.1 招标文件构成</w:t>
      </w:r>
      <w:bookmarkEnd w:id="56"/>
      <w:r/>
      <w:bookmarkEnd w:id="57"/>
      <w:r/>
      <w:bookmarkEnd w:id="58"/>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2.1.1 本招标文件包括（但并不仅限于）：</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第一章 招标公告</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第二章 投标人须知及前附表</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第三章 资格审查办法</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第四章 评标办法</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第五章 合同格式及条款</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第六章 采购项目需求</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第七章 投标文件格式</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2.1.2 对采购文件所作的答疑、澄清、修改，构成招标文件的组成部分。当上述文件相互之间发生矛盾时，以后发出的文件为准。</w:t>
      </w:r>
      <w:r/>
    </w:p>
    <w:p>
      <w:pPr>
        <w:pStyle w:val="944"/>
        <w:ind w:firstLine="482"/>
        <w:spacing w:before="0" w:after="0" w:line="440" w:lineRule="exact"/>
        <w:rPr>
          <w:rFonts w:ascii="黑体" w:cs="黑体"/>
          <w:b/>
          <w:bCs/>
          <w:sz w:val="22"/>
          <w:szCs w:val="22"/>
        </w:rPr>
      </w:pPr>
      <w:r/>
      <w:bookmarkStart w:id="59" w:name="_Toc1392"/>
      <w:r/>
      <w:bookmarkStart w:id="60" w:name="_Toc19552"/>
      <w:r/>
      <w:bookmarkStart w:id="61" w:name="_Toc17142"/>
      <w:r>
        <w:rPr>
          <w:rFonts w:hint="eastAsia" w:ascii="黑体" w:cs="黑体"/>
          <w:b/>
          <w:bCs/>
          <w:sz w:val="22"/>
          <w:szCs w:val="22"/>
        </w:rPr>
        <w:t xml:space="preserve">2.2 招标文件的澄清</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2.2.1 投标人对已依法获取的招标文件发现问题、或产生疑问，应当在投标须知前附表规定的截止时间前，采用书面形式向采购人或采购代理机构提出询问或澄清要求。</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2.2.2招标文件的澄清将通过“江苏政府采购网（http://www.ccgp-jiangsu.gov.cn/）”公开发布。澄清是构成招标文件的组成部分。</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2.2.3 如果澄清的内容影响投标文件编制且不能满足投标人编制投标文件时间，采购人将视情况可能适当延长投标截止时间。</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2.2.4投标人应及时通过“江苏政府采购网（http://www.ccgp-jiangsu.gov.cn/）”查询和下载澄清文件，查询和下载如有遗漏，其风险由投标人自行承担。</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2.3 招标文件的修改</w:t>
      </w:r>
      <w:bookmarkEnd w:id="59"/>
      <w:r/>
      <w:bookmarkEnd w:id="60"/>
      <w:r/>
      <w:bookmarkEnd w:id="61"/>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2.3.1 采购人或者采购代理机构可以对已发出的招标文件进行必要的修改。招标文件的修改将通过“江苏政府采购网（http://www.ccgp-jiangsu.gov.cn/）”公开发布。招标文件的修改是构成招标文件的组成部分。</w:t>
      </w:r>
      <w:r/>
    </w:p>
    <w:p>
      <w:pPr>
        <w:ind w:firstLine="480"/>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2.3.2 如果修改内容影响投标文件编制且不能满足投标人编制投标文件时间，采购人将视情况可能适当延长投标截止时间。</w:t>
      </w:r>
      <w:r/>
    </w:p>
    <w:p>
      <w:pPr>
        <w:ind w:firstLine="480"/>
        <w:jc w:val="left"/>
        <w:spacing w:line="440" w:lineRule="exact"/>
        <w:rPr>
          <w:rFonts w:ascii="华文中宋" w:hAnsi="华文中宋" w:eastAsia="华文中宋" w:cs="华文中宋"/>
          <w:sz w:val="22"/>
          <w:szCs w:val="22"/>
        </w:rPr>
      </w:pPr>
      <w:r>
        <w:rPr>
          <w:rFonts w:hint="eastAsia" w:ascii="华文中宋" w:hAnsi="华文中宋" w:eastAsia="华文中宋" w:cs="华文中宋"/>
          <w:sz w:val="22"/>
          <w:szCs w:val="22"/>
        </w:rPr>
        <w:t xml:space="preserve">2.3.3投标人应及时通过“江苏政府采购网（http://www.ccgp-jiangsu.gov.cn/）”查询和下载招标文件的修改，查询和下载如有遗漏，其风险由投标人自行承担。</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三、投标文件</w:t>
      </w:r>
      <w:r/>
    </w:p>
    <w:p>
      <w:pPr>
        <w:pStyle w:val="944"/>
        <w:ind w:firstLine="482"/>
        <w:spacing w:before="0" w:after="0" w:line="440" w:lineRule="exact"/>
        <w:rPr>
          <w:rFonts w:ascii="黑体" w:cs="黑体"/>
          <w:b/>
          <w:bCs/>
          <w:sz w:val="22"/>
          <w:szCs w:val="22"/>
        </w:rPr>
      </w:pPr>
      <w:r/>
      <w:bookmarkStart w:id="62" w:name="_Toc23314"/>
      <w:r/>
      <w:bookmarkStart w:id="63" w:name="_Toc19018"/>
      <w:r/>
      <w:bookmarkStart w:id="64" w:name="_Toc32403"/>
      <w:r>
        <w:rPr>
          <w:rFonts w:hint="eastAsia" w:ascii="黑体" w:cs="黑体"/>
          <w:b/>
          <w:bCs/>
          <w:sz w:val="22"/>
          <w:szCs w:val="22"/>
        </w:rPr>
        <w:t xml:space="preserve">3.1 投标文件构成</w:t>
      </w:r>
      <w:bookmarkEnd w:id="62"/>
      <w:r/>
      <w:bookmarkEnd w:id="63"/>
      <w:r/>
      <w:bookmarkEnd w:id="64"/>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3.1.1 投标人编写的投标文件应包括资格证明文件、实质性要求响应及偏离表、投标分项报价表、技术要求响应及偏离表、商务要求响应及偏离表、其他证明文件、投标函、开标一览表等部分。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3.1.2 如标书制作工具中格式和内容与“江苏政府采购网”发布的招标文件不一致，请以“江苏政府采购网”发布的招标文件为准。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3.1.3 评标过程中，投标人根据评标委员会要求作出的澄清、修改，构成投标文件的组成部分。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3.1.4 第七章“投标文件格式”中要求提供相关证明材料作为附件的，投标人应按要求在投标文件中提供相应证明材料。否则，不予认可。</w:t>
      </w:r>
      <w:r/>
    </w:p>
    <w:p>
      <w:pPr>
        <w:pStyle w:val="944"/>
        <w:ind w:firstLine="482"/>
        <w:spacing w:before="0" w:after="0" w:line="440" w:lineRule="exact"/>
        <w:rPr>
          <w:rFonts w:ascii="黑体" w:cs="黑体"/>
          <w:b/>
          <w:bCs/>
          <w:sz w:val="22"/>
          <w:szCs w:val="22"/>
        </w:rPr>
      </w:pPr>
      <w:r/>
      <w:bookmarkStart w:id="65" w:name="_Toc10094"/>
      <w:r/>
      <w:bookmarkStart w:id="66" w:name="_Toc11397"/>
      <w:r/>
      <w:bookmarkStart w:id="67" w:name="_Toc25754"/>
      <w:r>
        <w:rPr>
          <w:rFonts w:hint="eastAsia" w:ascii="黑体" w:cs="黑体"/>
          <w:b/>
          <w:bCs/>
          <w:sz w:val="22"/>
          <w:szCs w:val="22"/>
        </w:rPr>
        <w:t xml:space="preserve">3.2.投标报价</w:t>
      </w:r>
      <w:bookmarkEnd w:id="65"/>
      <w:r/>
      <w:bookmarkEnd w:id="66"/>
      <w:r/>
      <w:bookmarkEnd w:id="67"/>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3.2.1投标报价应包括所投货物（包含与货物相关的服务）费用、安装调试费、测试验收费、培训费、管理费、利润、税金、运输保险、开证（如果有）及其他有关的为完成本项目发生的所有费用，招标文件中另有规定的除外。</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3.2.2 投标报价为一次不得更改报价，投标人只有一次报价的机会。投标报价不得有选择性报价和附有条件的报价，否则其投标无效。</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3.2.4 在合同实施期间，中标供应商的中标单价不因任何因素变化而调整。以可调整中标价格的投标文件，评标委员会将否决其投标。</w:t>
      </w:r>
      <w:r/>
    </w:p>
    <w:p>
      <w:pPr>
        <w:pStyle w:val="944"/>
        <w:ind w:firstLine="482"/>
        <w:spacing w:before="0" w:after="0" w:line="440" w:lineRule="exact"/>
        <w:rPr>
          <w:rFonts w:ascii="黑体" w:cs="黑体"/>
          <w:b/>
          <w:bCs/>
          <w:sz w:val="22"/>
          <w:szCs w:val="22"/>
        </w:rPr>
      </w:pPr>
      <w:r/>
      <w:bookmarkStart w:id="68" w:name="_Toc10338"/>
      <w:r/>
      <w:bookmarkStart w:id="69" w:name="_Toc21868"/>
      <w:r/>
      <w:bookmarkStart w:id="70" w:name="_Toc15276"/>
      <w:r/>
      <w:bookmarkStart w:id="71" w:name="_Toc27515"/>
      <w:r/>
      <w:bookmarkStart w:id="72" w:name="_Toc17381"/>
      <w:r/>
      <w:bookmarkStart w:id="73" w:name="_Toc11258"/>
      <w:r/>
      <w:bookmarkStart w:id="74" w:name="_Toc5062"/>
      <w:r>
        <w:rPr>
          <w:rFonts w:hint="eastAsia" w:ascii="黑体" w:cs="黑体"/>
          <w:b/>
          <w:bCs/>
          <w:sz w:val="22"/>
          <w:szCs w:val="22"/>
        </w:rPr>
        <w:t xml:space="preserve">3.3 投标有效期</w:t>
      </w:r>
      <w:bookmarkEnd w:id="68"/>
      <w:r/>
      <w:bookmarkEnd w:id="69"/>
      <w:r/>
      <w:bookmarkEnd w:id="70"/>
      <w:r/>
      <w:bookmarkEnd w:id="71"/>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3.3.1 在投标须知前附表规定的有效期内，投标文件应保持有效。有效期短于该规定期限的投标，将作为无效投标处理。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p>
    <w:p>
      <w:pPr>
        <w:pStyle w:val="944"/>
        <w:ind w:firstLine="482"/>
        <w:spacing w:before="0" w:after="0" w:line="440" w:lineRule="exact"/>
        <w:rPr>
          <w:rFonts w:ascii="黑体" w:cs="黑体"/>
          <w:b/>
          <w:bCs/>
          <w:sz w:val="22"/>
          <w:szCs w:val="22"/>
        </w:rPr>
      </w:pPr>
      <w:r/>
      <w:bookmarkStart w:id="75" w:name="_Toc15008"/>
      <w:r>
        <w:rPr>
          <w:rFonts w:hint="eastAsia" w:ascii="黑体" w:cs="黑体"/>
          <w:b/>
          <w:bCs/>
          <w:sz w:val="22"/>
          <w:szCs w:val="22"/>
        </w:rPr>
        <w:t xml:space="preserve">3.4 投标文件的编制</w:t>
      </w:r>
      <w:bookmarkEnd w:id="75"/>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3.4.1 投标人应将下载的采购文件导入“政府采购客户端”，并按照《苏采云平台供应商操作手册》和第七章“投标文件格式”的要求制作投标文件。</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3.4.2 投标文件制作完成后导出投标文件（文件后缀为 zip）用于上传。</w:t>
      </w:r>
      <w:bookmarkEnd w:id="72"/>
      <w:r/>
      <w:bookmarkEnd w:id="73"/>
      <w:r/>
      <w:bookmarkEnd w:id="74"/>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四、投标文件的提交</w:t>
      </w:r>
      <w:r/>
    </w:p>
    <w:p>
      <w:pPr>
        <w:pStyle w:val="944"/>
        <w:ind w:firstLine="482"/>
        <w:spacing w:before="0" w:after="0" w:line="440" w:lineRule="exact"/>
        <w:rPr>
          <w:rFonts w:ascii="黑体" w:cs="黑体"/>
          <w:b/>
          <w:bCs/>
          <w:sz w:val="22"/>
          <w:szCs w:val="22"/>
        </w:rPr>
      </w:pPr>
      <w:r/>
      <w:bookmarkStart w:id="76" w:name="_Toc24836"/>
      <w:r/>
      <w:bookmarkStart w:id="77" w:name="_Toc11648"/>
      <w:r/>
      <w:bookmarkStart w:id="78" w:name="_Toc17014"/>
      <w:r/>
      <w:bookmarkStart w:id="79" w:name="_Toc16990"/>
      <w:r>
        <w:rPr>
          <w:rFonts w:hint="eastAsia" w:ascii="黑体" w:cs="黑体"/>
          <w:b/>
          <w:bCs/>
          <w:sz w:val="22"/>
          <w:szCs w:val="22"/>
        </w:rPr>
        <w:t xml:space="preserve">4.1</w:t>
      </w:r>
      <w:bookmarkEnd w:id="76"/>
      <w:r/>
      <w:bookmarkStart w:id="80" w:name="_Toc19436"/>
      <w:r>
        <w:rPr>
          <w:rFonts w:hint="eastAsia" w:ascii="黑体" w:cs="黑体"/>
          <w:b/>
          <w:bCs/>
          <w:sz w:val="22"/>
          <w:szCs w:val="22"/>
        </w:rPr>
        <w:t xml:space="preserve">投标文件的</w:t>
      </w:r>
      <w:bookmarkEnd w:id="80"/>
      <w:r>
        <w:rPr>
          <w:rFonts w:hint="eastAsia" w:ascii="黑体" w:cs="黑体"/>
          <w:b/>
          <w:bCs/>
          <w:sz w:val="22"/>
          <w:szCs w:val="22"/>
        </w:rPr>
        <w:t xml:space="preserve">提交</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4.1.1 投标人必须在投标须知前附表规定的提交投标文件截止时间前，进入“参与详情”页面，点击“上传文件”，上传已制作完成的投标文件，等待开标。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4.1.2 投标人有下列情形之一的，采购人将拒绝接受其投标文件：</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（1）投标截止时间后上传的投标文件；</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（2）未上传至指定系统的投标文件。</w:t>
      </w:r>
      <w:bookmarkEnd w:id="77"/>
      <w:r/>
      <w:bookmarkEnd w:id="78"/>
      <w:r/>
      <w:bookmarkEnd w:id="79"/>
      <w:r/>
      <w:r/>
    </w:p>
    <w:p>
      <w:pPr>
        <w:pStyle w:val="944"/>
        <w:ind w:firstLine="482"/>
        <w:spacing w:before="0" w:after="0" w:line="440" w:lineRule="exact"/>
        <w:rPr>
          <w:rFonts w:ascii="黑体" w:cs="黑体"/>
          <w:b/>
          <w:bCs/>
          <w:sz w:val="22"/>
          <w:szCs w:val="22"/>
        </w:rPr>
      </w:pPr>
      <w:r/>
      <w:bookmarkStart w:id="81" w:name="_Toc15834"/>
      <w:r/>
      <w:bookmarkStart w:id="82" w:name="_Toc13169"/>
      <w:r/>
      <w:bookmarkStart w:id="83" w:name="_Toc4761"/>
      <w:r>
        <w:rPr>
          <w:rFonts w:hint="eastAsia" w:ascii="黑体" w:cs="黑体"/>
          <w:b/>
          <w:bCs/>
          <w:sz w:val="22"/>
          <w:szCs w:val="22"/>
        </w:rPr>
        <w:t xml:space="preserve">4.2 投标文件的修改和撤回</w:t>
      </w:r>
      <w:bookmarkEnd w:id="81"/>
      <w:r/>
      <w:bookmarkEnd w:id="82"/>
      <w:r/>
      <w:bookmarkEnd w:id="83"/>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4.2.1 投标人在投标截止时间前，可以对所提交的投标文件进行补充、修改或者撤回。</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4.2.2 如果投标文件在客户端重新修改过了，需要重新导出和上传新投标文件。可将原先上传的投标文件撤回，撤回后，重新上传新投标文件。</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4.2.3 在投标有效期内，投标人不得撤回投标文件。投标人之间恶意串通而撤回投标的，将受到根据政府采购法律法规的有关规定做出的处理。</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五、开标、评标</w:t>
      </w:r>
      <w:r/>
    </w:p>
    <w:p>
      <w:pPr>
        <w:pStyle w:val="944"/>
        <w:ind w:firstLine="482"/>
        <w:spacing w:before="0" w:after="0" w:line="440" w:lineRule="exact"/>
        <w:rPr>
          <w:rFonts w:ascii="黑体" w:cs="黑体"/>
          <w:b/>
          <w:bCs/>
          <w:sz w:val="22"/>
          <w:szCs w:val="22"/>
        </w:rPr>
      </w:pPr>
      <w:r/>
      <w:bookmarkStart w:id="84" w:name="_Toc5282"/>
      <w:r/>
      <w:bookmarkStart w:id="85" w:name="_Toc21656"/>
      <w:r/>
      <w:bookmarkStart w:id="86" w:name="_Toc26293"/>
      <w:r>
        <w:rPr>
          <w:rFonts w:hint="eastAsia" w:ascii="黑体" w:cs="黑体"/>
          <w:b/>
          <w:bCs/>
          <w:sz w:val="22"/>
          <w:szCs w:val="22"/>
        </w:rPr>
        <w:t xml:space="preserve">5.1 开标</w:t>
      </w:r>
      <w:bookmarkEnd w:id="84"/>
      <w:r/>
      <w:bookmarkEnd w:id="85"/>
      <w:r/>
      <w:bookmarkEnd w:id="86"/>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5.1.1 采购人或采购代理机构在投标人须知前附表规定的开标时间和地点公开开标。投标人不足3家的，不得开标。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5.1.2 投标人应当按照《操作手册》规定，参加开标活动和在苏采云系统规定的时间内对投标文件进行解密。投标人在开、评标全过程中应保持通讯畅通，及时登录苏采云系统查阅、答复相关信息，并安排专人与采购人及评标委员会联系。</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5.1.3 开标程序：</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（1）登录苏采云系统，点击“工作台”，选中“开标大厅”，选择对应项目；</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开标流程进入【解锁】环节点击【解锁】图标，并在投标须知前附表规定的解密时长内，使用CA证书进行标书解密，解锁完成后及时关注开标大厅，等待后续多次报价、答疑澄清等提示；在解密时长倒计时结束前，投标人可进行解密操作，当剩余时间为0后，投标人则不可以进行解密操作，系统会自动进入下一节点【唱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（3）投标人在倒计时结束前点击【唱标确认】按钮进行开标记录确认，倒计时结束后系统将会视为已确认；</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（4）开标会议结束。</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5.1.4 开标时，投标文件中“开标一览表”内容与投标文件中相应内容不一致的，以“开标一览表”为准；大写金额与小写金额不一致的，以大写金额为准。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5.1.5 投标人代表对开标过程和开标记录有疑义，以及认为采购人、采购代理机构相关工作人员有需要回避的情形的，可通过【留言板】功能进行提出；请供应商谨慎发言以免被禁言。采购人或采购代理机构对投标人代表提出的询问或者回避申请应当及时处理。</w:t>
      </w:r>
      <w:r/>
    </w:p>
    <w:p>
      <w:pPr>
        <w:pStyle w:val="944"/>
        <w:ind w:firstLine="482"/>
        <w:spacing w:before="0" w:after="0" w:line="440" w:lineRule="exact"/>
        <w:rPr>
          <w:rFonts w:ascii="黑体" w:cs="黑体"/>
          <w:b/>
          <w:bCs/>
          <w:sz w:val="22"/>
          <w:szCs w:val="22"/>
        </w:rPr>
      </w:pPr>
      <w:r/>
      <w:bookmarkStart w:id="87" w:name="_Toc15880"/>
      <w:r/>
      <w:bookmarkStart w:id="88" w:name="_Toc31967"/>
      <w:r/>
      <w:bookmarkStart w:id="89" w:name="_Toc3693"/>
      <w:r>
        <w:rPr>
          <w:rFonts w:hint="eastAsia" w:ascii="黑体" w:cs="黑体"/>
          <w:b/>
          <w:bCs/>
          <w:sz w:val="22"/>
          <w:szCs w:val="22"/>
        </w:rPr>
        <w:t xml:space="preserve">5.2 资格</w:t>
      </w:r>
      <w:bookmarkEnd w:id="87"/>
      <w:r/>
      <w:bookmarkEnd w:id="88"/>
      <w:r>
        <w:rPr>
          <w:rFonts w:hint="eastAsia" w:ascii="黑体" w:cs="黑体"/>
          <w:b/>
          <w:bCs/>
          <w:sz w:val="22"/>
          <w:szCs w:val="22"/>
        </w:rPr>
        <w:t xml:space="preserve">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5.2.1开标结束后，采购人或者采购代理机构依法对投标人的资格进行审查。</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5.2.2采购人或者采购代理机构应当按照第三章“资格审查办法”规定的资格评审标准对投标文件进行资格评审。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5.2.3 资格评审结束后，合格投标人不足3家的，不得评标。</w:t>
      </w:r>
      <w:r/>
    </w:p>
    <w:p>
      <w:pPr>
        <w:pStyle w:val="944"/>
        <w:ind w:firstLine="482"/>
        <w:spacing w:before="0" w:after="0" w:line="440" w:lineRule="exact"/>
        <w:rPr>
          <w:rFonts w:ascii="黑体" w:cs="黑体"/>
          <w:b/>
          <w:bCs/>
          <w:sz w:val="22"/>
          <w:szCs w:val="22"/>
        </w:rPr>
      </w:pPr>
      <w:r/>
      <w:bookmarkStart w:id="90" w:name="_Toc27848"/>
      <w:r/>
      <w:bookmarkStart w:id="91" w:name="_Toc26733"/>
      <w:r>
        <w:rPr>
          <w:rFonts w:hint="eastAsia" w:ascii="黑体" w:cs="黑体"/>
          <w:b/>
          <w:bCs/>
          <w:sz w:val="22"/>
          <w:szCs w:val="22"/>
        </w:rPr>
        <w:t xml:space="preserve">5.3 评标</w:t>
      </w:r>
      <w:bookmarkEnd w:id="89"/>
      <w:r/>
      <w:bookmarkEnd w:id="90"/>
      <w:r/>
      <w:bookmarkEnd w:id="91"/>
      <w:r>
        <w:rPr>
          <w:rFonts w:hint="eastAsia" w:ascii="黑体" w:cs="黑体"/>
          <w:b/>
          <w:bCs/>
          <w:sz w:val="22"/>
          <w:szCs w:val="22"/>
        </w:rPr>
        <w:t xml:space="preserve">委员会</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5.3.1 评标委员会由采购人代表和评审专家组成，成员人数见投标须知前附表。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5.3.2 评标委员会成员有下列情形之一的，应当回避；已经进入的，应当退出: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（1）投标人或者投标人主要负责人的近亲属；</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（2）项目主管部门或者行政监督部门的人员；</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（3）与投标人有经济利益关系；</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（4）曾因在招标、评标以及其他与招标投标有关系活动中从事违法行为而受到行政处罚或者刑事处罚的；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（5）与投标人有其他利害关系与投标人有利害关系。</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5.3.3 特殊情况处置</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（1）评标活动终止</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fldChar w:fldCharType="begin"/>
      </w:r>
      <w:r>
        <w:rPr>
          <w:rFonts w:hint="eastAsia" w:ascii="华文中宋" w:hAnsi="华文中宋" w:eastAsia="华文中宋" w:cs="宋体"/>
          <w:sz w:val="22"/>
          <w:szCs w:val="22"/>
        </w:rPr>
        <w:instrText xml:space="preserve"> = 1 \* GB3 \* MERGEFORMAT </w:instrText>
      </w:r>
      <w:r>
        <w:rPr>
          <w:rFonts w:hint="eastAsia" w:ascii="华文中宋" w:hAnsi="华文中宋" w:eastAsia="华文中宋" w:cs="宋体"/>
          <w:sz w:val="22"/>
          <w:szCs w:val="22"/>
        </w:rPr>
        <w:fldChar w:fldCharType="separate"/>
      </w:r>
      <w:r>
        <w:rPr>
          <w:rFonts w:hint="eastAsia" w:ascii="华文中宋" w:hAnsi="华文中宋" w:eastAsia="华文中宋" w:cs="宋体"/>
          <w:sz w:val="22"/>
          <w:szCs w:val="22"/>
        </w:rPr>
        <w:t xml:space="preserve">①</w:t>
      </w:r>
      <w:r>
        <w:rPr>
          <w:rFonts w:hint="eastAsia" w:ascii="华文中宋" w:hAnsi="华文中宋" w:eastAsia="华文中宋" w:cs="宋体"/>
          <w:sz w:val="22"/>
          <w:szCs w:val="22"/>
        </w:rPr>
        <w:fldChar w:fldCharType="end"/>
      </w:r>
      <w:r>
        <w:rPr>
          <w:rFonts w:hint="eastAsia" w:ascii="华文中宋" w:hAnsi="华文中宋" w:eastAsia="华文中宋"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fldChar w:fldCharType="begin"/>
      </w:r>
      <w:r>
        <w:rPr>
          <w:rFonts w:hint="eastAsia" w:ascii="华文中宋" w:hAnsi="华文中宋" w:eastAsia="华文中宋" w:cs="宋体"/>
          <w:sz w:val="22"/>
          <w:szCs w:val="22"/>
        </w:rPr>
        <w:instrText xml:space="preserve"> = 2 \* GB3 \* MERGEFORMAT </w:instrText>
      </w:r>
      <w:r>
        <w:rPr>
          <w:rFonts w:hint="eastAsia" w:ascii="华文中宋" w:hAnsi="华文中宋" w:eastAsia="华文中宋" w:cs="宋体"/>
          <w:sz w:val="22"/>
          <w:szCs w:val="22"/>
        </w:rPr>
        <w:fldChar w:fldCharType="separate"/>
      </w:r>
      <w:r>
        <w:rPr>
          <w:rFonts w:hint="eastAsia" w:ascii="华文中宋" w:hAnsi="华文中宋" w:eastAsia="华文中宋" w:cs="宋体"/>
          <w:sz w:val="22"/>
          <w:szCs w:val="22"/>
        </w:rPr>
        <w:t xml:space="preserve">②</w:t>
      </w:r>
      <w:r>
        <w:rPr>
          <w:rFonts w:hint="eastAsia" w:ascii="华文中宋" w:hAnsi="华文中宋" w:eastAsia="华文中宋" w:cs="宋体"/>
          <w:sz w:val="22"/>
          <w:szCs w:val="22"/>
        </w:rPr>
        <w:fldChar w:fldCharType="end"/>
      </w:r>
      <w:r>
        <w:rPr>
          <w:rFonts w:hint="eastAsia" w:ascii="华文中宋" w:hAnsi="华文中宋" w:eastAsia="华文中宋" w:cs="宋体"/>
          <w:sz w:val="22"/>
          <w:szCs w:val="22"/>
        </w:rPr>
        <w:t xml:space="preserve">发生下列情况之一的，评标委员会应终止评标并按照废标处理：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a.发生了不可抗力事件；</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b.评标委员会名单泄密或者评标委员成员无法中途更换的；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c.发生评标信息泄露或者出现非法干预评审、谈判工作的；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d.监督人员现场发现评标委员会或者成员未按照招标文件规定评审或者存在违反法律法规规定行为，且拒绝改正的。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出现上述情形的，评标委员会有权予以废标或者建议采购人和采购代理机构封存招标文件和所有投标或投标文件，择期重新组建评标委员会进行评审。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(2)评标委员会中途更换成员</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fldChar w:fldCharType="begin"/>
      </w:r>
      <w:r>
        <w:rPr>
          <w:rFonts w:hint="eastAsia" w:ascii="华文中宋" w:hAnsi="华文中宋" w:eastAsia="华文中宋" w:cs="宋体"/>
          <w:sz w:val="22"/>
          <w:szCs w:val="22"/>
        </w:rPr>
        <w:instrText xml:space="preserve"> = 1 \* GB3 \* MERGEFORMAT </w:instrText>
      </w:r>
      <w:r>
        <w:rPr>
          <w:rFonts w:hint="eastAsia" w:ascii="华文中宋" w:hAnsi="华文中宋" w:eastAsia="华文中宋" w:cs="宋体"/>
          <w:sz w:val="22"/>
          <w:szCs w:val="22"/>
        </w:rPr>
        <w:fldChar w:fldCharType="separate"/>
      </w:r>
      <w:r>
        <w:rPr>
          <w:rFonts w:hint="eastAsia" w:ascii="华文中宋" w:hAnsi="华文中宋" w:eastAsia="华文中宋" w:cs="宋体"/>
          <w:sz w:val="22"/>
          <w:szCs w:val="22"/>
        </w:rPr>
        <w:t xml:space="preserve">①</w:t>
      </w:r>
      <w:r>
        <w:rPr>
          <w:rFonts w:hint="eastAsia" w:ascii="华文中宋" w:hAnsi="华文中宋" w:eastAsia="华文中宋" w:cs="宋体"/>
          <w:sz w:val="22"/>
          <w:szCs w:val="22"/>
        </w:rPr>
        <w:fldChar w:fldCharType="end"/>
      </w:r>
      <w:r>
        <w:rPr>
          <w:rFonts w:hint="eastAsia" w:ascii="华文中宋" w:hAnsi="华文中宋" w:eastAsia="华文中宋" w:cs="宋体"/>
          <w:sz w:val="22"/>
          <w:szCs w:val="22"/>
        </w:rPr>
        <w:t xml:space="preserve">除非发生下列情况之一，评标委员会成员不得中途更换：</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a.因不可抗拒的客观原因，不能到场或者需在评标过程中退出评标活动；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b.根据法律法规规定，某个或者某几个评标委员会成员需要回避；</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fldChar w:fldCharType="begin"/>
      </w:r>
      <w:r>
        <w:rPr>
          <w:rFonts w:hint="eastAsia" w:ascii="华文中宋" w:hAnsi="华文中宋" w:eastAsia="华文中宋" w:cs="宋体"/>
          <w:sz w:val="22"/>
          <w:szCs w:val="22"/>
        </w:rPr>
        <w:instrText xml:space="preserve"> = 2 \* GB3 \* MERGEFORMAT </w:instrText>
      </w:r>
      <w:r>
        <w:rPr>
          <w:rFonts w:hint="eastAsia" w:ascii="华文中宋" w:hAnsi="华文中宋" w:eastAsia="华文中宋" w:cs="宋体"/>
          <w:sz w:val="22"/>
          <w:szCs w:val="22"/>
        </w:rPr>
        <w:fldChar w:fldCharType="separate"/>
      </w:r>
      <w:r>
        <w:rPr>
          <w:rFonts w:hint="eastAsia" w:ascii="华文中宋" w:hAnsi="华文中宋" w:eastAsia="华文中宋" w:cs="宋体"/>
          <w:sz w:val="22"/>
          <w:szCs w:val="22"/>
        </w:rPr>
        <w:t xml:space="preserve">②</w:t>
      </w:r>
      <w:r>
        <w:rPr>
          <w:rFonts w:hint="eastAsia" w:ascii="华文中宋" w:hAnsi="华文中宋" w:eastAsia="华文中宋" w:cs="宋体"/>
          <w:sz w:val="22"/>
          <w:szCs w:val="22"/>
        </w:rPr>
        <w:fldChar w:fldCharType="end"/>
      </w:r>
      <w:r>
        <w:rPr>
          <w:rFonts w:hint="eastAsia" w:ascii="华文中宋" w:hAnsi="华文中宋" w:eastAsia="华文中宋"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(3)评委争议</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5.4 评标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5.4.1评标委员会对符合资格的投标人的投标文件，按照第四章“评标办法”规定的评标方法、评审因素、标准和程序对投标文件进行评审。</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5.4.3 评标完成后，评标委员会根据全体评标成员签字的原始评标记录和评标结果编写评标报告。评标委员会推荐的中标候选人名单数量见投标人须知前附表。</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六、中标和合同</w:t>
      </w:r>
      <w:r/>
    </w:p>
    <w:p>
      <w:pPr>
        <w:pStyle w:val="944"/>
        <w:ind w:firstLine="482"/>
        <w:spacing w:before="0" w:after="0" w:line="440" w:lineRule="exact"/>
        <w:rPr>
          <w:rFonts w:ascii="黑体" w:cs="黑体"/>
          <w:b/>
          <w:bCs/>
          <w:sz w:val="22"/>
          <w:szCs w:val="22"/>
        </w:rPr>
      </w:pPr>
      <w:r/>
      <w:bookmarkStart w:id="92" w:name="_Toc8673"/>
      <w:r/>
      <w:bookmarkStart w:id="93" w:name="_Toc29296"/>
      <w:r/>
      <w:bookmarkStart w:id="94" w:name="_Toc29521"/>
      <w:r/>
      <w:bookmarkStart w:id="95" w:name="_Toc21641"/>
      <w:r/>
      <w:bookmarkStart w:id="96" w:name="_Toc11984"/>
      <w:r/>
      <w:bookmarkStart w:id="97" w:name="_Toc1623"/>
      <w:r>
        <w:rPr>
          <w:rFonts w:hint="eastAsia" w:ascii="黑体" w:cs="黑体"/>
          <w:b/>
          <w:bCs/>
          <w:sz w:val="22"/>
          <w:szCs w:val="22"/>
        </w:rPr>
        <w:t xml:space="preserve">6.1 定标</w:t>
      </w:r>
      <w:bookmarkEnd w:id="92"/>
      <w:r/>
      <w:bookmarkEnd w:id="93"/>
      <w:r/>
      <w:bookmarkEnd w:id="94"/>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6.1.1采购代理机构应当在评标结束后2个工作日内将评标报告送采购人。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6.2 中标通知</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p>
    <w:p>
      <w:pPr>
        <w:pStyle w:val="944"/>
        <w:ind w:firstLine="482"/>
        <w:spacing w:before="0" w:after="0" w:line="440" w:lineRule="exact"/>
        <w:rPr>
          <w:rFonts w:ascii="黑体" w:cs="黑体"/>
          <w:b/>
          <w:bCs/>
          <w:sz w:val="22"/>
          <w:szCs w:val="22"/>
        </w:rPr>
      </w:pPr>
      <w:r>
        <w:rPr>
          <w:rFonts w:hint="eastAsia" w:ascii="黑体" w:cs="黑体"/>
          <w:b/>
          <w:bCs/>
          <w:sz w:val="22"/>
          <w:szCs w:val="22"/>
        </w:rPr>
        <w:t xml:space="preserve">6.3 签订合同</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6.3.3 中标人拒绝与采购人签订合同的，采购人可以按照评审报告推荐的中标候选人名单排序，确定下一候选人为中标人，也可以重新开展政府采购活动。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6.3.4采购人不得向中标人提出任何不合理的要求，作为签订合同的条件，不得与中标人私下订立背离合同实质性内容的协议。</w:t>
      </w:r>
      <w:r/>
    </w:p>
    <w:p>
      <w:pPr>
        <w:ind w:firstLine="480"/>
        <w:spacing w:line="440" w:lineRule="exact"/>
        <w:rPr>
          <w:rFonts w:ascii="宋体" w:hAnsi="宋体" w:cs="宋体"/>
          <w:sz w:val="22"/>
          <w:szCs w:val="22"/>
        </w:rPr>
      </w:pPr>
      <w:r>
        <w:rPr>
          <w:rFonts w:hint="eastAsia" w:ascii="华文中宋" w:hAnsi="华文中宋" w:eastAsia="华文中宋" w:cs="宋体"/>
          <w:sz w:val="22"/>
          <w:szCs w:val="22"/>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95"/>
      <w:r/>
      <w:bookmarkEnd w:id="96"/>
      <w:r/>
      <w:bookmarkEnd w:id="97"/>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七、废标、质疑与投诉</w:t>
      </w:r>
      <w:r/>
    </w:p>
    <w:p>
      <w:pPr>
        <w:pStyle w:val="944"/>
        <w:ind w:firstLine="482"/>
        <w:spacing w:before="0" w:after="0" w:line="440" w:lineRule="exact"/>
        <w:rPr>
          <w:rFonts w:ascii="黑体" w:cs="黑体"/>
          <w:b/>
          <w:bCs/>
          <w:sz w:val="22"/>
          <w:szCs w:val="22"/>
        </w:rPr>
      </w:pPr>
      <w:r/>
      <w:bookmarkStart w:id="98" w:name="_Toc2774"/>
      <w:r/>
      <w:bookmarkStart w:id="99" w:name="_Toc22258"/>
      <w:r/>
      <w:bookmarkStart w:id="100" w:name="_Toc10664"/>
      <w:r>
        <w:rPr>
          <w:rFonts w:hint="eastAsia" w:ascii="黑体" w:cs="黑体"/>
          <w:b/>
          <w:bCs/>
          <w:sz w:val="22"/>
          <w:szCs w:val="22"/>
        </w:rPr>
        <w:t xml:space="preserve">7.1 废标</w:t>
      </w:r>
      <w:bookmarkEnd w:id="98"/>
      <w:r/>
      <w:bookmarkEnd w:id="99"/>
      <w:r/>
      <w:bookmarkEnd w:id="100"/>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7.1.1 在招标采购过程中，有下列情况之一时，采购人应当予以废标，并将理由通知所有投标人：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（1）符合专业条件的投标人或招标文件作实质响应的投标人不足三家的；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（2）出现影响采购公正的违法、违规行为的；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（3）投标人的报价均超过了采购预算，采购人不能支付的；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（4）因重大变故，采购任务取消的。</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7.1.2 废标后，除采购任务取消情形外，招标采购单位应当重新组织招标；需要采取其他采购方式的，应当在采购活动开始前获得财政部门的批准。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7.1.3 公开招标数额标准以上的采购项目，投标截止后投标人不足3家或者招标文件作实质响应的投标人不足3家的，除采购任务取消情形外，按照以下方式处理：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（1）招标文件存在不合理条款或者招标程序不符合规定的，采购人、采购代理机构改正后依法重新招标；</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（2）招标文件没有不合理条款、招标程序符合规定，需要采用其他采购方式采购的，采购人应当依法报财政部门批准。</w:t>
      </w:r>
      <w:r/>
    </w:p>
    <w:p>
      <w:pPr>
        <w:pStyle w:val="944"/>
        <w:ind w:firstLine="482"/>
        <w:spacing w:before="0" w:after="0" w:line="440" w:lineRule="exact"/>
        <w:rPr>
          <w:rFonts w:ascii="黑体" w:cs="黑体"/>
          <w:b/>
          <w:bCs/>
          <w:sz w:val="22"/>
          <w:szCs w:val="22"/>
        </w:rPr>
      </w:pPr>
      <w:r/>
      <w:bookmarkStart w:id="101" w:name="_Toc30375"/>
      <w:r/>
      <w:bookmarkStart w:id="102" w:name="_Toc26328"/>
      <w:r/>
      <w:bookmarkStart w:id="103" w:name="_Toc8333"/>
      <w:r>
        <w:rPr>
          <w:rFonts w:hint="eastAsia" w:ascii="黑体" w:cs="黑体"/>
          <w:b/>
          <w:bCs/>
          <w:sz w:val="22"/>
          <w:szCs w:val="22"/>
        </w:rPr>
        <w:t xml:space="preserve">7.2 质疑</w:t>
      </w:r>
      <w:bookmarkEnd w:id="101"/>
      <w:r/>
      <w:bookmarkEnd w:id="102"/>
      <w:r/>
      <w:bookmarkEnd w:id="103"/>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7.2.2 提出质疑的投标人应当是参与本项目采购活动的投标人。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（1）对采购文件提出质疑的，潜在投标人应当在按规定获取采购文件之日起7个工作日内提出。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（2）对采购过程提出质疑的，应在各采购程序环节结束之日起7个工作日内提出。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（3）对中标结果提出质疑的，应当在中标结果公告届满之日起7个工作日内提出。</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7.2.3 投标人提出质疑应当提交质疑函和必要的证明材料。质疑函应当包括下列内容：</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（1）投标人的姓名或者名称、地址、邮编、联系人及联系电话；</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（2）质疑项目的名称、编号；</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（3）具体、明确的质疑事项和与质疑事项相关的请求；</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（4）事实依据；</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（5）必要的法律依据；</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（6）提出质疑的日期。</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7.2.5 除书面形式外，其他任何方式的质疑，采购人或者采购代理机构均不予接收和答复。</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7.2.6 采购人、采购代理机构在收到质疑函后七个工作日内做出答复，并以书面形式通知质疑人和其他有关投标人；但质疑答复的内容不得涉及商业秘密。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（1）对采购文件提出的质疑，依法通过澄清或者修改可以继续开展采购活动的，澄清或者修改采购文件后继续开展采购活动；否则应当修改采购文件后重新开展采购活动。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（2）对采购过程、中标结果提出的质疑，合格投标人符合法定数量时，可以从合格的中标候选人中另行确定中标人的，应当依法另行确定中标人；否则应当重新开展采购活动。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质疑答复导致中标结果改变的，采购人或者采购代理机构应当将有关情况书面报告本级财政部门。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before="160" w:after="160" w:line="440" w:lineRule="exact"/>
        <w:rPr>
          <w:rFonts w:ascii="宋体" w:hAnsi="宋体" w:cs="宋体"/>
          <w:b/>
          <w:bCs/>
          <w:sz w:val="24"/>
          <w:szCs w:val="24"/>
        </w:rPr>
      </w:pPr>
      <w:r>
        <w:rPr>
          <w:rFonts w:hint="eastAsia" w:ascii="宋体" w:hAnsi="宋体" w:cs="宋体"/>
          <w:b/>
          <w:bCs/>
          <w:sz w:val="24"/>
          <w:szCs w:val="24"/>
        </w:rPr>
        <w:t xml:space="preserve">八、其他事宜</w:t>
      </w:r>
      <w:r/>
    </w:p>
    <w:p>
      <w:pPr>
        <w:pStyle w:val="944"/>
        <w:ind w:firstLine="482"/>
        <w:spacing w:before="0" w:after="0" w:line="440" w:lineRule="exact"/>
        <w:rPr>
          <w:rFonts w:ascii="黑体" w:cs="黑体"/>
          <w:b/>
          <w:bCs/>
          <w:sz w:val="22"/>
          <w:szCs w:val="22"/>
        </w:rPr>
      </w:pPr>
      <w:r/>
      <w:bookmarkStart w:id="104" w:name="_Toc10386"/>
      <w:r/>
      <w:bookmarkStart w:id="105" w:name="_Toc6452"/>
      <w:r/>
      <w:bookmarkStart w:id="106" w:name="_Toc21692"/>
      <w:r>
        <w:rPr>
          <w:rFonts w:hint="eastAsia" w:ascii="黑体" w:cs="黑体"/>
          <w:b/>
          <w:bCs/>
          <w:sz w:val="22"/>
          <w:szCs w:val="22"/>
        </w:rPr>
        <w:t xml:space="preserve">8.1 </w:t>
      </w:r>
      <w:bookmarkEnd w:id="104"/>
      <w:r/>
      <w:bookmarkEnd w:id="105"/>
      <w:r/>
      <w:bookmarkEnd w:id="106"/>
      <w:r>
        <w:rPr>
          <w:rFonts w:hint="eastAsia" w:ascii="黑体" w:cs="黑体"/>
          <w:b/>
          <w:bCs/>
          <w:sz w:val="22"/>
          <w:szCs w:val="22"/>
        </w:rPr>
        <w:t xml:space="preserve">补充的其他内容</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8.1.1 采购人需要补充的其他内容：见投标人须知前附表</w:t>
      </w:r>
      <w:r/>
    </w:p>
    <w:p>
      <w:pPr>
        <w:ind w:firstLine="480"/>
        <w:spacing w:line="440" w:lineRule="exact"/>
        <w:rPr>
          <w:rFonts w:ascii="华文中宋" w:hAnsi="华文中宋" w:eastAsia="华文中宋" w:cs="宋体"/>
          <w:sz w:val="22"/>
          <w:szCs w:val="22"/>
        </w:rPr>
      </w:pPr>
      <w:r>
        <w:rPr>
          <w:rFonts w:hint="eastAsia" w:ascii="华文中宋" w:hAnsi="华文中宋" w:eastAsia="华文中宋" w:cs="宋体"/>
          <w:sz w:val="22"/>
          <w:szCs w:val="22"/>
        </w:rPr>
        <w:t xml:space="preserve">8.1.2 其他未尽事宜按照《中华人民共和国政府采购法》及相关法律、法规、规章的有关规定执行。</w:t>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ind w:firstLine="420"/>
        <w:spacing w:line="440" w:lineRule="exact"/>
        <w:rPr>
          <w:rFonts w:ascii="宋体" w:hAnsi="宋体" w:cs="宋体"/>
        </w:rPr>
      </w:pPr>
      <w:r>
        <w:rPr>
          <w:rFonts w:ascii="宋体" w:hAnsi="宋体" w:cs="宋体"/>
        </w:rPr>
      </w:r>
      <w:r/>
    </w:p>
    <w:p>
      <w:pPr>
        <w:pStyle w:val="940"/>
        <w:jc w:val="center"/>
        <w:spacing w:after="20" w:line="360" w:lineRule="auto"/>
        <w:rPr>
          <w:rFonts w:ascii="微软雅黑" w:hAnsi="微软雅黑" w:eastAsia="微软雅黑" w:cs="微软雅黑"/>
          <w:b w:val="0"/>
          <w:bCs w:val="0"/>
          <w:sz w:val="36"/>
          <w:szCs w:val="36"/>
        </w:rPr>
      </w:pPr>
      <w:r/>
      <w:bookmarkStart w:id="107" w:name="_Toc765"/>
      <w:r/>
      <w:bookmarkStart w:id="108" w:name="_Toc152268440"/>
      <w:r>
        <w:rPr>
          <w:rFonts w:hint="eastAsia" w:ascii="微软雅黑" w:hAnsi="微软雅黑" w:eastAsia="微软雅黑" w:cs="微软雅黑"/>
          <w:b w:val="0"/>
          <w:bCs w:val="0"/>
          <w:sz w:val="36"/>
          <w:szCs w:val="36"/>
        </w:rPr>
        <w:t xml:space="preserve">第三章 资格审查办法</w:t>
      </w:r>
      <w:bookmarkEnd w:id="107"/>
      <w:r/>
      <w:bookmarkEnd w:id="108"/>
      <w:r/>
      <w:r/>
    </w:p>
    <w:p>
      <w:pPr>
        <w:spacing w:line="360" w:lineRule="auto"/>
        <w:rPr>
          <w:rFonts w:ascii="黑体" w:hAnsi="黑体" w:eastAsia="黑体" w:cs="宋体"/>
          <w:b/>
          <w:bCs/>
          <w:sz w:val="22"/>
        </w:rPr>
      </w:pPr>
      <w:r/>
      <w:bookmarkStart w:id="109" w:name="_Toc179715727"/>
      <w:r/>
      <w:bookmarkStart w:id="110" w:name="_Toc144974438"/>
      <w:r/>
      <w:bookmarkStart w:id="111" w:name="_Toc152047234"/>
      <w:r/>
      <w:bookmarkStart w:id="112" w:name="_Toc234382664"/>
      <w:r/>
      <w:bookmarkStart w:id="113" w:name="_Toc4791"/>
      <w:r/>
      <w:bookmarkStart w:id="114" w:name="_Toc28292"/>
      <w:r>
        <w:rPr>
          <w:rFonts w:hint="eastAsia" w:ascii="黑体" w:hAnsi="黑体" w:eastAsia="黑体" w:cs="宋体"/>
          <w:b/>
          <w:bCs/>
          <w:sz w:val="22"/>
        </w:rPr>
        <w:t xml:space="preserve">1.审查方法</w:t>
      </w:r>
      <w:bookmarkEnd w:id="109"/>
      <w:r/>
      <w:bookmarkEnd w:id="110"/>
      <w:r/>
      <w:bookmarkEnd w:id="111"/>
      <w:r/>
      <w:r/>
    </w:p>
    <w:p>
      <w:pPr>
        <w:ind w:firstLine="440"/>
        <w:spacing w:line="360" w:lineRule="auto"/>
        <w:rPr>
          <w:rFonts w:ascii="宋体" w:hAnsi="宋体" w:cs="宋体"/>
          <w:sz w:val="22"/>
        </w:rPr>
      </w:pPr>
      <w:r>
        <w:rPr>
          <w:rFonts w:hint="eastAsia" w:ascii="宋体" w:hAnsi="宋体" w:cs="宋体"/>
          <w:sz w:val="22"/>
        </w:rPr>
        <w:t xml:space="preserve">1.1 资格审查由采购人或者采购代理机构组成的评审小组依法对供应商的资格进行审查。</w:t>
      </w:r>
      <w:r/>
    </w:p>
    <w:p>
      <w:pPr>
        <w:ind w:firstLine="440"/>
        <w:spacing w:line="360" w:lineRule="auto"/>
        <w:rPr>
          <w:rFonts w:ascii="宋体" w:hAnsi="宋体" w:cs="宋体"/>
          <w:sz w:val="22"/>
        </w:rPr>
      </w:pPr>
      <w:r>
        <w:rPr>
          <w:rFonts w:hint="eastAsia" w:ascii="宋体" w:hAnsi="宋体" w:cs="宋体"/>
          <w:sz w:val="22"/>
        </w:rPr>
        <w:t xml:space="preserve">1.2 凡符合本章资格审查标准的供应商均通过资格审查，并进入评标。</w:t>
      </w:r>
      <w:r/>
    </w:p>
    <w:p>
      <w:pPr>
        <w:spacing w:line="360" w:lineRule="auto"/>
        <w:rPr>
          <w:rFonts w:ascii="黑体" w:hAnsi="黑体" w:eastAsia="黑体" w:cs="宋体"/>
          <w:b/>
          <w:bCs/>
          <w:sz w:val="22"/>
        </w:rPr>
      </w:pPr>
      <w:r/>
      <w:bookmarkStart w:id="115" w:name="_Toc179715728"/>
      <w:r/>
      <w:bookmarkStart w:id="116" w:name="_Toc144974439"/>
      <w:r/>
      <w:bookmarkStart w:id="117" w:name="_Toc152047235"/>
      <w:r>
        <w:rPr>
          <w:rFonts w:hint="eastAsia" w:ascii="黑体" w:hAnsi="黑体" w:eastAsia="黑体" w:cs="宋体"/>
          <w:b/>
          <w:bCs/>
          <w:sz w:val="22"/>
        </w:rPr>
        <w:t xml:space="preserve">2.审查标准</w:t>
      </w:r>
      <w:bookmarkEnd w:id="115"/>
      <w:r/>
      <w:bookmarkEnd w:id="116"/>
      <w:r/>
      <w:bookmarkEnd w:id="117"/>
      <w:r/>
      <w:r/>
    </w:p>
    <w:p>
      <w:pPr>
        <w:ind w:firstLine="442"/>
        <w:spacing w:line="360" w:lineRule="auto"/>
        <w:rPr>
          <w:rFonts w:ascii="黑体" w:hAnsi="黑体" w:eastAsia="黑体" w:cs="宋体"/>
          <w:b/>
          <w:bCs/>
          <w:sz w:val="22"/>
        </w:rPr>
      </w:pPr>
      <w:r>
        <w:rPr>
          <w:rFonts w:hint="eastAsia" w:ascii="宋体" w:hAnsi="宋体" w:cs="宋体"/>
          <w:b/>
          <w:bCs/>
          <w:sz w:val="22"/>
        </w:rPr>
        <w:t xml:space="preserve">2.1 供应商有不符合下列情形之一的，不能通过资格审查，其投标无效：</w:t>
      </w:r>
      <w:r/>
    </w:p>
    <w:tbl>
      <w:tblPr>
        <w:tblStyle w:val="704"/>
        <w:tblW w:w="8930" w:type="dxa"/>
        <w:tblInd w:w="284"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30"/>
        <w:gridCol w:w="5891"/>
      </w:tblGrid>
      <w:tr>
        <w:trPr>
          <w:trHeight w:val="410"/>
        </w:trPr>
        <w:tc>
          <w:tcPr>
            <w:tcW w:w="709" w:type="dxa"/>
            <w:vAlign w:val="center"/>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序号</w:t>
            </w:r>
            <w:r/>
          </w:p>
        </w:tc>
        <w:tc>
          <w:tcPr>
            <w:tcW w:w="2330" w:type="dxa"/>
            <w:vAlign w:val="center"/>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评审因素</w:t>
            </w:r>
            <w:r/>
          </w:p>
        </w:tc>
        <w:tc>
          <w:tcPr>
            <w:tcW w:w="5891" w:type="dxa"/>
            <w:vAlign w:val="center"/>
            <w:textDirection w:val="lrTb"/>
            <w:noWrap w:val="false"/>
          </w:tcPr>
          <w:p>
            <w:pPr>
              <w:jc w:val="center"/>
              <w:keepLines/>
              <w:keepNext/>
              <w:spacing w:line="240" w:lineRule="atLeast"/>
              <w:rPr>
                <w:rFonts w:ascii="宋体" w:hAnsi="宋体" w:cs="宋体"/>
                <w:b/>
                <w:sz w:val="22"/>
              </w:rPr>
              <w:outlineLvl w:val="2"/>
            </w:pPr>
            <w:r>
              <w:rPr>
                <w:rFonts w:hint="eastAsia" w:ascii="宋体" w:hAnsi="宋体" w:cs="宋体"/>
                <w:b/>
                <w:sz w:val="22"/>
              </w:rPr>
              <w:t xml:space="preserve">评审标准</w:t>
            </w:r>
            <w:r/>
          </w:p>
        </w:tc>
      </w:tr>
      <w:tr>
        <w:trPr>
          <w:trHeight w:val="520"/>
        </w:trPr>
        <w:tc>
          <w:tcPr>
            <w:tcW w:w="709" w:type="dxa"/>
            <w:vAlign w:val="center"/>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1</w:t>
            </w:r>
            <w:r/>
          </w:p>
        </w:tc>
        <w:tc>
          <w:tcPr>
            <w:tcW w:w="2330" w:type="dxa"/>
            <w:vAlign w:val="center"/>
            <w:textDirection w:val="lrTb"/>
            <w:noWrap w:val="false"/>
          </w:tcPr>
          <w:p>
            <w:pPr>
              <w:jc w:val="center"/>
              <w:keepLines/>
              <w:keepNext/>
              <w:spacing w:line="240" w:lineRule="atLeast"/>
              <w:rPr>
                <w:rFonts w:ascii="宋体" w:hAnsi="宋体" w:cs="宋体"/>
                <w:b/>
                <w:bCs/>
                <w:sz w:val="22"/>
              </w:rPr>
              <w:outlineLvl w:val="2"/>
            </w:pPr>
            <w:r>
              <w:rPr>
                <w:rFonts w:hint="eastAsia" w:ascii="宋体" w:hAnsi="宋体" w:cs="宋体"/>
                <w:b/>
                <w:bCs/>
                <w:sz w:val="22"/>
              </w:rPr>
              <w:t xml:space="preserve">营业执照或事业单位法人登记证书</w:t>
            </w:r>
            <w:r/>
          </w:p>
        </w:tc>
        <w:tc>
          <w:tcPr>
            <w:tcW w:w="5891" w:type="dxa"/>
            <w:vAlign w:val="center"/>
            <w:textDirection w:val="lrTb"/>
            <w:noWrap w:val="false"/>
          </w:tcPr>
          <w:p>
            <w:pPr>
              <w:keepLines/>
              <w:keepNext/>
              <w:spacing w:line="240" w:lineRule="atLeast"/>
              <w:rPr>
                <w:rFonts w:ascii="宋体" w:hAnsi="宋体" w:cs="宋体"/>
                <w:b/>
                <w:bCs/>
                <w:sz w:val="22"/>
              </w:rPr>
              <w:outlineLvl w:val="2"/>
            </w:pPr>
            <w:r>
              <w:rPr>
                <w:rFonts w:hint="eastAsia" w:ascii="宋体" w:hAnsi="宋体" w:cs="宋体"/>
                <w:b/>
                <w:bCs/>
                <w:sz w:val="22"/>
              </w:rPr>
              <w:t xml:space="preserve">提供了有效的营业执照或事业单位法人登记证书原件扫描件。</w:t>
            </w:r>
            <w:r/>
          </w:p>
        </w:tc>
      </w:tr>
      <w:tr>
        <w:trPr>
          <w:trHeight w:val="558"/>
        </w:trPr>
        <w:tc>
          <w:tcPr>
            <w:tcW w:w="709" w:type="dxa"/>
            <w:vAlign w:val="center"/>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2</w:t>
            </w:r>
            <w:r/>
          </w:p>
        </w:tc>
        <w:tc>
          <w:tcPr>
            <w:tcW w:w="2330" w:type="dxa"/>
            <w:vAlign w:val="center"/>
            <w:textDirection w:val="lrTb"/>
            <w:noWrap w:val="false"/>
          </w:tcPr>
          <w:p>
            <w:pPr>
              <w:jc w:val="center"/>
              <w:keepLines/>
              <w:keepNext/>
              <w:spacing w:line="240" w:lineRule="atLeast"/>
              <w:rPr>
                <w:rFonts w:ascii="宋体" w:hAnsi="宋体" w:cs="宋体"/>
                <w:b/>
                <w:bCs/>
                <w:sz w:val="22"/>
              </w:rPr>
              <w:outlineLvl w:val="2"/>
            </w:pPr>
            <w:r>
              <w:rPr>
                <w:rFonts w:hint="eastAsia" w:ascii="宋体" w:hAnsi="宋体" w:cs="宋体"/>
                <w:b/>
                <w:bCs/>
                <w:sz w:val="22"/>
              </w:rPr>
              <w:t xml:space="preserve">基本资格条件声明函</w:t>
            </w:r>
            <w:r/>
          </w:p>
        </w:tc>
        <w:tc>
          <w:tcPr>
            <w:tcW w:w="5891" w:type="dxa"/>
            <w:vAlign w:val="center"/>
            <w:textDirection w:val="lrTb"/>
            <w:noWrap w:val="false"/>
          </w:tcPr>
          <w:p>
            <w:pPr>
              <w:keepLines/>
              <w:keepNext/>
              <w:spacing w:line="240" w:lineRule="atLeast"/>
              <w:rPr>
                <w:rFonts w:ascii="宋体" w:hAnsi="宋体" w:cs="宋体"/>
                <w:b/>
                <w:bCs/>
                <w:sz w:val="22"/>
              </w:rPr>
              <w:outlineLvl w:val="2"/>
            </w:pPr>
            <w:r>
              <w:rPr>
                <w:rFonts w:hint="eastAsia" w:ascii="宋体" w:hAnsi="宋体" w:cs="宋体"/>
                <w:b/>
                <w:bCs/>
                <w:sz w:val="22"/>
              </w:rPr>
              <w:t xml:space="preserve">按投标文件格式要求提供了《基本资格条件声明函》。</w:t>
            </w:r>
            <w:r/>
          </w:p>
        </w:tc>
      </w:tr>
      <w:tr>
        <w:trPr>
          <w:trHeight w:val="640"/>
        </w:trPr>
        <w:tc>
          <w:tcPr>
            <w:tcW w:w="709" w:type="dxa"/>
            <w:vAlign w:val="center"/>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3</w:t>
            </w:r>
            <w:r/>
          </w:p>
        </w:tc>
        <w:tc>
          <w:tcPr>
            <w:tcW w:w="2330" w:type="dxa"/>
            <w:vAlign w:val="center"/>
            <w:textDirection w:val="lrTb"/>
            <w:noWrap w:val="false"/>
          </w:tcPr>
          <w:p>
            <w:pPr>
              <w:jc w:val="center"/>
              <w:keepLines/>
              <w:keepNext/>
              <w:spacing w:line="240" w:lineRule="atLeast"/>
              <w:rPr>
                <w:rFonts w:ascii="宋体" w:hAnsi="宋体" w:cs="宋体"/>
                <w:b/>
                <w:bCs/>
                <w:sz w:val="22"/>
              </w:rPr>
              <w:outlineLvl w:val="2"/>
            </w:pPr>
            <w:r>
              <w:rPr>
                <w:rFonts w:hint="eastAsia" w:ascii="宋体" w:hAnsi="宋体" w:cs="宋体"/>
                <w:b/>
                <w:bCs/>
                <w:sz w:val="22"/>
              </w:rPr>
              <w:t xml:space="preserve">特定资格条件</w:t>
            </w:r>
            <w:r/>
          </w:p>
        </w:tc>
        <w:tc>
          <w:tcPr>
            <w:tcW w:w="5891" w:type="dxa"/>
            <w:vAlign w:val="center"/>
            <w:textDirection w:val="lrTb"/>
            <w:noWrap w:val="false"/>
          </w:tcPr>
          <w:p>
            <w:pPr>
              <w:keepLines/>
              <w:keepNext/>
              <w:spacing w:line="240" w:lineRule="atLeast"/>
              <w:rPr>
                <w:rFonts w:ascii="宋体" w:hAnsi="宋体" w:cs="宋体"/>
                <w:b/>
                <w:bCs/>
                <w:sz w:val="22"/>
              </w:rPr>
              <w:outlineLvl w:val="2"/>
            </w:pPr>
            <w:r>
              <w:rPr>
                <w:rFonts w:hint="eastAsia" w:ascii="宋体" w:hAnsi="宋体" w:cs="宋体"/>
                <w:b/>
                <w:bCs/>
                <w:sz w:val="22"/>
              </w:rPr>
              <w:t xml:space="preserve">投标人为</w:t>
            </w:r>
            <w:r>
              <w:rPr>
                <w:rFonts w:hint="eastAsia" w:ascii="宋体" w:hAnsi="宋体" w:cs="宋体"/>
                <w:b/>
                <w:bCs/>
                <w:sz w:val="22"/>
                <w:lang w:eastAsia="zh-CN"/>
              </w:rPr>
              <w:t xml:space="preserve">投标产品制造商（注册人/备案人）</w:t>
            </w:r>
            <w:r>
              <w:rPr>
                <w:rFonts w:hint="eastAsia" w:ascii="宋体" w:hAnsi="宋体" w:cs="宋体"/>
                <w:b/>
                <w:bCs/>
                <w:sz w:val="22"/>
              </w:rPr>
              <w:t xml:space="preserve">且销售自产产品的，提供</w:t>
            </w:r>
            <w:r>
              <w:rPr>
                <w:rFonts w:hint="eastAsia" w:ascii="宋体" w:hAnsi="宋体" w:cs="宋体"/>
                <w:b/>
                <w:bCs/>
                <w:sz w:val="22"/>
                <w:lang w:val="en-US" w:eastAsia="zh-CN"/>
              </w:rPr>
              <w:t xml:space="preserve">了</w:t>
            </w:r>
            <w:r>
              <w:rPr>
                <w:rFonts w:hint="eastAsia" w:ascii="宋体" w:hAnsi="宋体" w:cs="宋体"/>
                <w:b/>
                <w:bCs/>
                <w:sz w:val="22"/>
              </w:rPr>
              <w:t xml:space="preserve">有效的《医疗器械生产许可证》（许可范围包含投标产品）及产品注册证原件扫描件；</w:t>
            </w:r>
            <w:r>
              <w:rPr>
                <w:rFonts w:hint="eastAsia" w:ascii="宋体" w:hAnsi="宋体" w:cs="宋体"/>
                <w:b/>
                <w:bCs/>
                <w:sz w:val="22"/>
                <w:lang w:eastAsia="zh-CN"/>
              </w:rPr>
              <w:t xml:space="preserve">非投标产品制造商的经销商/代理商</w:t>
            </w:r>
            <w:r>
              <w:rPr>
                <w:rFonts w:hint="eastAsia" w:ascii="宋体" w:hAnsi="宋体" w:cs="宋体"/>
                <w:b/>
                <w:bCs/>
                <w:sz w:val="22"/>
              </w:rPr>
              <w:t xml:space="preserve">须提供</w:t>
            </w:r>
            <w:r>
              <w:rPr>
                <w:rFonts w:hint="eastAsia" w:ascii="宋体" w:hAnsi="宋体" w:cs="宋体"/>
                <w:b/>
                <w:bCs/>
                <w:sz w:val="22"/>
                <w:lang w:val="en-US" w:eastAsia="zh-CN"/>
              </w:rPr>
              <w:t xml:space="preserve">了</w:t>
            </w:r>
            <w:r>
              <w:rPr>
                <w:rFonts w:hint="eastAsia" w:ascii="宋体" w:hAnsi="宋体" w:cs="宋体"/>
                <w:b/>
                <w:bCs/>
                <w:sz w:val="22"/>
              </w:rPr>
              <w:t xml:space="preserve">自身有效的《医疗器械经营许可证》（许可范围包含投标产品）原件扫描件。</w:t>
            </w:r>
            <w:r/>
          </w:p>
        </w:tc>
      </w:tr>
      <w:tr>
        <w:trPr>
          <w:trHeight w:val="460"/>
        </w:trPr>
        <w:tc>
          <w:tcPr>
            <w:tcW w:w="709" w:type="dxa"/>
            <w:vAlign w:val="center"/>
            <w:vMerge w:val="restart"/>
            <w:textDirection w:val="lrTb"/>
            <w:noWrap w:val="false"/>
          </w:tcPr>
          <w:p>
            <w:pPr>
              <w:jc w:val="center"/>
              <w:spacing w:line="240" w:lineRule="atLeast"/>
              <w:rPr>
                <w:rFonts w:ascii="宋体" w:hAnsi="宋体" w:cs="宋体"/>
                <w:b/>
                <w:sz w:val="22"/>
              </w:rPr>
            </w:pPr>
            <w:r>
              <w:rPr>
                <w:rFonts w:hint="eastAsia" w:ascii="宋体" w:hAnsi="宋体" w:cs="宋体"/>
                <w:b/>
                <w:sz w:val="22"/>
              </w:rPr>
              <w:t xml:space="preserve">4</w:t>
            </w:r>
            <w:r/>
          </w:p>
        </w:tc>
        <w:tc>
          <w:tcPr>
            <w:tcW w:w="2330" w:type="dxa"/>
            <w:vAlign w:val="center"/>
            <w:vMerge w:val="restart"/>
            <w:textDirection w:val="lrTb"/>
            <w:noWrap w:val="false"/>
          </w:tcPr>
          <w:p>
            <w:pPr>
              <w:jc w:val="center"/>
              <w:keepLines/>
              <w:keepNext/>
              <w:spacing w:line="240" w:lineRule="atLeast"/>
              <w:rPr>
                <w:rFonts w:ascii="宋体" w:hAnsi="宋体" w:cs="宋体"/>
                <w:b/>
                <w:bCs/>
                <w:sz w:val="22"/>
              </w:rPr>
              <w:outlineLvl w:val="2"/>
            </w:pPr>
            <w:r>
              <w:rPr>
                <w:rFonts w:hint="eastAsia" w:ascii="宋体" w:hAnsi="宋体" w:cs="宋体"/>
                <w:b/>
                <w:bCs/>
                <w:sz w:val="22"/>
              </w:rPr>
              <w:t xml:space="preserve">其他条件</w:t>
            </w:r>
            <w:r/>
          </w:p>
        </w:tc>
        <w:tc>
          <w:tcPr>
            <w:tcW w:w="5891" w:type="dxa"/>
            <w:vAlign w:val="center"/>
            <w:textDirection w:val="lrTb"/>
            <w:noWrap w:val="false"/>
          </w:tcPr>
          <w:p>
            <w:pPr>
              <w:keepLines/>
              <w:keepNext/>
              <w:spacing w:line="240" w:lineRule="atLeast"/>
              <w:rPr>
                <w:rFonts w:ascii="宋体" w:hAnsi="宋体" w:cs="宋体"/>
                <w:b/>
                <w:bCs/>
                <w:sz w:val="22"/>
              </w:rPr>
              <w:outlineLvl w:val="2"/>
            </w:pPr>
            <w:r>
              <w:rPr>
                <w:rFonts w:hint="eastAsia" w:ascii="宋体" w:hAnsi="宋体" w:cs="宋体"/>
                <w:b/>
                <w:bCs/>
                <w:sz w:val="22"/>
              </w:rPr>
              <w:t xml:space="preserve">按投标文件格式要求提供了《非联合体投标声明函》。</w:t>
            </w:r>
            <w:r/>
          </w:p>
        </w:tc>
      </w:tr>
      <w:tr>
        <w:trPr>
          <w:trHeight w:val="480"/>
        </w:trPr>
        <w:tc>
          <w:tcPr>
            <w:tcW w:w="709" w:type="dxa"/>
            <w:vAlign w:val="center"/>
            <w:vMerge w:val="continue"/>
            <w:textDirection w:val="lrTb"/>
            <w:noWrap w:val="false"/>
          </w:tcPr>
          <w:p>
            <w:pPr>
              <w:jc w:val="center"/>
              <w:spacing w:line="240" w:lineRule="atLeast"/>
              <w:rPr>
                <w:rFonts w:ascii="宋体" w:hAnsi="宋体" w:cs="宋体"/>
                <w:b/>
                <w:sz w:val="22"/>
              </w:rPr>
            </w:pPr>
            <w:r>
              <w:rPr>
                <w:rFonts w:ascii="宋体" w:hAnsi="宋体" w:cs="宋体"/>
                <w:b/>
                <w:sz w:val="22"/>
              </w:rPr>
            </w:r>
            <w:r/>
          </w:p>
        </w:tc>
        <w:tc>
          <w:tcPr>
            <w:tcW w:w="2330" w:type="dxa"/>
            <w:vAlign w:val="center"/>
            <w:vMerge w:val="continue"/>
            <w:textDirection w:val="lrTb"/>
            <w:noWrap w:val="false"/>
          </w:tcPr>
          <w:p>
            <w:pPr>
              <w:jc w:val="center"/>
              <w:keepLines/>
              <w:keepNext/>
              <w:spacing w:line="240" w:lineRule="atLeast"/>
              <w:rPr>
                <w:rFonts w:ascii="宋体" w:hAnsi="宋体" w:cs="宋体"/>
                <w:b/>
                <w:bCs/>
                <w:sz w:val="22"/>
              </w:rPr>
              <w:outlineLvl w:val="2"/>
            </w:pPr>
            <w:r>
              <w:rPr>
                <w:rFonts w:ascii="宋体" w:hAnsi="宋体" w:cs="宋体"/>
                <w:b/>
                <w:bCs/>
                <w:sz w:val="22"/>
              </w:rPr>
            </w:r>
            <w:r/>
          </w:p>
        </w:tc>
        <w:tc>
          <w:tcPr>
            <w:tcW w:w="5891" w:type="dxa"/>
            <w:vAlign w:val="center"/>
            <w:textDirection w:val="lrTb"/>
            <w:noWrap w:val="false"/>
          </w:tcPr>
          <w:p>
            <w:pPr>
              <w:keepLines/>
              <w:keepNext/>
              <w:spacing w:line="240" w:lineRule="atLeast"/>
              <w:rPr>
                <w:rFonts w:ascii="宋体" w:hAnsi="宋体" w:cs="宋体"/>
                <w:b/>
                <w:bCs/>
                <w:sz w:val="22"/>
              </w:rPr>
              <w:outlineLvl w:val="2"/>
            </w:pPr>
            <w:r>
              <w:rPr>
                <w:rFonts w:hint="eastAsia" w:ascii="宋体" w:hAnsi="宋体" w:cs="宋体"/>
                <w:b/>
                <w:bCs/>
                <w:sz w:val="22"/>
              </w:rPr>
              <w:t xml:space="preserve">按投标文件格式要求提供了《诚信投标承诺书》。</w:t>
            </w:r>
            <w:r/>
          </w:p>
        </w:tc>
      </w:tr>
    </w:tbl>
    <w:p>
      <w:pPr>
        <w:ind w:firstLine="442"/>
        <w:spacing w:line="360" w:lineRule="auto"/>
        <w:rPr>
          <w:rFonts w:ascii="黑体" w:hAnsi="黑体" w:eastAsia="黑体" w:cs="宋体"/>
          <w:b/>
          <w:bCs/>
          <w:sz w:val="22"/>
        </w:rPr>
      </w:pPr>
      <w:r>
        <w:rPr>
          <w:rFonts w:hint="eastAsia" w:ascii="黑体" w:hAnsi="黑体" w:eastAsia="黑体" w:cs="宋体"/>
          <w:b/>
          <w:bCs/>
          <w:sz w:val="22"/>
        </w:rPr>
        <w:t xml:space="preserve">2.2 未能通过资格审查的供应商投标文件作无效投标文件处理，其投标文件不再提交评标委员会进行评标。</w:t>
      </w:r>
      <w:r/>
    </w:p>
    <w:p>
      <w:pPr>
        <w:spacing w:line="360" w:lineRule="auto"/>
        <w:rPr>
          <w:rFonts w:ascii="黑体" w:hAnsi="黑体" w:eastAsia="黑体" w:cs="宋体"/>
          <w:b/>
          <w:bCs/>
          <w:sz w:val="22"/>
        </w:rPr>
      </w:pPr>
      <w:r>
        <w:rPr>
          <w:rFonts w:hint="eastAsia" w:ascii="黑体" w:hAnsi="黑体" w:eastAsia="黑体" w:cs="宋体"/>
          <w:b/>
          <w:bCs/>
          <w:sz w:val="22"/>
        </w:rPr>
        <w:t xml:space="preserve">3．澄清、说明或者补正</w:t>
      </w:r>
      <w:r/>
    </w:p>
    <w:p>
      <w:pPr>
        <w:ind w:firstLine="440"/>
        <w:spacing w:line="360" w:lineRule="auto"/>
        <w:rPr>
          <w:rFonts w:ascii="宋体" w:hAnsi="宋体" w:cs="宋体"/>
          <w:sz w:val="22"/>
        </w:rPr>
      </w:pPr>
      <w:r>
        <w:rPr>
          <w:rFonts w:hint="eastAsia" w:ascii="宋体" w:hAnsi="宋体" w:cs="宋体"/>
          <w:sz w:val="22"/>
        </w:rPr>
        <w:t xml:space="preserve">3.1在资格审查过程中，资格评审小组可以通过【询标】按钮要求投标人对所提交的资格证明文件中不明确的内容进行必要的澄清、说明或者补正。</w:t>
      </w:r>
      <w:r/>
    </w:p>
    <w:p>
      <w:pPr>
        <w:ind w:firstLine="440"/>
        <w:spacing w:line="360" w:lineRule="auto"/>
        <w:rPr>
          <w:rFonts w:ascii="宋体" w:hAnsi="宋体" w:cs="宋体"/>
          <w:sz w:val="22"/>
        </w:rPr>
      </w:pPr>
      <w:r>
        <w:rPr>
          <w:rFonts w:hint="eastAsia" w:ascii="宋体" w:hAnsi="宋体" w:cs="宋体"/>
          <w:sz w:val="22"/>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p>
    <w:p>
      <w:pPr>
        <w:ind w:firstLine="440"/>
        <w:spacing w:line="360" w:lineRule="auto"/>
        <w:rPr>
          <w:rFonts w:ascii="宋体" w:hAnsi="宋体" w:cs="宋体"/>
          <w:sz w:val="22"/>
        </w:rPr>
      </w:pPr>
      <w:r>
        <w:rPr>
          <w:rFonts w:hint="eastAsia" w:ascii="宋体" w:hAnsi="宋体" w:cs="宋体"/>
          <w:sz w:val="22"/>
        </w:rPr>
        <w:t xml:space="preserve">3.2 资格评审小组不接受投标人主动提出的澄清、说明或者补正。投标人不按资格评审小组的要求澄清、说明或补正的，资格评审小组将否决其投标。</w:t>
      </w:r>
      <w:r/>
    </w:p>
    <w:p>
      <w:pPr>
        <w:spacing w:line="360" w:lineRule="auto"/>
        <w:rPr>
          <w:rFonts w:ascii="黑体" w:hAnsi="黑体" w:eastAsia="黑体" w:cs="宋体"/>
          <w:b/>
          <w:bCs/>
          <w:sz w:val="22"/>
        </w:rPr>
      </w:pPr>
      <w:r>
        <w:rPr>
          <w:rFonts w:hint="eastAsia" w:ascii="黑体" w:hAnsi="黑体" w:eastAsia="黑体" w:cs="宋体"/>
          <w:b/>
          <w:bCs/>
          <w:sz w:val="22"/>
        </w:rPr>
        <w:t xml:space="preserve">4.审查结果</w:t>
      </w:r>
      <w:r/>
    </w:p>
    <w:p>
      <w:pPr>
        <w:ind w:firstLine="440"/>
        <w:spacing w:line="360" w:lineRule="auto"/>
        <w:rPr>
          <w:rFonts w:ascii="宋体" w:hAnsi="宋体" w:cs="宋体"/>
          <w:sz w:val="22"/>
        </w:rPr>
      </w:pPr>
      <w:r>
        <w:rPr>
          <w:rFonts w:hint="eastAsia" w:ascii="宋体" w:hAnsi="宋体" w:cs="宋体"/>
          <w:sz w:val="22"/>
        </w:rPr>
        <w:t xml:space="preserve">4.1 资格评审小组完成资格审查后，确定通过资格审查的投标人名单，并编制书面资格审查报告。</w:t>
      </w:r>
      <w:r/>
    </w:p>
    <w:p>
      <w:pPr>
        <w:ind w:firstLine="440"/>
        <w:spacing w:line="360" w:lineRule="auto"/>
        <w:rPr>
          <w:rFonts w:ascii="宋体" w:hAnsi="宋体" w:cs="宋体"/>
          <w:sz w:val="22"/>
        </w:rPr>
      </w:pPr>
      <w:r>
        <w:rPr>
          <w:rFonts w:hint="eastAsia" w:ascii="宋体" w:hAnsi="宋体" w:cs="宋体"/>
          <w:sz w:val="22"/>
        </w:rPr>
        <w:t xml:space="preserve">4.2 通过资格审查的投标人数量不足3个的，不再进行评标。 </w:t>
      </w:r>
      <w:r/>
    </w:p>
    <w:p>
      <w:pPr>
        <w:spacing w:line="520" w:lineRule="exact"/>
        <w:rPr>
          <w:rFonts w:ascii="宋体" w:hAnsi="宋体" w:cs="宋体"/>
          <w:sz w:val="22"/>
        </w:rPr>
      </w:pPr>
      <w:r>
        <w:rPr>
          <w:rFonts w:ascii="宋体" w:hAnsi="宋体" w:cs="宋体"/>
          <w:sz w:val="22"/>
        </w:rPr>
      </w:r>
      <w:r/>
    </w:p>
    <w:p>
      <w:pPr>
        <w:pStyle w:val="940"/>
        <w:jc w:val="center"/>
        <w:spacing w:after="20" w:line="240" w:lineRule="auto"/>
        <w:rPr>
          <w:rFonts w:ascii="微软雅黑" w:hAnsi="微软雅黑" w:eastAsia="微软雅黑" w:cs="微软雅黑"/>
          <w:b w:val="0"/>
          <w:bCs w:val="0"/>
          <w:sz w:val="36"/>
          <w:szCs w:val="36"/>
        </w:rPr>
      </w:pPr>
      <w:r/>
      <w:bookmarkStart w:id="118" w:name="_Toc152268441"/>
      <w:r>
        <w:rPr>
          <w:rFonts w:hint="eastAsia" w:ascii="微软雅黑" w:hAnsi="微软雅黑" w:eastAsia="微软雅黑" w:cs="微软雅黑"/>
          <w:b w:val="0"/>
          <w:bCs w:val="0"/>
          <w:sz w:val="36"/>
          <w:szCs w:val="36"/>
        </w:rPr>
        <w:t xml:space="preserve">第四章 评标办法</w:t>
      </w:r>
      <w:bookmarkEnd w:id="118"/>
      <w:r/>
      <w:r/>
    </w:p>
    <w:p>
      <w:pPr>
        <w:pStyle w:val="944"/>
        <w:ind w:firstLine="0"/>
        <w:jc w:val="center"/>
        <w:spacing w:before="0" w:after="0" w:line="360" w:lineRule="auto"/>
        <w:rPr>
          <w:sz w:val="28"/>
          <w:szCs w:val="21"/>
        </w:rPr>
      </w:pPr>
      <w:r>
        <w:rPr>
          <w:rFonts w:hint="eastAsia"/>
          <w:sz w:val="28"/>
          <w:szCs w:val="21"/>
        </w:rPr>
        <w:t xml:space="preserve">评标办法前附表</w:t>
      </w:r>
      <w:r/>
    </w:p>
    <w:tbl>
      <w:tblPr>
        <w:tblStyle w:val="704"/>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2550"/>
        <w:gridCol w:w="5818"/>
      </w:tblGrid>
      <w:tr>
        <w:trPr>
          <w:trHeight w:val="568"/>
        </w:trPr>
        <w:tc>
          <w:tcPr>
            <w:gridSpan w:val="2"/>
            <w:tcW w:w="345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条款号</w:t>
            </w:r>
            <w:r/>
          </w:p>
        </w:tc>
        <w:tc>
          <w:tcPr>
            <w:tcW w:w="5818" w:type="dxa"/>
            <w:vAlign w:val="center"/>
            <w:textDirection w:val="lrTb"/>
            <w:noWrap w:val="false"/>
          </w:tcPr>
          <w:p>
            <w:pPr>
              <w:ind w:firstLine="480"/>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评审因素与评审标准</w:t>
            </w:r>
            <w:r/>
          </w:p>
        </w:tc>
      </w:tr>
      <w:tr>
        <w:trPr>
          <w:trHeight w:val="3314"/>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2.1.1</w:t>
            </w:r>
            <w:r/>
          </w:p>
        </w:tc>
        <w:tc>
          <w:tcPr>
            <w:tcW w:w="2550" w:type="dxa"/>
            <w:vAlign w:val="center"/>
            <w:textDirection w:val="lrTb"/>
            <w:noWrap w:val="false"/>
          </w:tcPr>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符</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合</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性</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评</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审</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标</w:t>
            </w:r>
            <w:r/>
          </w:p>
          <w:p>
            <w:pPr>
              <w:jc w:val="center"/>
              <w:keepLines/>
              <w:keepNext/>
              <w:pageBreakBefore w:val="0"/>
              <w:spacing w:line="240" w:lineRule="atLeast"/>
              <w:widowControl w:val="off"/>
              <w:rPr>
                <w:rFonts w:ascii="宋体" w:hAnsi="宋体" w:cs="宋体"/>
                <w:b/>
                <w:bCs/>
                <w:sz w:val="22"/>
              </w:rPr>
              <w:outlineLvl w:val="2"/>
            </w:pPr>
            <w:r>
              <w:rPr>
                <w:rFonts w:hint="eastAsia" w:ascii="宋体" w:hAnsi="宋体" w:cs="宋体"/>
                <w:b/>
                <w:bCs/>
                <w:sz w:val="22"/>
              </w:rPr>
              <w:t xml:space="preserve">准</w:t>
            </w:r>
            <w:r/>
          </w:p>
        </w:tc>
        <w:tc>
          <w:tcPr>
            <w:tcW w:w="5818" w:type="dxa"/>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（1）投标文件组成齐全，格式、内容按招标文件的规定，字迹清晰可辩：</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（2）投标文件中单位和个人电子签章齐全，符合招标文件规定；</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（3）投标报价为唯一报价，且未提交选择性报价；</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（4）投标报价未高于采购人的最高限价；</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（5）投标人未提交可调价格的投标报价；</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（6）商务条款响应表中未出现负偏离；</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（7）技术条款响应表中加“★”项未出现负偏离；</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（8）投标报价分项表中产品品牌、规格/型号、国别及制造商名称填写完整、有效；</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（9）</w:t>
            </w:r>
            <w:r>
              <w:rPr>
                <w:rFonts w:hint="eastAsia" w:ascii="宋体" w:hAnsi="宋体" w:cs="宋体"/>
                <w:sz w:val="22"/>
                <w:lang w:val="en-US" w:eastAsia="zh-CN"/>
              </w:rPr>
              <w:t xml:space="preserve">投标产品投标产品制造商（注册人/备案人）（注册人/备案人）具备有效的《医疗器械投标产品制造商（注册人/备案人）许可证》（许可范围包含投标产品）和投标产品有效的《医疗器械注册证》</w:t>
            </w:r>
            <w:r>
              <w:rPr>
                <w:rFonts w:hint="eastAsia" w:ascii="宋体" w:hAnsi="宋体" w:cs="宋体"/>
                <w:sz w:val="22"/>
              </w:rPr>
              <w:t xml:space="preserve">；</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（10）投标产品具备有效的《医疗器械注册证》；</w:t>
            </w:r>
            <w:r/>
          </w:p>
          <w:p>
            <w:pPr>
              <w:keepLines/>
              <w:keepNext/>
              <w:pageBreakBefore w:val="0"/>
              <w:spacing w:line="240" w:lineRule="atLeast"/>
              <w:widowControl w:val="off"/>
              <w:rPr>
                <w:rFonts w:ascii="宋体" w:hAnsi="宋体" w:cs="宋体"/>
                <w:b/>
                <w:bCs/>
                <w:sz w:val="22"/>
              </w:rPr>
              <w:outlineLvl w:val="2"/>
            </w:pPr>
            <w:r>
              <w:rPr>
                <w:rFonts w:hint="eastAsia" w:ascii="宋体" w:hAnsi="宋体" w:cs="宋体"/>
                <w:sz w:val="22"/>
              </w:rPr>
              <w:t xml:space="preserve">（11）投标文件未附有采购人不能接受的条件。</w:t>
            </w:r>
            <w:r/>
          </w:p>
        </w:tc>
      </w:tr>
      <w:tr>
        <w:trPr>
          <w:trHeight w:val="588"/>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条款号</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条款内容</w:t>
            </w:r>
            <w:r/>
          </w:p>
        </w:tc>
        <w:tc>
          <w:tcPr>
            <w:tcW w:w="5818"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编列内容</w:t>
            </w:r>
            <w:r/>
          </w:p>
        </w:tc>
      </w:tr>
      <w:tr>
        <w:trPr>
          <w:trHeight w:val="978"/>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2.2.1</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分值构成</w:t>
            </w:r>
            <w:r/>
          </w:p>
          <w:p>
            <w:pPr>
              <w:pageBreakBefore w:val="0"/>
              <w:spacing w:line="240" w:lineRule="atLeast"/>
              <w:widowControl w:val="off"/>
              <w:rPr>
                <w:rFonts w:ascii="宋体" w:hAnsi="宋体" w:cs="宋体"/>
                <w:b/>
                <w:bCs/>
                <w:sz w:val="22"/>
              </w:rPr>
            </w:pPr>
            <w:r>
              <w:rPr>
                <w:rFonts w:hint="eastAsia" w:ascii="宋体" w:hAnsi="宋体" w:cs="宋体"/>
                <w:b/>
                <w:bCs/>
                <w:sz w:val="22"/>
              </w:rPr>
              <w:t xml:space="preserve">（总分100分）</w:t>
            </w:r>
            <w:r/>
          </w:p>
        </w:tc>
        <w:tc>
          <w:tcPr>
            <w:tcW w:w="5818" w:type="dxa"/>
            <w:vAlign w:val="center"/>
            <w:textDirection w:val="lrTb"/>
            <w:noWrap w:val="false"/>
          </w:tcPr>
          <w:p>
            <w:pPr>
              <w:jc w:val="left"/>
              <w:pageBreakBefore w:val="0"/>
              <w:spacing w:line="240" w:lineRule="atLeast"/>
              <w:widowControl w:val="off"/>
              <w:rPr>
                <w:rFonts w:ascii="宋体" w:hAnsi="宋体" w:cs="宋体"/>
                <w:sz w:val="22"/>
              </w:rPr>
            </w:pPr>
            <w:r>
              <w:rPr>
                <w:rFonts w:hint="eastAsia" w:ascii="宋体" w:hAnsi="宋体" w:cs="宋体"/>
                <w:sz w:val="22"/>
              </w:rPr>
              <w:t xml:space="preserve">供货与交付保障方案：6分</w:t>
            </w:r>
            <w:r/>
          </w:p>
          <w:p>
            <w:pPr>
              <w:jc w:val="left"/>
              <w:pageBreakBefore w:val="0"/>
              <w:spacing w:line="240" w:lineRule="atLeast"/>
              <w:widowControl w:val="off"/>
              <w:rPr>
                <w:rFonts w:ascii="宋体" w:hAnsi="宋体" w:cs="宋体"/>
                <w:sz w:val="22"/>
              </w:rPr>
            </w:pPr>
            <w:r>
              <w:rPr>
                <w:rFonts w:hint="eastAsia" w:ascii="宋体" w:hAnsi="宋体" w:cs="宋体"/>
                <w:sz w:val="22"/>
              </w:rPr>
              <w:t xml:space="preserve">运输装卸防护方案：6分</w:t>
            </w:r>
            <w:r/>
          </w:p>
          <w:p>
            <w:pPr>
              <w:jc w:val="left"/>
              <w:pageBreakBefore w:val="0"/>
              <w:spacing w:line="240" w:lineRule="atLeast"/>
              <w:widowControl w:val="off"/>
              <w:rPr>
                <w:rFonts w:ascii="宋体" w:hAnsi="宋体" w:cs="宋体"/>
                <w:sz w:val="22"/>
              </w:rPr>
            </w:pPr>
            <w:r>
              <w:rPr>
                <w:rFonts w:hint="eastAsia" w:ascii="宋体" w:hAnsi="宋体" w:cs="宋体"/>
                <w:sz w:val="22"/>
              </w:rPr>
              <w:t xml:space="preserve">现场安装调试质控方案：6分</w:t>
            </w:r>
            <w:r/>
          </w:p>
          <w:p>
            <w:pPr>
              <w:jc w:val="left"/>
              <w:pageBreakBefore w:val="0"/>
              <w:spacing w:line="240" w:lineRule="atLeast"/>
              <w:widowControl w:val="off"/>
              <w:rPr>
                <w:rFonts w:ascii="宋体" w:hAnsi="宋体" w:cs="宋体"/>
                <w:sz w:val="22"/>
              </w:rPr>
            </w:pPr>
            <w:r>
              <w:rPr>
                <w:rFonts w:hint="eastAsia" w:ascii="宋体" w:hAnsi="宋体" w:cs="宋体"/>
                <w:sz w:val="22"/>
              </w:rPr>
              <w:t xml:space="preserve">操作与维护培训方案：6分</w:t>
            </w:r>
            <w:r/>
          </w:p>
          <w:p>
            <w:pPr>
              <w:jc w:val="left"/>
              <w:pageBreakBefore w:val="0"/>
              <w:spacing w:line="240" w:lineRule="atLeast"/>
              <w:widowControl w:val="off"/>
              <w:rPr>
                <w:rFonts w:ascii="宋体" w:hAnsi="宋体" w:cs="宋体"/>
                <w:sz w:val="22"/>
              </w:rPr>
            </w:pPr>
            <w:r>
              <w:rPr>
                <w:rFonts w:hint="eastAsia" w:ascii="宋体" w:hAnsi="宋体" w:cs="宋体"/>
                <w:sz w:val="22"/>
              </w:rPr>
              <w:t xml:space="preserve">技术响应：37分</w:t>
            </w:r>
            <w:r/>
          </w:p>
          <w:p>
            <w:pPr>
              <w:jc w:val="left"/>
              <w:pageBreakBefore w:val="0"/>
              <w:spacing w:line="240" w:lineRule="atLeast"/>
              <w:widowControl w:val="off"/>
              <w:rPr>
                <w:rFonts w:ascii="宋体" w:hAnsi="宋体" w:cs="宋体"/>
                <w:sz w:val="22"/>
              </w:rPr>
            </w:pPr>
            <w:r>
              <w:rPr>
                <w:rFonts w:hint="eastAsia" w:ascii="宋体" w:hAnsi="宋体" w:cs="宋体"/>
                <w:sz w:val="22"/>
              </w:rPr>
              <w:t xml:space="preserve">类似业绩：9分</w:t>
            </w:r>
            <w:r/>
          </w:p>
          <w:p>
            <w:pPr>
              <w:jc w:val="left"/>
              <w:pageBreakBefore w:val="0"/>
              <w:spacing w:line="240" w:lineRule="atLeast"/>
              <w:widowControl w:val="off"/>
              <w:rPr>
                <w:rFonts w:ascii="宋体" w:hAnsi="宋体" w:cs="宋体"/>
                <w:b/>
                <w:bCs/>
                <w:sz w:val="22"/>
              </w:rPr>
            </w:pPr>
            <w:r>
              <w:rPr>
                <w:rFonts w:hint="eastAsia" w:ascii="宋体" w:hAnsi="宋体" w:cs="宋体"/>
                <w:sz w:val="22"/>
              </w:rPr>
              <w:t xml:space="preserve">投标价格：30分</w:t>
            </w:r>
            <w:r/>
          </w:p>
        </w:tc>
      </w:tr>
      <w:tr>
        <w:trPr>
          <w:trHeight w:val="570"/>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条款号</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评分因素</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及分值</w:t>
            </w:r>
            <w:r/>
          </w:p>
        </w:tc>
        <w:tc>
          <w:tcPr>
            <w:tcW w:w="5818"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评分标准</w:t>
            </w:r>
            <w:r/>
          </w:p>
        </w:tc>
      </w:tr>
      <w:tr>
        <w:trPr>
          <w:trHeight w:val="1808"/>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（1）</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供货计划与交付保障</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（6分）</w:t>
            </w:r>
            <w:r/>
          </w:p>
        </w:tc>
        <w:tc>
          <w:tcPr>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针对订单确认、原厂排产计划、出厂检验、交付时间节点表；交货周期保障措施、货源库存保障等进行评审：</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（1）计划完整、节点清晰、保障措施详实可行的得6分；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（2）计划较完整、节点较清晰、保障措施较详实可行的得5分；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（3）有供货计划，保障措施一般的得4分；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（4）仅有简单文字描述，无进度计划表的0分。</w:t>
            </w:r>
            <w:r/>
          </w:p>
        </w:tc>
      </w:tr>
      <w:tr>
        <w:trPr>
          <w:trHeight w:val="343"/>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运输装卸防护方案</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（6分）</w:t>
            </w:r>
            <w:r/>
          </w:p>
        </w:tc>
        <w:tc>
          <w:tcPr>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针对彩超精密电子设备，提供防震、防潮、防尘运输方案；具备医疗器械合规物流、专业装卸、现场通道勘测、楼层转运保护措施等进行评分。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（1）运输装卸方案完整专业、防护措施恰当的得6分；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（2）运输装卸方案较专业、防护措施较恰当的得5分；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（3）运输装卸方案内容简略，防护措施一般的得4分；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（3）无运输装卸防护方案的0分。</w:t>
            </w:r>
            <w:r/>
          </w:p>
        </w:tc>
      </w:tr>
      <w:tr>
        <w:trPr>
          <w:trHeight w:val="1925"/>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（3）</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现场安装调试质控方案</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（6分）</w:t>
            </w:r>
            <w:r/>
          </w:p>
        </w:tc>
        <w:tc>
          <w:tcPr>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针对设备安装流程、整机调试、图像性能校准、超声质控检测、随机资料移交清单（中文操作手册、维修资料）等进行评分。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（1）方案内容齐全、完全符合超声设备国家标准、规范的得6分；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（2）方案内容较齐全、较大程度的符合超声设备国家标准、规范的得5分；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（3）方案内容基本齐全、基本符合超声设备国家标准、规范的得4分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（4）方案内容残缺、明显不符合超声设备国家标准、规范的0分；</w:t>
            </w:r>
            <w:r/>
          </w:p>
        </w:tc>
      </w:tr>
      <w:tr>
        <w:trPr>
          <w:trHeight w:val="90"/>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（4）</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操作与维护培训方案</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（6分）</w:t>
            </w:r>
            <w:r/>
          </w:p>
        </w:tc>
        <w:tc>
          <w:tcPr>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sz w:val="24"/>
                <w:szCs w:val="24"/>
              </w:rPr>
              <w:t xml:space="preserve">针对设备使用过程中的操作规程、保养与管理、常见故障的排除、紧急情况的处理等</w:t>
            </w:r>
            <w:r>
              <w:rPr>
                <w:rFonts w:hint="eastAsia" w:ascii="宋体" w:hAnsi="宋体" w:cs="宋体"/>
                <w:sz w:val="22"/>
              </w:rPr>
              <w:t xml:space="preserve">进行评审：</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（1）培训方案全面具体，具有可直接全面执行，有效保障本项目实施的得6分；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（2）培训方案内容基本完整，具备一定执行性，基本保障本项目服务实施的得5分；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（3）培训方案不够全面，方案可行较低，难以保障本项目服务实施，得4分；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（4）未编制培训服务方案的0分。</w:t>
            </w:r>
            <w:r/>
          </w:p>
        </w:tc>
      </w:tr>
      <w:tr>
        <w:trPr>
          <w:trHeight w:val="1050"/>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（5）</w:t>
            </w:r>
            <w:r/>
          </w:p>
        </w:tc>
        <w:tc>
          <w:tcPr>
            <w:shd w:val="clear" w:color="auto" w:fill="auto"/>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技术响应</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（37分）</w:t>
            </w:r>
            <w:r/>
          </w:p>
        </w:tc>
        <w:tc>
          <w:tcPr>
            <w:shd w:val="clear" w:color="auto" w:fill="auto"/>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《技术响应表》中加“▲”号技术要求满足招标要求的得2分/项【共9项18分】；非“</w:t>
            </w:r>
            <w:r>
              <w:rPr>
                <w:rFonts w:hint="eastAsia" w:ascii="宋体" w:hAnsi="宋体" w:cs="宋体"/>
                <w:sz w:val="22"/>
                <w:lang w:val="en-US" w:eastAsia="zh-CN"/>
              </w:rPr>
              <w:t xml:space="preserve">★</w:t>
            </w:r>
            <w:r>
              <w:rPr>
                <w:rFonts w:hint="eastAsia" w:ascii="宋体" w:hAnsi="宋体" w:cs="宋体"/>
                <w:sz w:val="22"/>
              </w:rPr>
              <w:t xml:space="preserve">”</w:t>
            </w:r>
            <w:r>
              <w:rPr>
                <w:rFonts w:hint="eastAsia" w:ascii="宋体" w:hAnsi="宋体" w:cs="宋体"/>
                <w:sz w:val="22"/>
                <w:lang w:eastAsia="zh-CN"/>
              </w:rPr>
              <w:t xml:space="preserve">、</w:t>
            </w:r>
            <w:r>
              <w:rPr>
                <w:rFonts w:hint="eastAsia" w:ascii="宋体" w:hAnsi="宋体" w:cs="宋体"/>
                <w:sz w:val="22"/>
              </w:rPr>
              <w:t xml:space="preserve">“▲”号技术要求满足招标要求的得0.5分【共38项19分】。本项满分37分。</w:t>
            </w:r>
            <w:r/>
          </w:p>
        </w:tc>
      </w:tr>
      <w:tr>
        <w:trPr>
          <w:trHeight w:val="1314"/>
        </w:trPr>
        <w:tc>
          <w:tcPr>
            <w:shd w:val="clear" w:color="auto" w:fill="auto"/>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w:t>
            </w:r>
            <w:r>
              <w:rPr>
                <w:rFonts w:hint="eastAsia" w:ascii="宋体" w:hAnsi="宋体" w:cs="宋体"/>
                <w:b/>
                <w:bCs/>
                <w:sz w:val="22"/>
                <w:lang w:val="en-US" w:eastAsia="zh-CN"/>
              </w:rPr>
              <w:t xml:space="preserve">6</w:t>
            </w:r>
            <w:r>
              <w:rPr>
                <w:rFonts w:hint="eastAsia" w:ascii="宋体" w:hAnsi="宋体" w:cs="宋体"/>
                <w:b/>
                <w:bCs/>
                <w:sz w:val="22"/>
              </w:rPr>
              <w:t xml:space="preserve">）</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类似业绩</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（9分）</w:t>
            </w:r>
            <w:r/>
          </w:p>
        </w:tc>
        <w:tc>
          <w:tcPr>
            <w:tcW w:w="5818" w:type="dxa"/>
            <w:vAlign w:val="center"/>
            <w:textDirection w:val="lrTb"/>
            <w:noWrap w:val="false"/>
          </w:tcPr>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提供2023年1月1日（合同签订日）以来，投标人同品牌同型号销售合同的，毎提供一份得3分，最多得9分。</w:t>
            </w:r>
            <w:r/>
          </w:p>
          <w:p>
            <w:pPr>
              <w:keepLines/>
              <w:keepNext/>
              <w:pageBreakBefore w:val="0"/>
              <w:spacing w:line="240" w:lineRule="atLeast"/>
              <w:widowControl w:val="off"/>
              <w:rPr>
                <w:rFonts w:ascii="宋体" w:hAnsi="宋体" w:cs="宋体"/>
                <w:sz w:val="22"/>
              </w:rPr>
              <w:outlineLvl w:val="2"/>
            </w:pPr>
            <w:r>
              <w:rPr>
                <w:rFonts w:hint="eastAsia" w:ascii="宋体" w:hAnsi="宋体" w:cs="宋体"/>
                <w:sz w:val="22"/>
              </w:rPr>
              <w:t xml:space="preserve">注：需提供与最终用户签订的合同（关键页）及由最终用户盖章确认的安装验收报告原件扫描件。</w:t>
            </w:r>
            <w:r/>
          </w:p>
        </w:tc>
      </w:tr>
      <w:tr>
        <w:trPr/>
        <w:tc>
          <w:tcPr>
            <w:tcW w:w="903"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2.2.2</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w:t>
            </w:r>
            <w:r>
              <w:rPr>
                <w:rFonts w:hint="eastAsia" w:ascii="宋体" w:hAnsi="宋体" w:cs="宋体"/>
                <w:b/>
                <w:bCs/>
                <w:sz w:val="22"/>
                <w:lang w:val="en-US" w:eastAsia="zh-CN"/>
              </w:rPr>
              <w:t xml:space="preserve">7</w:t>
            </w:r>
            <w:r>
              <w:rPr>
                <w:rFonts w:hint="eastAsia" w:ascii="宋体" w:hAnsi="宋体" w:cs="宋体"/>
                <w:b/>
                <w:bCs/>
                <w:sz w:val="22"/>
              </w:rPr>
              <w:t xml:space="preserve">）</w:t>
            </w:r>
            <w:r/>
          </w:p>
        </w:tc>
        <w:tc>
          <w:tcPr>
            <w:tcW w:w="2550" w:type="dxa"/>
            <w:vAlign w:val="center"/>
            <w:textDirection w:val="lrTb"/>
            <w:noWrap w:val="false"/>
          </w:tcPr>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投标价格</w:t>
            </w:r>
            <w:r/>
          </w:p>
          <w:p>
            <w:pPr>
              <w:jc w:val="center"/>
              <w:pageBreakBefore w:val="0"/>
              <w:spacing w:line="240" w:lineRule="atLeast"/>
              <w:widowControl w:val="off"/>
              <w:rPr>
                <w:rFonts w:ascii="宋体" w:hAnsi="宋体" w:cs="宋体"/>
                <w:b/>
                <w:bCs/>
                <w:sz w:val="22"/>
              </w:rPr>
            </w:pPr>
            <w:r>
              <w:rPr>
                <w:rFonts w:hint="eastAsia" w:ascii="宋体" w:hAnsi="宋体" w:cs="宋体"/>
                <w:b/>
                <w:bCs/>
                <w:sz w:val="22"/>
              </w:rPr>
              <w:t xml:space="preserve">（30分）</w:t>
            </w:r>
            <w:r/>
          </w:p>
        </w:tc>
        <w:tc>
          <w:tcPr>
            <w:tcW w:w="5818" w:type="dxa"/>
            <w:vAlign w:val="center"/>
            <w:textDirection w:val="lrTb"/>
            <w:noWrap w:val="false"/>
          </w:tcPr>
          <w:p>
            <w:pPr>
              <w:pStyle w:val="946"/>
              <w:keepLines w:val="0"/>
              <w:keepNext w:val="0"/>
              <w:pageBreakBefore w:val="0"/>
              <w:spacing w:before="0" w:after="0" w:line="240" w:lineRule="atLeast"/>
              <w:widowControl w:val="off"/>
              <w:rPr>
                <w:rFonts w:ascii="宋体" w:hAnsi="宋体" w:cs="宋体"/>
                <w:b w:val="0"/>
                <w:bCs w:val="0"/>
                <w:sz w:val="22"/>
                <w:szCs w:val="22"/>
              </w:rPr>
            </w:pPr>
            <w:r>
              <w:rPr>
                <w:rFonts w:hint="eastAsia" w:ascii="宋体" w:hAnsi="宋体" w:cs="宋体"/>
                <w:b w:val="0"/>
                <w:bCs w:val="0"/>
                <w:sz w:val="22"/>
                <w:szCs w:val="22"/>
              </w:rPr>
              <w:t xml:space="preserve">价格分采用低价优先法计算，即满足招标文件要求且投标价格最低的投标报价为评标基准价，其价格分为满分。其他投标人的价格分统一按照下列公式计算： </w:t>
            </w:r>
            <w:r/>
          </w:p>
          <w:p>
            <w:pPr>
              <w:pStyle w:val="946"/>
              <w:ind w:firstLine="210"/>
              <w:keepLines w:val="0"/>
              <w:keepNext w:val="0"/>
              <w:pageBreakBefore w:val="0"/>
              <w:spacing w:before="0" w:after="0" w:line="240" w:lineRule="atLeast"/>
              <w:widowControl w:val="off"/>
              <w:rPr>
                <w:rFonts w:ascii="宋体" w:hAnsi="宋体" w:cs="宋体"/>
                <w:b w:val="0"/>
                <w:bCs w:val="0"/>
                <w:sz w:val="22"/>
                <w:szCs w:val="22"/>
              </w:rPr>
            </w:pPr>
            <w:r>
              <w:rPr>
                <w:rFonts w:hint="eastAsia" w:ascii="宋体" w:hAnsi="宋体" w:cs="宋体"/>
                <w:b w:val="0"/>
                <w:bCs w:val="0"/>
                <w:sz w:val="22"/>
                <w:szCs w:val="22"/>
              </w:rPr>
              <w:t xml:space="preserve">投标报价得分=（评标基准价/投标报价）×30。</w:t>
            </w:r>
            <w:r/>
          </w:p>
          <w:p>
            <w:pPr>
              <w:pStyle w:val="954"/>
              <w:pageBreakBefore w:val="0"/>
              <w:spacing w:after="0" w:line="240" w:lineRule="atLeast"/>
              <w:widowControl w:val="off"/>
              <w:rPr>
                <w:rFonts w:ascii="宋体" w:hAnsi="宋体" w:cs="宋体"/>
                <w:b/>
                <w:bCs/>
                <w:sz w:val="22"/>
                <w:szCs w:val="22"/>
              </w:rPr>
            </w:pPr>
            <w:r>
              <w:rPr>
                <w:rFonts w:hint="eastAsia" w:ascii="宋体" w:hAnsi="宋体" w:cs="宋体"/>
                <w:b/>
                <w:bCs/>
                <w:sz w:val="22"/>
                <w:szCs w:val="22"/>
              </w:rPr>
              <w:t xml:space="preserve">注：</w:t>
            </w:r>
            <w:r/>
          </w:p>
          <w:p>
            <w:pPr>
              <w:pStyle w:val="954"/>
              <w:numPr>
                <w:ilvl w:val="0"/>
                <w:numId w:val="1"/>
              </w:numPr>
              <w:ind w:firstLine="442"/>
              <w:pageBreakBefore w:val="0"/>
              <w:spacing w:after="0" w:line="240" w:lineRule="atLeast"/>
              <w:widowControl w:val="off"/>
              <w:rPr>
                <w:rFonts w:ascii="宋体" w:hAnsi="宋体" w:cs="宋体"/>
                <w:b/>
                <w:bCs/>
                <w:sz w:val="22"/>
                <w:szCs w:val="22"/>
              </w:rPr>
            </w:pPr>
            <w:r>
              <w:rPr>
                <w:rFonts w:hint="eastAsia" w:ascii="宋体" w:hAnsi="宋体" w:cs="宋体"/>
                <w:b/>
                <w:bCs/>
                <w:sz w:val="22"/>
                <w:szCs w:val="22"/>
              </w:rPr>
              <w:t xml:space="preserve">对符合条件的小型企业或微型企业或残疾人福利性企业或监狱企业，以投标报价扣除10%后的价格参与评审。</w:t>
            </w:r>
            <w:r/>
          </w:p>
          <w:p>
            <w:pPr>
              <w:pStyle w:val="946"/>
              <w:ind w:firstLine="442"/>
              <w:keepLines w:val="0"/>
              <w:keepNext w:val="0"/>
              <w:pageBreakBefore w:val="0"/>
              <w:spacing w:before="0" w:after="0" w:line="240" w:lineRule="atLeast"/>
              <w:widowControl w:val="off"/>
              <w:rPr>
                <w:rFonts w:ascii="宋体" w:hAnsi="宋体" w:cs="宋体"/>
                <w:b w:val="0"/>
                <w:bCs w:val="0"/>
                <w:sz w:val="22"/>
                <w:szCs w:val="22"/>
              </w:rPr>
            </w:pPr>
            <w:r>
              <w:rPr>
                <w:rFonts w:hint="eastAsia" w:ascii="宋体" w:hAnsi="宋体" w:cs="宋体"/>
                <w:sz w:val="22"/>
                <w:szCs w:val="22"/>
              </w:rPr>
              <w:t xml:space="preserve">（2）对符合本国产品标准的产品，对该投标人提供的全部产品的总报价给予20%的价格扣除，用扣除后的价格参与评审。</w:t>
            </w:r>
            <w:r/>
          </w:p>
        </w:tc>
      </w:tr>
    </w:tbl>
    <w:p>
      <w:r/>
      <w:r/>
    </w:p>
    <w:p>
      <w:r/>
      <w:r/>
    </w:p>
    <w:p>
      <w:r/>
      <w:r/>
    </w:p>
    <w:p>
      <w:r/>
      <w:r/>
    </w:p>
    <w:p>
      <w:r/>
      <w:r/>
    </w:p>
    <w:p>
      <w:r/>
      <w:r/>
    </w:p>
    <w:p>
      <w:r/>
      <w:r/>
    </w:p>
    <w:p>
      <w:r/>
      <w:r/>
    </w:p>
    <w:p>
      <w:r/>
      <w:r/>
    </w:p>
    <w:p>
      <w:pPr>
        <w:pStyle w:val="944"/>
        <w:ind w:firstLine="108"/>
        <w:spacing w:line="360" w:lineRule="auto"/>
        <w:rPr>
          <w:rFonts w:ascii="黑体" w:cs="黑体"/>
          <w:b/>
          <w:bCs/>
          <w:szCs w:val="24"/>
        </w:rPr>
      </w:pPr>
      <w:r>
        <w:rPr>
          <w:rFonts w:hint="eastAsia" w:ascii="黑体" w:cs="黑体"/>
          <w:b/>
          <w:bCs/>
          <w:szCs w:val="24"/>
        </w:rPr>
        <w:t xml:space="preserve">1. 评标方法</w:t>
      </w:r>
      <w:bookmarkEnd w:id="112"/>
      <w:r/>
      <w:bookmarkEnd w:id="113"/>
      <w:r/>
      <w:bookmarkEnd w:id="114"/>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p>
    <w:p>
      <w:pPr>
        <w:pStyle w:val="944"/>
        <w:ind w:firstLine="108"/>
        <w:spacing w:line="360" w:lineRule="auto"/>
        <w:rPr>
          <w:rFonts w:ascii="黑体" w:cs="黑体"/>
          <w:b/>
          <w:bCs/>
          <w:szCs w:val="24"/>
        </w:rPr>
      </w:pPr>
      <w:r/>
      <w:bookmarkStart w:id="119" w:name="_Toc234382665"/>
      <w:r/>
      <w:bookmarkStart w:id="120" w:name="_Toc16894"/>
      <w:r/>
      <w:bookmarkStart w:id="121" w:name="_Toc1971"/>
      <w:r>
        <w:rPr>
          <w:rFonts w:hint="eastAsia" w:ascii="黑体" w:cs="黑体"/>
          <w:b/>
          <w:bCs/>
          <w:szCs w:val="24"/>
        </w:rPr>
        <w:t xml:space="preserve">2. 评审标准</w:t>
      </w:r>
      <w:bookmarkEnd w:id="119"/>
      <w:r/>
      <w:bookmarkEnd w:id="120"/>
      <w:r/>
      <w:bookmarkEnd w:id="121"/>
      <w:r/>
      <w:r/>
    </w:p>
    <w:p>
      <w:pPr>
        <w:ind w:firstLine="442"/>
        <w:spacing w:line="360" w:lineRule="auto"/>
        <w:rPr>
          <w:rFonts w:ascii="宋体" w:hAnsi="宋体"/>
          <w:b/>
          <w:bCs/>
          <w:sz w:val="24"/>
          <w:szCs w:val="24"/>
        </w:rPr>
      </w:pPr>
      <w:r/>
      <w:bookmarkStart w:id="122" w:name="_Toc3536"/>
      <w:r>
        <w:rPr>
          <w:rFonts w:hint="eastAsia" w:ascii="宋体" w:hAnsi="宋体"/>
          <w:b/>
          <w:bCs/>
          <w:sz w:val="24"/>
          <w:szCs w:val="24"/>
        </w:rPr>
        <w:t xml:space="preserve">2.1 符合性评审标准</w:t>
      </w:r>
      <w:bookmarkEnd w:id="122"/>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符合性评审标准：</w:t>
      </w:r>
      <w:r>
        <w:rPr>
          <w:rFonts w:ascii="华文中宋" w:hAnsi="华文中宋" w:eastAsia="华文中宋"/>
          <w:sz w:val="24"/>
          <w:szCs w:val="24"/>
        </w:rPr>
        <w:t xml:space="preserve">见评标办法前附表。</w:t>
      </w:r>
      <w:r/>
    </w:p>
    <w:p>
      <w:pPr>
        <w:ind w:firstLine="442"/>
        <w:spacing w:line="360" w:lineRule="auto"/>
        <w:rPr>
          <w:rFonts w:ascii="宋体" w:hAnsi="宋体"/>
          <w:b/>
          <w:bCs/>
          <w:sz w:val="24"/>
          <w:szCs w:val="24"/>
        </w:rPr>
      </w:pPr>
      <w:r/>
      <w:bookmarkStart w:id="123" w:name="_Toc23546"/>
      <w:r/>
      <w:bookmarkStart w:id="124" w:name="_Toc29235"/>
      <w:r/>
      <w:bookmarkStart w:id="125" w:name="_Toc234382667"/>
      <w:r>
        <w:rPr>
          <w:rFonts w:ascii="宋体" w:hAnsi="宋体"/>
          <w:b/>
          <w:bCs/>
          <w:sz w:val="24"/>
          <w:szCs w:val="24"/>
        </w:rPr>
        <w:t xml:space="preserve">2.</w:t>
      </w:r>
      <w:r>
        <w:rPr>
          <w:rFonts w:hint="eastAsia" w:ascii="宋体" w:hAnsi="宋体"/>
          <w:b/>
          <w:bCs/>
          <w:sz w:val="24"/>
          <w:szCs w:val="24"/>
        </w:rPr>
        <w:t xml:space="preserve">2</w:t>
      </w:r>
      <w:r>
        <w:rPr>
          <w:rFonts w:ascii="宋体" w:hAnsi="宋体"/>
          <w:b/>
          <w:bCs/>
          <w:sz w:val="24"/>
          <w:szCs w:val="24"/>
        </w:rPr>
        <w:t xml:space="preserve"> 分值构成与评分标准</w:t>
      </w:r>
      <w:bookmarkEnd w:id="123"/>
      <w:r/>
      <w:bookmarkEnd w:id="124"/>
      <w:r/>
      <w:bookmarkEnd w:id="125"/>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2.</w:t>
      </w:r>
      <w:r>
        <w:rPr>
          <w:rFonts w:hint="eastAsia" w:ascii="华文中宋" w:hAnsi="华文中宋" w:eastAsia="华文中宋"/>
          <w:sz w:val="24"/>
          <w:szCs w:val="24"/>
        </w:rPr>
        <w:t xml:space="preserve">2</w:t>
      </w:r>
      <w:r>
        <w:rPr>
          <w:rFonts w:ascii="华文中宋" w:hAnsi="华文中宋" w:eastAsia="华文中宋"/>
          <w:sz w:val="24"/>
          <w:szCs w:val="24"/>
        </w:rPr>
        <w:t xml:space="preserve">.1 分值构成</w:t>
      </w:r>
      <w:r>
        <w:rPr>
          <w:rFonts w:hint="eastAsia" w:ascii="华文中宋" w:hAnsi="华文中宋" w:eastAsia="华文中宋"/>
          <w:sz w:val="24"/>
          <w:szCs w:val="24"/>
        </w:rPr>
        <w:t xml:space="preserve">：</w:t>
      </w:r>
      <w:r>
        <w:rPr>
          <w:rFonts w:ascii="华文中宋" w:hAnsi="华文中宋" w:eastAsia="华文中宋"/>
          <w:sz w:val="24"/>
          <w:szCs w:val="24"/>
        </w:rPr>
        <w:t xml:space="preserve">见评标办法前附表；</w:t>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2.</w:t>
      </w:r>
      <w:r>
        <w:rPr>
          <w:rFonts w:hint="eastAsia" w:ascii="华文中宋" w:hAnsi="华文中宋" w:eastAsia="华文中宋"/>
          <w:sz w:val="24"/>
          <w:szCs w:val="24"/>
        </w:rPr>
        <w:t xml:space="preserve">2</w:t>
      </w:r>
      <w:r>
        <w:rPr>
          <w:rFonts w:ascii="华文中宋" w:hAnsi="华文中宋" w:eastAsia="华文中宋"/>
          <w:sz w:val="24"/>
          <w:szCs w:val="24"/>
        </w:rPr>
        <w:t xml:space="preserve">.</w:t>
      </w:r>
      <w:r>
        <w:rPr>
          <w:rFonts w:hint="eastAsia" w:ascii="华文中宋" w:hAnsi="华文中宋" w:eastAsia="华文中宋"/>
          <w:sz w:val="24"/>
          <w:szCs w:val="24"/>
        </w:rPr>
        <w:t xml:space="preserve">2 </w:t>
      </w:r>
      <w:r>
        <w:rPr>
          <w:rFonts w:ascii="华文中宋" w:hAnsi="华文中宋" w:eastAsia="华文中宋"/>
          <w:sz w:val="24"/>
          <w:szCs w:val="24"/>
        </w:rPr>
        <w:t xml:space="preserve">评分标准</w:t>
      </w:r>
      <w:r>
        <w:rPr>
          <w:rFonts w:hint="eastAsia" w:ascii="华文中宋" w:hAnsi="华文中宋" w:eastAsia="华文中宋"/>
          <w:sz w:val="24"/>
          <w:szCs w:val="24"/>
        </w:rPr>
        <w:t xml:space="preserve">：</w:t>
      </w:r>
      <w:r>
        <w:rPr>
          <w:rFonts w:ascii="华文中宋" w:hAnsi="华文中宋" w:eastAsia="华文中宋"/>
          <w:sz w:val="24"/>
          <w:szCs w:val="24"/>
        </w:rPr>
        <w:t xml:space="preserve">见评标办法前附表。</w:t>
      </w:r>
      <w:r/>
    </w:p>
    <w:p>
      <w:pPr>
        <w:pStyle w:val="944"/>
        <w:ind w:firstLine="108"/>
        <w:spacing w:line="360" w:lineRule="auto"/>
        <w:rPr>
          <w:rFonts w:ascii="黑体" w:cs="黑体"/>
          <w:b/>
          <w:bCs/>
          <w:szCs w:val="24"/>
        </w:rPr>
      </w:pPr>
      <w:r/>
      <w:bookmarkStart w:id="126" w:name="_Toc8953"/>
      <w:r/>
      <w:bookmarkStart w:id="127" w:name="_Toc234382668"/>
      <w:r/>
      <w:bookmarkStart w:id="128" w:name="_Toc24010"/>
      <w:r>
        <w:rPr>
          <w:rFonts w:hint="eastAsia" w:ascii="黑体" w:cs="黑体"/>
          <w:b/>
          <w:bCs/>
          <w:szCs w:val="24"/>
        </w:rPr>
        <w:t xml:space="preserve">3. 评标程序</w:t>
      </w:r>
      <w:bookmarkEnd w:id="126"/>
      <w:r/>
      <w:bookmarkEnd w:id="127"/>
      <w:r/>
      <w:bookmarkEnd w:id="128"/>
      <w:r/>
      <w:r/>
    </w:p>
    <w:p>
      <w:pPr>
        <w:ind w:firstLine="442"/>
        <w:spacing w:line="360" w:lineRule="auto"/>
        <w:rPr>
          <w:rFonts w:ascii="宋体" w:hAnsi="宋体"/>
          <w:sz w:val="24"/>
          <w:szCs w:val="24"/>
        </w:rPr>
      </w:pPr>
      <w:r/>
      <w:bookmarkStart w:id="129" w:name="_Toc9836"/>
      <w:r/>
      <w:bookmarkStart w:id="130" w:name="_Toc6644"/>
      <w:r>
        <w:rPr>
          <w:rFonts w:hint="eastAsia" w:ascii="宋体" w:hAnsi="宋体"/>
          <w:b/>
          <w:bCs/>
          <w:sz w:val="24"/>
          <w:szCs w:val="24"/>
        </w:rPr>
        <w:t xml:space="preserve">3.1 符合性评审</w:t>
      </w:r>
      <w:bookmarkEnd w:id="129"/>
      <w:r/>
      <w:bookmarkEnd w:id="130"/>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3.1.1 </w:t>
      </w:r>
      <w:r>
        <w:rPr>
          <w:rFonts w:ascii="华文中宋" w:hAnsi="华文中宋" w:eastAsia="华文中宋"/>
          <w:sz w:val="24"/>
          <w:szCs w:val="24"/>
        </w:rPr>
        <w:t xml:space="preserve">评标委员会依据本章第2.</w:t>
      </w:r>
      <w:r>
        <w:rPr>
          <w:rFonts w:hint="eastAsia" w:ascii="华文中宋" w:hAnsi="华文中宋" w:eastAsia="华文中宋"/>
          <w:sz w:val="24"/>
          <w:szCs w:val="24"/>
        </w:rPr>
        <w:t xml:space="preserve">1</w:t>
      </w:r>
      <w:r>
        <w:rPr>
          <w:rFonts w:ascii="华文中宋" w:hAnsi="华文中宋" w:eastAsia="华文中宋"/>
          <w:sz w:val="24"/>
          <w:szCs w:val="24"/>
        </w:rPr>
        <w:t xml:space="preserve">项规定的</w:t>
      </w:r>
      <w:r>
        <w:rPr>
          <w:rFonts w:hint="eastAsia" w:ascii="华文中宋" w:hAnsi="华文中宋" w:eastAsia="华文中宋"/>
          <w:sz w:val="24"/>
          <w:szCs w:val="24"/>
        </w:rPr>
        <w:t xml:space="preserve">符合性</w:t>
      </w:r>
      <w:r>
        <w:rPr>
          <w:rFonts w:ascii="华文中宋" w:hAnsi="华文中宋" w:eastAsia="华文中宋"/>
          <w:sz w:val="24"/>
          <w:szCs w:val="24"/>
        </w:rPr>
        <w:t xml:space="preserve">评审标准</w:t>
      </w:r>
      <w:r>
        <w:rPr>
          <w:rFonts w:hint="eastAsia" w:ascii="华文中宋" w:hAnsi="华文中宋" w:eastAsia="华文中宋"/>
          <w:sz w:val="24"/>
          <w:szCs w:val="24"/>
        </w:rPr>
        <w:t xml:space="preserve">，</w:t>
      </w:r>
      <w:r>
        <w:rPr>
          <w:rFonts w:ascii="华文中宋" w:hAnsi="华文中宋" w:eastAsia="华文中宋"/>
          <w:sz w:val="24"/>
          <w:szCs w:val="24"/>
        </w:rPr>
        <w:t xml:space="preserve">对</w:t>
      </w:r>
      <w:r>
        <w:rPr>
          <w:rFonts w:hint="eastAsia" w:ascii="华文中宋" w:hAnsi="华文中宋" w:eastAsia="华文中宋"/>
          <w:sz w:val="24"/>
          <w:szCs w:val="24"/>
        </w:rPr>
        <w:t xml:space="preserve">通过资格评审的</w:t>
      </w:r>
      <w:r>
        <w:rPr>
          <w:rFonts w:ascii="华文中宋" w:hAnsi="华文中宋" w:eastAsia="华文中宋"/>
          <w:sz w:val="24"/>
          <w:szCs w:val="24"/>
        </w:rPr>
        <w:t xml:space="preserve">投标文件进行</w:t>
      </w:r>
      <w:r>
        <w:rPr>
          <w:rFonts w:hint="eastAsia" w:ascii="华文中宋" w:hAnsi="华文中宋" w:eastAsia="华文中宋"/>
          <w:sz w:val="24"/>
          <w:szCs w:val="24"/>
        </w:rPr>
        <w:t xml:space="preserve">符合性评审</w:t>
      </w:r>
      <w:r>
        <w:rPr>
          <w:rFonts w:ascii="华文中宋" w:hAnsi="华文中宋" w:eastAsia="华文中宋"/>
          <w:sz w:val="24"/>
          <w:szCs w:val="24"/>
        </w:rPr>
        <w:t xml:space="preserve">。有一项不符合评审标准的，作</w:t>
      </w:r>
      <w:r>
        <w:rPr>
          <w:rFonts w:hint="eastAsia" w:ascii="华文中宋" w:hAnsi="华文中宋" w:eastAsia="华文中宋"/>
          <w:sz w:val="24"/>
          <w:szCs w:val="24"/>
        </w:rPr>
        <w:t xml:space="preserve">无效投标文件</w:t>
      </w:r>
      <w:r>
        <w:rPr>
          <w:rFonts w:ascii="华文中宋" w:hAnsi="华文中宋" w:eastAsia="华文中宋"/>
          <w:sz w:val="24"/>
          <w:szCs w:val="24"/>
        </w:rPr>
        <w:t xml:space="preserve">处理</w:t>
      </w:r>
      <w:r>
        <w:rPr>
          <w:rFonts w:hint="eastAsia" w:ascii="华文中宋" w:hAnsi="华文中宋" w:eastAsia="华文中宋"/>
          <w:sz w:val="24"/>
          <w:szCs w:val="24"/>
        </w:rPr>
        <w:t xml:space="preserve">。</w:t>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3.</w:t>
      </w:r>
      <w:r>
        <w:rPr>
          <w:rFonts w:hint="eastAsia" w:ascii="华文中宋" w:hAnsi="华文中宋" w:eastAsia="华文中宋"/>
          <w:sz w:val="24"/>
          <w:szCs w:val="24"/>
        </w:rPr>
        <w:t xml:space="preserve">1</w:t>
      </w:r>
      <w:r>
        <w:rPr>
          <w:rFonts w:ascii="华文中宋" w:hAnsi="华文中宋" w:eastAsia="华文中宋"/>
          <w:sz w:val="24"/>
          <w:szCs w:val="24"/>
        </w:rPr>
        <w:t xml:space="preserve">.2</w:t>
      </w:r>
      <w:r>
        <w:rPr>
          <w:rFonts w:hint="eastAsia" w:ascii="华文中宋" w:hAnsi="华文中宋" w:eastAsia="华文中宋"/>
          <w:sz w:val="24"/>
          <w:szCs w:val="24"/>
        </w:rPr>
        <w:t xml:space="preserve"> 投标文件报价出现前后不一致的，除招标文件另有规定外，按照下列规定修正：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（1）投标文件中开标一览表内容与投标文件中相应内容不一致的，以开标一览表为准；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（2）大写金额和小写金额不一致的，以大写金额为准；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（3）单价金额小数点或者百分比有明显错位的，以开标一览表的总价为准，并修改单价；</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（4）总价金额与按单价汇总金额不一致的，以单价金额计算结果为准。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2"/>
        <w:spacing w:line="360" w:lineRule="auto"/>
        <w:rPr>
          <w:rFonts w:ascii="宋体" w:hAnsi="宋体"/>
          <w:b/>
          <w:bCs/>
          <w:sz w:val="24"/>
          <w:szCs w:val="24"/>
        </w:rPr>
      </w:pPr>
      <w:r/>
      <w:bookmarkStart w:id="131" w:name="_Toc234382671"/>
      <w:r/>
      <w:bookmarkStart w:id="132" w:name="_Toc30764"/>
      <w:r/>
      <w:bookmarkStart w:id="133" w:name="_Toc19739"/>
      <w:r>
        <w:rPr>
          <w:rFonts w:ascii="宋体" w:hAnsi="宋体"/>
          <w:b/>
          <w:bCs/>
          <w:sz w:val="24"/>
          <w:szCs w:val="24"/>
        </w:rPr>
        <w:t xml:space="preserve">3.</w:t>
      </w:r>
      <w:r>
        <w:rPr>
          <w:rFonts w:hint="eastAsia" w:ascii="宋体" w:hAnsi="宋体"/>
          <w:b/>
          <w:bCs/>
          <w:sz w:val="24"/>
          <w:szCs w:val="24"/>
        </w:rPr>
        <w:t xml:space="preserve">2</w:t>
      </w:r>
      <w:r>
        <w:rPr>
          <w:rFonts w:ascii="宋体" w:hAnsi="宋体"/>
          <w:b/>
          <w:bCs/>
          <w:sz w:val="24"/>
          <w:szCs w:val="24"/>
        </w:rPr>
        <w:t xml:space="preserve"> 澄清和补正</w:t>
      </w:r>
      <w:bookmarkEnd w:id="131"/>
      <w:r/>
      <w:bookmarkEnd w:id="132"/>
      <w:r/>
      <w:bookmarkEnd w:id="133"/>
      <w:r/>
      <w:r/>
    </w:p>
    <w:p>
      <w:pPr>
        <w:ind w:firstLine="440"/>
        <w:spacing w:line="360" w:lineRule="auto"/>
        <w:rPr>
          <w:rFonts w:ascii="华文中宋" w:hAnsi="华文中宋" w:eastAsia="华文中宋"/>
          <w:sz w:val="24"/>
          <w:szCs w:val="24"/>
        </w:rPr>
      </w:pPr>
      <w:r>
        <w:rPr>
          <w:rFonts w:ascii="华文中宋" w:hAnsi="华文中宋" w:eastAsia="华文中宋"/>
          <w:sz w:val="24"/>
          <w:szCs w:val="24"/>
        </w:rPr>
        <w:t xml:space="preserve">3.</w:t>
      </w:r>
      <w:r>
        <w:rPr>
          <w:rFonts w:hint="eastAsia" w:ascii="华文中宋" w:hAnsi="华文中宋" w:eastAsia="华文中宋"/>
          <w:sz w:val="24"/>
          <w:szCs w:val="24"/>
        </w:rPr>
        <w:t xml:space="preserve">2</w:t>
      </w:r>
      <w:r>
        <w:rPr>
          <w:rFonts w:ascii="华文中宋" w:hAnsi="华文中宋" w:eastAsia="华文中宋"/>
          <w:sz w:val="24"/>
          <w:szCs w:val="24"/>
        </w:rPr>
        <w:t xml:space="preserve">.1 </w:t>
      </w:r>
      <w:r>
        <w:rPr>
          <w:rFonts w:hint="eastAsia" w:ascii="华文中宋" w:hAnsi="华文中宋" w:eastAsia="华文中宋"/>
          <w:sz w:val="24"/>
          <w:szCs w:val="24"/>
        </w:rPr>
        <w:t xml:space="preserve">对投标文件中含义不明确、同类问题表述不一致或者有明显文字和算术错误的内容，评标委员会可以通过“苏采云”系统【询标】按钮要求投标人作出必要的澄清、说明或者补正。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3.2.2 投标人在收到评标委员会的【询问函】后，应在规定的时长内完成【询问反馈】并签章。投标人的澄清、说明或者补正不得超出投标文件的范围或者改变投标文件的实质性内容。</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3.2.3 </w:t>
      </w:r>
      <w:r>
        <w:rPr>
          <w:rFonts w:ascii="华文中宋" w:hAnsi="华文中宋" w:eastAsia="华文中宋"/>
          <w:sz w:val="24"/>
          <w:szCs w:val="24"/>
        </w:rPr>
        <w:t xml:space="preserve">评标委员会不接受</w:t>
      </w:r>
      <w:r>
        <w:rPr>
          <w:rFonts w:hint="eastAsia" w:ascii="华文中宋" w:hAnsi="华文中宋" w:eastAsia="华文中宋"/>
          <w:sz w:val="24"/>
          <w:szCs w:val="24"/>
        </w:rPr>
        <w:t xml:space="preserve">投标人</w:t>
      </w:r>
      <w:r>
        <w:rPr>
          <w:rFonts w:ascii="华文中宋" w:hAnsi="华文中宋" w:eastAsia="华文中宋"/>
          <w:sz w:val="24"/>
          <w:szCs w:val="24"/>
        </w:rPr>
        <w:t xml:space="preserve">主动提出的澄清、说明或补正。</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3.2.4 凡超出招标文件规定的或给采购人带来未曾要求的利益的变化、偏差或其他因素在评标时不予考虑。</w:t>
      </w:r>
      <w:r/>
    </w:p>
    <w:p>
      <w:pPr>
        <w:ind w:firstLine="442"/>
        <w:spacing w:line="360" w:lineRule="auto"/>
        <w:rPr>
          <w:rFonts w:ascii="宋体" w:hAnsi="宋体"/>
          <w:b/>
          <w:bCs/>
          <w:sz w:val="24"/>
          <w:szCs w:val="24"/>
        </w:rPr>
      </w:pPr>
      <w:r/>
      <w:bookmarkStart w:id="134" w:name="_Toc10483"/>
      <w:r/>
      <w:bookmarkStart w:id="135" w:name="_Toc3943"/>
      <w:r/>
      <w:bookmarkStart w:id="136" w:name="_Toc234382670"/>
      <w:r>
        <w:rPr>
          <w:rFonts w:ascii="宋体" w:hAnsi="宋体"/>
          <w:b/>
          <w:bCs/>
          <w:sz w:val="24"/>
          <w:szCs w:val="24"/>
        </w:rPr>
        <w:t xml:space="preserve">3.</w:t>
      </w:r>
      <w:r>
        <w:rPr>
          <w:rFonts w:hint="eastAsia" w:ascii="宋体" w:hAnsi="宋体"/>
          <w:b/>
          <w:bCs/>
          <w:sz w:val="24"/>
          <w:szCs w:val="24"/>
        </w:rPr>
        <w:t xml:space="preserve">3</w:t>
      </w:r>
      <w:bookmarkEnd w:id="134"/>
      <w:r/>
      <w:bookmarkEnd w:id="135"/>
      <w:r/>
      <w:bookmarkEnd w:id="136"/>
      <w:r>
        <w:rPr>
          <w:rFonts w:hint="eastAsia" w:ascii="宋体" w:hAnsi="宋体"/>
          <w:b/>
          <w:bCs/>
          <w:sz w:val="24"/>
          <w:szCs w:val="24"/>
        </w:rPr>
        <w:t xml:space="preserve">详细评审</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3.3.1 异常低价投标审查</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（1）评审中出现下列情形之一的，评审委员会应当启动异常低价投标审查程序：</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a.投标报价低于全部通过符合性审查供应商投标报价平均值50%的，即投标报价&lt;全部通过符合性审查供应商投标报价平均值×50%；</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b.投标报价低于通过符合性审查的次低报价供应商投标报价50%的，即投标报价&lt;通过符合性审查的次低报价供应商投标报价×50%；</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c.投标报价低于采购项目最高限价45%的，即投标报价&lt;采购项目最高限价×45%；</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d.评审委员会基于专业判断，认为供应商报价过低，有可能影响产品质量或者不能诚信履约的其他情形。</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评审委员会启动异常低价投标审查后，属于前述第a项至第d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c项情形，供应商已随投标文件一并提交相关书面说明及必要的证明材料的，在评审现场可不再重复提交。</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3.3.2 评标委员会按本章第2.2款规定的量化因素和分值对通过符合性评审的投标文件进行综合比较和评价，并计算出综合得分。</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3.3.3 投标人的综合得分取评标委员会各成员独立对每个投标人评分的平均值。分值计算保留小数点后两位，小数点后第三位“四舍五入”。</w:t>
      </w:r>
      <w:r/>
    </w:p>
    <w:p>
      <w:pPr>
        <w:ind w:firstLine="442"/>
        <w:spacing w:line="360" w:lineRule="auto"/>
        <w:rPr>
          <w:rFonts w:ascii="宋体" w:hAnsi="宋体"/>
          <w:b/>
          <w:bCs/>
          <w:sz w:val="24"/>
          <w:szCs w:val="24"/>
        </w:rPr>
      </w:pPr>
      <w:r/>
      <w:bookmarkStart w:id="137" w:name="_Toc15663"/>
      <w:r>
        <w:rPr>
          <w:rFonts w:hint="eastAsia" w:ascii="宋体" w:hAnsi="宋体"/>
          <w:b/>
          <w:bCs/>
          <w:sz w:val="24"/>
          <w:szCs w:val="24"/>
        </w:rPr>
        <w:t xml:space="preserve">3.4 串通投标认定</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投标人有下列情形之一的，视为投标人串通投标，其投标无效：</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（1）不同投标人的投标文件由同一单位或者个人编制；</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（2）不同投标人委托同一单位或者个人办理投标事宜；</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（3）不同投标人的投标文件载明的项目管理成员或者联系人员为同一人；</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（4）不同投标人的投标文件异常一致或者投标报价呈规律性差异；</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（5）不同投标人的投标文件相互混装。</w:t>
      </w:r>
      <w:r/>
    </w:p>
    <w:p>
      <w:pPr>
        <w:ind w:firstLine="442"/>
        <w:spacing w:line="360" w:lineRule="auto"/>
        <w:rPr>
          <w:rFonts w:ascii="宋体" w:hAnsi="宋体"/>
          <w:b/>
          <w:bCs/>
          <w:sz w:val="24"/>
          <w:szCs w:val="24"/>
        </w:rPr>
      </w:pPr>
      <w:r>
        <w:rPr>
          <w:rFonts w:hint="eastAsia" w:ascii="宋体" w:hAnsi="宋体"/>
          <w:b/>
          <w:bCs/>
          <w:sz w:val="24"/>
          <w:szCs w:val="24"/>
        </w:rPr>
        <w:t xml:space="preserve">3.5 评标结果</w:t>
      </w:r>
      <w:bookmarkEnd w:id="137"/>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3.5.1 评标委员会按照得分由高到低的顺序推荐3名中标候选人，并标明排序。</w:t>
      </w:r>
      <w:r/>
    </w:p>
    <w:p>
      <w:pPr>
        <w:ind w:firstLine="440"/>
        <w:spacing w:line="360" w:lineRule="auto"/>
        <w:rPr>
          <w:rFonts w:ascii="华文中宋" w:hAnsi="华文中宋" w:eastAsia="华文中宋"/>
          <w:sz w:val="24"/>
          <w:szCs w:val="24"/>
        </w:rPr>
      </w:pPr>
      <w:r>
        <w:rPr>
          <w:rFonts w:hint="eastAsia" w:ascii="华文中宋" w:hAnsi="华文中宋" w:eastAsia="华文中宋"/>
          <w:sz w:val="24"/>
          <w:szCs w:val="24"/>
        </w:rPr>
        <w:t xml:space="preserve">3.5.2 对于核心产品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360" w:lineRule="auto"/>
        <w:rPr>
          <w:rFonts w:ascii="华文中宋" w:hAnsi="华文中宋" w:eastAsia="华文中宋"/>
          <w:sz w:val="22"/>
        </w:rPr>
      </w:pPr>
      <w:r>
        <w:rPr>
          <w:rFonts w:hint="eastAsia" w:ascii="华文中宋" w:hAnsi="华文中宋" w:eastAsia="华文中宋"/>
          <w:sz w:val="24"/>
          <w:szCs w:val="24"/>
        </w:rPr>
        <w:t xml:space="preserve">3.5.3 评标委员会完成评标后，应当向采购人提交书面评标报告。</w:t>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pStyle w:val="706"/>
        <w:rPr>
          <w:sz w:val="22"/>
        </w:rPr>
      </w:pPr>
      <w:r>
        <w:rPr>
          <w:sz w:val="22"/>
        </w:rPr>
      </w:r>
      <w:r/>
    </w:p>
    <w:p>
      <w:pPr>
        <w:pStyle w:val="706"/>
        <w:rPr>
          <w:sz w:val="22"/>
        </w:rPr>
      </w:pPr>
      <w:r>
        <w:rPr>
          <w:sz w:val="22"/>
        </w:rPr>
      </w:r>
      <w:r/>
    </w:p>
    <w:p>
      <w:pPr>
        <w:pStyle w:val="706"/>
        <w:rPr>
          <w:sz w:val="22"/>
        </w:rPr>
      </w:pPr>
      <w:r>
        <w:rPr>
          <w:sz w:val="22"/>
        </w:rPr>
      </w:r>
      <w:r/>
    </w:p>
    <w:p>
      <w:pPr>
        <w:pStyle w:val="706"/>
        <w:rPr>
          <w:sz w:val="22"/>
        </w:rPr>
      </w:pPr>
      <w:r>
        <w:rPr>
          <w:sz w:val="22"/>
        </w:rPr>
      </w:r>
      <w:r/>
    </w:p>
    <w:p>
      <w:pPr>
        <w:pStyle w:val="706"/>
        <w:rPr>
          <w:sz w:val="22"/>
        </w:rPr>
      </w:pPr>
      <w:r>
        <w:rPr>
          <w:sz w:val="22"/>
        </w:rPr>
      </w:r>
      <w:r/>
    </w:p>
    <w:p>
      <w:pPr>
        <w:pStyle w:val="940"/>
        <w:jc w:val="center"/>
        <w:spacing w:after="20" w:line="240" w:lineRule="auto"/>
        <w:rPr>
          <w:rFonts w:ascii="微软雅黑" w:hAnsi="微软雅黑" w:eastAsia="微软雅黑" w:cs="微软雅黑"/>
          <w:b w:val="0"/>
          <w:bCs w:val="0"/>
          <w:sz w:val="36"/>
          <w:szCs w:val="36"/>
        </w:rPr>
      </w:pPr>
      <w:r/>
      <w:bookmarkStart w:id="138" w:name="_Toc152268442"/>
      <w:r/>
      <w:bookmarkStart w:id="139" w:name="_Toc32256"/>
      <w:r>
        <w:rPr>
          <w:rFonts w:hint="eastAsia" w:ascii="微软雅黑" w:hAnsi="微软雅黑" w:eastAsia="微软雅黑" w:cs="微软雅黑"/>
          <w:b w:val="0"/>
          <w:bCs w:val="0"/>
          <w:sz w:val="36"/>
          <w:szCs w:val="36"/>
        </w:rPr>
        <w:t xml:space="preserve">第五章 合同格式及条款</w:t>
      </w:r>
      <w:bookmarkEnd w:id="138"/>
      <w:r/>
      <w:bookmarkEnd w:id="139"/>
      <w:r/>
      <w:r/>
    </w:p>
    <w:p>
      <w:pPr>
        <w:ind w:firstLine="440"/>
        <w:jc w:val="left"/>
        <w:spacing w:line="480" w:lineRule="exact"/>
        <w:rPr>
          <w:rFonts w:ascii="华文中宋" w:hAnsi="华文中宋" w:eastAsia="华文中宋" w:cs="华文中宋"/>
          <w:sz w:val="22"/>
        </w:rPr>
      </w:pPr>
      <w:r>
        <w:rPr>
          <w:rFonts w:ascii="华文中宋" w:hAnsi="华文中宋" w:eastAsia="华文中宋" w:cs="华文中宋"/>
          <w:sz w:val="22"/>
        </w:rPr>
      </w:r>
      <w:r/>
    </w:p>
    <w:p>
      <w:pPr>
        <w:ind w:firstLine="440"/>
        <w:jc w:val="left"/>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经公开招标，</w:t>
      </w:r>
      <w:r>
        <w:rPr>
          <w:rFonts w:hint="eastAsia" w:ascii="华文中宋" w:hAnsi="华文中宋" w:eastAsia="华文中宋" w:cs="华文中宋"/>
          <w:b/>
          <w:sz w:val="22"/>
          <w:u w:val="single"/>
        </w:rPr>
        <w:t xml:space="preserve">靖江市人民医院</w:t>
      </w:r>
      <w:r>
        <w:rPr>
          <w:rFonts w:hint="eastAsia" w:ascii="华文中宋" w:hAnsi="华文中宋" w:eastAsia="华文中宋" w:cs="华文中宋"/>
          <w:sz w:val="22"/>
        </w:rPr>
        <w:t xml:space="preserve">（以下简称“甲方”）、</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（以下简称“乙方”）同意按下述条款和条件签订本合同（以下简称“合同”）：</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1、合同文件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下列关于设备采购项目（           ）编号（            ）的</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（1）招标文件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（2）投标文件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（3）资格证明文件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（4）中标通知书</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（5）买方、卖方商定的其他必要文件。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2、合同范围和条件</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本合同的范围和条件与上述合同文件的规定相一致。</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3、设备及数量</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本合同所提供的设备及数量详见卖方提供的供货一览表。</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4、合同金额</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根据上述合同文件要求，合同的总金额（大写）为</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人民币，分项价格在投标在报价表中有明确规定。</w:t>
      </w:r>
      <w:r/>
    </w:p>
    <w:p>
      <w:pPr>
        <w:ind w:firstLine="440"/>
        <w:spacing w:line="480" w:lineRule="exact"/>
        <w:rPr>
          <w:rFonts w:ascii="华文中宋" w:hAnsi="华文中宋" w:eastAsia="华文中宋" w:cs="华文中宋"/>
          <w:sz w:val="22"/>
        </w:rPr>
        <w:outlineLvl w:val="0"/>
      </w:pPr>
      <w:r>
        <w:rPr>
          <w:rFonts w:hint="eastAsia" w:ascii="华文中宋" w:hAnsi="华文中宋" w:eastAsia="华文中宋" w:cs="华文中宋"/>
          <w:sz w:val="22"/>
        </w:rPr>
        <w:t xml:space="preserve">5、合同纠纷处理</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本合同所涉及的设备在交付验收使用后发生的合同纠纷，由买方、卖方按照《中华人民共和国民法典》有关规定进行处理。</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6、合同详细内容：</w:t>
      </w:r>
      <w:r/>
    </w:p>
    <w:p>
      <w:pPr>
        <w:ind w:firstLine="440"/>
        <w:spacing w:line="480" w:lineRule="exact"/>
        <w:rPr>
          <w:rFonts w:ascii="华文中宋" w:hAnsi="华文中宋" w:eastAsia="华文中宋" w:cs="华文中宋"/>
          <w:b/>
          <w:sz w:val="22"/>
        </w:rPr>
        <w:outlineLvl w:val="0"/>
      </w:pPr>
      <w:r>
        <w:rPr>
          <w:rFonts w:hint="eastAsia" w:ascii="华文中宋" w:hAnsi="华文中宋" w:eastAsia="华文中宋" w:cs="华文中宋"/>
          <w:sz w:val="22"/>
        </w:rPr>
        <w:t xml:space="preserve">一、</w:t>
      </w:r>
      <w:r>
        <w:rPr>
          <w:rFonts w:hint="eastAsia" w:ascii="华文中宋" w:hAnsi="华文中宋" w:eastAsia="华文中宋" w:cs="华文中宋"/>
          <w:b/>
          <w:sz w:val="22"/>
        </w:rPr>
        <w:t xml:space="preserve">设备名称、型号、数量和价格</w:t>
      </w:r>
      <w:r/>
    </w:p>
    <w:tbl>
      <w:tblPr>
        <w:tblStyle w:val="704"/>
        <w:tblW w:w="95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319"/>
        <w:gridCol w:w="1140"/>
      </w:tblGrid>
      <w:tr>
        <w:trPr/>
        <w:tc>
          <w:tcPr>
            <w:tcW w:w="1384"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设备名称</w:t>
            </w:r>
            <w:r/>
          </w:p>
        </w:tc>
        <w:tc>
          <w:tcPr>
            <w:tcW w:w="1701"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产地 制造商</w:t>
            </w:r>
            <w:r/>
          </w:p>
        </w:tc>
        <w:tc>
          <w:tcPr>
            <w:tcW w:w="1559"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规格型号</w:t>
            </w:r>
            <w:r/>
          </w:p>
        </w:tc>
        <w:tc>
          <w:tcPr>
            <w:tcW w:w="1134"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注册证号</w:t>
            </w:r>
            <w:r/>
          </w:p>
        </w:tc>
        <w:tc>
          <w:tcPr>
            <w:tcW w:w="1276"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数量</w:t>
            </w:r>
            <w:r/>
          </w:p>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及单位</w:t>
            </w:r>
            <w:r/>
          </w:p>
        </w:tc>
        <w:tc>
          <w:tcPr>
            <w:tcW w:w="1319"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单价</w:t>
            </w:r>
            <w:r/>
          </w:p>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（元）</w:t>
            </w:r>
            <w:r/>
          </w:p>
        </w:tc>
        <w:tc>
          <w:tcPr>
            <w:tcW w:w="1140" w:type="dxa"/>
            <w:vAlign w:val="center"/>
            <w:textDirection w:val="lrTb"/>
            <w:noWrap w:val="false"/>
          </w:tcPr>
          <w:p>
            <w:pPr>
              <w:jc w:val="center"/>
              <w:spacing w:line="360" w:lineRule="exact"/>
              <w:rPr>
                <w:rFonts w:ascii="华文中宋" w:hAnsi="华文中宋" w:eastAsia="华文中宋" w:cs="华文中宋"/>
                <w:sz w:val="22"/>
              </w:rPr>
            </w:pPr>
            <w:r>
              <w:rPr>
                <w:rFonts w:hint="eastAsia" w:ascii="华文中宋" w:hAnsi="华文中宋" w:eastAsia="华文中宋" w:cs="华文中宋"/>
                <w:sz w:val="22"/>
              </w:rPr>
              <w:t xml:space="preserve">总价</w:t>
            </w:r>
            <w:r/>
          </w:p>
          <w:p>
            <w:pPr>
              <w:jc w:val="center"/>
              <w:spacing w:line="360" w:lineRule="exact"/>
              <w:rPr>
                <w:rFonts w:ascii="华文中宋" w:hAnsi="华文中宋" w:eastAsia="华文中宋" w:cs="华文中宋"/>
                <w:sz w:val="22"/>
                <w:u w:val="single"/>
              </w:rPr>
            </w:pPr>
            <w:r>
              <w:rPr>
                <w:rFonts w:hint="eastAsia" w:ascii="华文中宋" w:hAnsi="华文中宋" w:eastAsia="华文中宋" w:cs="华文中宋"/>
                <w:sz w:val="22"/>
              </w:rPr>
              <w:t xml:space="preserve">（元）</w:t>
            </w:r>
            <w:r/>
          </w:p>
        </w:tc>
      </w:tr>
      <w:tr>
        <w:trPr>
          <w:trHeight w:val="480"/>
        </w:trPr>
        <w:tc>
          <w:tcPr>
            <w:tcW w:w="1384"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701"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559"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134" w:type="dxa"/>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276"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319"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c>
          <w:tcPr>
            <w:tcW w:w="1140" w:type="dxa"/>
            <w:vAlign w:val="center"/>
            <w:textDirection w:val="lrTb"/>
            <w:noWrap w:val="false"/>
          </w:tcPr>
          <w:p>
            <w:pPr>
              <w:jc w:val="center"/>
              <w:spacing w:line="360" w:lineRule="exact"/>
              <w:rPr>
                <w:rFonts w:ascii="华文中宋" w:hAnsi="华文中宋" w:eastAsia="华文中宋" w:cs="华文中宋"/>
                <w:sz w:val="22"/>
              </w:rPr>
            </w:pPr>
            <w:r>
              <w:rPr>
                <w:rFonts w:ascii="华文中宋" w:hAnsi="华文中宋" w:eastAsia="华文中宋" w:cs="华文中宋"/>
                <w:sz w:val="22"/>
              </w:rPr>
            </w:r>
            <w:r/>
          </w:p>
        </w:tc>
      </w:tr>
      <w:tr>
        <w:trPr>
          <w:trHeight w:val="370"/>
        </w:trPr>
        <w:tc>
          <w:tcPr>
            <w:gridSpan w:val="7"/>
            <w:tcW w:w="9513" w:type="dxa"/>
            <w:textDirection w:val="lrTb"/>
            <w:noWrap w:val="false"/>
          </w:tcPr>
          <w:p>
            <w:pPr>
              <w:spacing w:line="360" w:lineRule="exact"/>
              <w:rPr>
                <w:rFonts w:ascii="华文中宋" w:hAnsi="华文中宋" w:eastAsia="华文中宋" w:cs="华文中宋"/>
                <w:sz w:val="22"/>
                <w:u w:val="single"/>
              </w:rPr>
            </w:pPr>
            <w:r>
              <w:rPr>
                <w:rFonts w:hint="eastAsia" w:ascii="华文中宋" w:hAnsi="华文中宋" w:eastAsia="华文中宋" w:cs="华文中宋"/>
                <w:sz w:val="22"/>
              </w:rPr>
              <w:t xml:space="preserve">总计（大写）：                                     （小写）：   </w:t>
            </w:r>
            <w:r/>
          </w:p>
        </w:tc>
      </w:tr>
    </w:tbl>
    <w:p>
      <w:pPr>
        <w:ind w:firstLine="440"/>
        <w:spacing w:line="480" w:lineRule="exact"/>
        <w:rPr>
          <w:rFonts w:ascii="华文中宋" w:hAnsi="华文中宋" w:eastAsia="华文中宋" w:cs="华文中宋"/>
          <w:b/>
          <w:sz w:val="22"/>
        </w:rPr>
      </w:pPr>
      <w:r>
        <w:rPr>
          <w:rFonts w:hint="eastAsia" w:ascii="华文中宋" w:hAnsi="华文中宋" w:eastAsia="华文中宋" w:cs="华文中宋"/>
          <w:sz w:val="22"/>
        </w:rPr>
        <w:t xml:space="preserve">二、</w:t>
      </w:r>
      <w:r>
        <w:rPr>
          <w:rFonts w:hint="eastAsia" w:ascii="华文中宋" w:hAnsi="华文中宋" w:eastAsia="华文中宋" w:cs="华文中宋"/>
          <w:b/>
          <w:sz w:val="22"/>
        </w:rPr>
        <w:t xml:space="preserve">设备详细配置清单、耗材、配件清单及价格见附件一（盖章）；并附中标通知书。</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三、付款方式：</w:t>
      </w:r>
      <w:r/>
    </w:p>
    <w:p>
      <w:pPr>
        <w:ind w:firstLine="440"/>
        <w:spacing w:line="480" w:lineRule="exact"/>
        <w:rPr>
          <w:rFonts w:ascii="华文中宋" w:hAnsi="华文中宋" w:eastAsia="华文中宋" w:cs="华文中宋"/>
          <w:sz w:val="22"/>
          <w:u w:val="single"/>
        </w:rPr>
      </w:pPr>
      <w:r>
        <w:rPr>
          <w:rFonts w:hint="eastAsia" w:ascii="华文中宋" w:hAnsi="华文中宋" w:eastAsia="华文中宋" w:cs="华文中宋"/>
          <w:sz w:val="22"/>
          <w:u w:val="single"/>
        </w:rPr>
        <w:t xml:space="preserve">1.合同签订生效后7日内，支付合同价款30%的预付款；</w:t>
      </w:r>
      <w:r/>
    </w:p>
    <w:p>
      <w:pPr>
        <w:ind w:firstLine="440"/>
        <w:spacing w:line="480" w:lineRule="exact"/>
        <w:rPr>
          <w:rFonts w:ascii="华文中宋" w:hAnsi="华文中宋" w:eastAsia="华文中宋" w:cs="华文中宋"/>
          <w:sz w:val="22"/>
          <w:u w:val="single"/>
        </w:rPr>
      </w:pPr>
      <w:r>
        <w:rPr>
          <w:rFonts w:hint="eastAsia" w:ascii="华文中宋" w:hAnsi="华文中宋" w:eastAsia="华文中宋" w:cs="华文中宋"/>
          <w:sz w:val="22"/>
          <w:u w:val="single"/>
        </w:rPr>
        <w:t xml:space="preserve">2.设备安装、调试、验收合格后，凭验收合格报告和发票支付至合同价款的90%；</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u w:val="single"/>
        </w:rPr>
        <w:t xml:space="preserve">3.验收合格满一年后付清余款。</w:t>
      </w:r>
      <w:r>
        <w:rPr>
          <w:rFonts w:hint="eastAsia" w:ascii="华文中宋" w:hAnsi="华文中宋" w:eastAsia="华文中宋" w:cs="华文中宋"/>
          <w:sz w:val="22"/>
        </w:rPr>
        <w:t xml:space="preserve">。</w:t>
      </w:r>
      <w:r/>
    </w:p>
    <w:p>
      <w:pPr>
        <w:ind w:left="42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四、交货期：</w:t>
      </w:r>
      <w:r>
        <w:rPr>
          <w:rFonts w:hint="eastAsia" w:ascii="华文中宋" w:hAnsi="华文中宋" w:eastAsia="华文中宋" w:cs="华文中宋"/>
          <w:sz w:val="22"/>
        </w:rPr>
        <w:t xml:space="preserve">合同签定之日起</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w:t>
      </w:r>
      <w:r/>
    </w:p>
    <w:p>
      <w:pPr>
        <w:ind w:left="42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五、交货地点：</w:t>
      </w:r>
      <w:r>
        <w:rPr>
          <w:rFonts w:hint="eastAsia" w:ascii="华文中宋" w:hAnsi="华文中宋" w:eastAsia="华文中宋" w:cs="华文中宋"/>
          <w:sz w:val="22"/>
        </w:rPr>
        <w:t xml:space="preserve">靖江市人民医院。</w:t>
      </w:r>
      <w:r/>
    </w:p>
    <w:p>
      <w:pPr>
        <w:ind w:left="42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六、质保期：</w:t>
      </w:r>
      <w:r>
        <w:rPr>
          <w:rFonts w:hint="eastAsia" w:ascii="华文中宋" w:hAnsi="华文中宋" w:eastAsia="华文中宋" w:cs="华文中宋"/>
          <w:sz w:val="22"/>
        </w:rPr>
        <w:t xml:space="preserve">上述设备免费原厂保修</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年，自验收合格之日起计算；保修期外乙方对本设备终身负责维修。</w:t>
      </w:r>
      <w:r/>
    </w:p>
    <w:p>
      <w:pPr>
        <w:ind w:left="42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七、资质、质量要求及技术标准：</w:t>
      </w:r>
      <w:r/>
    </w:p>
    <w:p>
      <w:pPr>
        <w:ind w:firstLine="440"/>
        <w:spacing w:line="480" w:lineRule="exact"/>
        <w:rPr>
          <w:rFonts w:ascii="华文中宋" w:hAnsi="华文中宋" w:eastAsia="华文中宋" w:cs="华文中宋"/>
          <w:b/>
          <w:sz w:val="22"/>
        </w:rPr>
      </w:pPr>
      <w:r>
        <w:rPr>
          <w:rFonts w:hint="eastAsia" w:ascii="华文中宋" w:hAnsi="华文中宋" w:eastAsia="华文中宋" w:cs="华文中宋"/>
          <w:sz w:val="22"/>
        </w:rPr>
        <w:t xml:space="preserve">1．特别提醒条款：</w:t>
      </w:r>
      <w:r>
        <w:rPr>
          <w:rFonts w:hint="eastAsia" w:ascii="华文中宋" w:hAnsi="华文中宋" w:eastAsia="华文中宋" w:cs="华文中宋"/>
          <w:b/>
          <w:sz w:val="22"/>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3．乙方保证所供设备是全新、未使用过的原包装产品，乙方提供的产品出厂日期不早于到货日期</w:t>
      </w:r>
      <w:r>
        <w:rPr>
          <w:rFonts w:hint="eastAsia" w:ascii="华文中宋" w:hAnsi="华文中宋" w:eastAsia="华文中宋" w:cs="华文中宋"/>
          <w:b/>
          <w:sz w:val="22"/>
          <w:u w:val="single"/>
        </w:rPr>
        <w:t xml:space="preserve">叁个月</w:t>
      </w:r>
      <w:r>
        <w:rPr>
          <w:rFonts w:hint="eastAsia" w:ascii="华文中宋" w:hAnsi="华文中宋" w:eastAsia="华文中宋" w:cs="华文中宋"/>
          <w:sz w:val="22"/>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4．乙方须免费开放所投产品的所有输入输出接口，并能与采购人现有网络及信息系统对接，如接入第三方系统产生费用，该费用由乙方承担。</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5.乙方保证同型号产品的成交价格为投标日前12个月内本地区的最低价。</w:t>
      </w:r>
      <w:r/>
    </w:p>
    <w:p>
      <w:pPr>
        <w:ind w:left="420"/>
        <w:spacing w:line="480" w:lineRule="exact"/>
        <w:rPr>
          <w:rFonts w:ascii="华文中宋" w:hAnsi="华文中宋" w:eastAsia="华文中宋" w:cs="华文中宋"/>
          <w:sz w:val="22"/>
        </w:rPr>
      </w:pPr>
      <w:r>
        <w:rPr>
          <w:rFonts w:hint="eastAsia" w:ascii="华文中宋" w:hAnsi="华文中宋" w:eastAsia="华文中宋" w:cs="华文中宋"/>
          <w:b/>
          <w:bCs/>
          <w:sz w:val="22"/>
        </w:rPr>
        <w:t xml:space="preserve">八、设备包装、运输、到货、安装和验收要求：</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2．如乙方提供的设备设有维修软件密码，乙方应保证无条件地为甲方永久免费打开。</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3．设备安装、调试结束后，甲方对设备试用后进行验收（时间由甲、乙双方商定），乙方免费派工程师到达现场协助验收工作。</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4．保修期自我院验收合格之日算起，保修期外只收配件费，免收人工费。</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5.设备的包装、运输应符合《商品包装政府采购需求标准（试行）》《快递包装政府采购需求标准（试行）》相关标准和要求。</w:t>
      </w:r>
      <w:r/>
    </w:p>
    <w:p>
      <w:pPr>
        <w:ind w:left="420"/>
        <w:spacing w:line="480" w:lineRule="exact"/>
        <w:rPr>
          <w:rFonts w:ascii="华文中宋" w:hAnsi="华文中宋" w:eastAsia="华文中宋" w:cs="华文中宋"/>
          <w:b/>
          <w:bCs/>
          <w:sz w:val="22"/>
        </w:rPr>
      </w:pPr>
      <w:r>
        <w:rPr>
          <w:rFonts w:hint="eastAsia" w:ascii="华文中宋" w:hAnsi="华文中宋" w:eastAsia="华文中宋" w:cs="华文中宋"/>
          <w:b/>
          <w:bCs/>
          <w:sz w:val="22"/>
        </w:rPr>
        <w:t xml:space="preserve">九、售后服务要求：</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1．确保设备保修期内开机率为95%，如设备故障停机率超过5%（一年按365天计算，每年18天），每超过一天，保修期延长两周。</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如设备发生故障，乙方在接到甲方报修电话后2小时之内响应，24小时内到达甲方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4．乙方免费提供全套技术资料（中文说明书及光盘、操作流程电子版等），如技术资料不全，甲方有权不支付货款。</w:t>
      </w:r>
      <w:r/>
    </w:p>
    <w:p>
      <w:pPr>
        <w:ind w:firstLine="440"/>
        <w:spacing w:line="480" w:lineRule="exact"/>
        <w:rPr>
          <w:rFonts w:ascii="华文中宋" w:hAnsi="华文中宋" w:eastAsia="华文中宋" w:cs="华文中宋"/>
          <w:b/>
          <w:bCs/>
          <w:sz w:val="22"/>
        </w:rPr>
        <w:outlineLvl w:val="0"/>
      </w:pPr>
      <w:r>
        <w:rPr>
          <w:rFonts w:hint="eastAsia" w:ascii="华文中宋" w:hAnsi="华文中宋" w:eastAsia="华文中宋" w:cs="华文中宋"/>
          <w:b/>
          <w:bCs/>
          <w:sz w:val="22"/>
        </w:rPr>
        <w:t xml:space="preserve">十、技术培训：</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在安装过程中或安装结束后，乙方工程师或有关人员有义务对甲方工程师和操作人员进行现场维修、保养、操作培训，并提供培训课件PPT，考核试卷，解答甲方人员提出的问题。</w:t>
      </w:r>
      <w:r/>
    </w:p>
    <w:p>
      <w:pPr>
        <w:ind w:firstLine="440"/>
        <w:spacing w:line="480" w:lineRule="exact"/>
        <w:rPr>
          <w:rFonts w:ascii="华文中宋" w:hAnsi="华文中宋" w:eastAsia="华文中宋" w:cs="华文中宋"/>
          <w:b/>
          <w:bCs/>
          <w:sz w:val="22"/>
        </w:rPr>
      </w:pPr>
      <w:r>
        <w:rPr>
          <w:rFonts w:hint="eastAsia" w:ascii="华文中宋" w:hAnsi="华文中宋" w:eastAsia="华文中宋" w:cs="华文中宋"/>
          <w:b/>
          <w:bCs/>
          <w:sz w:val="22"/>
        </w:rPr>
        <w:t xml:space="preserve">十一、各方的权利与义务</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(一)甲方权利义务</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1.按合同约定支付货款。</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(二)乙方权利义务</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1.负责并自行承担设备采购过程中的所有报价风险。本合同一经签订，乙方任何原因导致的报价漏项、缺项等的后果均由乙方自行承担。</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2.保证所供产品符合合同要求，不得弄虚作假、不得提供假冒伪劣产品或任意提供合同外产品。</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3.服从甲方的规章制度和现场管理，并按照合同要求办理相关设备的到货验收手续。本合同采购设备未办理验收交接手续前，相关资产的风险由乙方承担。</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本合同一式五份（三份），甲方执四（二）份，乙方执一份。</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协议签署地点:靖江市人民医院</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合同生效及其他</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1.本合同经甲方、乙方双方代表签字盖章后生效。</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2.甲方其他相关科室代表在附件二签字。</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甲方（单位盖章）：</w:t>
      </w:r>
      <w:r>
        <w:rPr>
          <w:rFonts w:hint="eastAsia" w:ascii="华文中宋" w:hAnsi="华文中宋" w:eastAsia="华文中宋" w:cs="华文中宋"/>
          <w:b/>
          <w:sz w:val="22"/>
        </w:rPr>
        <w:t xml:space="preserve">靖江市人民医院  </w:t>
      </w:r>
      <w:r>
        <w:rPr>
          <w:rFonts w:hint="eastAsia" w:ascii="华文中宋" w:hAnsi="华文中宋" w:eastAsia="华文中宋" w:cs="华文中宋"/>
          <w:sz w:val="22"/>
        </w:rPr>
        <w:t xml:space="preserve">          乙方（单位盖章）：</w:t>
      </w:r>
      <w:r/>
    </w:p>
    <w:p>
      <w:pPr>
        <w:ind w:firstLine="440"/>
        <w:spacing w:line="480" w:lineRule="exact"/>
        <w:rPr>
          <w:rFonts w:ascii="华文中宋" w:hAnsi="华文中宋" w:eastAsia="华文中宋" w:cs="华文中宋"/>
          <w:sz w:val="22"/>
        </w:rPr>
      </w:pPr>
      <w:r>
        <w:rPr>
          <w:rFonts w:ascii="华文中宋" w:hAnsi="华文中宋" w:eastAsia="华文中宋" w:cs="华文中宋"/>
          <w:sz w:val="22"/>
        </w:rPr>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甲方代表：                                 乙方代表：</w:t>
      </w:r>
      <w:r/>
    </w:p>
    <w:p>
      <w:pPr>
        <w:ind w:firstLine="440"/>
        <w:spacing w:line="480" w:lineRule="exact"/>
        <w:rPr>
          <w:rFonts w:ascii="华文中宋" w:hAnsi="华文中宋" w:eastAsia="华文中宋" w:cs="华文中宋"/>
          <w:sz w:val="22"/>
        </w:rPr>
      </w:pPr>
      <w:r>
        <w:rPr>
          <w:rFonts w:hint="eastAsia" w:ascii="华文中宋" w:hAnsi="华文中宋" w:eastAsia="华文中宋" w:cs="华文中宋"/>
          <w:sz w:val="22"/>
        </w:rPr>
        <w:t xml:space="preserve">                                           </w:t>
      </w:r>
      <w:r/>
    </w:p>
    <w:p>
      <w:pPr>
        <w:ind w:firstLine="440"/>
        <w:rPr>
          <w:rFonts w:ascii="华文中宋" w:hAnsi="华文中宋" w:eastAsia="华文中宋" w:cs="华文中宋"/>
          <w:sz w:val="22"/>
        </w:rPr>
      </w:pPr>
      <w:r>
        <w:rPr>
          <w:rFonts w:hint="eastAsia" w:ascii="华文中宋" w:hAnsi="华文中宋" w:eastAsia="华文中宋" w:cs="华文中宋"/>
          <w:sz w:val="22"/>
        </w:rPr>
        <w:t xml:space="preserve">年</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月</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日                    </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年</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月</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日</w:t>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pPr>
        <w:ind w:firstLine="440"/>
        <w:rPr>
          <w:rFonts w:ascii="华文中宋" w:hAnsi="华文中宋" w:eastAsia="华文中宋" w:cs="华文中宋"/>
          <w:sz w:val="22"/>
        </w:rPr>
      </w:pPr>
      <w:r>
        <w:rPr>
          <w:rFonts w:ascii="华文中宋" w:hAnsi="华文中宋" w:eastAsia="华文中宋" w:cs="华文中宋"/>
          <w:sz w:val="22"/>
        </w:rPr>
      </w:r>
      <w:r/>
    </w:p>
    <w:p>
      <w:r/>
      <w:r/>
    </w:p>
    <w:p>
      <w:r/>
      <w:r/>
    </w:p>
    <w:p>
      <w:r/>
      <w:r/>
    </w:p>
    <w:p>
      <w:r/>
      <w:r/>
    </w:p>
    <w:p>
      <w:r/>
      <w:r/>
    </w:p>
    <w:p>
      <w:r/>
      <w:r/>
    </w:p>
    <w:p>
      <w:r/>
      <w:r/>
    </w:p>
    <w:p>
      <w:r/>
      <w:r/>
    </w:p>
    <w:p>
      <w:pPr>
        <w:pStyle w:val="940"/>
        <w:jc w:val="center"/>
        <w:spacing w:before="0" w:after="0" w:line="240" w:lineRule="auto"/>
        <w:rPr>
          <w:rFonts w:ascii="微软雅黑" w:hAnsi="微软雅黑" w:eastAsia="微软雅黑" w:cs="微软雅黑"/>
          <w:b w:val="0"/>
          <w:bCs w:val="0"/>
          <w:sz w:val="36"/>
          <w:szCs w:val="36"/>
        </w:rPr>
      </w:pPr>
      <w:r/>
      <w:bookmarkStart w:id="140" w:name="_Toc152268447"/>
      <w:r/>
      <w:bookmarkStart w:id="141" w:name="_Toc25476"/>
      <w:r>
        <w:rPr>
          <w:rFonts w:hint="eastAsia" w:ascii="微软雅黑" w:hAnsi="微软雅黑" w:eastAsia="微软雅黑" w:cs="微软雅黑"/>
          <w:b w:val="0"/>
          <w:bCs w:val="0"/>
          <w:sz w:val="36"/>
          <w:szCs w:val="36"/>
        </w:rPr>
        <w:t xml:space="preserve">第六章 项目采购需求</w:t>
      </w:r>
      <w:bookmarkEnd w:id="140"/>
      <w:r/>
      <w:bookmarkEnd w:id="141"/>
      <w:r/>
      <w:r/>
    </w:p>
    <w:p>
      <w:pPr>
        <w:pStyle w:val="751"/>
        <w:ind w:firstLine="0"/>
        <w:spacing w:line="360" w:lineRule="auto"/>
        <w:rPr>
          <w:rFonts w:ascii="黑体" w:hAnsi="黑体" w:eastAsia="黑体"/>
          <w:b/>
          <w:bCs/>
          <w:sz w:val="22"/>
          <w:szCs w:val="22"/>
        </w:rPr>
      </w:pPr>
      <w:r>
        <w:rPr>
          <w:rFonts w:hint="eastAsia" w:ascii="黑体" w:hAnsi="黑体" w:eastAsia="黑体"/>
          <w:b/>
          <w:bCs/>
          <w:sz w:val="22"/>
          <w:szCs w:val="22"/>
        </w:rPr>
        <w:t xml:space="preserve">一、项目概况</w:t>
      </w:r>
      <w:r/>
    </w:p>
    <w:p>
      <w:pPr>
        <w:pStyle w:val="751"/>
        <w:ind w:firstLine="440"/>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1.项目名称：靖江市人民医院彩色多普勒超声诊断仪采购项目</w:t>
      </w:r>
      <w:r/>
    </w:p>
    <w:p>
      <w:pPr>
        <w:pStyle w:val="751"/>
        <w:ind w:firstLine="440"/>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2.采购预算：</w:t>
      </w:r>
      <w:r>
        <w:rPr>
          <w:rFonts w:hint="eastAsia" w:asciiTheme="minorEastAsia" w:hAnsiTheme="minorEastAsia" w:eastAsiaTheme="minorEastAsia" w:cstheme="minorEastAsia"/>
          <w:sz w:val="22"/>
          <w:szCs w:val="22"/>
          <w:u w:val="single"/>
          <w:lang w:val="en-US"/>
        </w:rPr>
        <w:t xml:space="preserve">100</w:t>
      </w:r>
      <w:r>
        <w:rPr>
          <w:rFonts w:hint="eastAsia" w:asciiTheme="minorEastAsia" w:hAnsiTheme="minorEastAsia" w:eastAsiaTheme="minorEastAsia" w:cstheme="minorEastAsia"/>
          <w:sz w:val="22"/>
          <w:szCs w:val="22"/>
          <w:lang w:val="en-US"/>
        </w:rPr>
        <w:t xml:space="preserve">万元</w:t>
      </w:r>
      <w:r/>
    </w:p>
    <w:p>
      <w:pPr>
        <w:pStyle w:val="751"/>
        <w:ind w:firstLine="440"/>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3.最高限价：</w:t>
      </w:r>
      <w:r>
        <w:rPr>
          <w:rFonts w:hint="eastAsia" w:asciiTheme="minorEastAsia" w:hAnsiTheme="minorEastAsia" w:eastAsiaTheme="minorEastAsia" w:cstheme="minorEastAsia"/>
          <w:sz w:val="22"/>
          <w:szCs w:val="22"/>
          <w:u w:val="single"/>
          <w:lang w:val="en-US"/>
        </w:rPr>
        <w:t xml:space="preserve"> </w:t>
      </w:r>
      <w:r>
        <w:rPr>
          <w:rFonts w:hint="eastAsia" w:asciiTheme="minorEastAsia" w:hAnsiTheme="minorEastAsia" w:eastAsiaTheme="minorEastAsia" w:cstheme="minorEastAsia"/>
          <w:sz w:val="22"/>
          <w:szCs w:val="22"/>
          <w:u w:val="single"/>
        </w:rPr>
        <w:t xml:space="preserve">98</w:t>
      </w:r>
      <w:r>
        <w:rPr>
          <w:rFonts w:hint="eastAsia" w:asciiTheme="minorEastAsia" w:hAnsiTheme="minorEastAsia" w:eastAsiaTheme="minorEastAsia" w:cstheme="minorEastAsia"/>
          <w:sz w:val="22"/>
          <w:szCs w:val="22"/>
        </w:rPr>
        <w:t xml:space="preserve">万元</w:t>
      </w:r>
      <w:r/>
    </w:p>
    <w:p>
      <w:pPr>
        <w:pStyle w:val="751"/>
        <w:ind w:firstLine="440"/>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4.合同履行期限：</w:t>
      </w:r>
      <w:r>
        <w:rPr>
          <w:rFonts w:hint="eastAsia" w:asciiTheme="minorEastAsia" w:hAnsiTheme="minorEastAsia" w:eastAsiaTheme="minorEastAsia" w:cstheme="minorEastAsia"/>
          <w:sz w:val="22"/>
          <w:szCs w:val="22"/>
          <w:u w:val="single"/>
          <w:lang w:val="en-US"/>
        </w:rPr>
        <w:t xml:space="preserve"> 30 </w:t>
      </w:r>
      <w:r>
        <w:rPr>
          <w:rFonts w:hint="eastAsia" w:asciiTheme="minorEastAsia" w:hAnsiTheme="minorEastAsia" w:eastAsiaTheme="minorEastAsia" w:cstheme="minorEastAsia"/>
          <w:sz w:val="22"/>
          <w:szCs w:val="22"/>
          <w:lang w:val="en-US"/>
        </w:rPr>
        <w:t xml:space="preserve">日历天</w:t>
      </w:r>
      <w:r/>
    </w:p>
    <w:p>
      <w:pPr>
        <w:pStyle w:val="751"/>
        <w:ind w:firstLine="0"/>
        <w:spacing w:line="360" w:lineRule="auto"/>
        <w:rPr>
          <w:rFonts w:ascii="华文中宋" w:hAnsi="华文中宋" w:eastAsia="黑体" w:cs="华文中宋"/>
          <w:sz w:val="22"/>
          <w:szCs w:val="22"/>
        </w:rPr>
      </w:pPr>
      <w:r>
        <w:rPr>
          <w:rFonts w:hint="eastAsia" w:ascii="黑体" w:hAnsi="黑体" w:eastAsia="黑体"/>
          <w:b/>
          <w:bCs/>
          <w:sz w:val="22"/>
          <w:szCs w:val="22"/>
        </w:rPr>
        <w:t xml:space="preserve">二、</w:t>
      </w:r>
      <w:r>
        <w:rPr>
          <w:rFonts w:hint="eastAsia" w:ascii="黑体" w:hAnsi="黑体" w:eastAsia="黑体"/>
          <w:b/>
          <w:bCs/>
          <w:sz w:val="22"/>
          <w:szCs w:val="22"/>
          <w:lang w:val="en-US"/>
        </w:rPr>
        <w:t xml:space="preserve">项目背景</w:t>
      </w:r>
      <w:r/>
    </w:p>
    <w:p>
      <w:pPr>
        <w:pStyle w:val="751"/>
        <w:ind w:firstLine="440"/>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rPr>
        <w:t xml:space="preserve">我院</w:t>
      </w:r>
      <w:r>
        <w:rPr>
          <w:rFonts w:hint="eastAsia" w:asciiTheme="minorEastAsia" w:hAnsiTheme="minorEastAsia" w:eastAsiaTheme="minorEastAsia" w:cstheme="minorEastAsia"/>
          <w:sz w:val="22"/>
          <w:szCs w:val="22"/>
        </w:rPr>
        <w:t xml:space="preserve">健康管理中心需添置超声诊断仪一台，用于女性体检业务，满足乳腺、妇科、甲状腺等精细化筛查需求，提高工作效率，缩短体检人员等候时间，保障体检服务质量。</w:t>
      </w:r>
      <w:r/>
    </w:p>
    <w:p>
      <w:pPr>
        <w:pStyle w:val="751"/>
        <w:ind w:firstLine="0"/>
        <w:spacing w:line="360" w:lineRule="auto"/>
        <w:rPr>
          <w:rFonts w:ascii="黑体" w:hAnsi="黑体" w:eastAsia="黑体"/>
          <w:b/>
          <w:bCs/>
          <w:sz w:val="22"/>
          <w:szCs w:val="22"/>
        </w:rPr>
      </w:pPr>
      <w:r>
        <w:rPr>
          <w:rFonts w:hint="eastAsia" w:ascii="黑体" w:hAnsi="黑体" w:eastAsia="黑体"/>
          <w:b/>
          <w:bCs/>
          <w:sz w:val="22"/>
          <w:szCs w:val="22"/>
          <w:lang w:val="en-US"/>
        </w:rPr>
        <w:t xml:space="preserve">三、采购</w:t>
      </w:r>
      <w:r>
        <w:rPr>
          <w:rFonts w:hint="eastAsia" w:ascii="黑体" w:hAnsi="黑体" w:eastAsia="黑体"/>
          <w:b/>
          <w:bCs/>
          <w:sz w:val="22"/>
          <w:szCs w:val="22"/>
        </w:rPr>
        <w:t xml:space="preserve">清单</w:t>
      </w:r>
      <w:r/>
    </w:p>
    <w:tbl>
      <w:tblPr>
        <w:tblStyle w:val="704"/>
        <w:tblW w:w="4718" w:type="pct"/>
        <w:jc w:val="center"/>
        <w:tblLayout w:type="autofit"/>
        <w:tblCellMar>
          <w:left w:w="108" w:type="dxa"/>
          <w:top w:w="0" w:type="dxa"/>
          <w:right w:w="108" w:type="dxa"/>
          <w:bottom w:w="0" w:type="dxa"/>
        </w:tblCellMar>
        <w:tblLook w:val="04A0" w:firstRow="1" w:lastRow="0" w:firstColumn="1" w:lastColumn="0" w:noHBand="0" w:noVBand="1"/>
      </w:tblPr>
      <w:tblGrid>
        <w:gridCol w:w="710"/>
        <w:gridCol w:w="3334"/>
        <w:gridCol w:w="888"/>
        <w:gridCol w:w="903"/>
        <w:gridCol w:w="1203"/>
        <w:gridCol w:w="1806"/>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sz w:val="22"/>
                <w:szCs w:val="24"/>
              </w:rPr>
            </w:pPr>
            <w:r>
              <w:rPr>
                <w:rFonts w:hint="eastAsia"/>
                <w:sz w:val="22"/>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tcPr>
          <w:p>
            <w:pPr>
              <w:jc w:val="center"/>
              <w:rPr>
                <w:sz w:val="22"/>
                <w:szCs w:val="24"/>
              </w:rPr>
            </w:pPr>
            <w:r>
              <w:rPr>
                <w:rFonts w:hint="eastAsia"/>
                <w:sz w:val="22"/>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sz w:val="22"/>
                <w:szCs w:val="24"/>
              </w:rPr>
            </w:pPr>
            <w:r>
              <w:rPr>
                <w:rFonts w:hint="eastAsia"/>
                <w:sz w:val="22"/>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rPr>
                <w:sz w:val="22"/>
                <w:szCs w:val="24"/>
              </w:rPr>
            </w:pPr>
            <w:r>
              <w:rPr>
                <w:rFonts w:hint="eastAsia"/>
                <w:sz w:val="22"/>
                <w:szCs w:val="24"/>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80" w:type="pct"/>
            <w:vAlign w:val="center"/>
            <w:textDirection w:val="lrTb"/>
            <w:noWrap/>
          </w:tcPr>
          <w:p>
            <w:pPr>
              <w:jc w:val="center"/>
              <w:rPr>
                <w:sz w:val="22"/>
                <w:szCs w:val="24"/>
              </w:rPr>
            </w:pPr>
            <w:r>
              <w:rPr>
                <w:rFonts w:hint="eastAsia"/>
                <w:sz w:val="22"/>
                <w:szCs w:val="24"/>
              </w:rPr>
              <w:t xml:space="preserve">核心产品</w:t>
            </w:r>
            <w:r/>
          </w:p>
        </w:tc>
        <w:tc>
          <w:tcPr>
            <w:shd w:val="clear" w:color="auto" w:fill="auto"/>
            <w:tcBorders>
              <w:top w:val="single" w:color="000000" w:sz="4" w:space="0"/>
              <w:left w:val="single" w:color="000000" w:sz="4" w:space="0"/>
              <w:bottom w:val="single" w:color="auto" w:sz="4" w:space="0"/>
              <w:right w:val="single" w:color="000000" w:sz="4" w:space="0"/>
            </w:tcBorders>
            <w:tcW w:w="1020" w:type="pct"/>
            <w:vAlign w:val="center"/>
            <w:textDirection w:val="lrTb"/>
            <w:noWrap/>
          </w:tcPr>
          <w:p>
            <w:pPr>
              <w:jc w:val="center"/>
              <w:rPr>
                <w:sz w:val="22"/>
                <w:szCs w:val="24"/>
              </w:rPr>
            </w:pPr>
            <w:r>
              <w:rPr>
                <w:rFonts w:hint="eastAsia"/>
                <w:sz w:val="22"/>
                <w:szCs w:val="24"/>
              </w:rPr>
              <w:t xml:space="preserve">是否接受</w:t>
            </w:r>
            <w:r/>
          </w:p>
          <w:p>
            <w:pPr>
              <w:jc w:val="center"/>
              <w:rPr>
                <w:sz w:val="22"/>
                <w:szCs w:val="24"/>
              </w:rPr>
            </w:pPr>
            <w:r>
              <w:rPr>
                <w:rFonts w:hint="eastAsia"/>
                <w:sz w:val="22"/>
                <w:szCs w:val="24"/>
              </w:rPr>
              <w:t xml:space="preserve">进口产品</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sz w:val="22"/>
                <w:szCs w:val="24"/>
              </w:rPr>
            </w:pPr>
            <w:r>
              <w:rPr>
                <w:rFonts w:hint="eastAsia"/>
                <w:sz w:val="22"/>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tcPr>
          <w:p>
            <w:pPr>
              <w:jc w:val="center"/>
              <w:rPr>
                <w:sz w:val="22"/>
                <w:szCs w:val="24"/>
              </w:rPr>
            </w:pPr>
            <w:r>
              <w:rPr>
                <w:rFonts w:hint="eastAsia"/>
                <w:sz w:val="22"/>
                <w:szCs w:val="24"/>
              </w:rPr>
              <w:t xml:space="preserve">彩色多普勒超声诊断仪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sz w:val="22"/>
                <w:szCs w:val="24"/>
              </w:rPr>
            </w:pPr>
            <w:r>
              <w:rPr>
                <w:rFonts w:hint="eastAsia"/>
                <w:sz w:val="22"/>
                <w:szCs w:val="24"/>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510" w:type="pct"/>
            <w:vAlign w:val="center"/>
            <w:textDirection w:val="lrTb"/>
            <w:noWrap/>
          </w:tcPr>
          <w:p>
            <w:pPr>
              <w:jc w:val="center"/>
              <w:rPr>
                <w:sz w:val="22"/>
                <w:szCs w:val="24"/>
              </w:rPr>
            </w:pPr>
            <w:r>
              <w:rPr>
                <w:rFonts w:hint="eastAsia"/>
                <w:sz w:val="22"/>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0" w:type="pct"/>
            <w:vAlign w:val="center"/>
            <w:textDirection w:val="lrTb"/>
            <w:noWrap/>
          </w:tcPr>
          <w:p>
            <w:pPr>
              <w:jc w:val="center"/>
              <w:rPr>
                <w:sz w:val="22"/>
                <w:szCs w:val="24"/>
              </w:rPr>
            </w:pPr>
            <w:r>
              <w:rPr>
                <w:rFonts w:hint="eastAsia"/>
                <w:sz w:val="22"/>
                <w:szCs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jc w:val="center"/>
              <w:rPr>
                <w:sz w:val="22"/>
                <w:szCs w:val="24"/>
              </w:rPr>
            </w:pPr>
            <w:r>
              <w:rPr>
                <w:rFonts w:hint="eastAsia"/>
                <w:sz w:val="22"/>
                <w:szCs w:val="24"/>
              </w:rPr>
              <w:t xml:space="preserve">否</w:t>
            </w:r>
            <w:r/>
          </w:p>
        </w:tc>
      </w:tr>
    </w:tbl>
    <w:p>
      <w:pPr>
        <w:pStyle w:val="751"/>
        <w:numPr>
          <w:ilvl w:val="0"/>
          <w:numId w:val="2"/>
        </w:numPr>
        <w:ind w:firstLine="0"/>
        <w:spacing w:before="240" w:line="360" w:lineRule="auto"/>
        <w:rPr>
          <w:rFonts w:ascii="黑体" w:hAnsi="黑体" w:eastAsia="黑体"/>
          <w:b/>
          <w:bCs/>
          <w:sz w:val="22"/>
          <w:szCs w:val="22"/>
        </w:rPr>
      </w:pPr>
      <w:r>
        <w:rPr>
          <w:rFonts w:hint="eastAsia" w:ascii="黑体" w:hAnsi="黑体" w:eastAsia="黑体"/>
          <w:b/>
          <w:bCs/>
          <w:sz w:val="22"/>
          <w:szCs w:val="22"/>
          <w:lang w:val="en-US"/>
        </w:rPr>
        <w:t xml:space="preserve">产品配置</w:t>
      </w:r>
      <w:r/>
    </w:p>
    <w:tbl>
      <w:tblPr>
        <w:tblStyle w:val="704"/>
        <w:tblW w:w="4807" w:type="pct"/>
        <w:tblInd w:w="248" w:type="dxa"/>
        <w:tblLayout w:type="fixed"/>
        <w:tblCellMar>
          <w:left w:w="108" w:type="dxa"/>
          <w:top w:w="0" w:type="dxa"/>
          <w:right w:w="108" w:type="dxa"/>
          <w:bottom w:w="0" w:type="dxa"/>
        </w:tblCellMar>
        <w:tblLook w:val="04A0" w:firstRow="1" w:lastRow="0" w:firstColumn="1" w:lastColumn="0" w:noHBand="0" w:noVBand="1"/>
      </w:tblPr>
      <w:tblGrid>
        <w:gridCol w:w="856"/>
        <w:gridCol w:w="3963"/>
        <w:gridCol w:w="4192"/>
      </w:tblGrid>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组件名称</w:t>
            </w:r>
            <w:r/>
          </w:p>
        </w:tc>
        <w:tc>
          <w:tcPr>
            <w:shd w:val="clear" w:color="auto" w:fill="auto"/>
            <w:tcBorders>
              <w:top w:val="single" w:color="000000" w:sz="4" w:space="0"/>
              <w:left w:val="single" w:color="000000" w:sz="4" w:space="0"/>
              <w:bottom w:val="single" w:color="000000" w:sz="4" w:space="0"/>
              <w:right w:val="single" w:color="000000" w:sz="4" w:space="0"/>
            </w:tcBorders>
            <w:tcW w:w="2325" w:type="pct"/>
            <w:vAlign w:val="center"/>
            <w:textDirection w:val="lrTb"/>
            <w:noWrap/>
          </w:tcPr>
          <w:p>
            <w:pPr>
              <w:jc w:val="center"/>
              <w:rPr>
                <w:sz w:val="22"/>
                <w:szCs w:val="24"/>
              </w:rPr>
            </w:pPr>
            <w:r>
              <w:rPr>
                <w:rFonts w:hint="eastAsia"/>
                <w:sz w:val="22"/>
                <w:szCs w:val="24"/>
              </w:rPr>
              <w:t xml:space="preserve">数量</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主机</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1台</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腹部凸阵探头</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1个</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高频线阵探头</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1个</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腔内探头</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1个</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心脏相控阵探头</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1个</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sz w:val="22"/>
                <w:szCs w:val="24"/>
              </w:rPr>
            </w:pPr>
            <w:r>
              <w:rPr>
                <w:rFonts w:hint="eastAsia"/>
                <w:sz w:val="22"/>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tcPr>
          <w:p>
            <w:pPr>
              <w:jc w:val="center"/>
              <w:rPr>
                <w:sz w:val="22"/>
                <w:szCs w:val="24"/>
              </w:rPr>
            </w:pPr>
            <w:r>
              <w:rPr>
                <w:rFonts w:hint="eastAsia"/>
                <w:sz w:val="22"/>
                <w:szCs w:val="24"/>
              </w:rPr>
              <w:t xml:space="preserve">超声图文工作站（含打印机）</w:t>
            </w:r>
            <w:r/>
          </w:p>
        </w:tc>
        <w:tc>
          <w:tcPr>
            <w:shd w:val="clear" w:color="auto" w:fill="auto"/>
            <w:tcBorders>
              <w:top w:val="single" w:color="000000" w:sz="4" w:space="0"/>
              <w:left w:val="single" w:color="000000" w:sz="4" w:space="0"/>
              <w:bottom w:val="single" w:color="000000" w:sz="4" w:space="0"/>
              <w:right w:val="single" w:color="auto" w:sz="4" w:space="0"/>
            </w:tcBorders>
            <w:tcW w:w="2325" w:type="pct"/>
            <w:vAlign w:val="center"/>
            <w:textDirection w:val="lrTb"/>
            <w:noWrap/>
          </w:tcPr>
          <w:p>
            <w:pPr>
              <w:jc w:val="center"/>
              <w:rPr>
                <w:sz w:val="22"/>
                <w:szCs w:val="24"/>
              </w:rPr>
            </w:pPr>
            <w:r>
              <w:rPr>
                <w:rFonts w:hint="eastAsia"/>
                <w:sz w:val="22"/>
                <w:szCs w:val="24"/>
              </w:rPr>
              <w:t xml:space="preserve">1套</w:t>
            </w:r>
            <w:r/>
          </w:p>
        </w:tc>
      </w:tr>
    </w:tbl>
    <w:p>
      <w:pPr>
        <w:pStyle w:val="751"/>
        <w:numPr>
          <w:ilvl w:val="0"/>
          <w:numId w:val="2"/>
        </w:numPr>
        <w:ind w:firstLine="0"/>
        <w:spacing w:before="240" w:line="360" w:lineRule="auto"/>
        <w:rPr>
          <w:rFonts w:ascii="黑体" w:hAnsi="黑体" w:eastAsia="黑体"/>
          <w:b/>
          <w:bCs/>
          <w:sz w:val="22"/>
          <w:szCs w:val="22"/>
        </w:rPr>
      </w:pPr>
      <w:r>
        <w:rPr>
          <w:rFonts w:hint="eastAsia" w:ascii="黑体" w:hAnsi="黑体" w:eastAsia="黑体"/>
          <w:b/>
          <w:bCs/>
          <w:sz w:val="22"/>
          <w:szCs w:val="22"/>
        </w:rPr>
        <w:t xml:space="preserve">技术要求</w:t>
      </w:r>
      <w:r/>
    </w:p>
    <w:tbl>
      <w:tblPr>
        <w:tblStyle w:val="704"/>
        <w:tblW w:w="8851" w:type="dxa"/>
        <w:tblInd w:w="237" w:type="dxa"/>
        <w:tblLayout w:type="autofit"/>
        <w:tblCellMar>
          <w:left w:w="108" w:type="dxa"/>
          <w:top w:w="0" w:type="dxa"/>
          <w:right w:w="108" w:type="dxa"/>
          <w:bottom w:w="0" w:type="dxa"/>
        </w:tblCellMar>
        <w:tblLook w:val="04A0" w:firstRow="1" w:lastRow="0" w:firstColumn="1" w:lastColumn="0" w:noHBand="0" w:noVBand="1"/>
      </w:tblPr>
      <w:tblGrid>
        <w:gridCol w:w="802"/>
        <w:gridCol w:w="2856"/>
        <w:gridCol w:w="5193"/>
      </w:tblGrid>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center"/>
              <w:widowControl/>
              <w:rPr>
                <w:rFonts w:ascii="黑体" w:hAnsi="宋体" w:eastAsia="黑体" w:cs="黑体"/>
                <w:color w:val="000000"/>
                <w:sz w:val="24"/>
                <w:szCs w:val="24"/>
              </w:rPr>
            </w:pPr>
            <w:r>
              <w:rPr>
                <w:rFonts w:hint="eastAsia" w:ascii="黑体" w:hAnsi="宋体" w:eastAsia="黑体" w:cs="黑体"/>
                <w:color w:val="000000"/>
                <w:sz w:val="24"/>
                <w:szCs w:val="24"/>
                <w:lang w:bidi="ar"/>
              </w:rPr>
              <w:t xml:space="preserve">技术要求及参数</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等线" w:hAnsi="等线" w:eastAsia="等线" w:cs="等线"/>
                <w:b/>
                <w:bCs/>
                <w:color w:val="000000"/>
                <w:sz w:val="22"/>
              </w:rPr>
            </w:pPr>
            <w:r>
              <w:rPr>
                <w:rFonts w:hint="eastAsia" w:ascii="等线" w:hAnsi="等线" w:eastAsia="等线" w:cs="等线"/>
                <w:b/>
                <w:bCs/>
                <w:color w:val="000000"/>
                <w:sz w:val="22"/>
                <w:lang w:bidi="ar"/>
              </w:rPr>
              <w:t xml:space="preserve">一、整机硬件与操作平台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主机配备高分辨率医用显示器≥21 英寸，操作面板搭载液晶触控屏≥12 英寸，全参数支持触控调节。</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探头接口</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整机通用成像探头物理接口≥4 个，全部接口激活互通、支持探头热插拔互换，接口配备背景灯光便于暗光检查环境使用。</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增益调节</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时间增益补偿 TGC≥8 段，侧向增益补偿 LGC≥8 段，触控面板设置独立 LGC 调节按键，二维 B 超、M 型成像增益可独立分开调节。</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存储硬件</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主机内置硬盘≥500G，支持 DVD、USB 双通道图像存储；动态电影回放缓存单元≥2200 帧。</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智能扫查流程</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配备扫查专家标准化检查流程，支持自动检查记录、成像模式一键切换、病灶自动标注、体表定位标记，提升临床检查效率。</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系统适配</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整机搭载最新官方软件版本，所有配套探头对应功能模块完整配套，主机全部软件功能模块完整开放，支持中英文操作系统。</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等线" w:hAnsi="等线" w:eastAsia="等线" w:cs="等线"/>
                <w:b/>
                <w:bCs/>
                <w:color w:val="000000"/>
                <w:sz w:val="22"/>
              </w:rPr>
            </w:pPr>
            <w:r>
              <w:rPr>
                <w:rFonts w:hint="eastAsia" w:ascii="等线" w:hAnsi="等线" w:eastAsia="等线" w:cs="等线"/>
                <w:b/>
                <w:bCs/>
                <w:color w:val="000000"/>
                <w:sz w:val="22"/>
                <w:lang w:bidi="ar"/>
              </w:rPr>
              <w:t xml:space="preserve">二、主机成像基础性能</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成像硬件平台</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采用全新多声束并行处理成像平台，搭载连续动态聚焦、并行接收波束同步处理技术。</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动态范围</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整机系统成像动态范围≥330dB，提升深浅层组织对比度分辨能力。</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数字成像通道</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整机数字处理通道总数≥470 万，保障图像细节解析力。</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单帧扫描线</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超声图像单帧扫描线数量≥320 线。</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全屏高清放大</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设备具备全屏无损高清放大功能，放大后图像有效显示区域≥21 英寸，画面比例 16:9，图像分辨率不低于 1080P（1920×1080）。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空间复合成像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波束偏转线数≥9 线。</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斑点噪声抑制优化</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内置实时图像降噪优化技术，自动消除斑点噪声伪像、强化组织边界显示，参数多级可调，全探头通用，可与其他图像优化技术叠加同步启用。</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一键智能图像优化</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搭载自适应图像优化算法，一键自动匹配增益、动态范围、成像深度等参数，输出最优成像画质。</w:t>
            </w:r>
            <w:r/>
          </w:p>
        </w:tc>
      </w:tr>
      <w:tr>
        <w:trPr>
          <w:trHeight w:val="1104"/>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基础成像单元</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完整搭载数字化二维灰阶成像、灰阶 M 型、彩色 M 型成像单元；PW、CW、HPRF 全类型频谱多普勒分析单元；组织多普勒 TDI 成像单元，支持彩色、谐波、PW、M 型多模式联合切换。</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智能聚焦技术</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不同成像模式切换后，聚焦区域自动保留原有设置深度，无需重复调节。</w:t>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等线" w:hAnsi="等线" w:eastAsia="等线" w:cs="等线"/>
                <w:b/>
                <w:bCs/>
                <w:color w:val="000000"/>
                <w:sz w:val="22"/>
              </w:rPr>
            </w:pPr>
            <w:r>
              <w:rPr>
                <w:rFonts w:hint="eastAsia" w:ascii="等线" w:hAnsi="等线" w:eastAsia="等线" w:cs="等线"/>
                <w:b/>
                <w:bCs/>
                <w:color w:val="000000"/>
                <w:sz w:val="22"/>
                <w:lang w:bidi="ar"/>
              </w:rPr>
              <w:t xml:space="preserve">三、探头系统及扫描参数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探头数量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单晶体或纯净波或冰晶体≥4 支。</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整机频率覆盖</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设备适配超宽频带成像探头体系，整机支持探头频率区间 1MHz-18MHz，系统最高成像频率≥18MHz。</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探头工作频率</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（1）腹部凸阵探头工作频率：1.0-5.0MHz</w:t>
            </w:r>
            <w:r/>
          </w:p>
        </w:tc>
      </w:tr>
      <w:tr>
        <w:trPr>
          <w:trHeight w:val="288"/>
        </w:trPr>
        <w:tc>
          <w:tcPr>
            <w:shd w:val="clear" w:color="auto" w:fill="auto"/>
            <w:tcBorders>
              <w:left w:val="single" w:color="000000" w:sz="4" w:space="0"/>
              <w:right w:val="single" w:color="000000" w:sz="4" w:space="0"/>
            </w:tcBorders>
            <w:tcW w:w="802" w:type="dxa"/>
            <w:vAlign w:val="center"/>
            <w:vMerge w:val="continue"/>
            <w:textDirection w:val="lrTb"/>
            <w:noWrap/>
          </w:tcPr>
          <w:p>
            <w:pPr>
              <w:jc w:val="center"/>
              <w:widowControl/>
              <w:rPr>
                <w:rFonts w:ascii="宋体" w:hAnsi="宋体" w:cs="宋体"/>
                <w:color w:val="000000"/>
                <w:sz w:val="22"/>
                <w:lang w:bidi="ar"/>
              </w:rPr>
            </w:pPr>
            <w:r>
              <w:rPr>
                <w:rFonts w:ascii="宋体" w:hAnsi="宋体" w:cs="宋体"/>
                <w:color w:val="000000"/>
                <w:sz w:val="22"/>
                <w:lang w:bidi="ar"/>
              </w:rPr>
            </w:r>
            <w:r/>
          </w:p>
        </w:tc>
        <w:tc>
          <w:tcPr>
            <w:shd w:val="clear" w:color="auto" w:fill="auto"/>
            <w:tcBorders>
              <w:left w:val="single" w:color="000000" w:sz="4" w:space="0"/>
              <w:right w:val="single" w:color="000000" w:sz="4" w:space="0"/>
            </w:tcBorders>
            <w:tcW w:w="2856" w:type="dxa"/>
            <w:vAlign w:val="center"/>
            <w:vMerge w:val="continue"/>
            <w:textDirection w:val="lrTb"/>
            <w:noWrap/>
          </w:tcPr>
          <w:p>
            <w:pPr>
              <w:jc w:val="center"/>
              <w:widowControl/>
              <w:rPr>
                <w:rFonts w:ascii="宋体" w:hAnsi="宋体" w:cs="宋体"/>
                <w:color w:val="000000"/>
                <w:sz w:val="22"/>
                <w:lang w:bidi="ar"/>
              </w:rPr>
            </w:pPr>
            <w:r>
              <w:rPr>
                <w:rFonts w:ascii="宋体" w:hAnsi="宋体" w:cs="宋体"/>
                <w:color w:val="000000"/>
                <w:sz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lang w:bidi="ar"/>
              </w:rPr>
            </w:pPr>
            <w:r>
              <w:rPr>
                <w:rFonts w:hint="eastAsia" w:ascii="等线" w:hAnsi="等线" w:eastAsia="等线" w:cs="等线"/>
                <w:color w:val="000000"/>
                <w:sz w:val="22"/>
                <w:lang w:bidi="ar"/>
              </w:rPr>
              <w:t xml:space="preserve">★（2）凸阵探头最大扫描深度≥50cm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（3）高频线阵探头工作频率：4.0-18.0MHz</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（4）心脏相控阵探头：工作频率：1.0-5.0MHz</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（5）腔内凸阵探头：工作频率：3.0-10.0MHz</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多普勒测量参数</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最低血流测量速度≤0.25mm/s（仅识别真实血流信号，过滤设备噪声干扰，可提供官方附图证明）；多普勒取样门宽度 0.5mm 至 20mm 多级连续可调。</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等线" w:hAnsi="等线" w:eastAsia="等线" w:cs="等线"/>
                <w:b/>
                <w:bCs/>
                <w:color w:val="000000"/>
                <w:sz w:val="22"/>
              </w:rPr>
            </w:pPr>
            <w:r>
              <w:rPr>
                <w:rFonts w:hint="eastAsia" w:ascii="等线" w:hAnsi="等线" w:eastAsia="等线" w:cs="等线"/>
                <w:b/>
                <w:bCs/>
                <w:color w:val="000000"/>
                <w:sz w:val="22"/>
                <w:lang w:bidi="ar"/>
              </w:rPr>
              <w:t xml:space="preserve">四、常规临床诊断智能功能</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仿宋" w:hAnsi="仿宋" w:eastAsia="仿宋" w:cs="仿宋"/>
                <w:b/>
                <w:bCs/>
                <w:color w:val="000000"/>
                <w:sz w:val="22"/>
              </w:rPr>
            </w:pPr>
            <w:r>
              <w:rPr>
                <w:rFonts w:hint="eastAsia" w:ascii="仿宋" w:hAnsi="仿宋" w:eastAsia="仿宋" w:cs="仿宋"/>
                <w:b/>
                <w:bCs/>
                <w:color w:val="000000"/>
                <w:sz w:val="22"/>
                <w:lang w:bidi="ar"/>
              </w:rPr>
              <w:t xml:space="preserve">（一）专科专项成像预设</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乳腺专项扫查预设</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搭载声速匹配校正成像技术，可自动区分脂肪型、腺体型乳腺组织并校正成像声速，强化乳腺微小病灶与边界显示，设置两组模式快捷切换按键。</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脑卒中颈动脉自动评估</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设备可自动记录颈总动脉、颈内动脉近、中、远端血流速度，自动测算血流峰值流速，自动计算颈内 / 颈总动脉峰值流速比值，用于脑血管疾病筛查诊断。</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仿宋" w:hAnsi="仿宋" w:eastAsia="仿宋" w:cs="仿宋"/>
                <w:b/>
                <w:bCs/>
                <w:color w:val="000000"/>
                <w:sz w:val="22"/>
              </w:rPr>
            </w:pPr>
            <w:r>
              <w:rPr>
                <w:rFonts w:hint="eastAsia" w:ascii="仿宋" w:hAnsi="仿宋" w:eastAsia="仿宋" w:cs="仿宋"/>
                <w:b/>
                <w:bCs/>
                <w:color w:val="000000"/>
                <w:sz w:val="22"/>
                <w:lang w:bidi="ar"/>
              </w:rPr>
              <w:t xml:space="preserve">（二）心脏智能定量分析</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自动心肌运动定量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主机端可独立完成心脏长轴、短轴切面图像分析，无需依赖 ECG 心电信号，可分层识别心肌内、中、外三层运动信息。</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全自动左室应变定量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设备自动识别、追踪心脏标准切面，数秒内输出 LV GLS 整体纵向应变、节段应变、应变率、达峰时间、左心室长径等全套定量参数；支持带 ECG、无 ECG 两类图像离线分析。</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经食道成像拓展</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主机硬件原生支持经食道 TEE 探头成像功能。</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矩阵成像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设备支持矩阵成像技术，满足心脏立体评估需求。</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组织多普勒定量TDI</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具备实时组织多普勒定量技术，支持≥3 种 TDI 成像模式，可对室壁运动速度、应变等参数完成定量测算。</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仿宋" w:hAnsi="仿宋" w:eastAsia="仿宋" w:cs="仿宋"/>
                <w:b/>
                <w:bCs/>
                <w:color w:val="000000"/>
                <w:sz w:val="22"/>
              </w:rPr>
            </w:pPr>
            <w:r>
              <w:rPr>
                <w:rFonts w:hint="eastAsia" w:ascii="仿宋" w:hAnsi="仿宋" w:eastAsia="仿宋" w:cs="仿宋"/>
                <w:b/>
                <w:bCs/>
                <w:color w:val="000000"/>
                <w:sz w:val="22"/>
                <w:lang w:bidi="ar"/>
              </w:rPr>
              <w:t xml:space="preserve">（三）全科室一体化自动测量包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通用基础测量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距离、面积、周长测算。</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妇科、产科测量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全套产科径线、NT 筛查、单 / 双胎孕龄评估、胎儿生长曲线、羊水指数测算，妇科包块定量。</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外周血管测量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血管内中膜自动测量，可自动识别血管前后壁 IMT 厚度；多普勒频谱自动包络计算。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专项自动测量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心脏、泌尿科、小儿髋关节专项自动测量模板。</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智能多普勒血管优化算法</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提升低速微小血管血流检出灵敏度。</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jc w:val="center"/>
              <w:widowControl/>
              <w:rPr>
                <w:rFonts w:ascii="等线" w:hAnsi="等线" w:eastAsia="等线" w:cs="等线"/>
                <w:b/>
                <w:bCs/>
                <w:color w:val="000000"/>
                <w:sz w:val="22"/>
              </w:rPr>
            </w:pPr>
            <w:r>
              <w:rPr>
                <w:rFonts w:hint="eastAsia" w:ascii="等线" w:hAnsi="等线" w:eastAsia="等线" w:cs="等线"/>
                <w:b/>
                <w:bCs/>
                <w:color w:val="000000"/>
                <w:sz w:val="22"/>
                <w:lang w:bidi="ar"/>
              </w:rPr>
              <w:t xml:space="preserve">五、高端拓展成像技术</w:t>
            </w:r>
            <w:r/>
          </w:p>
        </w:tc>
      </w:tr>
      <w:tr>
        <w:trPr>
          <w:trHeight w:val="1104"/>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超微细血流成像</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搭载超微细低速血流成像技术，可捕捉组织超低速、极微弱微细血流信号；配备独立成像模式、增强模式、2D 对照模式，提供≥8 种血流色彩映射图；支持血流速度定量测量，已存储静态图像可二次启用增强模式分析。</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超声造影成像模块</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（1）所提供探头支持造影成像。</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（2）定量分析工具：主机内置造影时间 - 强度曲线自动定量分析系统，配备双独立造影计时器；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（3）实时微血管造影成像；</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（4）运动补偿追踪：造影定量组织运动追踪技术，实时追踪目标组织，消除患者呼吸、身体位移带来的数据误差，保障定量结果精准；</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一体化弹性成像技术</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（1）主机内置实时弹性定量分析系统，支持病灶直径、面积对比、动态应变分析、弹性参数成像；</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（2） 囊实性病灶智能鉴别算法；支持浅表、腔内探头弹性扫查；</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（3）无加压软组织弹性成像，提供灰阶、反转、彩色多普勒多种显像模式；</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（4） 肝脏剪切波定量技术：可结合二维图像检测目标区域组织弹性硬度，取样框 ROI 尺寸自由调节。</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其他介入与多影像辅助功能</w:t>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（1）穿刺针增强显影技术，提升介入穿刺手术中穿刺针可视度；</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（2）斑点噪音抑制技术，全探头通用，优化组织边界、减少成像伪影；</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193" w:type="dxa"/>
            <w:vAlign w:val="center"/>
            <w:textDirection w:val="lrTb"/>
            <w:noWrap w:val="false"/>
          </w:tcPr>
          <w:p>
            <w:pPr>
              <w:jc w:val="left"/>
              <w:widowControl/>
              <w:rPr>
                <w:rFonts w:ascii="等线" w:hAnsi="等线" w:eastAsia="等线" w:cs="等线"/>
                <w:color w:val="000000"/>
                <w:sz w:val="22"/>
              </w:rPr>
            </w:pPr>
            <w:r>
              <w:rPr>
                <w:rFonts w:hint="eastAsia" w:ascii="等线" w:hAnsi="等线" w:eastAsia="等线" w:cs="等线"/>
                <w:color w:val="000000"/>
                <w:sz w:val="22"/>
                <w:lang w:bidi="ar"/>
              </w:rPr>
              <w:t xml:space="preserve">（3）支持主机本地直接读取浏览 CT、MR 影像数据，无需融合导航即可实现多影像同步对比。</w:t>
            </w:r>
            <w:r/>
          </w:p>
        </w:tc>
      </w:tr>
    </w:tbl>
    <w:p>
      <w:pPr>
        <w:pStyle w:val="1117"/>
        <w:rPr>
          <w:rFonts w:cs="宋体"/>
          <w:sz w:val="22"/>
          <w:szCs w:val="22"/>
        </w:rPr>
      </w:pPr>
      <w:r>
        <w:rPr>
          <w:rFonts w:hint="eastAsia" w:cs="宋体"/>
          <w:sz w:val="22"/>
          <w:szCs w:val="22"/>
        </w:rPr>
        <w:t xml:space="preserve">注：</w:t>
      </w:r>
      <w:r/>
    </w:p>
    <w:p>
      <w:pPr>
        <w:pStyle w:val="1117"/>
        <w:ind w:firstLine="440"/>
        <w:rPr>
          <w:rFonts w:cs="宋体"/>
          <w:sz w:val="24"/>
          <w:szCs w:val="24"/>
        </w:rPr>
      </w:pPr>
      <w:r>
        <w:rPr>
          <w:rFonts w:hint="eastAsia" w:cs="宋体"/>
          <w:sz w:val="22"/>
          <w:szCs w:val="22"/>
        </w:rPr>
        <w:t xml:space="preserve">1.上表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p>
    <w:p>
      <w:pPr>
        <w:pStyle w:val="1117"/>
        <w:ind w:firstLine="440"/>
        <w:rPr>
          <w:rFonts w:cs="宋体"/>
          <w:b w:val="0"/>
          <w:bCs/>
          <w:sz w:val="22"/>
          <w:szCs w:val="22"/>
        </w:rPr>
      </w:pPr>
      <w:r>
        <w:rPr>
          <w:rFonts w:hint="eastAsia" w:cs="宋体"/>
          <w:sz w:val="22"/>
          <w:szCs w:val="22"/>
        </w:rPr>
        <w:t xml:space="preserve">2.技术支撑材料若为外文的，需提供中文译文，并以中文译文为准。</w:t>
      </w:r>
      <w:r/>
    </w:p>
    <w:p>
      <w:pPr>
        <w:pStyle w:val="751"/>
        <w:ind w:firstLine="442"/>
        <w:spacing w:line="360" w:lineRule="auto"/>
        <w:rPr>
          <w:rFonts w:ascii="黑体" w:hAnsi="黑体" w:eastAsia="黑体"/>
          <w:b/>
          <w:bCs/>
          <w:sz w:val="22"/>
          <w:szCs w:val="22"/>
        </w:rPr>
      </w:pPr>
      <w:r>
        <w:rPr>
          <w:rFonts w:hint="eastAsia" w:ascii="黑体" w:hAnsi="黑体" w:eastAsia="黑体"/>
          <w:b/>
          <w:bCs/>
          <w:sz w:val="22"/>
          <w:szCs w:val="22"/>
          <w:lang w:val="en-US"/>
        </w:rPr>
        <w:t xml:space="preserve">五</w:t>
      </w:r>
      <w:r>
        <w:rPr>
          <w:rFonts w:hint="eastAsia" w:ascii="黑体" w:hAnsi="黑体" w:eastAsia="黑体"/>
          <w:b/>
          <w:bCs/>
          <w:sz w:val="22"/>
          <w:szCs w:val="22"/>
        </w:rPr>
        <w:t xml:space="preserve">、付款方式</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1.合同签订生效后7日内，支付合同价款30%的预付款；</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2.设备安装、调试、验收合格后，凭验收合格报告和发票支付至合同价款的90%；</w:t>
      </w:r>
      <w:r/>
    </w:p>
    <w:p>
      <w:pPr>
        <w:ind w:firstLine="440"/>
        <w:spacing w:line="360" w:lineRule="auto"/>
        <w:rPr>
          <w:rFonts w:asciiTheme="minorEastAsia" w:hAnsiTheme="minorEastAsia" w:eastAsiaTheme="minorEastAsia" w:cstheme="minorEastAsia"/>
          <w:sz w:val="22"/>
          <w:u w:val="single"/>
        </w:rPr>
      </w:pPr>
      <w:r>
        <w:rPr>
          <w:rFonts w:hint="eastAsia" w:asciiTheme="minorEastAsia" w:hAnsiTheme="minorEastAsia" w:eastAsiaTheme="minorEastAsia" w:cstheme="minorEastAsia"/>
          <w:sz w:val="22"/>
          <w:u w:val="single"/>
        </w:rPr>
        <w:t xml:space="preserve">3.验收合格满一年后付清余款。</w:t>
      </w:r>
      <w:r/>
    </w:p>
    <w:p>
      <w:pPr>
        <w:pStyle w:val="751"/>
        <w:ind w:firstLine="442"/>
        <w:spacing w:line="360" w:lineRule="auto"/>
        <w:rPr>
          <w:rFonts w:ascii="黑体" w:hAnsi="黑体" w:eastAsia="黑体" w:cs="宋体"/>
          <w:b/>
          <w:bCs/>
          <w:sz w:val="22"/>
          <w:szCs w:val="22"/>
        </w:rPr>
      </w:pPr>
      <w:r>
        <w:rPr>
          <w:rFonts w:hint="eastAsia" w:ascii="黑体" w:hAnsi="黑体" w:eastAsia="黑体"/>
          <w:b/>
          <w:bCs/>
          <w:sz w:val="22"/>
          <w:szCs w:val="22"/>
          <w:lang w:val="en-US"/>
        </w:rPr>
        <w:t xml:space="preserve">六</w:t>
      </w:r>
      <w:r>
        <w:rPr>
          <w:rFonts w:hint="eastAsia" w:ascii="黑体" w:hAnsi="黑体" w:eastAsia="黑体"/>
          <w:b/>
          <w:bCs/>
          <w:sz w:val="22"/>
          <w:szCs w:val="22"/>
        </w:rPr>
        <w:t xml:space="preserve">、交货期及交货地点</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1.交货期：</w:t>
      </w:r>
      <w:r>
        <w:rPr>
          <w:rFonts w:hint="eastAsia" w:asciiTheme="minorEastAsia" w:hAnsiTheme="minorEastAsia" w:eastAsiaTheme="minorEastAsia" w:cstheme="minorEastAsia"/>
          <w:sz w:val="22"/>
          <w:u w:val="single"/>
        </w:rPr>
        <w:t xml:space="preserve">30日历天</w:t>
      </w:r>
      <w:r>
        <w:rPr>
          <w:rFonts w:hint="eastAsia" w:asciiTheme="minorEastAsia" w:hAnsiTheme="minorEastAsia" w:eastAsiaTheme="minorEastAsia" w:cstheme="minorEastAsia"/>
          <w:sz w:val="22"/>
        </w:rPr>
        <w:t xml:space="preserve">。 </w:t>
      </w:r>
      <w:r/>
    </w:p>
    <w:p>
      <w:pPr>
        <w:ind w:firstLine="440"/>
        <w:jc w:val="left"/>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2.交货地点：靖江市人民医院指定地点，由中标人负责办理运输和装卸等，费用由中标人负责，由采购人组织验收，检验不合格或不符合质量要求，中标人除无条件退货、返工外，还应承担采购人的一切损失。 </w:t>
      </w:r>
      <w:r/>
    </w:p>
    <w:p>
      <w:pPr>
        <w:pStyle w:val="1117"/>
        <w:ind w:firstLine="442"/>
        <w:rPr>
          <w:rFonts w:ascii="黑体" w:hAnsi="黑体" w:eastAsia="黑体" w:cs="宋体"/>
          <w:sz w:val="22"/>
          <w:szCs w:val="22"/>
        </w:rPr>
      </w:pPr>
      <w:r>
        <w:rPr>
          <w:rFonts w:hint="eastAsia" w:ascii="黑体" w:hAnsi="黑体" w:eastAsia="黑体" w:cs="宋体"/>
          <w:sz w:val="22"/>
          <w:szCs w:val="22"/>
        </w:rPr>
        <w:t xml:space="preserve">七、资质、质量要求及技术标准</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1．产品制造商及产品资质要求：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（1）所</w:t>
      </w:r>
      <w:r>
        <w:rPr>
          <w:rFonts w:hint="eastAsia" w:asciiTheme="minorEastAsia" w:hAnsiTheme="minorEastAsia" w:eastAsiaTheme="minorEastAsia" w:cstheme="minorEastAsia"/>
          <w:sz w:val="22"/>
          <w:lang w:eastAsia="zh-CN"/>
        </w:rPr>
        <w:t xml:space="preserve">投标产品制造商（注册人/备案人）（注册人/备案人）</w:t>
      </w:r>
      <w:r>
        <w:rPr>
          <w:rFonts w:hint="eastAsia" w:asciiTheme="minorEastAsia" w:hAnsiTheme="minorEastAsia" w:eastAsiaTheme="minorEastAsia" w:cstheme="minorEastAsia"/>
          <w:sz w:val="22"/>
        </w:rPr>
        <w:t xml:space="preserve">必须具有合法、有效的《医疗器械</w:t>
      </w:r>
      <w:r>
        <w:rPr>
          <w:rFonts w:hint="eastAsia" w:asciiTheme="minorEastAsia" w:hAnsiTheme="minorEastAsia" w:eastAsiaTheme="minorEastAsia" w:cstheme="minorEastAsia"/>
          <w:sz w:val="22"/>
          <w:lang w:eastAsia="zh-CN"/>
        </w:rPr>
        <w:t xml:space="preserve">投标产品制造商（注册人/备案人）</w:t>
      </w:r>
      <w:r>
        <w:rPr>
          <w:rFonts w:hint="eastAsia" w:asciiTheme="minorEastAsia" w:hAnsiTheme="minorEastAsia" w:eastAsiaTheme="minorEastAsia" w:cstheme="minorEastAsia"/>
          <w:sz w:val="22"/>
        </w:rPr>
        <w:t xml:space="preserve">许可证》，且经营范围包含所投标产品。</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（2）所投标产品必须具有合法、有效的《医疗器械注册证》。</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（3）投标人所提供医疗器械产品注册证必须真实有效。</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（4）所提供设备上的中文品名、型号及产品说明书所注适用范围必须与医疗器械产品注册证所标明的完全一致。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（5）国产医疗设备上的铭牌必须标注医疗器械注册证号。</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（6）发票上所列品名与型号必须与合同所列品名与型号完全一致.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（7）其他未提及事项必须符合国家食品药品监督管理局的相关规定。</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以上条款必须满足，否则由此引起的一切责任由乙方负责。</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中标人保证向采购人提供的设备满足中国国家标准或相关行业标准。根据国家规定，如需要提供3C认证证书和标记的设备及有关配置，必须提供上述证书和标记。供货时还需提供该设备的报关单、商检证明、产品合格证等。</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3．中标人保证所供设备是全新、未使用过的原包装产品，中标人提供的产品出厂日期不早于到货日期</w:t>
      </w:r>
      <w:r>
        <w:rPr>
          <w:rFonts w:hint="eastAsia" w:asciiTheme="minorEastAsia" w:hAnsiTheme="minorEastAsia" w:eastAsiaTheme="minorEastAsia" w:cstheme="minorEastAsia"/>
          <w:sz w:val="22"/>
          <w:u w:val="single"/>
        </w:rPr>
        <w:t xml:space="preserve">叁个月</w:t>
      </w:r>
      <w:r>
        <w:rPr>
          <w:rFonts w:hint="eastAsia" w:asciiTheme="minorEastAsia" w:hAnsiTheme="minorEastAsia" w:eastAsiaTheme="minorEastAsia" w:cstheme="minorEastAsia"/>
          <w:sz w:val="22"/>
        </w:rPr>
        <w:t xml:space="preserve">。中标人须保证所供产品质量合格，不得弄虚作假、不得提供假置伪劣产品或任意提供合同外产品，如果设备的质量或规格与合同不符，或证实设备有缺陷（包括潜在的缺陷或使用不符合要求的材料等）,中标人应在接到甲方通知后5个工作日内更换成达标设备，其费用由中标人负担。同时，采购人有权要求延长设备的保修期。由于设备质量问题引起的医疗事故和法律纠纷，中标人承担全部的法律和经济责任。</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4．中标人须免费开放所投产品的所有输入输出接口，并能与采购人现有网络及信息系统对接，如接入第三方系统产生费用，该费用由中标人承担。</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5.中标人保证同型号产品的成交价格为投标日前12个月内本地区的最低价。</w:t>
      </w:r>
      <w:r/>
    </w:p>
    <w:p>
      <w:pPr>
        <w:pStyle w:val="1117"/>
        <w:ind w:firstLine="442"/>
        <w:rPr>
          <w:rFonts w:ascii="黑体" w:hAnsi="黑体" w:eastAsia="黑体" w:cs="宋体"/>
          <w:sz w:val="22"/>
          <w:szCs w:val="22"/>
        </w:rPr>
      </w:pPr>
      <w:r>
        <w:rPr>
          <w:rFonts w:hint="eastAsia" w:ascii="黑体" w:hAnsi="黑体" w:eastAsia="黑体" w:cs="宋体"/>
          <w:sz w:val="22"/>
          <w:szCs w:val="22"/>
        </w:rPr>
        <w:t xml:space="preserve">八、设备到货、安装和验收要求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设备到货时间，请中标人提前一周通知甲方，以便采购人安排好接收工作。设备到货后，甲方及时通知中标人，中标人接到通知一周内到达现场，负责设备的免费安装和调试。设备安装时，中标人必须事先与采购人的医学装备管理科联系，并与医学装备管理科共同参与，否则引起的一切责任由中标人承担。</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2．如中标人提供的设备设有维修软件密码，中标人应保证无条件地为采购人永久免费打开。</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3．设备安装、调试结束后，采购人对设备试用后进行验收（时间由双方商定），中标人免费派工程师到达现场协助验收工作。</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4．保修期自我院验收合格之日算起，保修期外只收配件费，免收人工费。</w:t>
      </w:r>
      <w:r/>
    </w:p>
    <w:p>
      <w:pPr>
        <w:pStyle w:val="1117"/>
        <w:ind w:firstLine="442"/>
        <w:rPr>
          <w:rFonts w:ascii="黑体" w:hAnsi="黑体" w:eastAsia="黑体" w:cs="宋体"/>
          <w:sz w:val="22"/>
          <w:szCs w:val="22"/>
        </w:rPr>
      </w:pPr>
      <w:r>
        <w:rPr>
          <w:rFonts w:hint="eastAsia" w:ascii="黑体" w:hAnsi="黑体" w:eastAsia="黑体" w:cs="宋体"/>
          <w:sz w:val="22"/>
          <w:szCs w:val="22"/>
        </w:rPr>
        <w:t xml:space="preserve">九、质保期</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上述设备免费原厂保修</w:t>
      </w:r>
      <w:r>
        <w:rPr>
          <w:rFonts w:hint="eastAsia" w:asciiTheme="minorEastAsia" w:hAnsiTheme="minorEastAsia" w:eastAsiaTheme="minorEastAsia" w:cstheme="minorEastAsia"/>
          <w:sz w:val="22"/>
          <w:u w:val="single"/>
        </w:rPr>
        <w:t xml:space="preserve"> 3 </w:t>
      </w:r>
      <w:r>
        <w:rPr>
          <w:rFonts w:hint="eastAsia" w:asciiTheme="minorEastAsia" w:hAnsiTheme="minorEastAsia" w:eastAsiaTheme="minorEastAsia" w:cstheme="minorEastAsia"/>
          <w:sz w:val="22"/>
        </w:rPr>
        <w:t xml:space="preserve">年，自验收合格之日起计算；保修期外乙方对本设备终身负责维修。</w:t>
      </w:r>
      <w:r/>
    </w:p>
    <w:p>
      <w:pPr>
        <w:pStyle w:val="1117"/>
        <w:ind w:firstLine="442"/>
        <w:rPr>
          <w:rFonts w:ascii="黑体" w:hAnsi="黑体" w:eastAsia="黑体" w:cs="宋体"/>
          <w:sz w:val="22"/>
          <w:szCs w:val="22"/>
        </w:rPr>
      </w:pPr>
      <w:r>
        <w:rPr>
          <w:rFonts w:hint="eastAsia" w:ascii="黑体" w:hAnsi="黑体" w:eastAsia="黑体" w:cs="宋体"/>
          <w:sz w:val="22"/>
          <w:szCs w:val="22"/>
        </w:rPr>
        <w:t xml:space="preserve">十、售后服务要求：</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1．确保设备保修期内开机率为95%，如设备故障停机率超过5%（一年按365天计算，每年18天），每超过一天，保修期延长两周。</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2．如设备发生故障，中标人在接到采购人报修电话后2小时之内响应，24小时内到达采购人现场,48小时内修复或免费提供备用机，否则采购人可自行采取必要的措施，由此产生的风险和费用由中标人承担。如有特殊情况，中标人应立即电话通知甲方不能响应的原因，在获得采购人同意后，才可推迟响应时间。</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无论在保修期内还是保修期外，中标人必须上门维修，中标人工程师来我院维修本设备，必须事先与我院医学装备管理科取得联系；在维修过程中与采购人工程师共同完成维修工作。否则，由此引起的一切责任由中标人负责。</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4．中标人免费提供全套技术资料（中文说明书及光盘、操作流程电子版等），如技术资料不全，采购人有权不支付货款。</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5.本合同设备使用年限内（本次所投产品的使用年限≥10年），中标人应承诺保证配件、耗材的供应；若因设备升级等原因导致配件、耗材价格提高，或已无法正常供应配件、耗材时，采购人有权要求中标人按折旧后的价格将设备回购。</w:t>
      </w:r>
      <w:r/>
    </w:p>
    <w:p>
      <w:pPr>
        <w:pStyle w:val="1117"/>
        <w:ind w:firstLine="442"/>
        <w:rPr>
          <w:rFonts w:ascii="黑体" w:hAnsi="黑体" w:eastAsia="黑体" w:cs="宋体"/>
          <w:sz w:val="22"/>
          <w:szCs w:val="22"/>
        </w:rPr>
      </w:pPr>
      <w:r>
        <w:rPr>
          <w:rFonts w:hint="eastAsia" w:ascii="黑体" w:hAnsi="黑体" w:eastAsia="黑体" w:cs="宋体"/>
          <w:sz w:val="22"/>
          <w:szCs w:val="22"/>
        </w:rPr>
        <w:t xml:space="preserve">十一、技术培训</w:t>
      </w:r>
      <w:r/>
    </w:p>
    <w:p>
      <w:pPr>
        <w:ind w:firstLine="440"/>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在安装过程中或安装结束后，中标人工程师或有关人员有义务对采购人工程师和操作人员进行现场维修、保养、操作培训，并提供培训课件PPT，考核试卷，解答采购人人员提出的问题。</w:t>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40"/>
        <w:jc w:val="center"/>
        <w:spacing w:before="0" w:after="20" w:line="240" w:lineRule="auto"/>
        <w:rPr>
          <w:rFonts w:ascii="微软雅黑" w:hAnsi="微软雅黑" w:eastAsia="微软雅黑" w:cs="微软雅黑"/>
          <w:b w:val="0"/>
          <w:bCs w:val="0"/>
          <w:sz w:val="36"/>
          <w:szCs w:val="36"/>
        </w:rPr>
      </w:pPr>
      <w:r/>
      <w:bookmarkStart w:id="142" w:name="_Toc152268448"/>
      <w:r>
        <w:rPr>
          <w:rFonts w:hint="eastAsia" w:ascii="微软雅黑" w:hAnsi="微软雅黑" w:eastAsia="微软雅黑" w:cs="微软雅黑"/>
          <w:b w:val="0"/>
          <w:bCs w:val="0"/>
          <w:sz w:val="36"/>
          <w:szCs w:val="36"/>
        </w:rPr>
        <w:t xml:space="preserve">第七章 电子投标文件格式</w:t>
      </w:r>
      <w:bookmarkEnd w:id="142"/>
      <w:r/>
      <w:r/>
    </w:p>
    <w:p>
      <w:r/>
      <w:r/>
    </w:p>
    <w:p>
      <w:pPr>
        <w:rPr>
          <w:rStyle w:val="943"/>
          <w:rFonts w:ascii="黑体" w:hAnsi="黑体"/>
          <w:b w:val="0"/>
          <w:bCs w:val="0"/>
        </w:rPr>
      </w:pPr>
      <w:r/>
      <w:bookmarkStart w:id="143" w:name="_Toc3586"/>
      <w:r>
        <w:rPr>
          <w:rStyle w:val="943"/>
          <w:rFonts w:hint="eastAsia" w:ascii="黑体" w:hAnsi="黑体"/>
          <w:b w:val="0"/>
        </w:rPr>
        <w:t xml:space="preserve">封面</w:t>
      </w:r>
      <w:r/>
    </w:p>
    <w:p>
      <w:r/>
      <w:r/>
    </w:p>
    <w:p>
      <w:pPr>
        <w:jc w:val="center"/>
        <w:rPr>
          <w:sz w:val="40"/>
          <w:szCs w:val="44"/>
        </w:rPr>
      </w:pPr>
      <w:r>
        <w:rPr>
          <w:rFonts w:hint="eastAsia"/>
          <w:sz w:val="32"/>
          <w:szCs w:val="36"/>
        </w:rPr>
        <w:t xml:space="preserve">靖江市人民医院彩色多普勒超声诊断仪采购项目</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rFonts w:hint="eastAsia"/>
          <w:b/>
          <w:bCs/>
          <w:sz w:val="56"/>
          <w:szCs w:val="72"/>
        </w:rPr>
        <w:t xml:space="preserve">投 标 文 件</w:t>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40"/>
          <w:szCs w:val="44"/>
        </w:rPr>
      </w:pPr>
      <w:r>
        <w:rPr>
          <w:sz w:val="40"/>
          <w:szCs w:val="44"/>
        </w:rPr>
      </w:r>
      <w:r/>
    </w:p>
    <w:p>
      <w:pPr>
        <w:jc w:val="center"/>
        <w:rPr>
          <w:sz w:val="28"/>
          <w:szCs w:val="32"/>
        </w:rPr>
      </w:pPr>
      <w:r>
        <w:rPr>
          <w:rFonts w:hint="eastAsia"/>
          <w:sz w:val="28"/>
          <w:szCs w:val="32"/>
        </w:rPr>
        <w:t xml:space="preserve">投标人名称：</w:t>
      </w:r>
      <w:r>
        <w:rPr>
          <w:rFonts w:hint="eastAsia"/>
          <w:sz w:val="28"/>
          <w:szCs w:val="32"/>
          <w:u w:val="single"/>
        </w:rPr>
        <w:t xml:space="preserve">                              </w:t>
      </w:r>
      <w:r>
        <w:rPr>
          <w:rFonts w:hint="eastAsia"/>
          <w:sz w:val="28"/>
          <w:szCs w:val="32"/>
        </w:rPr>
        <w:t xml:space="preserve">（电子签章）</w:t>
      </w:r>
      <w:r/>
    </w:p>
    <w:p>
      <w:pPr>
        <w:jc w:val="center"/>
        <w:rPr>
          <w:sz w:val="28"/>
          <w:szCs w:val="32"/>
        </w:rPr>
      </w:pPr>
      <w:r>
        <w:rPr>
          <w:sz w:val="28"/>
          <w:szCs w:val="32"/>
        </w:rPr>
      </w:r>
      <w:r/>
    </w:p>
    <w:p>
      <w:pPr>
        <w:jc w:val="center"/>
        <w:rPr>
          <w:rFonts w:ascii="宋体" w:hAnsi="宋体"/>
          <w:sz w:val="40"/>
          <w:szCs w:val="52"/>
        </w:rPr>
      </w:pPr>
      <w:r>
        <w:rPr>
          <w:rFonts w:hint="eastAsia"/>
          <w:sz w:val="28"/>
          <w:szCs w:val="32"/>
        </w:rPr>
        <w:t xml:space="preserve">日期：   年  月   日</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黑体" w:hAnsi="黑体" w:eastAsia="黑体"/>
          <w:sz w:val="36"/>
          <w:szCs w:val="36"/>
        </w:rPr>
      </w:pPr>
      <w:r>
        <w:rPr>
          <w:rFonts w:hint="eastAsia" w:ascii="黑体" w:hAnsi="黑体" w:eastAsia="黑体"/>
          <w:sz w:val="36"/>
          <w:szCs w:val="36"/>
        </w:rPr>
        <w:t xml:space="preserve">开标一览表</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eastAsia="微软雅黑"/>
          <w:sz w:val="24"/>
          <w:szCs w:val="24"/>
        </w:rPr>
      </w:pPr>
      <w:r>
        <w:rPr>
          <w:rFonts w:hint="eastAsia" w:ascii="宋体" w:hAnsi="宋体"/>
          <w:sz w:val="24"/>
          <w:szCs w:val="24"/>
        </w:rPr>
        <w:t xml:space="preserve">项目编号：</w:t>
      </w:r>
      <w:r/>
    </w:p>
    <w:p>
      <w:pPr>
        <w:jc w:val="left"/>
        <w:spacing w:line="360" w:lineRule="auto"/>
        <w:rPr>
          <w:rFonts w:ascii="宋体" w:hAnsi="宋体"/>
          <w:sz w:val="24"/>
          <w:szCs w:val="24"/>
        </w:rPr>
      </w:pPr>
      <w:r>
        <w:rPr>
          <w:rFonts w:hint="eastAsia" w:ascii="宋体" w:hAnsi="宋体"/>
          <w:sz w:val="24"/>
          <w:szCs w:val="24"/>
        </w:rPr>
        <w:t xml:space="preserve">货币单位：人民币元</w:t>
      </w:r>
      <w:r/>
    </w:p>
    <w:tbl>
      <w:tblPr>
        <w:tblStyle w:val="704"/>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958"/>
              <w:jc w:val="center"/>
              <w:rPr>
                <w:sz w:val="24"/>
              </w:rPr>
            </w:pPr>
            <w:r>
              <w:rPr>
                <w:rFonts w:hint="eastAsia"/>
                <w:sz w:val="24"/>
              </w:rPr>
              <w:t xml:space="preserve">项目名称</w:t>
            </w:r>
            <w:r/>
          </w:p>
        </w:tc>
        <w:tc>
          <w:tcPr>
            <w:tcW w:w="2059" w:type="dxa"/>
            <w:vAlign w:val="center"/>
            <w:textDirection w:val="lrTb"/>
            <w:noWrap w:val="false"/>
          </w:tcPr>
          <w:p>
            <w:pPr>
              <w:pStyle w:val="958"/>
              <w:jc w:val="center"/>
              <w:rPr>
                <w:sz w:val="24"/>
              </w:rPr>
            </w:pPr>
            <w:r>
              <w:rPr>
                <w:rFonts w:hint="eastAsia"/>
                <w:sz w:val="24"/>
              </w:rPr>
              <w:t xml:space="preserve">项目内容</w:t>
            </w:r>
            <w:r/>
          </w:p>
        </w:tc>
        <w:tc>
          <w:tcPr>
            <w:tcW w:w="3260" w:type="dxa"/>
            <w:vAlign w:val="center"/>
            <w:textDirection w:val="lrTb"/>
            <w:noWrap w:val="false"/>
          </w:tcPr>
          <w:p>
            <w:pPr>
              <w:pStyle w:val="958"/>
              <w:jc w:val="center"/>
              <w:rPr>
                <w:sz w:val="24"/>
              </w:rPr>
            </w:pPr>
            <w:r>
              <w:rPr>
                <w:rFonts w:hint="eastAsia"/>
                <w:sz w:val="24"/>
              </w:rPr>
              <w:t xml:space="preserve">总价（小写）</w:t>
            </w:r>
            <w:r/>
          </w:p>
        </w:tc>
      </w:tr>
      <w:tr>
        <w:trPr>
          <w:trHeight w:val="745"/>
        </w:trPr>
        <w:tc>
          <w:tcPr>
            <w:tcW w:w="3861" w:type="dxa"/>
            <w:vAlign w:val="center"/>
            <w:textDirection w:val="lrTb"/>
            <w:noWrap w:val="false"/>
          </w:tcPr>
          <w:p>
            <w:r/>
            <w:r/>
          </w:p>
        </w:tc>
        <w:tc>
          <w:tcPr>
            <w:tcW w:w="2059" w:type="dxa"/>
            <w:vAlign w:val="center"/>
            <w:textDirection w:val="lrTb"/>
            <w:noWrap w:val="false"/>
          </w:tcPr>
          <w:p>
            <w:pPr>
              <w:pStyle w:val="958"/>
              <w:jc w:val="center"/>
              <w:rPr>
                <w:sz w:val="24"/>
              </w:rPr>
            </w:pPr>
            <w:r>
              <w:rPr>
                <w:rFonts w:hint="eastAsia"/>
                <w:sz w:val="24"/>
              </w:rPr>
              <w:t xml:space="preserve">详见投标文件</w:t>
            </w:r>
            <w:r/>
          </w:p>
        </w:tc>
        <w:tc>
          <w:tcPr>
            <w:tcW w:w="3260" w:type="dxa"/>
            <w:vAlign w:val="center"/>
            <w:textDirection w:val="lrTb"/>
            <w:noWrap w:val="false"/>
          </w:tcPr>
          <w:p>
            <w:pPr>
              <w:ind w:right="240"/>
              <w:jc w:val="right"/>
              <w:spacing w:line="360" w:lineRule="auto"/>
              <w:rPr>
                <w:rFonts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153035</wp:posOffset>
                      </wp:positionH>
                      <wp:positionV relativeFrom="paragraph">
                        <wp:posOffset>240665</wp:posOffset>
                      </wp:positionV>
                      <wp:extent cx="1455420" cy="2286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jc w:val="right"/>
                                  </w:pPr>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jc w:val="right"/>
                            </w:pPr>
                            <w:r/>
                            <w:r/>
                          </w:p>
                          <w:p>
                            <w:r/>
                            <w:r/>
                          </w:p>
                          <w:p>
                            <w:r/>
                            <w:r/>
                          </w:p>
                        </w:txbxContent>
                      </v:textbox>
                    </v:shape>
                  </w:pict>
                </mc:Fallback>
              </mc:AlternateContent>
            </w:r>
            <w:r/>
          </w:p>
          <w:p>
            <w:pPr>
              <w:ind w:right="240"/>
              <w:jc w:val="right"/>
              <w:spacing w:line="360" w:lineRule="auto"/>
              <w:rPr>
                <w:rFonts w:ascii="宋体" w:hAnsi="宋体"/>
                <w:sz w:val="24"/>
                <w:szCs w:val="24"/>
              </w:rPr>
            </w:pPr>
            <w:r>
              <w:rPr>
                <w:rFonts w:hint="eastAsia" w:ascii="宋体" w:hAnsi="宋体"/>
                <w:sz w:val="24"/>
                <w:szCs w:val="24"/>
              </w:rPr>
              <w:t xml:space="preserve">元</w:t>
            </w:r>
            <w:r/>
          </w:p>
        </w:tc>
      </w:tr>
      <w:tr>
        <w:trPr>
          <w:trHeight w:val="823"/>
        </w:trPr>
        <w:tc>
          <w:tcPr>
            <w:tcW w:w="3861" w:type="dxa"/>
            <w:vAlign w:val="center"/>
            <w:textDirection w:val="lrTb"/>
            <w:noWrap w:val="false"/>
          </w:tcPr>
          <w:p>
            <w:pPr>
              <w:pStyle w:val="958"/>
              <w:jc w:val="center"/>
              <w:rPr>
                <w:sz w:val="24"/>
              </w:rPr>
            </w:pPr>
            <w:r>
              <w:rPr>
                <w:rFonts w:hint="eastAsia"/>
                <w:sz w:val="24"/>
              </w:rPr>
              <w:t xml:space="preserve">总价（大写）：</w:t>
            </w:r>
            <w:r/>
          </w:p>
        </w:tc>
        <w:tc>
          <w:tcPr>
            <w:gridSpan w:val="2"/>
            <w:tcW w:w="5319" w:type="dxa"/>
            <w:vAlign w:val="center"/>
            <w:textDirection w:val="lrTb"/>
            <w:noWrap w:val="false"/>
          </w:tcPr>
          <w:p>
            <w:pPr>
              <w:jc w:val="left"/>
              <w:spacing w:line="360" w:lineRule="auto"/>
              <w:rPr>
                <w:rFonts w:ascii="宋体" w:hAnsi="宋体"/>
                <w:sz w:val="24"/>
                <w:szCs w:val="24"/>
              </w:rPr>
            </w:pPr>
            <w:r>
              <w:rPr>
                <w:rFonts w:hint="eastAsia"/>
                <w:sz w:val="24"/>
              </w:rPr>
              <w:t xml:space="preserve">金额大写 </w:t>
            </w:r>
            <w:r/>
          </w:p>
        </w:tc>
      </w:tr>
    </w:tbl>
    <w:p>
      <w:pPr>
        <w:pStyle w:val="958"/>
        <w:jc w:val="center"/>
        <w:rPr>
          <w:sz w:val="24"/>
        </w:rPr>
      </w:pPr>
      <w:r>
        <w:rPr>
          <w:sz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投标人公章：            （电子签章）</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（一）</w:t>
      </w:r>
      <w:bookmarkEnd w:id="143"/>
      <w:r>
        <w:rPr>
          <w:rFonts w:hint="eastAsia" w:ascii="黑体" w:hAnsi="黑体" w:eastAsia="黑体"/>
          <w:sz w:val="28"/>
          <w:szCs w:val="28"/>
        </w:rPr>
        <w:t xml:space="preserve">营业执照或事业单位法人登记证书原件扫描件</w:t>
      </w:r>
      <w:r/>
    </w:p>
    <w:p>
      <w:pPr>
        <w:pStyle w:val="954"/>
        <w:ind w:firstLine="562"/>
        <w:rPr>
          <w:rFonts w:ascii="宋体" w:hAnsi="宋体" w:cs="宋体"/>
          <w:b/>
          <w:bCs/>
          <w:sz w:val="28"/>
          <w:szCs w:val="28"/>
        </w:rPr>
      </w:pPr>
      <w:r>
        <w:rPr>
          <w:rFonts w:ascii="宋体" w:hAnsi="宋体" w:cs="宋体"/>
          <w:b/>
          <w:bCs/>
          <w:sz w:val="28"/>
          <w:szCs w:val="28"/>
        </w:rPr>
      </w:r>
      <w:r/>
    </w:p>
    <w:p>
      <w:pPr>
        <w:ind w:left="420"/>
        <w:jc w:val="center"/>
        <w:spacing w:line="440" w:lineRule="exact"/>
        <w:rPr>
          <w:rFonts w:ascii="宋体" w:hAnsi="宋体" w:cs="宋体"/>
          <w:b/>
          <w:bCs/>
          <w:sz w:val="28"/>
          <w:szCs w:val="28"/>
        </w:rPr>
      </w:pPr>
      <w:r>
        <w:rPr>
          <w:rFonts w:ascii="宋体" w:hAnsi="宋体" w:cs="宋体"/>
          <w:b/>
          <w:bCs/>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（二）政府采购基本资格条件声明函</w:t>
      </w:r>
      <w:r/>
    </w:p>
    <w:p>
      <w:pPr>
        <w:pStyle w:val="954"/>
        <w:spacing w:after="0" w:line="560" w:lineRule="exact"/>
        <w:rPr>
          <w:rFonts w:ascii="宋体" w:hAnsi="宋体" w:cs="宋体"/>
          <w:b/>
          <w:bCs/>
          <w:sz w:val="24"/>
          <w:u w:val="single"/>
        </w:rPr>
      </w:pPr>
      <w:r>
        <w:rPr>
          <w:rFonts w:hint="eastAsia" w:ascii="宋体" w:hAnsi="宋体" w:cs="宋体"/>
          <w:b/>
          <w:bCs/>
          <w:sz w:val="24"/>
          <w:u w:val="single"/>
        </w:rPr>
        <w:t xml:space="preserve">  采购人名称     </w:t>
      </w:r>
      <w:r>
        <w:rPr>
          <w:rFonts w:hint="eastAsia" w:ascii="宋体" w:hAnsi="宋体" w:cs="宋体"/>
          <w:b/>
          <w:bCs/>
          <w:sz w:val="24"/>
        </w:rPr>
        <w:t xml:space="preserve">：</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我单位自愿参加贵单位组织的</w:t>
      </w:r>
      <w:r>
        <w:rPr>
          <w:rFonts w:hint="eastAsia" w:ascii="宋体" w:hAnsi="宋体" w:cs="宋体"/>
          <w:b/>
          <w:bCs/>
          <w:sz w:val="24"/>
          <w:u w:val="single"/>
        </w:rPr>
        <w:t xml:space="preserve">    （项目名称）    </w:t>
      </w:r>
      <w:r>
        <w:rPr>
          <w:rFonts w:hint="eastAsia" w:ascii="宋体" w:hAnsi="宋体" w:cs="宋体"/>
          <w:b/>
          <w:bCs/>
          <w:sz w:val="24"/>
        </w:rPr>
        <w:t xml:space="preserve">政府采购活动，按照《政府采购法》及其实施条例等法律法规、规章政策以及本项目采购文件要求，我单位具备供应商基本资格条件。现就有关事项郑重声明如下：</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1．我公司具有良好的商业信誉和健全的财务制度；</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2．我公司具有履行合同所必须的设备和专业技术能力；</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3．我公司具有依法缴纳税收和社会保障资金的良好记录；</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4．我公司参加政府采购活动前三年内，在经营活动中没有重大违法记录；</w:t>
      </w:r>
      <w:r/>
    </w:p>
    <w:p>
      <w:pPr>
        <w:pStyle w:val="954"/>
        <w:ind w:firstLine="480"/>
        <w:spacing w:after="0" w:line="560" w:lineRule="exact"/>
        <w:rPr>
          <w:rFonts w:ascii="宋体" w:hAnsi="宋体" w:cs="宋体"/>
          <w:b/>
          <w:bCs/>
          <w:sz w:val="24"/>
        </w:rPr>
      </w:pPr>
      <w:r>
        <w:rPr>
          <w:rFonts w:hint="eastAsia" w:ascii="宋体" w:hAnsi="宋体" w:cs="宋体"/>
          <w:b/>
          <w:bCs/>
          <w:sz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ascii="宋体" w:hAnsi="宋体" w:cs="宋体"/>
          <w:sz w:val="24"/>
          <w:szCs w:val="24"/>
        </w:rPr>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投标人公章：            （电子签章）</w:t>
      </w:r>
      <w:r/>
    </w:p>
    <w:p>
      <w:pPr>
        <w:ind w:firstLine="480"/>
        <w:jc w:val="right"/>
        <w:spacing w:line="560" w:lineRule="exact"/>
        <w:rPr>
          <w:rFonts w:ascii="宋体" w:hAnsi="宋体" w:cs="宋体"/>
          <w:sz w:val="24"/>
          <w:szCs w:val="24"/>
        </w:rPr>
      </w:pPr>
      <w:r>
        <w:rPr>
          <w:rFonts w:hint="eastAsia" w:ascii="宋体" w:hAnsi="宋体" w:cs="宋体"/>
          <w:sz w:val="24"/>
          <w:szCs w:val="24"/>
        </w:rPr>
        <w:t xml:space="preserve">法定代表人：            </w:t>
      </w:r>
      <w:r>
        <w:rPr>
          <w:rFonts w:hint="eastAsia" w:ascii="宋体" w:hAnsi="宋体" w:cs="宋体"/>
          <w:bCs/>
          <w:sz w:val="24"/>
          <w:szCs w:val="24"/>
        </w:rPr>
        <w:t xml:space="preserve">（电子签章</w:t>
      </w:r>
      <w:r>
        <w:rPr>
          <w:rFonts w:hint="eastAsia" w:ascii="宋体" w:hAnsi="宋体" w:cs="宋体"/>
          <w:sz w:val="24"/>
          <w:szCs w:val="24"/>
        </w:rPr>
        <w:t xml:space="preserve">）</w:t>
      </w:r>
      <w:r/>
    </w:p>
    <w:p>
      <w:pPr>
        <w:ind w:firstLine="480"/>
        <w:jc w:val="right"/>
        <w:spacing w:line="56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（三）医疗器械经营许可证原件扫描件</w:t>
      </w:r>
      <w:r/>
    </w:p>
    <w:p>
      <w:pPr>
        <w:jc w:val="center"/>
        <w:spacing w:line="360" w:lineRule="auto"/>
        <w:rPr>
          <w:rFonts w:hint="eastAsia" w:ascii="黑体" w:hAnsi="黑体" w:eastAsia="黑体"/>
          <w:sz w:val="22"/>
          <w:szCs w:val="22"/>
          <w:lang w:val="en-US" w:eastAsia="zh-CN"/>
        </w:rPr>
      </w:pPr>
      <w:r>
        <w:rPr>
          <w:rFonts w:hint="eastAsia" w:ascii="黑体" w:hAnsi="黑体" w:eastAsia="黑体"/>
          <w:sz w:val="22"/>
          <w:szCs w:val="22"/>
          <w:lang w:val="en-US" w:eastAsia="zh-CN"/>
        </w:rPr>
      </w:r>
      <w:r/>
    </w:p>
    <w:p>
      <w:pPr>
        <w:jc w:val="center"/>
        <w:spacing w:line="360" w:lineRule="auto"/>
        <w:rPr>
          <w:rFonts w:hint="default" w:ascii="黑体" w:hAnsi="黑体" w:eastAsia="黑体"/>
          <w:sz w:val="28"/>
          <w:szCs w:val="28"/>
          <w:lang w:val="en-US" w:eastAsia="zh-CN"/>
        </w:rPr>
      </w:pPr>
      <w:r>
        <w:rPr>
          <w:rFonts w:hint="eastAsia" w:ascii="黑体" w:hAnsi="黑体" w:eastAsia="黑体"/>
          <w:sz w:val="22"/>
          <w:szCs w:val="22"/>
          <w:lang w:val="en-US" w:eastAsia="zh-CN"/>
        </w:rPr>
        <w:t xml:space="preserve">[适用于投标人为</w:t>
      </w:r>
      <w:r>
        <w:rPr>
          <w:rFonts w:hint="eastAsia" w:ascii="黑体" w:hAnsi="黑体" w:eastAsia="黑体"/>
          <w:sz w:val="22"/>
          <w:szCs w:val="22"/>
          <w:lang w:eastAsia="zh-CN"/>
        </w:rPr>
        <w:t xml:space="preserve">非投标产品制造商的的</w:t>
      </w:r>
      <w:r>
        <w:rPr>
          <w:rFonts w:hint="eastAsia" w:ascii="黑体" w:hAnsi="黑体" w:eastAsia="黑体"/>
          <w:sz w:val="22"/>
          <w:szCs w:val="22"/>
        </w:rPr>
        <w:t xml:space="preserve">经销商、代理商</w:t>
      </w:r>
      <w:r>
        <w:rPr>
          <w:rFonts w:hint="eastAsia" w:ascii="黑体" w:hAnsi="黑体" w:eastAsia="黑体"/>
          <w:sz w:val="22"/>
          <w:szCs w:val="22"/>
          <w:lang w:val="en-US" w:eastAsia="zh-CN"/>
        </w:rPr>
        <w:t xml:space="preserve">]</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lang w:eastAsia="zh-CN"/>
        </w:rPr>
        <w:t xml:space="preserve">（</w:t>
      </w:r>
      <w:r>
        <w:rPr>
          <w:rFonts w:hint="eastAsia" w:ascii="黑体" w:hAnsi="黑体" w:eastAsia="黑体"/>
          <w:sz w:val="28"/>
          <w:szCs w:val="28"/>
          <w:lang w:val="en-US" w:eastAsia="zh-CN"/>
        </w:rPr>
        <w:t xml:space="preserve">四</w:t>
      </w:r>
      <w:r>
        <w:rPr>
          <w:rFonts w:hint="eastAsia" w:ascii="黑体" w:hAnsi="黑体" w:eastAsia="黑体"/>
          <w:sz w:val="28"/>
          <w:szCs w:val="28"/>
          <w:lang w:eastAsia="zh-CN"/>
        </w:rPr>
        <w:t xml:space="preserve">）《医疗器械生产企业许可证》、《医疗器械注册证》原件扫描件</w:t>
      </w:r>
      <w:r/>
    </w:p>
    <w:p>
      <w:pPr>
        <w:jc w:val="center"/>
        <w:spacing w:line="360" w:lineRule="auto"/>
        <w:rPr>
          <w:rFonts w:hint="default" w:ascii="黑体" w:hAnsi="黑体" w:eastAsia="黑体"/>
          <w:sz w:val="28"/>
          <w:szCs w:val="28"/>
          <w:lang w:val="en-US" w:eastAsia="zh-CN"/>
        </w:rPr>
      </w:pPr>
      <w:r>
        <w:rPr>
          <w:rFonts w:hint="eastAsia" w:ascii="黑体" w:hAnsi="黑体" w:eastAsia="黑体"/>
          <w:sz w:val="22"/>
          <w:szCs w:val="22"/>
          <w:lang w:val="en-US" w:eastAsia="zh-CN"/>
        </w:rPr>
        <w:t xml:space="preserve">[适用于投标人为</w:t>
      </w:r>
      <w:r>
        <w:rPr>
          <w:rFonts w:hint="eastAsia" w:ascii="黑体" w:hAnsi="黑体" w:eastAsia="黑体"/>
          <w:sz w:val="22"/>
          <w:szCs w:val="22"/>
          <w:lang w:eastAsia="zh-CN"/>
        </w:rPr>
        <w:t xml:space="preserve">产品制造商（注册人/备案人）</w:t>
      </w:r>
      <w:r>
        <w:rPr>
          <w:rFonts w:hint="eastAsia" w:ascii="黑体" w:hAnsi="黑体" w:eastAsia="黑体"/>
          <w:sz w:val="22"/>
          <w:szCs w:val="22"/>
        </w:rPr>
        <w:t xml:space="preserve">且销售自产产品</w:t>
      </w:r>
      <w:r>
        <w:rPr>
          <w:rFonts w:hint="eastAsia" w:ascii="黑体" w:hAnsi="黑体" w:eastAsia="黑体"/>
          <w:sz w:val="22"/>
          <w:szCs w:val="22"/>
          <w:lang w:val="en-US" w:eastAsia="zh-CN"/>
        </w:rPr>
        <w:t xml:space="preserve">]</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w:t>
      </w:r>
      <w:r>
        <w:rPr>
          <w:rFonts w:hint="eastAsia" w:ascii="黑体" w:hAnsi="黑体" w:eastAsia="黑体"/>
          <w:sz w:val="28"/>
          <w:szCs w:val="28"/>
          <w:lang w:val="en-US" w:eastAsia="zh-CN"/>
        </w:rPr>
        <w:t xml:space="preserve">五</w:t>
      </w:r>
      <w:r>
        <w:rPr>
          <w:rFonts w:hint="eastAsia" w:ascii="黑体" w:hAnsi="黑体" w:eastAsia="黑体"/>
          <w:sz w:val="28"/>
          <w:szCs w:val="28"/>
        </w:rPr>
        <w:t xml:space="preserve">）其他条件</w:t>
      </w:r>
      <w:r/>
    </w:p>
    <w:p>
      <w:pPr>
        <w:jc w:val="center"/>
        <w:spacing w:line="360" w:lineRule="auto"/>
        <w:rPr>
          <w:rFonts w:ascii="黑体" w:hAnsi="黑体" w:eastAsia="黑体"/>
          <w:sz w:val="28"/>
          <w:szCs w:val="28"/>
        </w:rPr>
      </w:pPr>
      <w:r>
        <w:rPr>
          <w:rFonts w:hint="eastAsia" w:ascii="黑体" w:hAnsi="黑体" w:eastAsia="黑体"/>
          <w:sz w:val="28"/>
          <w:szCs w:val="28"/>
        </w:rPr>
        <w:t xml:space="preserve">1.非联合体投标声明函</w:t>
      </w:r>
      <w:r/>
    </w:p>
    <w:p>
      <w:pPr>
        <w:jc w:val="center"/>
        <w:spacing w:line="360" w:lineRule="auto"/>
        <w:rPr>
          <w:rFonts w:ascii="黑体" w:hAnsi="黑体" w:eastAsia="黑体"/>
          <w:sz w:val="36"/>
          <w:szCs w:val="28"/>
        </w:rPr>
      </w:pPr>
      <w:r>
        <w:rPr>
          <w:rFonts w:ascii="黑体" w:hAnsi="黑体" w:eastAsia="黑体"/>
          <w:sz w:val="36"/>
          <w:szCs w:val="28"/>
        </w:rPr>
      </w:r>
      <w:r/>
    </w:p>
    <w:p>
      <w:pPr>
        <w:ind w:firstLine="480"/>
        <w:jc w:val="center"/>
        <w:spacing w:line="360" w:lineRule="auto"/>
        <w:rPr>
          <w:rFonts w:ascii="宋体" w:hAnsi="宋体" w:cs="宋体"/>
          <w:b/>
          <w:bCs/>
          <w:sz w:val="22"/>
        </w:rPr>
      </w:pPr>
      <w:r>
        <w:rPr>
          <w:rFonts w:hint="eastAsia" w:ascii="宋体" w:hAnsi="宋体" w:cs="宋体"/>
          <w:b/>
          <w:bCs/>
          <w:sz w:val="22"/>
        </w:rPr>
        <w:t xml:space="preserve">我单位单独投标，未组成联合体投标。</w:t>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center"/>
        <w:spacing w:line="560" w:lineRule="exact"/>
        <w:rPr>
          <w:rFonts w:ascii="宋体" w:hAnsi="宋体" w:cs="宋体"/>
          <w:b/>
          <w:bCs/>
          <w:sz w:val="22"/>
        </w:rPr>
      </w:pPr>
      <w:r>
        <w:rPr>
          <w:rFonts w:ascii="宋体" w:hAnsi="宋体" w:cs="宋体"/>
          <w:b/>
          <w:bCs/>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560" w:lineRule="exact"/>
        <w:rPr>
          <w:rFonts w:ascii="宋体" w:hAnsi="宋体" w:cs="宋体"/>
          <w:sz w:val="22"/>
        </w:rPr>
      </w:pPr>
      <w:r>
        <w:rPr>
          <w:rFonts w:ascii="宋体" w:hAnsi="宋体" w:cs="宋体"/>
          <w:sz w:val="22"/>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hint="eastAsia" w:ascii="黑体" w:hAnsi="黑体" w:eastAsia="黑体"/>
          <w:sz w:val="28"/>
          <w:szCs w:val="28"/>
        </w:rPr>
        <w:t xml:space="preserve">2.政府采购诚信投标承诺书</w:t>
      </w:r>
      <w:r/>
    </w:p>
    <w:p>
      <w:pPr>
        <w:pStyle w:val="954"/>
        <w:spacing w:after="0" w:line="560" w:lineRule="exact"/>
        <w:rPr>
          <w:rFonts w:ascii="宋体" w:hAnsi="宋体" w:cs="宋体"/>
          <w:b/>
          <w:bCs/>
          <w:sz w:val="22"/>
          <w:szCs w:val="22"/>
          <w:u w:val="single"/>
        </w:rPr>
      </w:pPr>
      <w:r>
        <w:rPr>
          <w:rFonts w:hint="eastAsia" w:ascii="宋体" w:hAnsi="宋体" w:cs="宋体"/>
          <w:b/>
          <w:bCs/>
          <w:sz w:val="22"/>
          <w:szCs w:val="22"/>
          <w:u w:val="single"/>
        </w:rPr>
        <w:t xml:space="preserve">采购人名称  </w:t>
      </w:r>
      <w:r>
        <w:rPr>
          <w:rFonts w:hint="eastAsia" w:ascii="宋体" w:hAnsi="宋体" w:cs="宋体"/>
          <w:b/>
          <w:bCs/>
          <w:sz w:val="22"/>
          <w:szCs w:val="22"/>
        </w:rPr>
        <w:t xml:space="preserve">：</w:t>
      </w:r>
      <w:r/>
    </w:p>
    <w:p>
      <w:pPr>
        <w:ind w:firstLine="480"/>
        <w:spacing w:line="560" w:lineRule="exact"/>
        <w:rPr>
          <w:rFonts w:ascii="宋体" w:hAnsi="宋体" w:cs="宋体"/>
          <w:sz w:val="22"/>
        </w:rPr>
      </w:pPr>
      <w:r>
        <w:rPr>
          <w:rFonts w:hint="eastAsia" w:ascii="宋体" w:hAnsi="宋体" w:cs="宋体"/>
          <w:b/>
          <w:bCs/>
          <w:sz w:val="22"/>
        </w:rPr>
        <w:t xml:space="preserve">我单位自愿参加贵单位组织的</w:t>
      </w:r>
      <w:r>
        <w:rPr>
          <w:rFonts w:hint="eastAsia" w:ascii="宋体" w:hAnsi="宋体" w:cs="宋体"/>
          <w:b/>
          <w:bCs/>
          <w:sz w:val="22"/>
          <w:u w:val="single"/>
        </w:rPr>
        <w:t xml:space="preserve">    （项目名称）    </w:t>
      </w:r>
      <w:r>
        <w:rPr>
          <w:rFonts w:hint="eastAsia" w:ascii="宋体" w:hAnsi="宋体" w:cs="宋体"/>
          <w:b/>
          <w:bCs/>
          <w:sz w:val="22"/>
        </w:rPr>
        <w:t xml:space="preserve">政府采购活动，我单位在此郑重承诺：</w:t>
      </w:r>
      <w:r/>
    </w:p>
    <w:p>
      <w:pPr>
        <w:ind w:firstLine="480"/>
        <w:spacing w:line="560" w:lineRule="exact"/>
        <w:rPr>
          <w:rFonts w:ascii="宋体" w:hAnsi="宋体" w:cs="宋体"/>
          <w:b/>
          <w:bCs/>
          <w:sz w:val="22"/>
        </w:rPr>
      </w:pPr>
      <w:r>
        <w:rPr>
          <w:rFonts w:hint="eastAsia" w:ascii="宋体" w:hAnsi="宋体" w:cs="宋体"/>
          <w:b/>
          <w:bCs/>
          <w:sz w:val="22"/>
        </w:rPr>
        <w:t xml:space="preserve">1、我方承诺在招标文件规定的投标有效期内不修改、撤销投标文件。</w:t>
      </w:r>
      <w:r/>
    </w:p>
    <w:p>
      <w:pPr>
        <w:ind w:firstLine="480"/>
        <w:spacing w:line="560" w:lineRule="exact"/>
        <w:rPr>
          <w:rFonts w:ascii="宋体" w:hAnsi="宋体" w:cs="宋体"/>
          <w:b/>
          <w:bCs/>
          <w:sz w:val="22"/>
        </w:rPr>
      </w:pPr>
      <w:r>
        <w:rPr>
          <w:rFonts w:hint="eastAsia" w:ascii="宋体" w:hAnsi="宋体" w:cs="宋体"/>
          <w:b/>
          <w:bCs/>
          <w:sz w:val="22"/>
        </w:rPr>
        <w:t xml:space="preserve">2、我方未以他人名义投标或以其他方式弄虚作假，骗取中标。</w:t>
      </w:r>
      <w:r/>
    </w:p>
    <w:p>
      <w:pPr>
        <w:ind w:firstLine="480"/>
        <w:spacing w:line="560" w:lineRule="exact"/>
        <w:rPr>
          <w:rFonts w:ascii="宋体" w:hAnsi="宋体" w:cs="宋体"/>
          <w:b/>
          <w:bCs/>
          <w:sz w:val="22"/>
        </w:rPr>
      </w:pPr>
      <w:r>
        <w:rPr>
          <w:rFonts w:hint="eastAsia" w:ascii="宋体" w:hAnsi="宋体" w:cs="宋体"/>
          <w:b/>
          <w:bCs/>
          <w:sz w:val="22"/>
        </w:rPr>
        <w:t xml:space="preserve">3、我方未与其他投标人相互串通投标。</w:t>
      </w:r>
      <w:r/>
    </w:p>
    <w:p>
      <w:pPr>
        <w:ind w:firstLine="480"/>
        <w:spacing w:line="560" w:lineRule="exact"/>
        <w:rPr>
          <w:rFonts w:ascii="宋体" w:hAnsi="宋体" w:cs="宋体"/>
          <w:b/>
          <w:bCs/>
          <w:sz w:val="22"/>
        </w:rPr>
      </w:pPr>
      <w:r>
        <w:rPr>
          <w:rFonts w:hint="eastAsia" w:ascii="宋体" w:hAnsi="宋体" w:cs="宋体"/>
          <w:b/>
          <w:bCs/>
          <w:sz w:val="22"/>
        </w:rPr>
        <w:t xml:space="preserve">4、我方不向采购人或评标委员会行贿以牟取中标。</w:t>
      </w:r>
      <w:r/>
    </w:p>
    <w:p>
      <w:pPr>
        <w:ind w:firstLine="480"/>
        <w:spacing w:line="560" w:lineRule="exact"/>
        <w:rPr>
          <w:rFonts w:ascii="宋体" w:hAnsi="宋体" w:cs="宋体"/>
          <w:b/>
          <w:bCs/>
          <w:sz w:val="22"/>
        </w:rPr>
      </w:pPr>
      <w:r>
        <w:rPr>
          <w:rFonts w:hint="eastAsia" w:ascii="宋体" w:hAnsi="宋体" w:cs="宋体"/>
          <w:b/>
          <w:bCs/>
          <w:sz w:val="22"/>
        </w:rPr>
        <w:t xml:space="preserve">5、我方不存在第二章投标人须知第1.4.3项情形之一。</w:t>
      </w:r>
      <w:r/>
    </w:p>
    <w:p>
      <w:pPr>
        <w:ind w:firstLine="480"/>
        <w:spacing w:line="560" w:lineRule="exact"/>
        <w:rPr>
          <w:rFonts w:ascii="宋体" w:hAnsi="宋体" w:cs="宋体"/>
          <w:b/>
          <w:bCs/>
          <w:sz w:val="22"/>
        </w:rPr>
      </w:pPr>
      <w:r>
        <w:rPr>
          <w:rFonts w:hint="eastAsia" w:ascii="宋体" w:hAnsi="宋体" w:cs="宋体"/>
          <w:b/>
          <w:bCs/>
          <w:sz w:val="22"/>
        </w:rPr>
        <w:t xml:space="preserve">6、我方所提交的投标文件及有关资料内容完整、真实和准确。</w:t>
      </w:r>
      <w:r/>
    </w:p>
    <w:p>
      <w:pPr>
        <w:ind w:firstLine="480"/>
        <w:spacing w:line="560" w:lineRule="exact"/>
        <w:rPr>
          <w:rFonts w:ascii="宋体" w:hAnsi="宋体" w:cs="宋体"/>
          <w:b/>
          <w:bCs/>
          <w:sz w:val="22"/>
        </w:rPr>
      </w:pPr>
      <w:r>
        <w:rPr>
          <w:rFonts w:hint="eastAsia" w:ascii="宋体" w:hAnsi="宋体" w:cs="宋体"/>
          <w:b/>
          <w:bCs/>
          <w:sz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spacing w:line="560" w:lineRule="exact"/>
        <w:rPr>
          <w:rFonts w:ascii="宋体" w:hAnsi="宋体" w:cs="宋体"/>
          <w:sz w:val="22"/>
        </w:rPr>
      </w:pPr>
      <w:r>
        <w:rPr>
          <w:rFonts w:ascii="宋体" w:hAnsi="宋体" w:cs="宋体"/>
          <w:sz w:val="22"/>
        </w:rPr>
      </w:r>
      <w:r/>
    </w:p>
    <w:p>
      <w:pPr>
        <w:ind w:firstLine="480"/>
        <w:jc w:val="right"/>
        <w:spacing w:line="560" w:lineRule="exact"/>
        <w:rPr>
          <w:rFonts w:ascii="宋体" w:hAnsi="宋体" w:cs="宋体"/>
          <w:sz w:val="22"/>
        </w:rPr>
      </w:pPr>
      <w:r>
        <w:rPr>
          <w:rFonts w:hint="eastAsia" w:ascii="宋体" w:hAnsi="宋体" w:cs="宋体"/>
          <w:sz w:val="22"/>
        </w:rPr>
        <w:t xml:space="preserve">投标人公章：            （电子签章）</w:t>
      </w:r>
      <w:r/>
    </w:p>
    <w:p>
      <w:pPr>
        <w:ind w:firstLine="480"/>
        <w:jc w:val="right"/>
        <w:spacing w:line="560" w:lineRule="exact"/>
        <w:rPr>
          <w:rFonts w:ascii="宋体" w:hAnsi="宋体" w:cs="宋体"/>
          <w:sz w:val="22"/>
        </w:rPr>
      </w:pPr>
      <w:r>
        <w:rPr>
          <w:rFonts w:hint="eastAsia" w:ascii="宋体" w:hAnsi="宋体" w:cs="宋体"/>
          <w:sz w:val="22"/>
        </w:rPr>
        <w:t xml:space="preserve">法定代表人：            （电子签章）</w:t>
      </w:r>
      <w:r/>
    </w:p>
    <w:p>
      <w:pPr>
        <w:jc w:val="right"/>
        <w:spacing w:line="560" w:lineRule="exact"/>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hint="eastAsia" w:ascii="黑体" w:hAnsi="黑体" w:eastAsia="黑体"/>
          <w:sz w:val="28"/>
          <w:szCs w:val="28"/>
          <w:lang w:val="en-US" w:eastAsia="zh-CN"/>
        </w:rPr>
      </w:pPr>
      <w:r>
        <w:rPr>
          <w:rFonts w:hint="eastAsia" w:ascii="黑体" w:hAnsi="黑体" w:eastAsia="黑体"/>
          <w:sz w:val="28"/>
          <w:szCs w:val="28"/>
          <w:lang w:val="en-US" w:eastAsia="zh-CN"/>
        </w:rPr>
      </w:r>
      <w:r/>
    </w:p>
    <w:p>
      <w:pPr>
        <w:jc w:val="center"/>
        <w:spacing w:line="360" w:lineRule="auto"/>
        <w:rPr>
          <w:rFonts w:hint="eastAsia" w:ascii="黑体" w:hAnsi="黑体" w:eastAsia="黑体"/>
          <w:sz w:val="28"/>
          <w:szCs w:val="28"/>
          <w:lang w:val="en-US" w:eastAsia="zh-CN"/>
        </w:rPr>
      </w:pPr>
      <w:r/>
      <w:bookmarkStart w:id="144" w:name="_GoBack"/>
      <w:r/>
      <w:bookmarkEnd w:id="144"/>
      <w:r/>
      <w:r/>
    </w:p>
    <w:p>
      <w:pPr>
        <w:jc w:val="center"/>
        <w:spacing w:line="360" w:lineRule="auto"/>
        <w:rPr>
          <w:rFonts w:ascii="黑体" w:hAnsi="黑体" w:eastAsia="黑体"/>
          <w:sz w:val="28"/>
          <w:szCs w:val="28"/>
        </w:rPr>
      </w:pPr>
      <w:r>
        <w:rPr>
          <w:rFonts w:hint="eastAsia" w:ascii="黑体" w:hAnsi="黑体" w:eastAsia="黑体"/>
          <w:sz w:val="28"/>
          <w:szCs w:val="28"/>
        </w:rPr>
        <w:t xml:space="preserve">投标报价符合性审查</w:t>
      </w:r>
      <w:r/>
    </w:p>
    <w:p>
      <w:pPr>
        <w:jc w:val="center"/>
        <w:spacing w:line="360" w:lineRule="auto"/>
        <w:rPr>
          <w:rFonts w:ascii="黑体" w:hAnsi="黑体" w:eastAsia="黑体"/>
          <w:sz w:val="28"/>
          <w:szCs w:val="28"/>
        </w:rPr>
      </w:pPr>
      <w:r>
        <w:rPr>
          <w:rFonts w:ascii="黑体" w:hAnsi="黑体" w:eastAsia="黑体"/>
          <w:sz w:val="28"/>
          <w:szCs w:val="28"/>
        </w:rPr>
      </w:r>
      <w:r/>
    </w:p>
    <w:p>
      <w:pPr>
        <w:ind w:firstLine="440"/>
        <w:jc w:val="left"/>
        <w:spacing w:line="360" w:lineRule="auto"/>
        <w:rPr>
          <w:rFonts w:ascii="黑体" w:hAnsi="黑体" w:eastAsia="黑体"/>
          <w:sz w:val="22"/>
        </w:rPr>
      </w:pPr>
      <w:r>
        <w:rPr>
          <w:rFonts w:hint="eastAsia" w:ascii="黑体" w:hAnsi="黑体" w:eastAsia="黑体"/>
          <w:sz w:val="22"/>
        </w:rPr>
        <w:t xml:space="preserve">若投标报价低于采购项目最高限价45%的，即投标报价&lt;采购项目最高限价×45%的，投标人可在此提供项目具体成本测算等与报价合理性相关的书面说明及必要的证明材料，包括但不限于原材料成本、人工成本、制造费用等。投标人已随投标文件提交相关书面说明及必要的证明材料的，在评审现场将不再要求重复提交。</w:t>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80"/>
        <w:jc w:val="right"/>
        <w:spacing w:line="360" w:lineRule="auto"/>
        <w:rPr>
          <w:rFonts w:ascii="黑体" w:hAnsi="黑体" w:eastAsia="黑体"/>
          <w:sz w:val="22"/>
        </w:rPr>
      </w:pPr>
      <w:r>
        <w:rPr>
          <w:rFonts w:hint="eastAsia" w:ascii="宋体" w:hAnsi="宋体" w:cs="宋体"/>
          <w:sz w:val="24"/>
          <w:szCs w:val="24"/>
        </w:rPr>
        <w:t xml:space="preserve">投标人公章：            （电子签章）</w:t>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ind w:firstLine="440"/>
        <w:jc w:val="left"/>
        <w:spacing w:line="360" w:lineRule="auto"/>
        <w:rPr>
          <w:rFonts w:ascii="黑体" w:hAnsi="黑体" w:eastAsia="黑体"/>
          <w:sz w:val="22"/>
        </w:rPr>
      </w:pPr>
      <w:r>
        <w:rPr>
          <w:rFonts w:ascii="黑体" w:hAnsi="黑体" w:eastAsia="黑体"/>
          <w:sz w:val="22"/>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sz w:val="18"/>
          <w:szCs w:val="18"/>
        </w:rPr>
      </w:pPr>
      <w:r>
        <w:rPr>
          <w:rFonts w:hint="eastAsia" w:ascii="黑体" w:hAnsi="黑体" w:eastAsia="黑体"/>
          <w:sz w:val="28"/>
          <w:szCs w:val="28"/>
        </w:rPr>
        <w:t xml:space="preserve">投标分项报价表</w:t>
      </w:r>
      <w:r/>
    </w:p>
    <w:tbl>
      <w:tblPr>
        <w:tblStyle w:val="704"/>
        <w:tblW w:w="901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900"/>
        <w:gridCol w:w="750"/>
        <w:gridCol w:w="750"/>
        <w:gridCol w:w="1580"/>
        <w:gridCol w:w="740"/>
        <w:gridCol w:w="769"/>
        <w:gridCol w:w="1008"/>
        <w:gridCol w:w="966"/>
      </w:tblGrid>
      <w:tr>
        <w:trPr>
          <w:cantSplit/>
          <w:trHeight w:val="812"/>
        </w:trPr>
        <w:tc>
          <w:tcPr>
            <w:tcW w:w="5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序号</w:t>
            </w:r>
            <w:r/>
          </w:p>
        </w:tc>
        <w:tc>
          <w:tcPr>
            <w:shd w:val="clear" w:color="ffffff" w:fill="ffffff"/>
            <w:tcW w:w="190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产品名称</w:t>
            </w:r>
            <w:r/>
          </w:p>
        </w:tc>
        <w:tc>
          <w:tcPr>
            <w:shd w:val="clear" w:color="ffffff" w:fill="ffffff"/>
            <w:tcW w:w="7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品牌</w:t>
            </w:r>
            <w:r/>
          </w:p>
        </w:tc>
        <w:tc>
          <w:tcPr>
            <w:shd w:val="clear" w:color="ffffff" w:fill="ffffff"/>
            <w:tcW w:w="750" w:type="dxa"/>
            <w:vAlign w:val="center"/>
            <w:textDirection w:val="lrTb"/>
            <w:noWrap w:val="false"/>
          </w:tcPr>
          <w:p>
            <w:pPr>
              <w:jc w:val="center"/>
              <w:spacing w:line="0" w:lineRule="atLeast"/>
              <w:rPr>
                <w:sz w:val="22"/>
              </w:rPr>
            </w:pPr>
            <w:r>
              <w:rPr>
                <w:rFonts w:hint="eastAsia" w:ascii="宋体" w:hAnsi="宋体" w:cs="宋体"/>
                <w:sz w:val="22"/>
              </w:rPr>
              <w:t xml:space="preserve">规格</w:t>
            </w:r>
            <w:r/>
          </w:p>
          <w:p>
            <w:pPr>
              <w:jc w:val="center"/>
              <w:spacing w:line="0" w:lineRule="atLeast"/>
              <w:rPr>
                <w:rFonts w:ascii="宋体" w:hAnsi="宋体" w:cs="宋体"/>
                <w:sz w:val="22"/>
              </w:rPr>
            </w:pPr>
            <w:r>
              <w:rPr>
                <w:rFonts w:hint="eastAsia" w:ascii="宋体" w:hAnsi="宋体" w:cs="宋体"/>
                <w:sz w:val="22"/>
              </w:rPr>
              <w:t xml:space="preserve">型号</w:t>
            </w:r>
            <w:r/>
          </w:p>
        </w:tc>
        <w:tc>
          <w:tcPr>
            <w:shd w:val="clear" w:color="ffffff" w:fill="ffffff"/>
            <w:tcW w:w="158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制造商名称</w:t>
            </w:r>
            <w:r/>
          </w:p>
        </w:tc>
        <w:tc>
          <w:tcPr>
            <w:shd w:val="clear" w:color="ffffff" w:fill="ffffff"/>
            <w:tcW w:w="74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国别</w:t>
            </w:r>
            <w:r/>
          </w:p>
        </w:tc>
        <w:tc>
          <w:tcPr>
            <w:shd w:val="clear" w:color="ffffff" w:fill="ffffff"/>
            <w:tcW w:w="769"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数量</w:t>
            </w:r>
            <w:r/>
          </w:p>
        </w:tc>
        <w:tc>
          <w:tcPr>
            <w:shd w:val="clear" w:color="ffffff" w:fill="ffffff"/>
            <w:tcW w:w="1008" w:type="dxa"/>
            <w:vAlign w:val="center"/>
            <w:textDirection w:val="lrTb"/>
            <w:noWrap w:val="false"/>
          </w:tcPr>
          <w:p>
            <w:pPr>
              <w:jc w:val="center"/>
              <w:spacing w:line="0" w:lineRule="atLeast"/>
              <w:rPr>
                <w:sz w:val="22"/>
              </w:rPr>
            </w:pPr>
            <w:r>
              <w:rPr>
                <w:rFonts w:hint="eastAsia" w:ascii="宋体" w:hAnsi="宋体" w:cs="宋体"/>
                <w:sz w:val="22"/>
              </w:rPr>
              <w:t xml:space="preserve">分项</w:t>
            </w:r>
            <w:r/>
          </w:p>
          <w:p>
            <w:pPr>
              <w:jc w:val="center"/>
              <w:spacing w:line="0" w:lineRule="atLeast"/>
              <w:rPr>
                <w:rFonts w:ascii="宋体" w:hAnsi="宋体" w:cs="宋体"/>
                <w:sz w:val="22"/>
              </w:rPr>
            </w:pPr>
            <w:r>
              <w:rPr>
                <w:rFonts w:hint="eastAsia" w:ascii="宋体" w:hAnsi="宋体" w:cs="宋体"/>
                <w:sz w:val="22"/>
              </w:rPr>
              <w:t xml:space="preserve">单价</w:t>
            </w:r>
            <w:r/>
          </w:p>
          <w:p>
            <w:pPr>
              <w:jc w:val="center"/>
              <w:spacing w:line="0" w:lineRule="atLeast"/>
              <w:rPr>
                <w:rFonts w:ascii="宋体" w:hAnsi="宋体" w:cs="宋体"/>
                <w:sz w:val="22"/>
              </w:rPr>
            </w:pPr>
            <w:r>
              <w:rPr>
                <w:rFonts w:hint="eastAsia" w:ascii="宋体" w:hAnsi="宋体" w:cs="宋体"/>
                <w:sz w:val="22"/>
              </w:rPr>
              <w:t xml:space="preserve">（元）</w:t>
            </w:r>
            <w:r/>
          </w:p>
        </w:tc>
        <w:tc>
          <w:tcPr>
            <w:shd w:val="clear" w:color="ffffff" w:fill="ffffff"/>
            <w:tcW w:w="966" w:type="dxa"/>
            <w:vAlign w:val="center"/>
            <w:textDirection w:val="lrTb"/>
            <w:noWrap w:val="false"/>
          </w:tcPr>
          <w:p>
            <w:pPr>
              <w:jc w:val="center"/>
              <w:spacing w:line="0" w:lineRule="atLeast"/>
              <w:rPr>
                <w:sz w:val="22"/>
              </w:rPr>
            </w:pPr>
            <w:r>
              <w:rPr>
                <w:rFonts w:hint="eastAsia" w:ascii="宋体" w:hAnsi="宋体" w:cs="宋体"/>
                <w:sz w:val="22"/>
              </w:rPr>
              <w:t xml:space="preserve">分项</w:t>
            </w:r>
            <w:r/>
          </w:p>
          <w:p>
            <w:pPr>
              <w:jc w:val="center"/>
              <w:spacing w:line="0" w:lineRule="atLeast"/>
              <w:rPr>
                <w:rFonts w:ascii="宋体" w:hAnsi="宋体" w:cs="宋体"/>
                <w:sz w:val="22"/>
              </w:rPr>
            </w:pPr>
            <w:r>
              <w:rPr>
                <w:rFonts w:hint="eastAsia" w:ascii="宋体" w:hAnsi="宋体" w:cs="宋体"/>
                <w:sz w:val="22"/>
              </w:rPr>
              <w:t xml:space="preserve">总价</w:t>
            </w:r>
            <w:r/>
          </w:p>
          <w:p>
            <w:pPr>
              <w:jc w:val="center"/>
              <w:spacing w:line="0" w:lineRule="atLeast"/>
              <w:rPr>
                <w:rFonts w:ascii="宋体" w:hAnsi="宋体" w:cs="宋体"/>
                <w:sz w:val="22"/>
              </w:rPr>
            </w:pPr>
            <w:r>
              <w:rPr>
                <w:rFonts w:hint="eastAsia" w:ascii="宋体" w:hAnsi="宋体" w:cs="宋体"/>
                <w:sz w:val="22"/>
              </w:rPr>
              <w:t xml:space="preserve">（元）</w:t>
            </w:r>
            <w:r/>
          </w:p>
        </w:tc>
      </w:tr>
      <w:tr>
        <w:trPr>
          <w:cantSplit/>
          <w:trHeight w:val="601"/>
        </w:trPr>
        <w:tc>
          <w:tcPr>
            <w:tcW w:w="550" w:type="dxa"/>
            <w:vAlign w:val="center"/>
            <w:textDirection w:val="lrTb"/>
            <w:noWrap w:val="false"/>
          </w:tcPr>
          <w:p>
            <w:pPr>
              <w:jc w:val="center"/>
              <w:spacing w:line="0" w:lineRule="atLeast"/>
              <w:rPr>
                <w:rFonts w:ascii="宋体" w:hAnsi="宋体" w:cs="宋体"/>
                <w:sz w:val="22"/>
              </w:rPr>
            </w:pPr>
            <w:r>
              <w:rPr>
                <w:rFonts w:hint="eastAsia" w:ascii="宋体" w:hAnsi="宋体" w:cs="宋体"/>
                <w:sz w:val="22"/>
              </w:rPr>
              <w:t xml:space="preserve">1</w:t>
            </w:r>
            <w:r/>
          </w:p>
        </w:tc>
        <w:tc>
          <w:tcPr>
            <w:tcW w:w="1900" w:type="dxa"/>
            <w:vAlign w:val="center"/>
            <w:textDirection w:val="lrTb"/>
            <w:noWrap w:val="false"/>
          </w:tcPr>
          <w:p>
            <w:pPr>
              <w:jc w:val="center"/>
              <w:widowControl/>
              <w:rPr>
                <w:rFonts w:ascii="宋体" w:hAnsi="宋体" w:cs="宋体"/>
                <w:sz w:val="22"/>
              </w:rPr>
            </w:pPr>
            <w:r>
              <w:rPr>
                <w:rFonts w:hint="eastAsia" w:ascii="宋体" w:hAnsi="宋体" w:cs="宋体"/>
                <w:color w:val="000000"/>
                <w:sz w:val="22"/>
                <w:lang w:bidi="ar"/>
              </w:rPr>
              <w:t xml:space="preserve">彩色多普勒超声诊断仪</w:t>
            </w:r>
            <w:r/>
          </w:p>
        </w:tc>
        <w:tc>
          <w:tcPr>
            <w:tcW w:w="75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5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158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40"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769" w:type="dxa"/>
            <w:vAlign w:val="center"/>
            <w:textDirection w:val="lrTb"/>
            <w:noWrap w:val="false"/>
          </w:tcPr>
          <w:p>
            <w:pPr>
              <w:jc w:val="center"/>
              <w:rPr>
                <w:rFonts w:ascii="宋体" w:hAnsi="宋体" w:cs="宋体"/>
                <w:sz w:val="22"/>
              </w:rPr>
            </w:pPr>
            <w:r>
              <w:rPr>
                <w:rFonts w:hint="eastAsia" w:ascii="宋体" w:hAnsi="宋体" w:cs="宋体"/>
                <w:color w:val="000000"/>
                <w:sz w:val="22"/>
              </w:rPr>
              <w:t xml:space="preserve">1台</w:t>
            </w:r>
            <w:r/>
          </w:p>
        </w:tc>
        <w:tc>
          <w:tcPr>
            <w:tcW w:w="1008"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c>
          <w:tcPr>
            <w:tcW w:w="966" w:type="dxa"/>
            <w:vAlign w:val="center"/>
            <w:textDirection w:val="lrTb"/>
            <w:noWrap w:val="false"/>
          </w:tcPr>
          <w:p>
            <w:pPr>
              <w:jc w:val="center"/>
              <w:spacing w:line="0" w:lineRule="atLeast"/>
              <w:rPr>
                <w:rFonts w:ascii="宋体" w:hAnsi="宋体" w:cs="宋体"/>
                <w:sz w:val="22"/>
              </w:rPr>
            </w:pPr>
            <w:r>
              <w:rPr>
                <w:rFonts w:ascii="宋体" w:hAnsi="宋体" w:cs="宋体"/>
                <w:sz w:val="22"/>
              </w:rPr>
            </w:r>
            <w:r/>
          </w:p>
        </w:tc>
      </w:tr>
      <w:tr>
        <w:trPr>
          <w:cantSplit/>
          <w:trHeight w:val="434"/>
        </w:trPr>
        <w:tc>
          <w:tcPr>
            <w:gridSpan w:val="9"/>
            <w:tcW w:w="9013" w:type="dxa"/>
            <w:vAlign w:val="center"/>
            <w:textDirection w:val="lrTb"/>
            <w:noWrap w:val="false"/>
          </w:tcPr>
          <w:p>
            <w:pPr>
              <w:jc w:val="left"/>
              <w:rPr>
                <w:rFonts w:ascii="宋体" w:hAnsi="宋体" w:cs="宋体"/>
                <w:sz w:val="22"/>
              </w:rPr>
            </w:pPr>
            <w:r>
              <w:rPr>
                <w:rFonts w:hint="eastAsia" w:ascii="宋体" w:hAnsi="宋体" w:cs="宋体"/>
                <w:sz w:val="22"/>
              </w:rPr>
              <w:t xml:space="preserve">投标总报价（人民币：元）</w:t>
            </w:r>
            <w:r>
              <w:rPr>
                <w:rFonts w:hint="eastAsia" w:ascii="宋体" w:hAnsi="宋体" w:cs="宋体"/>
                <w:sz w:val="22"/>
                <w:u w:val="single"/>
              </w:rPr>
              <w:t xml:space="preserve">                  </w:t>
            </w:r>
            <w:r>
              <w:rPr>
                <w:rFonts w:hint="eastAsia" w:ascii="宋体" w:hAnsi="宋体" w:cs="宋体"/>
                <w:sz w:val="22"/>
              </w:rPr>
              <w:t xml:space="preserve">。</w:t>
            </w:r>
            <w:r/>
          </w:p>
        </w:tc>
      </w:tr>
      <w:tr>
        <w:trPr>
          <w:cantSplit/>
          <w:trHeight w:val="767"/>
        </w:trPr>
        <w:tc>
          <w:tcPr>
            <w:gridSpan w:val="9"/>
            <w:tcW w:w="9013" w:type="dxa"/>
            <w:vAlign w:val="center"/>
            <w:textDirection w:val="lrTb"/>
            <w:noWrap w:val="false"/>
          </w:tcPr>
          <w:p>
            <w:pPr>
              <w:pStyle w:val="724"/>
              <w:ind w:firstLine="482"/>
              <w:spacing w:before="0" w:beforeAutospacing="0" w:after="0" w:afterAutospacing="0" w:line="0" w:lineRule="atLeast"/>
              <w:rPr>
                <w:sz w:val="22"/>
                <w:szCs w:val="22"/>
              </w:rPr>
            </w:pPr>
            <w:r>
              <w:rPr>
                <w:rFonts w:hint="eastAsia" w:ascii="黑体" w:hAnsi="黑体" w:eastAsia="黑体" w:cs="黑体"/>
                <w:b/>
                <w:bCs/>
                <w:sz w:val="22"/>
                <w:szCs w:val="22"/>
              </w:rPr>
              <w:t xml:space="preserve">本采购包中提供的符合本国产品标准的产品成本之和占该采购包提供的全部产品成本之和的比例为</w:t>
            </w:r>
            <w:r>
              <w:rPr>
                <w:rFonts w:hint="eastAsia" w:ascii="黑体" w:hAnsi="黑体" w:eastAsia="黑体" w:cs="黑体"/>
                <w:b/>
                <w:bCs/>
                <w:sz w:val="22"/>
                <w:szCs w:val="22"/>
                <w:u w:val="single"/>
              </w:rPr>
              <w:t xml:space="preserve">      </w:t>
            </w:r>
            <w:r>
              <w:rPr>
                <w:rFonts w:hint="eastAsia" w:ascii="黑体" w:hAnsi="黑体" w:eastAsia="黑体" w:cs="黑体"/>
                <w:b/>
                <w:bCs/>
                <w:sz w:val="22"/>
                <w:szCs w:val="22"/>
              </w:rPr>
              <w:t xml:space="preserve">%。</w:t>
            </w:r>
            <w:r/>
          </w:p>
        </w:tc>
      </w:tr>
    </w:tbl>
    <w:p>
      <w:pPr>
        <w:jc w:val="left"/>
        <w:spacing w:line="440" w:lineRule="exact"/>
        <w:rPr>
          <w:sz w:val="22"/>
        </w:rPr>
      </w:pPr>
      <w:r>
        <w:rPr>
          <w:rFonts w:hint="eastAsia" w:ascii="宋体" w:hAnsi="宋体" w:cs="宋体"/>
          <w:b/>
          <w:bCs/>
          <w:sz w:val="22"/>
        </w:rPr>
        <w:t xml:space="preserve">备注：</w:t>
      </w:r>
      <w:r/>
    </w:p>
    <w:p>
      <w:pPr>
        <w:ind w:firstLine="480"/>
        <w:jc w:val="left"/>
        <w:spacing w:line="440" w:lineRule="exact"/>
        <w:rPr>
          <w:sz w:val="22"/>
        </w:rPr>
      </w:pPr>
      <w:r>
        <w:rPr>
          <w:rFonts w:hint="eastAsia" w:ascii="宋体" w:hAnsi="宋体" w:cs="宋体"/>
          <w:sz w:val="22"/>
        </w:rPr>
        <w:t xml:space="preserve">1.投标报价采用总承包方式，“投标总报价”投标报价应包括所投货物（包含与货物相关的服务）费用、安装调试费、测试验收费、培训费、管理费、利润、税金、运输保险、开证（如果有）及其他有关的为完成本项目发生的所有费用，招标文件中另有规定的除外。“投标总报价”数额为各“分项总价”之和。</w:t>
      </w:r>
      <w:r/>
    </w:p>
    <w:p>
      <w:pPr>
        <w:ind w:firstLine="480"/>
        <w:jc w:val="left"/>
        <w:spacing w:line="440" w:lineRule="exact"/>
        <w:rPr>
          <w:sz w:val="22"/>
        </w:rPr>
      </w:pPr>
      <w:r>
        <w:rPr>
          <w:rFonts w:hint="eastAsia" w:ascii="宋体" w:hAnsi="宋体" w:cs="宋体"/>
          <w:sz w:val="22"/>
        </w:rPr>
        <w:t xml:space="preserve">2.“投标分项报价表”中“投标总报价”数额应当与“开标一览表”中“投标总报价”数额一致。</w:t>
      </w:r>
      <w:r/>
    </w:p>
    <w:p>
      <w:pPr>
        <w:ind w:firstLine="480"/>
        <w:jc w:val="left"/>
        <w:spacing w:line="440" w:lineRule="exact"/>
        <w:rPr>
          <w:sz w:val="22"/>
        </w:rPr>
      </w:pPr>
      <w:r>
        <w:rPr>
          <w:rFonts w:hint="eastAsia" w:ascii="宋体" w:hAnsi="宋体" w:cs="宋体"/>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40" w:lineRule="exact"/>
        <w:rPr>
          <w:sz w:val="22"/>
        </w:rPr>
      </w:pPr>
      <w:r>
        <w:rPr>
          <w:rFonts w:hint="eastAsia" w:ascii="宋体" w:hAnsi="宋体" w:cs="宋体"/>
          <w:sz w:val="22"/>
        </w:rPr>
        <w:t xml:space="preserve">4.投标人需认真填写本报价表，尤其注意规格型号的准确填写。</w:t>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ind w:left="420"/>
        <w:jc w:val="right"/>
        <w:spacing w:line="480" w:lineRule="auto"/>
      </w:pPr>
      <w:r>
        <w:rPr>
          <w:rFonts w:hint="eastAsia" w:ascii="宋体" w:hAnsi="宋体" w:cs="宋体"/>
          <w:sz w:val="24"/>
          <w:szCs w:val="24"/>
        </w:rPr>
        <w:t xml:space="preserve">投标人公章：            （电子签章）</w:t>
      </w:r>
      <w:r/>
    </w:p>
    <w:p>
      <w:pPr>
        <w:ind w:firstLine="480"/>
        <w:jc w:val="right"/>
        <w:spacing w:line="360" w:lineRule="auto"/>
      </w:pPr>
      <w:r/>
      <w:r/>
    </w:p>
    <w:p>
      <w:pPr>
        <w:jc w:val="right"/>
        <w:spacing w:line="360" w:lineRule="auto"/>
        <w:rPr>
          <w:rFonts w:ascii="黑体" w:hAnsi="黑体" w:eastAsia="黑体"/>
          <w:sz w:val="28"/>
          <w:szCs w:val="28"/>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right"/>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36"/>
          <w:szCs w:val="28"/>
        </w:rPr>
      </w:pPr>
      <w:r>
        <w:rPr>
          <w:rFonts w:hint="eastAsia" w:ascii="黑体" w:hAnsi="黑体" w:eastAsia="黑体"/>
          <w:sz w:val="28"/>
        </w:rPr>
        <w:t xml:space="preserve">商务条款响应表</w:t>
      </w:r>
      <w:r/>
    </w:p>
    <w:tbl>
      <w:tblPr>
        <w:tblStyle w:val="704"/>
        <w:tblW w:w="9345" w:type="dxa"/>
        <w:tblInd w:w="8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5"/>
        <w:gridCol w:w="2939"/>
        <w:gridCol w:w="2494"/>
        <w:gridCol w:w="1590"/>
      </w:tblGrid>
      <w:tr>
        <w:trPr>
          <w:cantSplit/>
          <w:trHeight w:val="610"/>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序号</w:t>
            </w:r>
            <w:r/>
          </w:p>
        </w:tc>
        <w:tc>
          <w:tcPr>
            <w:tcW w:w="1625" w:type="dxa"/>
            <w:vAlign w:val="center"/>
            <w:textDirection w:val="lrTb"/>
            <w:noWrap w:val="false"/>
          </w:tcPr>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主要商务条款</w:t>
            </w:r>
            <w:r/>
          </w:p>
        </w:tc>
        <w:tc>
          <w:tcPr>
            <w:tcW w:w="2939" w:type="dxa"/>
            <w:vAlign w:val="center"/>
            <w:textDirection w:val="lrTb"/>
            <w:noWrap w:val="false"/>
          </w:tcPr>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招标文件要求</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投标文件响应</w:t>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偏离情况</w:t>
            </w:r>
            <w:r/>
          </w:p>
          <w:p>
            <w:pPr>
              <w:jc w:val="center"/>
              <w:keepLines w:val="0"/>
              <w:keepNext w:val="0"/>
              <w:pageBreakBefore w:val="0"/>
              <w:spacing w:line="240" w:lineRule="atLeast"/>
              <w:widowControl/>
              <w:rPr>
                <w:rFonts w:ascii="宋体" w:hAnsi="宋体" w:cs="宋体"/>
                <w:b/>
                <w:sz w:val="22"/>
              </w:rPr>
            </w:pPr>
            <w:r>
              <w:rPr>
                <w:rFonts w:hint="eastAsia" w:ascii="宋体" w:hAnsi="宋体" w:cs="宋体"/>
                <w:b/>
                <w:sz w:val="22"/>
              </w:rPr>
              <w:t xml:space="preserve">（正/负/无）</w:t>
            </w:r>
            <w:r/>
          </w:p>
        </w:tc>
      </w:tr>
      <w:tr>
        <w:trPr>
          <w:trHeight w:val="615"/>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1</w:t>
            </w:r>
            <w:r/>
          </w:p>
        </w:tc>
        <w:tc>
          <w:tcPr>
            <w:tcW w:w="1625" w:type="dxa"/>
            <w:vAlign w:val="center"/>
            <w:textDirection w:val="lrTb"/>
            <w:noWrap w:val="false"/>
          </w:tcPr>
          <w:p>
            <w:pPr>
              <w:jc w:val="center"/>
              <w:keepLines w:val="0"/>
              <w:keepNext w:val="0"/>
              <w:pageBreakBefore w:val="0"/>
              <w:spacing w:line="240" w:lineRule="atLeast"/>
              <w:rPr>
                <w:rFonts w:ascii="宋体" w:hAnsi="宋体" w:cs="宋体"/>
                <w:sz w:val="22"/>
              </w:rPr>
            </w:pPr>
            <w:r>
              <w:rPr>
                <w:rFonts w:hint="eastAsia" w:ascii="宋体" w:hAnsi="宋体" w:cs="宋体"/>
                <w:sz w:val="22"/>
              </w:rPr>
              <w:t xml:space="preserve">履约期限</w:t>
            </w:r>
            <w:r/>
          </w:p>
        </w:tc>
        <w:tc>
          <w:tcPr>
            <w:tcW w:w="2939" w:type="dxa"/>
            <w:vAlign w:val="center"/>
            <w:textDirection w:val="lrTb"/>
            <w:noWrap w:val="false"/>
          </w:tcPr>
          <w:p>
            <w:pPr>
              <w:jc w:val="center"/>
              <w:keepLines w:val="0"/>
              <w:keepNext w:val="0"/>
              <w:pageBreakBefore w:val="0"/>
              <w:spacing w:line="240" w:lineRule="atLeast"/>
              <w:rPr>
                <w:rFonts w:ascii="宋体" w:hAnsi="宋体" w:cs="宋体"/>
                <w:sz w:val="22"/>
              </w:rPr>
            </w:pPr>
            <w:r>
              <w:rPr>
                <w:rFonts w:hint="eastAsia" w:ascii="宋体" w:hAnsi="宋体" w:cs="宋体"/>
                <w:sz w:val="22"/>
                <w:u w:val="single"/>
              </w:rPr>
              <w:t xml:space="preserve">30</w:t>
            </w:r>
            <w:r>
              <w:rPr>
                <w:rFonts w:hint="eastAsia" w:ascii="宋体" w:hAnsi="宋体" w:cs="宋体"/>
                <w:sz w:val="22"/>
              </w:rPr>
              <w:t xml:space="preserve">日历天</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529"/>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2</w:t>
            </w:r>
            <w:r/>
          </w:p>
        </w:tc>
        <w:tc>
          <w:tcPr>
            <w:tcW w:w="1625" w:type="dxa"/>
            <w:vAlign w:val="center"/>
            <w:textDirection w:val="lrTb"/>
            <w:noWrap w:val="false"/>
          </w:tcPr>
          <w:p>
            <w:pPr>
              <w:jc w:val="center"/>
              <w:keepLines w:val="0"/>
              <w:keepNext w:val="0"/>
              <w:pageBreakBefore w:val="0"/>
              <w:spacing w:line="240" w:lineRule="atLeast"/>
              <w:rPr>
                <w:rFonts w:ascii="宋体" w:hAnsi="宋体" w:cs="宋体"/>
                <w:sz w:val="22"/>
              </w:rPr>
            </w:pPr>
            <w:r>
              <w:rPr>
                <w:rFonts w:hint="eastAsia" w:ascii="宋体" w:hAnsi="宋体" w:cs="宋体"/>
                <w:sz w:val="22"/>
              </w:rPr>
              <w:t xml:space="preserve">投标有效期</w:t>
            </w:r>
            <w:r/>
          </w:p>
        </w:tc>
        <w:tc>
          <w:tcPr>
            <w:tcW w:w="2939" w:type="dxa"/>
            <w:vAlign w:val="center"/>
            <w:textDirection w:val="lrTb"/>
            <w:noWrap w:val="false"/>
          </w:tcPr>
          <w:p>
            <w:pPr>
              <w:jc w:val="center"/>
              <w:keepLines w:val="0"/>
              <w:keepNext w:val="0"/>
              <w:pageBreakBefore w:val="0"/>
              <w:spacing w:line="240" w:lineRule="atLeast"/>
              <w:rPr>
                <w:rFonts w:ascii="宋体" w:hAnsi="宋体" w:cs="宋体"/>
                <w:sz w:val="22"/>
              </w:rPr>
            </w:pPr>
            <w:r>
              <w:rPr>
                <w:rFonts w:hint="eastAsia" w:ascii="宋体" w:hAnsi="宋体" w:cs="宋体"/>
                <w:bCs/>
                <w:sz w:val="22"/>
                <w:u w:val="single"/>
              </w:rPr>
              <w:t xml:space="preserve">90</w:t>
            </w:r>
            <w:r>
              <w:rPr>
                <w:rFonts w:hint="eastAsia" w:ascii="宋体" w:hAnsi="宋体" w:cs="宋体"/>
                <w:b/>
                <w:sz w:val="22"/>
                <w:u w:val="single"/>
              </w:rPr>
              <w:t xml:space="preserve"> </w:t>
            </w:r>
            <w:r>
              <w:rPr>
                <w:rFonts w:hint="eastAsia" w:ascii="宋体" w:hAnsi="宋体" w:cs="宋体"/>
                <w:sz w:val="22"/>
                <w:lang w:val="zh-CN"/>
              </w:rPr>
              <w:t xml:space="preserve">日</w:t>
            </w:r>
            <w:r/>
          </w:p>
        </w:tc>
        <w:tc>
          <w:tcPr>
            <w:tcW w:w="2494" w:type="dxa"/>
            <w:vAlign w:val="center"/>
            <w:textDirection w:val="lrTb"/>
            <w:noWrap w:val="false"/>
          </w:tcPr>
          <w:p>
            <w:pPr>
              <w:jc w:val="left"/>
              <w:keepLines w:val="0"/>
              <w:keepNext w:val="0"/>
              <w:pageBreakBefore w:val="0"/>
              <w:spacing w:line="240" w:lineRule="atLeast"/>
              <w:widowControl/>
              <w:rPr>
                <w:rFonts w:ascii="宋体" w:hAnsi="宋体" w:cs="宋体"/>
                <w:sz w:val="22"/>
                <w:u w:val="single"/>
              </w:rPr>
            </w:pPr>
            <w:r>
              <w:rPr>
                <w:rFonts w:ascii="宋体" w:hAnsi="宋体" w:cs="宋体"/>
                <w:sz w:val="22"/>
                <w:u w:val="single"/>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3</w:t>
            </w:r>
            <w:r/>
          </w:p>
        </w:tc>
        <w:tc>
          <w:tcPr>
            <w:tcW w:w="1625"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付款方式</w:t>
            </w:r>
            <w:r/>
          </w:p>
        </w:tc>
        <w:tc>
          <w:tcPr>
            <w:tcW w:w="2939" w:type="dxa"/>
            <w:vAlign w:val="center"/>
            <w:textDirection w:val="lrTb"/>
            <w:noWrap w:val="false"/>
          </w:tcPr>
          <w:p>
            <w:pPr>
              <w:jc w:val="left"/>
              <w:keepLines w:val="0"/>
              <w:keepNext w:val="0"/>
              <w:pageBreakBefore w:val="0"/>
              <w:spacing w:line="240" w:lineRule="atLeast"/>
              <w:widowControl/>
              <w:rPr>
                <w:rFonts w:ascii="宋体" w:hAnsi="宋体" w:cs="宋体"/>
                <w:sz w:val="22"/>
              </w:rPr>
            </w:pPr>
            <w:r>
              <w:rPr>
                <w:rFonts w:hint="eastAsia" w:ascii="宋体" w:hAnsi="宋体" w:cs="宋体"/>
                <w:sz w:val="22"/>
              </w:rPr>
              <w:t xml:space="preserve">（1）合同签订生效后7日内，支付合同价款30%的预付款；</w:t>
            </w:r>
            <w:r/>
          </w:p>
          <w:p>
            <w:pPr>
              <w:jc w:val="left"/>
              <w:keepLines w:val="0"/>
              <w:keepNext w:val="0"/>
              <w:pageBreakBefore w:val="0"/>
              <w:spacing w:line="240" w:lineRule="atLeast"/>
              <w:widowControl/>
              <w:rPr>
                <w:rFonts w:ascii="宋体" w:hAnsi="宋体" w:cs="宋体"/>
                <w:sz w:val="22"/>
              </w:rPr>
            </w:pPr>
            <w:r>
              <w:rPr>
                <w:rFonts w:hint="eastAsia" w:ascii="宋体" w:hAnsi="宋体" w:cs="宋体"/>
                <w:sz w:val="22"/>
              </w:rPr>
              <w:t xml:space="preserve">（2）设备安装、调试、验收合格后，凭验收合格报告和发票支付至合同价款的90%；</w:t>
            </w:r>
            <w:r/>
          </w:p>
          <w:p>
            <w:pPr>
              <w:jc w:val="left"/>
              <w:keepLines w:val="0"/>
              <w:keepNext w:val="0"/>
              <w:pageBreakBefore w:val="0"/>
              <w:spacing w:line="240" w:lineRule="atLeast"/>
              <w:widowControl/>
              <w:rPr>
                <w:rFonts w:ascii="宋体" w:hAnsi="宋体" w:cs="宋体"/>
                <w:sz w:val="22"/>
              </w:rPr>
            </w:pPr>
            <w:r>
              <w:rPr>
                <w:rFonts w:hint="eastAsia" w:ascii="宋体" w:hAnsi="宋体" w:cs="宋体"/>
                <w:sz w:val="22"/>
              </w:rPr>
              <w:t xml:space="preserve">（3）验收合格满一年后付清余款。</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1．</w:t>
            </w:r>
            <w:r/>
          </w:p>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2．</w:t>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520"/>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4</w:t>
            </w:r>
            <w:r/>
          </w:p>
        </w:tc>
        <w:tc>
          <w:tcPr>
            <w:tcW w:w="1625"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质保期</w:t>
            </w:r>
            <w:r/>
          </w:p>
        </w:tc>
        <w:tc>
          <w:tcPr>
            <w:tcW w:w="2939"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年</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5</w:t>
            </w:r>
            <w:r/>
          </w:p>
        </w:tc>
        <w:tc>
          <w:tcPr>
            <w:tcW w:w="1625"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故障响应时间</w:t>
            </w:r>
            <w:r/>
          </w:p>
        </w:tc>
        <w:tc>
          <w:tcPr>
            <w:tcW w:w="2939" w:type="dxa"/>
            <w:vAlign w:val="center"/>
            <w:textDirection w:val="lrTb"/>
            <w:noWrap w:val="false"/>
          </w:tcPr>
          <w:p>
            <w:pPr>
              <w:jc w:val="left"/>
              <w:keepLines w:val="0"/>
              <w:keepNext w:val="0"/>
              <w:pageBreakBefore w:val="0"/>
              <w:spacing w:line="240" w:lineRule="atLeast"/>
              <w:widowControl/>
              <w:rPr>
                <w:rFonts w:ascii="宋体" w:hAnsi="宋体" w:cs="宋体"/>
                <w:sz w:val="22"/>
              </w:rPr>
            </w:pPr>
            <w:r>
              <w:rPr>
                <w:rFonts w:hint="eastAsia" w:ascii="宋体" w:hAnsi="宋体" w:cs="宋体"/>
                <w:sz w:val="22"/>
              </w:rPr>
              <w:t xml:space="preserve">如设备发生故障，乙方在接到甲方报修电话后2小时之内响应，24小时内到达甲方现场,48小时内修复或免费提供备用机，否则甲方可自行采取必要的措施，由此产生的风险和费用由乙方承担。如有特殊情况，乙方应立即电话通知甲方不能响应的原因，在获得甲方同意后，才可推迟响应时间。</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6</w:t>
            </w:r>
            <w:r/>
          </w:p>
        </w:tc>
        <w:tc>
          <w:tcPr>
            <w:tcW w:w="1625"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hint="eastAsia" w:ascii="宋体" w:hAnsi="宋体" w:cs="宋体"/>
                <w:sz w:val="22"/>
              </w:rPr>
              <w:t xml:space="preserve">保修期延长</w:t>
            </w:r>
            <w:r/>
          </w:p>
        </w:tc>
        <w:tc>
          <w:tcPr>
            <w:tcW w:w="2939" w:type="dxa"/>
            <w:vAlign w:val="center"/>
            <w:textDirection w:val="lrTb"/>
            <w:noWrap w:val="false"/>
          </w:tcPr>
          <w:p>
            <w:pPr>
              <w:jc w:val="left"/>
              <w:keepLines w:val="0"/>
              <w:keepNext w:val="0"/>
              <w:pageBreakBefore w:val="0"/>
              <w:spacing w:line="240" w:lineRule="atLeast"/>
              <w:widowControl/>
              <w:rPr>
                <w:rFonts w:ascii="宋体" w:hAnsi="宋体" w:cs="宋体"/>
                <w:sz w:val="22"/>
              </w:rPr>
            </w:pPr>
            <w:r>
              <w:rPr>
                <w:rFonts w:hint="eastAsia" w:ascii="宋体" w:hAnsi="宋体" w:cs="宋体"/>
                <w:sz w:val="22"/>
              </w:rPr>
              <w:t xml:space="preserve">确保设备保修期内开机率为95%，如设备故障停机率超过5%（一年按365天计算，每年18天），每超过一天，保修期延长两周。</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sz w:val="22"/>
                <w:lang w:val="en-US" w:eastAsia="zh-CN"/>
              </w:rPr>
            </w:pPr>
            <w:r>
              <w:rPr>
                <w:rFonts w:hint="eastAsia" w:ascii="宋体" w:hAnsi="宋体" w:cs="宋体"/>
                <w:sz w:val="22"/>
                <w:lang w:val="en-US" w:eastAsia="zh-CN"/>
              </w:rPr>
              <w:t xml:space="preserve">7</w:t>
            </w:r>
            <w:r/>
          </w:p>
        </w:tc>
        <w:tc>
          <w:tcPr>
            <w:tcW w:w="1625" w:type="dxa"/>
            <w:vAlign w:val="center"/>
            <w:textDirection w:val="lrTb"/>
            <w:noWrap w:val="false"/>
          </w:tcPr>
          <w:p>
            <w:pPr>
              <w:jc w:val="center"/>
              <w:keepLines w:val="0"/>
              <w:keepNext w:val="0"/>
              <w:pageBreakBefore w:val="0"/>
              <w:spacing w:line="240" w:lineRule="atLeast"/>
              <w:widowControl/>
              <w:rPr>
                <w:rFonts w:hint="eastAsia" w:ascii="宋体" w:hAnsi="宋体" w:cs="宋体"/>
                <w:sz w:val="22"/>
              </w:rPr>
            </w:pPr>
            <w:r>
              <w:rPr>
                <w:rFonts w:hint="eastAsia" w:ascii="宋体" w:hAnsi="宋体" w:cs="宋体"/>
                <w:sz w:val="22"/>
              </w:rPr>
              <w:t xml:space="preserve">医疗器械生产企业许可证、医疗器械注册证</w:t>
            </w:r>
            <w:r/>
          </w:p>
        </w:tc>
        <w:tc>
          <w:tcPr>
            <w:tcW w:w="2939" w:type="dxa"/>
            <w:vAlign w:val="center"/>
            <w:textDirection w:val="lrTb"/>
            <w:noWrap w:val="false"/>
          </w:tcPr>
          <w:p>
            <w:pPr>
              <w:jc w:val="left"/>
              <w:keepLines w:val="0"/>
              <w:keepNext w:val="0"/>
              <w:pageBreakBefore w:val="0"/>
              <w:spacing w:line="240" w:lineRule="atLeast"/>
              <w:widowControl/>
              <w:rPr>
                <w:rFonts w:hint="eastAsia" w:ascii="宋体" w:hAnsi="宋体" w:cs="宋体"/>
                <w:sz w:val="22"/>
              </w:rPr>
            </w:pPr>
            <w:r>
              <w:rPr>
                <w:rFonts w:hint="eastAsia" w:ascii="宋体" w:hAnsi="宋体" w:cs="宋体"/>
                <w:sz w:val="22"/>
                <w:lang w:val="en-US" w:eastAsia="zh-CN"/>
              </w:rPr>
              <w:t xml:space="preserve">投标产品制造商具有有效的</w:t>
            </w:r>
            <w:r>
              <w:rPr>
                <w:rFonts w:hint="eastAsia" w:ascii="宋体" w:hAnsi="宋体" w:cs="宋体"/>
                <w:sz w:val="22"/>
              </w:rPr>
              <w:t xml:space="preserve">《医疗器械生产企业许可证》</w:t>
            </w:r>
            <w:r>
              <w:rPr>
                <w:rFonts w:hint="eastAsia" w:ascii="宋体" w:hAnsi="宋体" w:cs="宋体"/>
                <w:sz w:val="22"/>
                <w:lang w:val="en-US" w:eastAsia="zh-CN"/>
              </w:rPr>
              <w:t xml:space="preserve">及产品</w:t>
            </w:r>
            <w:r>
              <w:rPr>
                <w:rFonts w:hint="eastAsia" w:ascii="宋体" w:hAnsi="宋体" w:cs="宋体"/>
                <w:sz w:val="22"/>
              </w:rPr>
              <w:t xml:space="preserve">《医疗器械注册证》</w:t>
            </w:r>
            <w:r>
              <w:rPr>
                <w:rFonts w:hint="eastAsia" w:ascii="宋体" w:hAnsi="宋体" w:cs="宋体"/>
                <w:sz w:val="22"/>
                <w:lang w:eastAsia="zh-CN"/>
              </w:rPr>
              <w:t xml:space="preserve">。</w:t>
            </w:r>
            <w:r/>
          </w:p>
        </w:tc>
        <w:tc>
          <w:tcPr>
            <w:tcW w:w="2494"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c>
          <w:tcPr>
            <w:tcW w:w="1590" w:type="dxa"/>
            <w:vAlign w:val="center"/>
            <w:textDirection w:val="lrTb"/>
            <w:noWrap w:val="false"/>
          </w:tcPr>
          <w:p>
            <w:pPr>
              <w:jc w:val="center"/>
              <w:keepLines w:val="0"/>
              <w:keepNext w:val="0"/>
              <w:pageBreakBefore w:val="0"/>
              <w:spacing w:line="240" w:lineRule="atLeast"/>
              <w:widowControl/>
              <w:rPr>
                <w:rFonts w:ascii="宋体" w:hAnsi="宋体" w:cs="宋体"/>
                <w:sz w:val="22"/>
              </w:rPr>
            </w:pPr>
            <w:r>
              <w:rPr>
                <w:rFonts w:ascii="宋体" w:hAnsi="宋体" w:cs="宋体"/>
                <w:sz w:val="22"/>
              </w:rPr>
            </w:r>
            <w:r/>
          </w:p>
        </w:tc>
      </w:tr>
    </w:tbl>
    <w:p>
      <w:pPr>
        <w:ind w:left="420"/>
        <w:jc w:val="right"/>
        <w:spacing w:line="480" w:lineRule="auto"/>
        <w:rPr>
          <w:rFonts w:ascii="华文中宋" w:hAnsi="华文中宋" w:eastAsia="华文中宋" w:cs="华文中宋"/>
          <w:sz w:val="24"/>
          <w:szCs w:val="24"/>
        </w:rPr>
      </w:pPr>
      <w:r>
        <w:rPr>
          <w:rFonts w:ascii="华文中宋" w:hAnsi="华文中宋" w:eastAsia="华文中宋" w:cs="华文中宋"/>
          <w:sz w:val="24"/>
          <w:szCs w:val="24"/>
        </w:rPr>
      </w:r>
      <w:r/>
    </w:p>
    <w:p>
      <w:pPr>
        <w:ind w:left="420"/>
        <w:jc w:val="right"/>
        <w:spacing w:line="480" w:lineRule="auto"/>
        <w:rPr>
          <w:rFonts w:ascii="华文中宋" w:hAnsi="华文中宋" w:eastAsia="华文中宋" w:cs="华文中宋"/>
          <w:sz w:val="22"/>
        </w:rPr>
      </w:pPr>
      <w:r>
        <w:rPr>
          <w:rFonts w:hint="eastAsia" w:ascii="华文中宋" w:hAnsi="华文中宋" w:eastAsia="华文中宋" w:cs="华文中宋"/>
          <w:sz w:val="22"/>
        </w:rPr>
        <w:t xml:space="preserve">投标人公章：            （电子签章）</w:t>
      </w:r>
      <w:r/>
    </w:p>
    <w:p>
      <w:pPr>
        <w:ind w:firstLine="480"/>
        <w:jc w:val="right"/>
        <w:spacing w:line="360" w:lineRule="auto"/>
        <w:rPr>
          <w:rFonts w:ascii="华文中宋" w:hAnsi="华文中宋" w:eastAsia="华文中宋" w:cs="华文中宋"/>
          <w:sz w:val="22"/>
        </w:rPr>
      </w:pP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年</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月</w:t>
      </w:r>
      <w:r>
        <w:rPr>
          <w:rFonts w:hint="eastAsia" w:ascii="华文中宋" w:hAnsi="华文中宋" w:eastAsia="华文中宋" w:cs="华文中宋"/>
          <w:sz w:val="22"/>
          <w:u w:val="single"/>
        </w:rPr>
        <w:t xml:space="preserve">   </w:t>
      </w:r>
      <w:r>
        <w:rPr>
          <w:rFonts w:hint="eastAsia" w:ascii="华文中宋" w:hAnsi="华文中宋" w:eastAsia="华文中宋" w:cs="华文中宋"/>
          <w:sz w:val="22"/>
        </w:rPr>
        <w:t xml:space="preserve">日</w:t>
      </w:r>
      <w:r/>
    </w:p>
    <w:p>
      <w:pPr>
        <w:ind w:firstLine="480"/>
        <w:jc w:val="right"/>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黑体" w:hAnsi="黑体" w:eastAsia="黑体"/>
          <w:sz w:val="28"/>
          <w:szCs w:val="28"/>
        </w:rPr>
      </w:pPr>
      <w:r>
        <w:rPr>
          <w:rFonts w:ascii="黑体" w:hAnsi="黑体" w:eastAsia="黑体"/>
          <w:sz w:val="28"/>
          <w:szCs w:val="28"/>
        </w:rPr>
      </w:r>
      <w:r/>
    </w:p>
    <w:p>
      <w:pPr>
        <w:ind w:left="0" w:right="0" w:firstLine="0"/>
        <w:jc w:val="both"/>
        <w:spacing w:line="360" w:lineRule="auto"/>
        <w:rPr>
          <w:rFonts w:hint="eastAsia" w:ascii="黑体" w:hAnsi="黑体" w:eastAsia="黑体"/>
          <w:sz w:val="28"/>
          <w:szCs w:val="36"/>
          <w:lang w:val="en-US" w:eastAsia="zh-CN"/>
        </w:rPr>
      </w:pPr>
      <w:r>
        <w:rPr>
          <w:rFonts w:hint="eastAsia" w:ascii="黑体" w:hAnsi="黑体" w:eastAsia="黑体"/>
          <w:sz w:val="28"/>
          <w:szCs w:val="36"/>
          <w:lang w:val="en-US" w:eastAsia="zh-CN"/>
        </w:rPr>
        <w:t xml:space="preserve">附：</w:t>
      </w:r>
      <w:r/>
    </w:p>
    <w:p>
      <w:pPr>
        <w:ind w:left="0" w:right="0" w:firstLine="0"/>
        <w:jc w:val="center"/>
        <w:spacing w:line="360" w:lineRule="auto"/>
        <w:rPr>
          <w:rFonts w:hint="eastAsia" w:ascii="华文中宋" w:hAnsi="华文中宋" w:eastAsia="华文中宋" w:cs="华文中宋"/>
          <w:sz w:val="24"/>
          <w:szCs w:val="24"/>
        </w:rPr>
      </w:pPr>
      <w:r>
        <w:rPr>
          <w:rFonts w:hint="eastAsia" w:ascii="黑体" w:hAnsi="黑体" w:eastAsia="黑体"/>
          <w:sz w:val="28"/>
          <w:szCs w:val="36"/>
        </w:rPr>
        <w:t xml:space="preserve">《医疗器械生产企业许可证》、《医疗器械注册证》原件扫描件</w:t>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jc w:val="center"/>
        <w:spacing w:line="360" w:lineRule="auto"/>
        <w:rPr>
          <w:rFonts w:ascii="华文中宋" w:hAnsi="华文中宋" w:eastAsia="华文中宋" w:cs="华文中宋"/>
          <w:sz w:val="24"/>
          <w:szCs w:val="24"/>
        </w:rPr>
      </w:pPr>
      <w:r>
        <w:rPr>
          <w:rFonts w:ascii="华文中宋" w:hAnsi="华文中宋" w:eastAsia="华文中宋" w:cs="华文中宋"/>
          <w:sz w:val="24"/>
          <w:szCs w:val="24"/>
        </w:rPr>
      </w:r>
      <w:r/>
    </w:p>
    <w:p>
      <w:pPr>
        <w:spacing w:line="360" w:lineRule="auto"/>
        <w:rPr>
          <w:rFonts w:ascii="华文中宋" w:hAnsi="华文中宋" w:eastAsia="华文中宋" w:cs="华文中宋"/>
          <w:sz w:val="24"/>
          <w:szCs w:val="24"/>
        </w:rPr>
        <w:sectPr>
          <w:footerReference w:type="default" r:id="rId9"/>
          <w:footnotePr/>
          <w:endnotePr/>
          <w:type w:val="nextPage"/>
          <w:pgSz w:w="11906" w:h="16838" w:orient="portrait"/>
          <w:pgMar w:top="1434" w:right="1179" w:bottom="1179" w:left="1570" w:header="851" w:footer="652" w:gutter="0"/>
          <w:pgNumType w:start="1"/>
          <w:cols w:num="1" w:sep="0" w:space="1701" w:equalWidth="1"/>
          <w:docGrid w:linePitch="360"/>
        </w:sectPr>
      </w:pPr>
      <w:r>
        <w:rPr>
          <w:rFonts w:ascii="华文中宋" w:hAnsi="华文中宋" w:eastAsia="华文中宋" w:cs="华文中宋"/>
          <w:sz w:val="24"/>
          <w:szCs w:val="24"/>
        </w:rPr>
      </w:r>
      <w:r/>
    </w:p>
    <w:p>
      <w:pPr>
        <w:jc w:val="center"/>
        <w:spacing w:line="360" w:lineRule="auto"/>
        <w:rPr>
          <w:rFonts w:ascii="黑体" w:hAnsi="黑体" w:eastAsia="黑体"/>
          <w:sz w:val="28"/>
          <w:szCs w:val="36"/>
        </w:rPr>
      </w:pPr>
      <w:r>
        <w:rPr>
          <w:rFonts w:ascii="黑体" w:hAnsi="黑体" w:eastAsia="黑体"/>
          <w:sz w:val="28"/>
          <w:szCs w:val="36"/>
        </w:rPr>
        <w:t xml:space="preserve">技术条款响应表</w:t>
      </w:r>
      <w:r/>
    </w:p>
    <w:tbl>
      <w:tblPr>
        <w:tblStyle w:val="704"/>
        <w:tblW w:w="13828" w:type="dxa"/>
        <w:tblInd w:w="237" w:type="dxa"/>
        <w:tblLayout w:type="fixed"/>
        <w:tblCellMar>
          <w:left w:w="108" w:type="dxa"/>
          <w:top w:w="0" w:type="dxa"/>
          <w:right w:w="108" w:type="dxa"/>
          <w:bottom w:w="0" w:type="dxa"/>
        </w:tblCellMar>
        <w:tblLook w:val="04A0" w:firstRow="1" w:lastRow="0" w:firstColumn="1" w:lastColumn="0" w:noHBand="0" w:noVBand="1"/>
      </w:tblPr>
      <w:tblGrid>
        <w:gridCol w:w="795"/>
        <w:gridCol w:w="2293"/>
        <w:gridCol w:w="4908"/>
        <w:gridCol w:w="4272"/>
        <w:gridCol w:w="1560"/>
      </w:tblGrid>
      <w:tr>
        <w:trPr>
          <w:trHeight w:val="470"/>
        </w:trPr>
        <w:tc>
          <w:tcPr>
            <w:shd w:val="clear" w:color="auto" w:fill="auto"/>
            <w:tcBorders>
              <w:top w:val="single" w:color="000000" w:sz="4" w:space="0"/>
              <w:left w:val="single" w:color="000000" w:sz="4" w:space="0"/>
              <w:right w:val="single" w:color="000000" w:sz="4" w:space="0"/>
            </w:tcBorders>
            <w:tcW w:w="795" w:type="dxa"/>
            <w:vAlign w:val="center"/>
            <w:vMerge w:val="restart"/>
            <w:textDirection w:val="lrTb"/>
            <w:noWrap/>
          </w:tcPr>
          <w:p>
            <w:pPr>
              <w:jc w:val="center"/>
              <w:widowControl/>
              <w:rPr>
                <w:rFonts w:ascii="黑体" w:hAnsi="宋体" w:eastAsia="黑体" w:cs="黑体"/>
                <w:b/>
                <w:bCs/>
                <w:color w:val="000000"/>
                <w:sz w:val="21"/>
                <w:szCs w:val="21"/>
              </w:rPr>
            </w:pPr>
            <w:r>
              <w:rPr>
                <w:rFonts w:hint="eastAsia" w:ascii="黑体" w:hAnsi="宋体" w:eastAsia="黑体" w:cs="黑体"/>
                <w:b/>
                <w:bCs/>
                <w:color w:val="000000"/>
                <w:sz w:val="21"/>
                <w:szCs w:val="21"/>
                <w:lang w:bidi="ar"/>
              </w:rPr>
              <w:t xml:space="preserve">序号</w:t>
            </w:r>
            <w:r/>
          </w:p>
        </w:tc>
        <w:tc>
          <w:tcPr>
            <w:shd w:val="clear" w:color="auto" w:fill="auto"/>
            <w:tcBorders>
              <w:top w:val="single" w:color="000000" w:sz="4" w:space="0"/>
              <w:left w:val="single" w:color="000000" w:sz="4" w:space="0"/>
              <w:right w:val="single" w:color="000000" w:sz="4" w:space="0"/>
            </w:tcBorders>
            <w:tcW w:w="2293" w:type="dxa"/>
            <w:vAlign w:val="center"/>
            <w:vMerge w:val="restart"/>
            <w:textDirection w:val="lrTb"/>
            <w:noWrap/>
          </w:tcPr>
          <w:p>
            <w:pPr>
              <w:jc w:val="center"/>
              <w:widowControl/>
              <w:rPr>
                <w:rFonts w:ascii="黑体" w:hAnsi="宋体" w:eastAsia="黑体" w:cs="黑体"/>
                <w:b/>
                <w:bCs/>
                <w:color w:val="000000"/>
                <w:sz w:val="21"/>
                <w:szCs w:val="21"/>
              </w:rPr>
            </w:pPr>
            <w:r>
              <w:rPr>
                <w:rFonts w:hint="eastAsia" w:ascii="黑体" w:hAnsi="宋体" w:eastAsia="黑体" w:cs="黑体"/>
                <w:b/>
                <w:bCs/>
                <w:color w:val="000000"/>
                <w:sz w:val="21"/>
                <w:szCs w:val="21"/>
                <w:lang w:bidi="ar"/>
              </w:rPr>
              <w:t xml:space="preserve">指标项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0" w:type="dxa"/>
            <w:vAlign w:val="center"/>
            <w:textDirection w:val="lrTb"/>
            <w:noWrap w:val="false"/>
          </w:tcPr>
          <w:p>
            <w:pPr>
              <w:jc w:val="center"/>
              <w:widowControl/>
              <w:rPr>
                <w:rFonts w:hint="eastAsia" w:ascii="黑体" w:hAnsi="宋体" w:eastAsia="黑体" w:cs="黑体"/>
                <w:b/>
                <w:bCs/>
                <w:color w:val="000000"/>
                <w:sz w:val="21"/>
                <w:szCs w:val="21"/>
                <w:lang w:bidi="ar"/>
              </w:rPr>
            </w:pPr>
            <w:r>
              <w:rPr>
                <w:rFonts w:hint="eastAsia" w:ascii="黑体" w:hAnsi="宋体" w:eastAsia="黑体" w:cs="黑体"/>
                <w:b/>
                <w:bCs/>
                <w:color w:val="000000"/>
                <w:sz w:val="21"/>
                <w:szCs w:val="21"/>
                <w:lang w:bidi="ar"/>
              </w:rPr>
              <w:t xml:space="preserve">技术要求及参数</w:t>
            </w:r>
            <w:r/>
          </w:p>
        </w:tc>
        <w:tc>
          <w:tcPr>
            <w:shd w:val="clear" w:color="auto" w:fill="auto"/>
            <w:tcBorders>
              <w:top w:val="single" w:color="000000" w:sz="4" w:space="0"/>
              <w:left w:val="single" w:color="000000" w:sz="4" w:space="0"/>
              <w:right w:val="single" w:color="000000" w:sz="4" w:space="0"/>
            </w:tcBorders>
            <w:tcW w:w="1560" w:type="dxa"/>
            <w:vAlign w:val="center"/>
            <w:vMerge w:val="restart"/>
            <w:textDirection w:val="lrTb"/>
            <w:noWrap w:val="false"/>
          </w:tcPr>
          <w:p>
            <w:pPr>
              <w:jc w:val="center"/>
              <w:widowControl/>
              <w:rPr>
                <w:rFonts w:hint="eastAsia" w:ascii="黑体" w:hAnsi="宋体" w:eastAsia="黑体" w:cs="黑体"/>
                <w:b/>
                <w:bCs/>
                <w:color w:val="000000"/>
                <w:sz w:val="21"/>
                <w:szCs w:val="21"/>
                <w:lang w:val="en-US" w:eastAsia="zh-CN" w:bidi="ar"/>
              </w:rPr>
            </w:pPr>
            <w:r>
              <w:rPr>
                <w:rFonts w:hint="eastAsia" w:ascii="黑体" w:hAnsi="宋体" w:eastAsia="黑体" w:cs="黑体"/>
                <w:b/>
                <w:bCs/>
                <w:color w:val="000000"/>
                <w:sz w:val="21"/>
                <w:szCs w:val="21"/>
                <w:lang w:val="en-US" w:eastAsia="zh-CN" w:bidi="ar"/>
              </w:rPr>
              <w:t xml:space="preserve">偏离情况</w:t>
            </w:r>
            <w:r/>
          </w:p>
          <w:p>
            <w:pPr>
              <w:jc w:val="center"/>
              <w:widowControl/>
              <w:rPr>
                <w:rFonts w:hint="default" w:ascii="黑体" w:hAnsi="宋体" w:eastAsia="黑体" w:cs="黑体"/>
                <w:b/>
                <w:bCs/>
                <w:color w:val="000000"/>
                <w:sz w:val="21"/>
                <w:szCs w:val="21"/>
                <w:lang w:val="en-US" w:eastAsia="zh-CN" w:bidi="ar"/>
              </w:rPr>
            </w:pPr>
            <w:r>
              <w:rPr>
                <w:rFonts w:hint="eastAsia" w:ascii="黑体" w:hAnsi="宋体" w:eastAsia="黑体" w:cs="黑体"/>
                <w:b/>
                <w:bCs/>
                <w:color w:val="000000"/>
                <w:sz w:val="21"/>
                <w:szCs w:val="21"/>
                <w:lang w:val="en-US" w:eastAsia="zh-CN" w:bidi="ar"/>
              </w:rPr>
              <w:t xml:space="preserve">（正/无/负）</w:t>
            </w:r>
            <w:r/>
          </w:p>
        </w:tc>
      </w:tr>
      <w:tr>
        <w:trPr>
          <w:trHeight w:val="470"/>
        </w:trPr>
        <w:tc>
          <w:tcPr>
            <w:shd w:val="clear" w:color="auto" w:fill="auto"/>
            <w:tcBorders>
              <w:left w:val="single" w:color="000000" w:sz="4" w:space="0"/>
              <w:bottom w:val="single" w:color="000000" w:sz="4" w:space="0"/>
              <w:right w:val="single" w:color="000000" w:sz="4" w:space="0"/>
            </w:tcBorders>
            <w:tcW w:w="795" w:type="dxa"/>
            <w:vAlign w:val="center"/>
            <w:vMerge w:val="continue"/>
            <w:textDirection w:val="lrTb"/>
            <w:noWrap/>
          </w:tcPr>
          <w:p>
            <w:pPr>
              <w:jc w:val="center"/>
              <w:widowControl/>
              <w:rPr>
                <w:rFonts w:hint="eastAsia" w:ascii="黑体" w:hAnsi="宋体" w:eastAsia="黑体" w:cs="黑体"/>
                <w:color w:val="000000"/>
                <w:sz w:val="21"/>
                <w:szCs w:val="21"/>
                <w:lang w:bidi="ar"/>
              </w:rPr>
            </w:pPr>
            <w:r>
              <w:rPr>
                <w:rFonts w:hint="eastAsia" w:ascii="黑体" w:hAnsi="宋体" w:eastAsia="黑体" w:cs="黑体"/>
                <w:color w:val="000000"/>
                <w:sz w:val="21"/>
                <w:szCs w:val="21"/>
                <w:lang w:bidi="ar"/>
              </w:rPr>
            </w:r>
            <w:r/>
          </w:p>
        </w:tc>
        <w:tc>
          <w:tcPr>
            <w:shd w:val="clear" w:color="auto" w:fill="auto"/>
            <w:tcBorders>
              <w:left w:val="single" w:color="000000" w:sz="4" w:space="0"/>
              <w:bottom w:val="single" w:color="000000" w:sz="4" w:space="0"/>
              <w:right w:val="single" w:color="000000" w:sz="4" w:space="0"/>
            </w:tcBorders>
            <w:tcW w:w="2293" w:type="dxa"/>
            <w:vAlign w:val="center"/>
            <w:vMerge w:val="continue"/>
            <w:textDirection w:val="lrTb"/>
            <w:noWrap/>
          </w:tcPr>
          <w:p>
            <w:pPr>
              <w:jc w:val="center"/>
              <w:widowControl/>
              <w:rPr>
                <w:rFonts w:hint="eastAsia" w:ascii="黑体" w:hAnsi="宋体" w:eastAsia="黑体" w:cs="黑体"/>
                <w:color w:val="000000"/>
                <w:sz w:val="21"/>
                <w:szCs w:val="21"/>
                <w:lang w:bidi="ar"/>
              </w:rPr>
            </w:pPr>
            <w:r>
              <w:rPr>
                <w:rFonts w:hint="eastAsia" w:ascii="黑体" w:hAnsi="宋体" w:eastAsia="黑体" w:cs="黑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center"/>
              <w:widowControl/>
              <w:rPr>
                <w:rFonts w:hint="eastAsia" w:ascii="黑体" w:hAnsi="宋体" w:eastAsia="黑体" w:cs="黑体"/>
                <w:color w:val="000000"/>
                <w:sz w:val="21"/>
                <w:szCs w:val="21"/>
                <w:lang w:val="en-US" w:eastAsia="zh-CN" w:bidi="ar"/>
              </w:rPr>
            </w:pPr>
            <w:r>
              <w:rPr>
                <w:rFonts w:hint="eastAsia" w:ascii="黑体" w:hAnsi="宋体" w:eastAsia="黑体" w:cs="黑体"/>
                <w:color w:val="000000"/>
                <w:sz w:val="21"/>
                <w:szCs w:val="21"/>
                <w:lang w:val="en-US" w:eastAsia="zh-CN" w:bidi="ar"/>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center"/>
              <w:widowControl/>
              <w:rPr>
                <w:rFonts w:hint="default" w:ascii="黑体" w:hAnsi="宋体" w:eastAsia="黑体" w:cs="黑体"/>
                <w:color w:val="000000"/>
                <w:sz w:val="21"/>
                <w:szCs w:val="21"/>
                <w:lang w:val="en-US" w:eastAsia="zh-CN" w:bidi="ar"/>
              </w:rPr>
            </w:pPr>
            <w:r>
              <w:rPr>
                <w:rFonts w:hint="eastAsia" w:ascii="黑体" w:hAnsi="宋体" w:eastAsia="黑体" w:cs="黑体"/>
                <w:color w:val="000000"/>
                <w:sz w:val="21"/>
                <w:szCs w:val="21"/>
                <w:lang w:val="en-US" w:eastAsia="zh-CN" w:bidi="ar"/>
              </w:rPr>
              <w:t xml:space="preserve">投标文件响应</w:t>
            </w:r>
            <w:r/>
          </w:p>
        </w:tc>
        <w:tc>
          <w:tcPr>
            <w:shd w:val="clear" w:color="auto" w:fill="auto"/>
            <w:tcBorders>
              <w:left w:val="single" w:color="000000" w:sz="4" w:space="0"/>
              <w:bottom w:val="single" w:color="000000" w:sz="4" w:space="0"/>
              <w:right w:val="single" w:color="000000" w:sz="4" w:space="0"/>
            </w:tcBorders>
            <w:tcW w:w="1560" w:type="dxa"/>
            <w:vAlign w:val="center"/>
            <w:vMerge w:val="continue"/>
            <w:textDirection w:val="lrTb"/>
            <w:noWrap w:val="false"/>
          </w:tcPr>
          <w:p>
            <w:pPr>
              <w:jc w:val="center"/>
              <w:widowControl/>
              <w:rPr>
                <w:rFonts w:hint="eastAsia" w:ascii="黑体" w:hAnsi="宋体" w:eastAsia="黑体" w:cs="黑体"/>
                <w:color w:val="000000"/>
                <w:sz w:val="21"/>
                <w:szCs w:val="21"/>
                <w:lang w:bidi="ar"/>
              </w:rPr>
            </w:pPr>
            <w:r>
              <w:rPr>
                <w:rFonts w:hint="eastAsia" w:ascii="黑体" w:hAnsi="宋体" w:eastAsia="黑体" w:cs="黑体"/>
                <w:color w:val="000000"/>
                <w:sz w:val="21"/>
                <w:szCs w:val="21"/>
                <w:lang w:bidi="ar"/>
              </w:rPr>
            </w:r>
            <w:r/>
          </w:p>
        </w:tc>
      </w:tr>
      <w:tr>
        <w:trPr>
          <w:trHeight w:val="551"/>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等线" w:hAnsi="等线" w:eastAsia="等线" w:cs="等线"/>
                <w:b/>
                <w:bCs/>
                <w:color w:val="000000"/>
                <w:sz w:val="21"/>
                <w:szCs w:val="21"/>
                <w:lang w:bidi="ar"/>
              </w:rPr>
            </w:pPr>
            <w:r>
              <w:rPr>
                <w:rFonts w:hint="eastAsia" w:ascii="等线" w:hAnsi="等线" w:eastAsia="等线" w:cs="等线"/>
                <w:b/>
                <w:bCs/>
                <w:color w:val="000000"/>
                <w:sz w:val="21"/>
                <w:szCs w:val="21"/>
                <w:lang w:bidi="ar"/>
              </w:rPr>
              <w:t xml:space="preserve">一、整机硬件与操作平台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主机配备高分辨率医用显示器≥21 英寸，操作面板搭载液晶触控屏≥12 英寸，全参数支持触控调节。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探头接口</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整机通用成像探头物理接口≥4 个，全部接口激活互通、支持探头热插拔互换，接口配备背景灯光便于暗光检查环境使用。</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增益调节</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时间增益补偿 TGC≥8 段，侧向增益补偿 LGC≥8 段，触控面板设置独立 LGC 调节按键，二维 B 超、M 型成像增益可独立分开调节。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存储硬件</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主机内置硬盘≥500G，支持 DVD、USB 双通道图像存储；动态电影回放缓存单元≥2200 帧。</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智能扫查流程</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配备扫查专家标准化检查流程，支持自动检查记录、成像模式一键切换、病灶自动标注、体表定位标记，提升临床检查效率。</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系统适配</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整机搭载最新官方软件版本，所有配套探头对应功能模块完整配套，主机全部软件功能模块完整开放，支持中英文操作系统。</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03"/>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等线" w:hAnsi="等线" w:eastAsia="等线" w:cs="等线"/>
                <w:b/>
                <w:bCs/>
                <w:color w:val="000000"/>
                <w:sz w:val="21"/>
                <w:szCs w:val="21"/>
                <w:lang w:bidi="ar"/>
              </w:rPr>
            </w:pPr>
            <w:r>
              <w:rPr>
                <w:rFonts w:hint="eastAsia" w:ascii="等线" w:hAnsi="等线" w:eastAsia="等线" w:cs="等线"/>
                <w:b/>
                <w:bCs/>
                <w:color w:val="000000"/>
                <w:sz w:val="21"/>
                <w:szCs w:val="21"/>
                <w:lang w:bidi="ar"/>
              </w:rPr>
              <w:t xml:space="preserve">二、主机成像基础性能</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成像硬件平台</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采用全新多声束并行处理成像平台，搭载连续动态聚焦、并行接收波束同步处理技术。</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动态范围</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整机系统成像动态范围≥330dB，提升深浅层组织对比度分辨能力。</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数字成像通道</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整机数字处理通道总数≥470 万，保障图像细节解析力。</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单帧扫描线</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超声图像单帧扫描线数量≥320 线。</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全屏高清放大</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设备具备全屏无损高清放大功能，放大后图像有效显示区域≥21 英寸，画面比例 16:9，图像分辨率不低于 1080P（1920×1080）。</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空间复合成像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波束偏转线数≥9 线。</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斑点噪声抑制优化</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内置实时图像降噪优化技术，自动消除斑点噪声伪像、强化组织边界显示，参数多级可调，全探头通用，可与其他图像优化技术叠加同步启用。</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一键智能图像优化</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搭载自适应图像优化算法，一键自动匹配增益、动态范围、成像深度等参数，输出最优成像画质。</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1104"/>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基础成像单元</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完整搭载数字化二维灰阶成像、灰阶 M 型、彩色 M 型成像单元；PW、CW、HPRF 全类型频谱多普勒分析单元；组织多普勒 TDI 成像单元，支持彩色、谐波、PW、M 型多模式联合切换。</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智能聚焦技术</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不同成像模式切换后，聚焦区域自动保留原有设置深度，无需重复调节。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27"/>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等线" w:hAnsi="等线" w:eastAsia="等线" w:cs="等线"/>
                <w:b/>
                <w:bCs/>
                <w:color w:val="000000"/>
                <w:sz w:val="21"/>
                <w:szCs w:val="21"/>
                <w:lang w:bidi="ar"/>
              </w:rPr>
            </w:pPr>
            <w:r>
              <w:rPr>
                <w:rFonts w:hint="eastAsia" w:ascii="等线" w:hAnsi="等线" w:eastAsia="等线" w:cs="等线"/>
                <w:b/>
                <w:bCs/>
                <w:color w:val="000000"/>
                <w:sz w:val="21"/>
                <w:szCs w:val="21"/>
                <w:lang w:bidi="ar"/>
              </w:rPr>
              <w:t xml:space="preserve">三、探头系统及扫描参数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探头数量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单晶体或纯净波或冰晶体≥4 支。</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整机频率覆盖</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设备适配超宽频带成像探头体系，整机支持探头频率区间 1MHz-18MHz，系统最高成像频率≥18MHz。</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探头工作频率</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（1）腹部凸阵探头工作频率：1.0-5.0MHz</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left w:val="single" w:color="000000" w:sz="4" w:space="0"/>
              <w:right w:val="single" w:color="000000" w:sz="4" w:space="0"/>
            </w:tcBorders>
            <w:tcW w:w="795" w:type="dxa"/>
            <w:vAlign w:val="center"/>
            <w:vMerge w:val="continue"/>
            <w:textDirection w:val="lrTb"/>
            <w:noWrap/>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shd w:val="clear" w:color="auto" w:fill="auto"/>
            <w:tcBorders>
              <w:left w:val="single" w:color="000000" w:sz="4" w:space="0"/>
              <w:right w:val="single" w:color="000000" w:sz="4" w:space="0"/>
            </w:tcBorders>
            <w:tcW w:w="2293" w:type="dxa"/>
            <w:vAlign w:val="center"/>
            <w:vMerge w:val="continue"/>
            <w:textDirection w:val="lrTb"/>
            <w:noWrap/>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lang w:bidi="ar"/>
              </w:rPr>
            </w:pPr>
            <w:r>
              <w:rPr>
                <w:rFonts w:hint="eastAsia" w:ascii="等线" w:hAnsi="等线" w:eastAsia="等线" w:cs="等线"/>
                <w:color w:val="000000"/>
                <w:sz w:val="21"/>
                <w:szCs w:val="21"/>
                <w:lang w:bidi="ar"/>
              </w:rPr>
              <w:t xml:space="preserve">★（2）凸阵探头最大扫描深度≥50cm</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（3）高频线阵探头工作频率：4.0-18.0MHz</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（4）心脏相控阵探头：工作频率：1.0-5.0MHz</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（5）腔内凸阵探头：工作频率：3.0-10.0MHz</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多普勒测量参数</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最低血流测量速度≤0.25mm/s（仅识别真实血流信号，过滤设备噪声干扰，可提供官方附图证明）；多普勒取样门宽度 0.5mm 至 20mm 多级连续可调。</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491"/>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等线" w:hAnsi="等线" w:eastAsia="等线" w:cs="等线"/>
                <w:b/>
                <w:bCs/>
                <w:color w:val="000000"/>
                <w:sz w:val="21"/>
                <w:szCs w:val="21"/>
                <w:lang w:bidi="ar"/>
              </w:rPr>
            </w:pPr>
            <w:r>
              <w:rPr>
                <w:rFonts w:hint="eastAsia" w:ascii="等线" w:hAnsi="等线" w:eastAsia="等线" w:cs="等线"/>
                <w:b/>
                <w:bCs/>
                <w:color w:val="000000"/>
                <w:sz w:val="21"/>
                <w:szCs w:val="21"/>
                <w:lang w:bidi="ar"/>
              </w:rPr>
              <w:t xml:space="preserve">四、常规临床诊断智能功能</w:t>
            </w:r>
            <w:r/>
          </w:p>
        </w:tc>
      </w:tr>
      <w:tr>
        <w:trPr>
          <w:trHeight w:val="460"/>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（一）专科专项成像预设</w:t>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乳腺专项扫查预设</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搭载声速匹配校正成像技术，可自动区分脂肪型、腺体型乳腺组织并校正成像声速，强化乳腺微小病灶与边界显示，设置两组模式快捷切换按键。</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脑卒中颈动脉自动评估</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设备可自动记录颈总动脉、颈内动脉近、中、远端血流速度，自动测算血流峰值流速，自动计算颈内 / 颈总动脉峰值流速比值，用于脑血管疾病筛查诊断。</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30"/>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（二）心脏智能定量分析</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自动心肌运动定量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主机端可独立完成心脏长轴、短轴切面图像分析，无需依赖 ECG 心电信号，可分层识别心肌内、中、外三层运动信息。</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全自动左室应变定量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设备自动识别、追踪心脏标准切面，数秒内输出 LV GLS 整体纵向应变、节段应变、应变率、达峰时间、左心室长径等全套定量参数；支持带 ECG、无 ECG 两类图像离线分析。</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经食道成像拓展</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主机硬件原生支持经食道 TEE 探头成像功能。</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矩阵成像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设备支持矩阵成像技术，满足心脏立体评估需求。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组织多普勒定量TDI</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具备实时组织多普勒定量技术，支持≥3 种 TDI 成像模式，可对室壁运动速度、应变等参数完成定量测算。</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458"/>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（三）全科室一体化自动测量包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通用基础测量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距离、面积、周长测算。</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妇科、产科测量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全套产科径线、NT 筛查、单 / 双胎孕龄评估、胎儿生长曲线、羊水指数测算，妇科包块定量。</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外周血管测量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血管内中膜自动测量，可自动识别血管前后壁 IMT 厚度；多普勒频谱自动包络计算。</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专项自动测量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心脏、泌尿科、小儿髋关节专项自动测量模板。</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智能多普勒血管优化算法</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提升低速微小血管血流检出灵敏度。</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611"/>
        </w:trPr>
        <w:tc>
          <w:tcPr>
            <w:gridSpan w:val="5"/>
            <w:shd w:val="clear" w:color="auto" w:fill="auto"/>
            <w:tcBorders>
              <w:top w:val="single" w:color="000000" w:sz="4" w:space="0"/>
              <w:left w:val="single" w:color="000000" w:sz="4" w:space="0"/>
              <w:bottom w:val="single" w:color="000000" w:sz="4" w:space="0"/>
              <w:right w:val="single" w:color="000000" w:sz="4" w:space="0"/>
            </w:tcBorders>
            <w:tcW w:w="13828" w:type="dxa"/>
            <w:vAlign w:val="center"/>
            <w:textDirection w:val="lrTb"/>
            <w:noWrap/>
          </w:tcPr>
          <w:p>
            <w:pPr>
              <w:jc w:val="center"/>
              <w:widowControl/>
              <w:rPr>
                <w:rFonts w:hint="eastAsia" w:ascii="等线" w:hAnsi="等线" w:eastAsia="等线" w:cs="等线"/>
                <w:b/>
                <w:bCs/>
                <w:color w:val="000000"/>
                <w:sz w:val="21"/>
                <w:szCs w:val="21"/>
                <w:lang w:bidi="ar"/>
              </w:rPr>
            </w:pPr>
            <w:r>
              <w:rPr>
                <w:rFonts w:hint="eastAsia" w:ascii="等线" w:hAnsi="等线" w:eastAsia="等线" w:cs="等线"/>
                <w:b/>
                <w:bCs/>
                <w:color w:val="000000"/>
                <w:sz w:val="21"/>
                <w:szCs w:val="21"/>
                <w:lang w:bidi="ar"/>
              </w:rPr>
              <w:t xml:space="preserve">五、高端拓展成像技术</w:t>
            </w:r>
            <w:r/>
          </w:p>
        </w:tc>
      </w:tr>
      <w:tr>
        <w:trPr>
          <w:trHeight w:val="1104"/>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超微细血流成像</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搭载超微细低速血流成像技术，可捕捉组织超低速、极微弱微细血流信号；配备独立成像模式、增强模式、2D 对照模式，提供≥8 种血流色彩映射图；支持血流速度定量测量，已存储静态图像可二次启用增强模式分析。</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超声造影成像模块</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（1）所提供探头支持造影成像。</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（2）定量分析工具：主机内置造影时间 - 强度曲线自动定量分析系统，配备双独立造影计时器；</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（3）实时微血管造影成像；</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（4）运动补偿追踪：造影定量组织运动追踪技术，实时追踪目标组织，消除患者呼吸、身体位移带来的数据误差，保障定量结果精准；</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一体化弹性成像技术</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（1）主机内置实时弹性定量分析系统，支持病灶直径、面积对比、动态应变分析、弹性参数成像；</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（2） 囊实性病灶智能鉴别算法；支持浅表、腔内探头弹性扫查；</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（3）无加压软组织弹性成像，提供灰阶、反转、彩色多普勒多种显像模式；</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（4） 肝脏剪切波定量技术：可结合二维图像检测目标区域组织弹性硬度，取样框 ROI 尺寸自由调节。</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restart"/>
            <w:textDirection w:val="lrTb"/>
            <w:noWrap/>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其他介入与多影像辅助功能</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（1）穿刺针增强显影技术，提升介入穿刺手术中穿刺针可视度；</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（2）斑点噪音抑制技术，全探头通用，优化组织边界、减少成像伪影；</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vMerge w:val="continue"/>
            <w:textDirection w:val="lrTb"/>
            <w:noWrap/>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widowControl/>
              <w:rPr>
                <w:rFonts w:ascii="等线" w:hAnsi="等线" w:eastAsia="等线" w:cs="等线"/>
                <w:color w:val="000000"/>
                <w:sz w:val="21"/>
                <w:szCs w:val="21"/>
              </w:rPr>
            </w:pPr>
            <w:r>
              <w:rPr>
                <w:rFonts w:hint="eastAsia" w:ascii="等线" w:hAnsi="等线" w:eastAsia="等线" w:cs="等线"/>
                <w:color w:val="000000"/>
                <w:sz w:val="21"/>
                <w:szCs w:val="21"/>
                <w:lang w:bidi="ar"/>
              </w:rPr>
              <w:t xml:space="preserve">（3）支持主机本地直接读取浏览 CT、MR 影像数据，无需融合导航即可实现多影像同步对比。</w:t>
            </w:r>
            <w:r/>
          </w:p>
        </w:tc>
        <w:tc>
          <w:tcPr>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widowControl/>
              <w:rPr>
                <w:rFonts w:hint="eastAsia" w:ascii="等线" w:hAnsi="等线" w:eastAsia="等线" w:cs="等线"/>
                <w:color w:val="000000"/>
                <w:sz w:val="21"/>
                <w:szCs w:val="21"/>
                <w:lang w:bidi="ar"/>
              </w:rPr>
            </w:pPr>
            <w:r>
              <w:rPr>
                <w:rFonts w:hint="eastAsia" w:ascii="等线" w:hAnsi="等线" w:eastAsia="等线" w:cs="等线"/>
                <w:color w:val="000000"/>
                <w:sz w:val="21"/>
                <w:szCs w:val="21"/>
                <w:lang w:bidi="ar"/>
              </w:rPr>
            </w:r>
            <w:r/>
          </w:p>
        </w:tc>
      </w:tr>
    </w:tbl>
    <w:p>
      <w:pPr>
        <w:pStyle w:val="1117"/>
        <w:rPr>
          <w:rFonts w:cs="宋体"/>
          <w:sz w:val="24"/>
          <w:szCs w:val="24"/>
        </w:rPr>
      </w:pPr>
      <w:r>
        <w:rPr>
          <w:rFonts w:cs="宋体"/>
          <w:sz w:val="24"/>
          <w:szCs w:val="24"/>
        </w:rPr>
      </w:r>
      <w:r/>
    </w:p>
    <w:p>
      <w:pPr>
        <w:pStyle w:val="1117"/>
        <w:rPr>
          <w:rFonts w:cs="宋体"/>
          <w:sz w:val="22"/>
          <w:szCs w:val="22"/>
        </w:rPr>
      </w:pPr>
      <w:r>
        <w:rPr>
          <w:rFonts w:hint="eastAsia" w:cs="宋体"/>
          <w:sz w:val="22"/>
          <w:szCs w:val="22"/>
        </w:rPr>
        <w:t xml:space="preserve">注：</w:t>
      </w:r>
      <w:r/>
    </w:p>
    <w:p>
      <w:pPr>
        <w:pStyle w:val="1117"/>
        <w:ind w:firstLine="440"/>
        <w:rPr>
          <w:rFonts w:cs="宋体"/>
          <w:sz w:val="22"/>
          <w:szCs w:val="22"/>
        </w:rPr>
      </w:pPr>
      <w:r>
        <w:rPr>
          <w:rFonts w:hint="eastAsia" w:cs="宋体"/>
          <w:sz w:val="22"/>
          <w:szCs w:val="22"/>
        </w:rPr>
        <w:t xml:space="preserve">1.以上表格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p>
    <w:p>
      <w:pPr>
        <w:pStyle w:val="1117"/>
        <w:ind w:firstLine="440"/>
        <w:rPr>
          <w:rFonts w:cs="宋体"/>
          <w:b w:val="0"/>
          <w:bCs/>
          <w:sz w:val="22"/>
          <w:szCs w:val="22"/>
        </w:rPr>
      </w:pPr>
      <w:r>
        <w:rPr>
          <w:rFonts w:hint="eastAsia" w:cs="宋体"/>
          <w:sz w:val="22"/>
          <w:szCs w:val="22"/>
        </w:rPr>
        <w:t xml:space="preserve">2.技术支撑材料若为外文的，需提供中文译文，并以中文译文为准。</w:t>
      </w:r>
      <w:r/>
    </w:p>
    <w:p>
      <w:pPr>
        <w:pStyle w:val="706"/>
        <w:ind w:left="0"/>
      </w:pPr>
      <w:r/>
      <w:r/>
    </w:p>
    <w:p>
      <w:pPr>
        <w:jc w:val="left"/>
        <w:rPr>
          <w:b/>
          <w:bCs/>
          <w:sz w:val="22"/>
          <w:szCs w:val="24"/>
        </w:rPr>
      </w:pPr>
      <w:r>
        <w:rPr>
          <w:b/>
          <w:bCs/>
          <w:sz w:val="22"/>
          <w:szCs w:val="24"/>
        </w:rPr>
      </w:r>
      <w:r/>
    </w:p>
    <w:p>
      <w:pPr>
        <w:jc w:val="left"/>
        <w:rPr>
          <w:b/>
          <w:bCs/>
          <w:sz w:val="22"/>
          <w:szCs w:val="24"/>
        </w:rPr>
      </w:pPr>
      <w:r>
        <w:rPr>
          <w:b/>
          <w:bCs/>
          <w:sz w:val="22"/>
          <w:szCs w:val="24"/>
        </w:rPr>
      </w:r>
      <w:r/>
    </w:p>
    <w:p>
      <w:pPr>
        <w:jc w:val="left"/>
        <w:rPr>
          <w:b/>
          <w:bCs/>
          <w:sz w:val="22"/>
          <w:szCs w:val="24"/>
        </w:rPr>
      </w:pPr>
      <w:r>
        <w:rPr>
          <w:b/>
          <w:bCs/>
          <w:sz w:val="22"/>
          <w:szCs w:val="24"/>
        </w:rPr>
      </w:r>
      <w:r/>
    </w:p>
    <w:p>
      <w:pPr>
        <w:jc w:val="right"/>
        <w:rPr>
          <w:b/>
          <w:bCs/>
          <w:sz w:val="22"/>
          <w:szCs w:val="24"/>
        </w:rPr>
      </w:pPr>
      <w:r>
        <w:rPr>
          <w:b/>
          <w:bCs/>
          <w:sz w:val="22"/>
          <w:szCs w:val="24"/>
        </w:rPr>
      </w:r>
      <w:r/>
    </w:p>
    <w:p>
      <w:pPr>
        <w:jc w:val="right"/>
        <w:rPr>
          <w:b/>
          <w:bCs/>
          <w:sz w:val="22"/>
          <w:szCs w:val="24"/>
        </w:rPr>
      </w:pPr>
      <w:r>
        <w:rPr>
          <w:rFonts w:hint="eastAsia"/>
          <w:b/>
          <w:bCs/>
          <w:sz w:val="22"/>
          <w:szCs w:val="24"/>
        </w:rPr>
        <w:t xml:space="preserve">投标人公章：            （电子签章）</w:t>
      </w:r>
      <w:r/>
    </w:p>
    <w:p>
      <w:pPr>
        <w:jc w:val="right"/>
        <w:rPr>
          <w:b/>
          <w:bCs/>
          <w:sz w:val="22"/>
          <w:szCs w:val="24"/>
        </w:rPr>
      </w:pPr>
      <w:r>
        <w:rPr>
          <w:b/>
          <w:bCs/>
          <w:sz w:val="22"/>
          <w:szCs w:val="24"/>
        </w:rPr>
      </w:r>
      <w:r/>
    </w:p>
    <w:p>
      <w:pPr>
        <w:jc w:val="right"/>
        <w:rPr>
          <w:b/>
          <w:bCs/>
          <w:sz w:val="22"/>
          <w:szCs w:val="24"/>
        </w:rPr>
      </w:pPr>
      <w:r>
        <w:rPr>
          <w:rFonts w:hint="eastAsia"/>
          <w:b/>
          <w:bCs/>
          <w:sz w:val="22"/>
          <w:szCs w:val="24"/>
        </w:rPr>
        <w:t xml:space="preserve">      </w:t>
      </w:r>
      <w:r/>
    </w:p>
    <w:p>
      <w:pPr>
        <w:jc w:val="right"/>
        <w:rPr>
          <w:b/>
          <w:bCs/>
          <w:sz w:val="22"/>
          <w:szCs w:val="24"/>
        </w:rPr>
        <w:sectPr>
          <w:footnotePr/>
          <w:endnotePr/>
          <w:type w:val="nextPage"/>
          <w:pgSz w:w="16838" w:h="11906" w:orient="landscape"/>
          <w:pgMar w:top="1633" w:right="1440" w:bottom="1463" w:left="1440" w:header="851" w:footer="992" w:gutter="0"/>
          <w:cols w:num="1" w:sep="0" w:space="0" w:equalWidth="1"/>
          <w:docGrid w:linePitch="360"/>
        </w:sectPr>
      </w:pPr>
      <w:r>
        <w:rPr>
          <w:rFonts w:hint="eastAsia"/>
          <w:b/>
          <w:bCs/>
          <w:sz w:val="22"/>
          <w:szCs w:val="24"/>
        </w:rPr>
        <w:t xml:space="preserve">   年   月   日</w:t>
      </w:r>
      <w:r/>
    </w:p>
    <w:p>
      <w:pPr>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类似业绩一览表</w:t>
      </w:r>
      <w:r/>
    </w:p>
    <w:tbl>
      <w:tblPr>
        <w:tblStyle w:val="704"/>
        <w:tblW w:w="89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8"/>
        <w:gridCol w:w="2203"/>
        <w:gridCol w:w="1880"/>
        <w:gridCol w:w="2432"/>
      </w:tblGrid>
      <w:tr>
        <w:trPr>
          <w:cantSplit/>
          <w:trHeight w:val="501"/>
        </w:trPr>
        <w:tc>
          <w:tcPr>
            <w:tcW w:w="2468"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合同名称</w:t>
            </w:r>
            <w:r/>
          </w:p>
        </w:tc>
        <w:tc>
          <w:tcPr>
            <w:tcW w:w="2203"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采购</w:t>
            </w:r>
            <w:r>
              <w:rPr>
                <w:rFonts w:hint="eastAsia" w:ascii="宋体" w:hAnsi="宋体" w:cs="宋体"/>
                <w:b/>
                <w:bCs/>
                <w:sz w:val="22"/>
                <w:szCs w:val="24"/>
              </w:rPr>
              <w:t xml:space="preserve">单位</w:t>
            </w:r>
            <w:r/>
          </w:p>
        </w:tc>
        <w:tc>
          <w:tcPr>
            <w:tcW w:w="1880"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产品</w:t>
            </w:r>
            <w:r>
              <w:rPr>
                <w:rFonts w:hint="eastAsia" w:ascii="宋体" w:hAnsi="宋体" w:cs="宋体"/>
                <w:b/>
                <w:bCs/>
                <w:sz w:val="22"/>
                <w:szCs w:val="24"/>
              </w:rPr>
              <w:t xml:space="preserve">规格型号</w:t>
            </w:r>
            <w:r>
              <w:rPr>
                <w:rFonts w:hint="eastAsia"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hint="eastAsia" w:ascii="宋体" w:hAnsi="宋体" w:cs="宋体"/>
                <w:b/>
                <w:bCs/>
                <w:sz w:val="22"/>
                <w:szCs w:val="24"/>
              </w:rPr>
              <w:t xml:space="preserve">合同签订时间</w:t>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cantSplit/>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r>
        <w:trPr>
          <w:trHeight w:val="501"/>
        </w:trPr>
        <w:tc>
          <w:tcPr>
            <w:tcW w:w="2468"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203"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1880"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c>
          <w:tcPr>
            <w:tcW w:w="2432" w:type="dxa"/>
            <w:vAlign w:val="center"/>
            <w:textDirection w:val="lrTb"/>
            <w:noWrap w:val="false"/>
          </w:tcPr>
          <w:p>
            <w:pPr>
              <w:jc w:val="center"/>
              <w:rPr>
                <w:rFonts w:ascii="宋体" w:hAnsi="宋体" w:cs="宋体"/>
                <w:b/>
                <w:bCs/>
                <w:sz w:val="22"/>
                <w:szCs w:val="24"/>
              </w:rPr>
            </w:pPr>
            <w:r>
              <w:rPr>
                <w:rFonts w:ascii="宋体" w:hAnsi="宋体" w:cs="宋体"/>
                <w:b/>
                <w:bCs/>
                <w:sz w:val="22"/>
                <w:szCs w:val="24"/>
              </w:rPr>
            </w:r>
            <w:r/>
          </w:p>
        </w:tc>
      </w:tr>
    </w:tbl>
    <w:p>
      <w:pPr>
        <w:spacing w:line="360" w:lineRule="auto"/>
        <w:rPr>
          <w:rFonts w:ascii="宋体" w:hAnsi="宋体" w:cs="宋体"/>
          <w:sz w:val="24"/>
          <w:szCs w:val="24"/>
        </w:rPr>
      </w:pPr>
      <w:r>
        <w:rPr>
          <w:rFonts w:hint="eastAsia" w:ascii="宋体" w:hAnsi="宋体" w:cs="宋体"/>
          <w:b/>
          <w:bCs/>
          <w:sz w:val="22"/>
        </w:rPr>
        <w:t xml:space="preserve">注：本表后附合同关键页原件扫描件。</w:t>
      </w:r>
      <w:r/>
    </w:p>
    <w:p>
      <w:pPr>
        <w:pStyle w:val="1121"/>
        <w:rPr>
          <w:rFonts w:hAnsi="宋体" w:cs="宋体"/>
          <w:sz w:val="28"/>
          <w:szCs w:val="28"/>
        </w:rPr>
      </w:pPr>
      <w:r>
        <w:rPr>
          <w:rFonts w:hAnsi="宋体" w:cs="宋体"/>
          <w:sz w:val="28"/>
          <w:szCs w:val="28"/>
        </w:rPr>
      </w:r>
      <w:r/>
    </w:p>
    <w:p>
      <w:pPr>
        <w:pStyle w:val="1121"/>
        <w:rPr>
          <w:rFonts w:hAnsi="宋体" w:cs="宋体"/>
          <w:sz w:val="28"/>
          <w:szCs w:val="28"/>
        </w:rPr>
      </w:pPr>
      <w:r>
        <w:rPr>
          <w:rFonts w:hAnsi="宋体" w:cs="宋体"/>
          <w:sz w:val="28"/>
          <w:szCs w:val="28"/>
        </w:rPr>
      </w:r>
      <w:r/>
    </w:p>
    <w:p>
      <w:pPr>
        <w:pStyle w:val="1121"/>
        <w:rPr>
          <w:rFonts w:hAnsi="宋体" w:cs="宋体"/>
          <w:sz w:val="28"/>
          <w:szCs w:val="28"/>
        </w:rPr>
      </w:pPr>
      <w:r>
        <w:rPr>
          <w:rFonts w:hAnsi="宋体" w:cs="宋体"/>
          <w:sz w:val="28"/>
          <w:szCs w:val="28"/>
        </w:rPr>
      </w:r>
      <w:r/>
    </w:p>
    <w:p>
      <w:pPr>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p>
    <w:p>
      <w:pPr>
        <w:ind w:firstLine="480"/>
        <w:jc w:val="right"/>
        <w:spacing w:line="360" w:lineRule="auto"/>
        <w:rPr>
          <w:rFonts w:ascii="宋体" w:hAnsi="宋体" w:cs="宋体"/>
          <w:sz w:val="24"/>
          <w:szCs w:val="24"/>
          <w:u w:val="single"/>
        </w:rPr>
      </w:pPr>
      <w:r>
        <w:rPr>
          <w:rFonts w:ascii="宋体" w:hAnsi="宋体" w:cs="宋体"/>
          <w:sz w:val="24"/>
          <w:szCs w:val="24"/>
          <w:u w:val="single"/>
        </w:rPr>
      </w:r>
      <w:r/>
    </w:p>
    <w:p>
      <w:pPr>
        <w:pStyle w:val="1121"/>
        <w:jc w:val="right"/>
        <w:rPr>
          <w:rFonts w:ascii="黑体" w:hAnsi="黑体" w:eastAsia="黑体"/>
          <w:sz w:val="28"/>
          <w:szCs w:val="28"/>
        </w:rPr>
      </w:pP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pStyle w:val="1121"/>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cs="Segoe UI"/>
          <w:sz w:val="28"/>
          <w:szCs w:val="18"/>
        </w:rPr>
      </w:pPr>
      <w:r>
        <w:rPr>
          <w:rFonts w:hint="eastAsia" w:ascii="黑体" w:hAnsi="黑体" w:eastAsia="黑体" w:cs="Segoe UI"/>
          <w:sz w:val="28"/>
          <w:szCs w:val="18"/>
        </w:rPr>
        <w:t xml:space="preserve">企业报价折扣证明</w:t>
      </w:r>
      <w:r/>
    </w:p>
    <w:p>
      <w:pPr>
        <w:pStyle w:val="954"/>
        <w:jc w:val="center"/>
        <w:rPr>
          <w:rFonts w:ascii="宋体" w:hAnsi="宋体" w:cs="宋体"/>
          <w:b/>
          <w:bCs/>
          <w:sz w:val="28"/>
          <w:szCs w:val="28"/>
        </w:rPr>
      </w:pPr>
      <w:r>
        <w:rPr>
          <w:rFonts w:hint="eastAsia" w:ascii="宋体" w:hAnsi="宋体" w:cs="宋体"/>
          <w:b/>
          <w:bCs/>
          <w:sz w:val="28"/>
          <w:szCs w:val="28"/>
        </w:rPr>
        <w:t xml:space="preserve">（一）中小企业声明函</w:t>
      </w:r>
      <w:r/>
    </w:p>
    <w:p>
      <w:pPr>
        <w:ind w:firstLine="440"/>
        <w:spacing w:line="540" w:lineRule="exact"/>
        <w:rPr>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本公司郑重声明，根据《政府采购促进中小企业发展管理办法》（财库﹝</w:t>
      </w:r>
      <w:r>
        <w:rPr>
          <w:rFonts w:eastAsia="Times New Roman"/>
          <w:color w:val="000000"/>
          <w:sz w:val="22"/>
        </w:rPr>
        <w:t xml:space="preserve">2020</w:t>
      </w:r>
      <w:r>
        <w:rPr>
          <w:rFonts w:ascii="宋体" w:hAnsi="宋体" w:cs="宋体"/>
          <w:color w:val="000000"/>
          <w:sz w:val="22"/>
        </w:rPr>
        <w:t xml:space="preserve">﹞</w:t>
      </w:r>
      <w:r>
        <w:rPr>
          <w:rFonts w:eastAsia="Times New Roman"/>
          <w:color w:val="000000"/>
          <w:sz w:val="22"/>
        </w:rPr>
        <w:t xml:space="preserve">46</w:t>
      </w:r>
      <w:r>
        <w:rPr>
          <w:rFonts w:ascii="宋体" w:hAnsi="宋体" w:cs="宋体"/>
          <w:color w:val="000000"/>
          <w:sz w:val="22"/>
        </w:rPr>
        <w:t xml:space="preserve">号）的规定，本公司参加</w:t>
      </w:r>
      <w:r>
        <w:rPr>
          <w:rFonts w:ascii="宋体" w:hAnsi="宋体" w:cs="宋体"/>
          <w:b/>
          <w:iCs/>
          <w:color w:val="000000"/>
          <w:sz w:val="22"/>
          <w:u w:val="single"/>
        </w:rPr>
        <w:t xml:space="preserve"> （采购人名称）</w:t>
      </w:r>
      <w:r>
        <w:rPr>
          <w:rFonts w:ascii="宋体" w:hAnsi="宋体" w:cs="宋体"/>
          <w:iCs/>
          <w:color w:val="000000"/>
          <w:sz w:val="22"/>
        </w:rPr>
        <w:t xml:space="preserve">的</w:t>
      </w:r>
      <w:r>
        <w:rPr>
          <w:rFonts w:ascii="宋体" w:hAnsi="宋体" w:cs="宋体"/>
          <w:b/>
          <w:iCs/>
          <w:color w:val="000000"/>
          <w:sz w:val="22"/>
          <w:u w:val="single"/>
        </w:rPr>
        <w:t xml:space="preserve">   （项目名称）</w:t>
      </w:r>
      <w:r>
        <w:rPr>
          <w:rFonts w:hint="eastAsia" w:ascii="宋体" w:hAnsi="宋体" w:cs="宋体"/>
          <w:b/>
          <w:iCs/>
          <w:color w:val="000000"/>
          <w:sz w:val="22"/>
          <w:u w:val="single"/>
        </w:rPr>
        <w:t xml:space="preserve">    </w:t>
      </w:r>
      <w:r>
        <w:rPr>
          <w:rFonts w:ascii="宋体" w:hAnsi="宋体" w:cs="宋体"/>
          <w:color w:val="000000"/>
          <w:sz w:val="22"/>
        </w:rPr>
        <w:t xml:space="preserve">采购活动，提供的货物全部由符合政策要求的中小企业制造。相关企业的具体情况如下：</w:t>
      </w:r>
      <w:r/>
    </w:p>
    <w:p>
      <w:pPr>
        <w:ind w:firstLine="442"/>
        <w:spacing w:line="540" w:lineRule="exact"/>
        <w:tabs>
          <w:tab w:val="left" w:pos="312" w:leader="none"/>
        </w:tabs>
        <w:rPr>
          <w:sz w:val="22"/>
        </w:rPr>
        <w:pBdr>
          <w:top w:val="none" w:color="000000" w:sz="0" w:space="0"/>
          <w:left w:val="none" w:color="000000" w:sz="0" w:space="0"/>
          <w:bottom w:val="none" w:color="000000" w:sz="0" w:space="0"/>
          <w:right w:val="none" w:color="000000" w:sz="0" w:space="0"/>
        </w:pBdr>
      </w:pPr>
      <w:r>
        <w:rPr>
          <w:rFonts w:hint="eastAsia" w:ascii="宋体" w:hAnsi="宋体" w:cs="宋体"/>
          <w:b/>
          <w:iCs/>
          <w:color w:val="000000"/>
          <w:sz w:val="22"/>
          <w:u w:val="single"/>
        </w:rPr>
        <w:t xml:space="preserve"> 彩色多普勒超声诊断仪</w:t>
      </w:r>
      <w:r>
        <w:rPr>
          <w:rFonts w:ascii="宋体" w:hAnsi="宋体" w:cs="宋体"/>
          <w:b/>
          <w:iCs/>
          <w:color w:val="000000"/>
          <w:sz w:val="22"/>
          <w:u w:val="single"/>
        </w:rPr>
        <w:t xml:space="preserve"> </w:t>
      </w:r>
      <w:r>
        <w:rPr>
          <w:rFonts w:ascii="宋体" w:hAnsi="宋体" w:cs="宋体"/>
          <w:iCs/>
          <w:color w:val="000000"/>
          <w:sz w:val="22"/>
          <w:u w:val="single"/>
        </w:rPr>
        <w:t xml:space="preserve"> </w:t>
      </w:r>
      <w:r>
        <w:rPr>
          <w:rFonts w:ascii="宋体" w:hAnsi="宋体" w:cs="宋体"/>
          <w:iCs/>
          <w:color w:val="000000"/>
          <w:sz w:val="22"/>
        </w:rPr>
        <w:t xml:space="preserve">，属于</w:t>
      </w:r>
      <w:r>
        <w:rPr>
          <w:rFonts w:ascii="宋体" w:hAnsi="宋体" w:cs="宋体"/>
          <w:iCs/>
          <w:color w:val="000000"/>
          <w:sz w:val="22"/>
          <w:u w:val="single"/>
        </w:rPr>
        <w:t xml:space="preserve"> </w:t>
      </w:r>
      <w:r>
        <w:rPr>
          <w:rFonts w:hint="eastAsia" w:ascii="宋体" w:hAnsi="宋体" w:cs="宋体"/>
          <w:b/>
          <w:iCs/>
          <w:color w:val="000000"/>
          <w:sz w:val="22"/>
          <w:u w:val="single"/>
        </w:rPr>
        <w:t xml:space="preserve">工业</w:t>
      </w:r>
      <w:r>
        <w:rPr>
          <w:rFonts w:ascii="宋体" w:hAnsi="宋体" w:cs="宋体"/>
          <w:iCs/>
          <w:color w:val="000000"/>
          <w:sz w:val="22"/>
          <w:u w:val="single"/>
        </w:rPr>
        <w:t xml:space="preserve">  </w:t>
      </w:r>
      <w:r>
        <w:rPr>
          <w:rFonts w:ascii="宋体" w:hAnsi="宋体" w:cs="宋体"/>
          <w:iCs/>
          <w:color w:val="000000"/>
          <w:sz w:val="22"/>
        </w:rPr>
        <w:t xml:space="preserve">；承接企业为</w:t>
      </w:r>
      <w:r>
        <w:rPr>
          <w:rFonts w:ascii="宋体" w:hAnsi="宋体" w:cs="宋体"/>
          <w:iCs/>
          <w:color w:val="000000"/>
          <w:sz w:val="22"/>
          <w:u w:val="single"/>
        </w:rPr>
        <w:t xml:space="preserve"> </w:t>
      </w:r>
      <w:r>
        <w:rPr>
          <w:rFonts w:hint="eastAsia" w:ascii="宋体" w:hAnsi="宋体" w:cs="宋体"/>
          <w:iCs/>
          <w:color w:val="000000"/>
          <w:sz w:val="22"/>
          <w:u w:val="single"/>
        </w:rPr>
        <w:t xml:space="preserve">  </w:t>
      </w:r>
      <w:r>
        <w:rPr>
          <w:rFonts w:ascii="宋体" w:hAnsi="宋体" w:cs="宋体"/>
          <w:b/>
          <w:iCs/>
          <w:color w:val="000000"/>
          <w:sz w:val="22"/>
          <w:u w:val="single"/>
        </w:rPr>
        <w:t xml:space="preserve">（企业名称）</w:t>
      </w:r>
      <w:r>
        <w:rPr>
          <w:rFonts w:ascii="宋体" w:hAnsi="宋体" w:cs="宋体"/>
          <w:iCs/>
          <w:color w:val="000000"/>
          <w:sz w:val="22"/>
          <w:u w:val="single"/>
        </w:rPr>
        <w:t xml:space="preserve">   </w:t>
      </w:r>
      <w:r>
        <w:rPr>
          <w:rFonts w:ascii="宋体" w:hAnsi="宋体" w:cs="宋体"/>
          <w:iCs/>
          <w:color w:val="000000"/>
          <w:sz w:val="22"/>
        </w:rPr>
        <w:t xml:space="preserve">，从业人员</w:t>
      </w:r>
      <w:r>
        <w:rPr>
          <w:rFonts w:ascii="宋体" w:hAnsi="宋体" w:cs="宋体"/>
          <w:iCs/>
          <w:color w:val="000000"/>
          <w:sz w:val="22"/>
          <w:u w:val="single"/>
        </w:rPr>
        <w:t xml:space="preserve">  </w:t>
      </w:r>
      <w:r>
        <w:rPr>
          <w:rFonts w:hint="eastAsia" w:ascii="宋体" w:hAnsi="宋体" w:cs="宋体"/>
          <w:iCs/>
          <w:color w:val="000000"/>
          <w:sz w:val="22"/>
          <w:u w:val="single"/>
        </w:rPr>
        <w:t xml:space="preserve">  </w:t>
      </w:r>
      <w:r>
        <w:rPr>
          <w:rFonts w:ascii="宋体" w:hAnsi="宋体" w:cs="宋体"/>
          <w:iCs/>
          <w:color w:val="000000"/>
          <w:sz w:val="22"/>
        </w:rPr>
        <w:t xml:space="preserve">人，营业收入为</w:t>
      </w:r>
      <w:r>
        <w:rPr>
          <w:rFonts w:ascii="宋体" w:hAnsi="宋体" w:cs="宋体"/>
          <w:iCs/>
          <w:color w:val="000000"/>
          <w:sz w:val="22"/>
          <w:u w:val="single"/>
        </w:rPr>
        <w:t xml:space="preserve">      </w:t>
      </w:r>
      <w:r>
        <w:rPr>
          <w:rFonts w:ascii="宋体" w:hAnsi="宋体" w:cs="宋体"/>
          <w:iCs/>
          <w:color w:val="000000"/>
          <w:sz w:val="22"/>
        </w:rPr>
        <w:t xml:space="preserve">万元；资产总额为：</w:t>
      </w:r>
      <w:r>
        <w:rPr>
          <w:rFonts w:ascii="宋体" w:hAnsi="宋体" w:cs="宋体"/>
          <w:iCs/>
          <w:color w:val="000000"/>
          <w:sz w:val="22"/>
          <w:u w:val="single"/>
        </w:rPr>
        <w:t xml:space="preserve">   </w:t>
      </w:r>
      <w:r>
        <w:rPr>
          <w:rFonts w:ascii="宋体" w:hAnsi="宋体" w:cs="宋体"/>
          <w:iCs/>
          <w:color w:val="000000"/>
          <w:sz w:val="22"/>
        </w:rPr>
        <w:t xml:space="preserve">万元，属于</w:t>
      </w:r>
      <w:r>
        <w:rPr>
          <w:rFonts w:ascii="宋体" w:hAnsi="宋体" w:cs="宋体"/>
          <w:b/>
          <w:iCs/>
          <w:color w:val="000000"/>
          <w:sz w:val="22"/>
          <w:u w:val="single"/>
        </w:rPr>
        <w:t xml:space="preserve"> □中型企业□小型企业□微型企业 </w:t>
      </w:r>
      <w:r>
        <w:rPr>
          <w:rFonts w:ascii="宋体" w:hAnsi="宋体" w:cs="宋体"/>
          <w:iCs/>
          <w:color w:val="000000"/>
          <w:sz w:val="22"/>
          <w:u w:val="single"/>
        </w:rPr>
        <w:t xml:space="preserve"> </w:t>
      </w:r>
      <w:r>
        <w:rPr>
          <w:rFonts w:ascii="宋体" w:hAnsi="宋体" w:cs="宋体"/>
          <w:color w:val="000000"/>
          <w:sz w:val="22"/>
        </w:rPr>
        <w:t xml:space="preserve">。</w:t>
      </w:r>
      <w:r/>
    </w:p>
    <w:p>
      <w:pPr>
        <w:spacing w:line="85" w:lineRule="atLeast"/>
        <w:tabs>
          <w:tab w:val="left" w:pos="312" w:leader="none"/>
        </w:tabs>
        <w:pBdr>
          <w:top w:val="none" w:color="000000" w:sz="0" w:space="0"/>
          <w:left w:val="none" w:color="000000" w:sz="0" w:space="0"/>
          <w:bottom w:val="none" w:color="000000" w:sz="0" w:space="0"/>
          <w:right w:val="none" w:color="000000" w:sz="0" w:space="0"/>
        </w:pBdr>
      </w:pPr>
      <w:r/>
      <w:r/>
    </w:p>
    <w:p>
      <w:pPr>
        <w:ind w:firstLine="480"/>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备注：</w:t>
      </w:r>
      <w:r/>
    </w:p>
    <w:p>
      <w:pPr>
        <w:ind w:firstLine="400"/>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1.从业人员、营业收入、资产总额填报上一年度数据，无上一年度数据的新成立企业可不填报。</w:t>
      </w:r>
      <w:r/>
    </w:p>
    <w:p>
      <w:pPr>
        <w:ind w:firstLine="400"/>
        <w:spacing w:line="540" w:lineRule="exact"/>
        <w:rPr>
          <w:rFonts w:ascii="黑体" w:hAnsi="黑体" w:eastAsia="黑体" w:cs="黑体"/>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内打“✓”勾选制造商的企业规模类型；未打“✓”勾选制造商的企业规模类型的，不予认可。</w:t>
      </w:r>
      <w:r/>
    </w:p>
    <w:p>
      <w:pPr>
        <w:ind w:firstLine="400"/>
        <w:spacing w:line="540" w:lineRule="exact"/>
        <w:rPr>
          <w:bCs/>
          <w:sz w:val="20"/>
          <w:szCs w:val="2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0"/>
          <w:szCs w:val="20"/>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right"/>
        <w:spacing w:line="5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投标人公章：（电子签章）</w:t>
      </w:r>
      <w:r/>
    </w:p>
    <w:p>
      <w:pPr>
        <w:ind w:firstLine="960"/>
        <w:jc w:val="right"/>
        <w:spacing w:line="540" w:lineRule="exact"/>
        <w:rPr>
          <w:rFonts w:ascii="宋体" w:hAnsi="宋体" w:cs="宋体"/>
          <w:color w:val="000000"/>
          <w:sz w:val="24"/>
        </w:rPr>
      </w:pP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960"/>
        <w:jc w:val="right"/>
        <w:spacing w:line="540" w:lineRule="exact"/>
        <w:rPr>
          <w:rFonts w:ascii="宋体" w:hAnsi="宋体" w:cs="宋体"/>
          <w:color w:val="000000"/>
          <w:sz w:val="24"/>
        </w:rPr>
      </w:pPr>
      <w:r>
        <w:rPr>
          <w:rFonts w:ascii="宋体" w:hAnsi="宋体" w:cs="宋体"/>
          <w:color w:val="000000"/>
          <w:sz w:val="24"/>
        </w:rPr>
      </w:r>
      <w:r/>
    </w:p>
    <w:p>
      <w:pPr>
        <w:ind w:firstLine="480"/>
        <w:jc w:val="right"/>
        <w:spacing w:line="360" w:lineRule="auto"/>
        <w:rPr>
          <w:rFonts w:ascii="宋体" w:hAnsi="宋体"/>
          <w:sz w:val="24"/>
          <w:szCs w:val="24"/>
        </w:rPr>
      </w:pPr>
      <w:r>
        <w:rPr>
          <w:rFonts w:ascii="宋体" w:hAnsi="宋体"/>
          <w:sz w:val="24"/>
          <w:szCs w:val="24"/>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jc w:val="center"/>
        <w:spacing w:line="588" w:lineRule="exact"/>
        <w:rPr>
          <w:rFonts w:ascii="仿宋_GB2312" w:eastAsia="仿宋_GB2312"/>
          <w:b/>
          <w:spacing w:val="6"/>
          <w:sz w:val="30"/>
          <w:szCs w:val="30"/>
        </w:rPr>
      </w:pPr>
      <w:r>
        <w:rPr>
          <w:rFonts w:hint="eastAsia" w:ascii="仿宋_GB2312" w:eastAsia="仿宋_GB2312"/>
          <w:b/>
          <w:spacing w:val="6"/>
          <w:sz w:val="24"/>
          <w:szCs w:val="24"/>
        </w:rPr>
        <w:t xml:space="preserve">【非残疾人福利性单位无需提供】</w:t>
      </w:r>
      <w:r/>
    </w:p>
    <w:p>
      <w:pPr>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hint="eastAsia" w:asciiTheme="minorEastAsia" w:hAnsiTheme="minorEastAsia" w:eastAsiaTheme="minorEastAsia" w:cstheme="minorEastAsia"/>
          <w:sz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cstheme="minorEastAsia"/>
          <w:sz w:val="22"/>
          <w:u w:val="single"/>
          <w:shd w:val="clear" w:color="auto" w:fill="ffffff"/>
        </w:rPr>
        <w:t xml:space="preserve">                </w:t>
      </w:r>
      <w:r>
        <w:rPr>
          <w:rFonts w:hint="eastAsia" w:asciiTheme="minorEastAsia" w:hAnsiTheme="minorEastAsia" w:eastAsiaTheme="minorEastAsia" w:cstheme="minorEastAsia"/>
          <w:sz w:val="22"/>
          <w:shd w:val="clear" w:color="auto" w:fill="ffffff"/>
        </w:rPr>
        <w:t xml:space="preserve">单位的</w:t>
      </w:r>
      <w:r>
        <w:rPr>
          <w:rFonts w:hint="eastAsia" w:asciiTheme="minorEastAsia" w:hAnsiTheme="minorEastAsia" w:eastAsiaTheme="minorEastAsia" w:cstheme="minorEastAsia"/>
          <w:sz w:val="22"/>
          <w:u w:val="single"/>
          <w:shd w:val="clear" w:color="auto" w:fill="ffffff"/>
        </w:rPr>
        <w:t xml:space="preserve">         </w:t>
      </w:r>
      <w:r>
        <w:rPr>
          <w:rFonts w:hint="eastAsia" w:asciiTheme="minorEastAsia" w:hAnsiTheme="minorEastAsia" w:eastAsiaTheme="minorEastAsia" w:cstheme="minorEastAsia"/>
          <w:sz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Theme="minorEastAsia" w:hAnsiTheme="minorEastAsia" w:eastAsiaTheme="minorEastAsia" w:cstheme="minorEastAsia"/>
          <w:sz w:val="22"/>
          <w:shd w:val="clear" w:color="auto" w:fill="ffffff"/>
        </w:rPr>
      </w:pPr>
      <w:r>
        <w:rPr>
          <w:rFonts w:hint="eastAsia" w:asciiTheme="minorEastAsia" w:hAnsiTheme="minorEastAsia" w:eastAsiaTheme="minorEastAsia" w:cstheme="minorEastAsia"/>
          <w:sz w:val="22"/>
          <w:shd w:val="clear" w:color="auto" w:fill="ffffff"/>
        </w:rPr>
        <w:t xml:space="preserve">本单位对上述声明的真实性负责。如有虚假，将依法承担相应责任。</w:t>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pStyle w:val="954"/>
        <w:ind w:firstLine="440"/>
        <w:spacing w:after="0" w:line="360" w:lineRule="auto"/>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p>
      <w:pPr>
        <w:ind w:firstLine="440"/>
        <w:jc w:val="left"/>
        <w:spacing w:line="360" w:lineRule="auto"/>
        <w:rPr>
          <w:rFonts w:asciiTheme="minorEastAsia" w:hAnsiTheme="minorEastAsia" w:eastAsiaTheme="minorEastAsia" w:cstheme="minorEastAsia"/>
          <w:sz w:val="22"/>
          <w:shd w:val="clear" w:color="auto" w:fill="ffffff"/>
        </w:rPr>
      </w:pPr>
      <w:r>
        <w:rPr>
          <w:rFonts w:asciiTheme="minorEastAsia" w:hAnsiTheme="minorEastAsia" w:eastAsiaTheme="minorEastAsia" w:cstheme="minorEastAsia"/>
          <w:sz w:val="22"/>
          <w:shd w:val="clear" w:color="auto" w:fill="ffffff"/>
        </w:rPr>
      </w:r>
      <w:r/>
    </w:p>
    <w:p>
      <w:pPr>
        <w:ind w:firstLine="440"/>
        <w:jc w:val="right"/>
        <w:spacing w:line="360" w:lineRule="auto"/>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投标人公章：            （电子签章）</w:t>
      </w:r>
      <w:r/>
    </w:p>
    <w:p>
      <w:pPr>
        <w:ind w:firstLine="440"/>
        <w:jc w:val="right"/>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firstLine="440"/>
        <w:jc w:val="right"/>
        <w:spacing w:line="360" w:lineRule="auto"/>
        <w:rPr>
          <w:rFonts w:asciiTheme="minorEastAsia" w:hAnsiTheme="minorEastAsia" w:eastAsiaTheme="minorEastAsia" w:cstheme="minorEastAsia"/>
          <w:sz w:val="22"/>
        </w:rPr>
      </w:pPr>
      <w:r>
        <w:rPr>
          <w:rFonts w:asciiTheme="minorEastAsia" w:hAnsiTheme="minorEastAsia" w:eastAsiaTheme="minorEastAsia" w:cstheme="minorEastAsia"/>
          <w:sz w:val="22"/>
        </w:rPr>
      </w:r>
      <w:r/>
    </w:p>
    <w:p>
      <w:pPr>
        <w:ind w:firstLine="440"/>
        <w:jc w:val="right"/>
        <w:spacing w:line="360" w:lineRule="auto"/>
        <w:rPr>
          <w:rFonts w:ascii="宋体" w:hAnsi="宋体"/>
          <w:sz w:val="22"/>
        </w:rPr>
      </w:pP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年</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月</w:t>
      </w:r>
      <w:r>
        <w:rPr>
          <w:rFonts w:hint="eastAsia" w:asciiTheme="minorEastAsia" w:hAnsiTheme="minorEastAsia" w:eastAsiaTheme="minorEastAsia" w:cstheme="minorEastAsia"/>
          <w:sz w:val="22"/>
          <w:u w:val="single"/>
        </w:rPr>
        <w:t xml:space="preserve">   </w:t>
      </w:r>
      <w:r>
        <w:rPr>
          <w:rFonts w:hint="eastAsia" w:asciiTheme="minorEastAsia" w:hAnsiTheme="minorEastAsia" w:eastAsiaTheme="minorEastAsia" w:cstheme="minorEastAsia"/>
          <w:sz w:val="22"/>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（三）监狱企业证明</w:t>
      </w:r>
      <w:r/>
    </w:p>
    <w:p>
      <w:pPr>
        <w:pStyle w:val="954"/>
        <w:jc w:val="center"/>
        <w:spacing w:line="360" w:lineRule="auto"/>
        <w:rPr>
          <w:rFonts w:ascii="宋体" w:hAnsi="宋体" w:cs="宋体"/>
          <w:sz w:val="22"/>
          <w:szCs w:val="22"/>
        </w:rPr>
      </w:pPr>
      <w:r>
        <w:rPr>
          <w:rFonts w:hint="eastAsia" w:ascii="仿宋_GB2312" w:eastAsia="仿宋_GB2312"/>
          <w:b/>
          <w:spacing w:val="6"/>
          <w:sz w:val="24"/>
        </w:rPr>
        <w:t xml:space="preserve">【非监狱企业无需提供】</w:t>
      </w:r>
      <w:r/>
    </w:p>
    <w:p>
      <w:pPr>
        <w:pStyle w:val="954"/>
        <w:ind w:firstLine="482"/>
        <w:spacing w:line="480" w:lineRule="auto"/>
        <w:rPr>
          <w:rFonts w:ascii="宋体" w:hAnsi="宋体" w:cs="宋体"/>
          <w:b/>
          <w:bCs/>
          <w:sz w:val="24"/>
          <w:szCs w:val="21"/>
        </w:rPr>
      </w:pPr>
      <w:r>
        <w:rPr>
          <w:rFonts w:ascii="宋体" w:hAnsi="宋体" w:cs="宋体"/>
          <w:b/>
          <w:bCs/>
          <w:sz w:val="24"/>
          <w:szCs w:val="21"/>
        </w:rPr>
      </w:r>
      <w:r/>
    </w:p>
    <w:p>
      <w:pPr>
        <w:pStyle w:val="954"/>
        <w:ind w:firstLine="482"/>
        <w:spacing w:line="480" w:lineRule="auto"/>
        <w:rPr>
          <w:rFonts w:ascii="宋体" w:hAnsi="宋体" w:cs="宋体"/>
          <w:b/>
          <w:bCs/>
          <w:sz w:val="24"/>
          <w:szCs w:val="21"/>
        </w:rPr>
      </w:pPr>
      <w:r>
        <w:rPr>
          <w:rFonts w:ascii="宋体" w:hAnsi="宋体" w:cs="宋体"/>
          <w:b/>
          <w:bCs/>
          <w:sz w:val="24"/>
          <w:szCs w:val="21"/>
        </w:rPr>
      </w:r>
      <w:r/>
    </w:p>
    <w:p>
      <w:pPr>
        <w:pStyle w:val="954"/>
        <w:ind w:firstLine="482"/>
        <w:spacing w:line="480" w:lineRule="auto"/>
        <w:rPr>
          <w:rFonts w:ascii="宋体" w:hAnsi="宋体" w:cs="宋体"/>
          <w:sz w:val="22"/>
          <w:szCs w:val="22"/>
        </w:rPr>
      </w:pPr>
      <w:r>
        <w:rPr>
          <w:rFonts w:hint="eastAsia" w:ascii="宋体" w:hAnsi="宋体" w:cs="宋体"/>
          <w:b/>
          <w:bCs/>
          <w:sz w:val="22"/>
          <w:szCs w:val="20"/>
        </w:rPr>
        <w:t xml:space="preserve">提供由省级以上监狱管理局、戒毒管理局（含新疆生产建设兵团）出具的投标人属于监狱企业的证明文件原件扫描件。</w:t>
      </w:r>
      <w:r/>
    </w:p>
    <w:p>
      <w:pPr>
        <w:pStyle w:val="954"/>
        <w:ind w:firstLine="440"/>
        <w:rPr>
          <w:rFonts w:ascii="宋体" w:hAnsi="宋体" w:cs="宋体"/>
          <w:sz w:val="22"/>
          <w:szCs w:val="22"/>
        </w:rPr>
      </w:pPr>
      <w:r>
        <w:rPr>
          <w:rFonts w:ascii="宋体" w:hAnsi="宋体" w:cs="宋体"/>
          <w:sz w:val="22"/>
          <w:szCs w:val="22"/>
        </w:rPr>
      </w:r>
      <w:r/>
    </w:p>
    <w:p>
      <w:pPr>
        <w:pStyle w:val="954"/>
        <w:ind w:firstLine="440"/>
        <w:rPr>
          <w:rFonts w:ascii="宋体" w:hAnsi="宋体" w:cs="宋体"/>
          <w:sz w:val="22"/>
          <w:szCs w:val="22"/>
        </w:rPr>
      </w:pPr>
      <w:r>
        <w:rPr>
          <w:rFonts w:ascii="宋体" w:hAnsi="宋体" w:cs="宋体"/>
          <w:sz w:val="22"/>
          <w:szCs w:val="22"/>
        </w:rPr>
      </w:r>
      <w:r/>
    </w:p>
    <w:p>
      <w:pPr>
        <w:pStyle w:val="954"/>
        <w:ind w:firstLine="440"/>
        <w:rPr>
          <w:rFonts w:ascii="宋体" w:hAnsi="宋体" w:cs="宋体"/>
          <w:sz w:val="22"/>
          <w:szCs w:val="22"/>
        </w:rPr>
      </w:pPr>
      <w:r>
        <w:rPr>
          <w:rFonts w:ascii="宋体" w:hAnsi="宋体" w:cs="宋体"/>
          <w:sz w:val="22"/>
          <w:szCs w:val="22"/>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spacing w:line="360" w:lineRule="auto"/>
        <w:rPr>
          <w:rFonts w:ascii="宋体" w:hAnsi="宋体"/>
          <w:sz w:val="24"/>
          <w:szCs w:val="24"/>
        </w:rPr>
        <w:sectPr>
          <w:footnotePr/>
          <w:endnotePr/>
          <w:type w:val="nextPage"/>
          <w:pgSz w:w="11906" w:h="16838" w:orient="portrait"/>
          <w:pgMar w:top="1440" w:right="1463" w:bottom="1440" w:left="1633" w:header="851" w:footer="992" w:gutter="0"/>
          <w:cols w:num="1" w:sep="0" w:space="0" w:equalWidth="1"/>
          <w:docGrid w:linePitch="360"/>
        </w:sectPr>
      </w:pPr>
      <w:r>
        <w:rPr>
          <w:rFonts w:ascii="宋体" w:hAnsi="宋体"/>
          <w:sz w:val="24"/>
          <w:szCs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彩色多普勒超声诊断仪（</w:t>
      </w:r>
      <w:r>
        <w:rPr>
          <w:rFonts w:ascii="SimSun" w:hAnsi="SimSun" w:eastAsia="SimSun" w:cs="SimSun"/>
          <w:b/>
          <w:color w:val="000000"/>
          <w:sz w:val="24"/>
          <w:u w:val="single"/>
        </w:rPr>
        <w:t xml:space="preserve">型号</w:t>
      </w:r>
      <w:r>
        <w:rPr>
          <w:rFonts w:ascii="SimSun" w:hAnsi="SimSun" w:eastAsia="SimSun" w:cs="SimSun"/>
          <w:b/>
          <w:color w:val="000000"/>
          <w:sz w:val="24"/>
          <w:u w:val="single"/>
        </w:rPr>
        <w:t xml:space="preserve">）</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       </w:t>
      </w:r>
      <w:r>
        <w:rPr>
          <w:rFonts w:ascii="SimSun" w:hAnsi="SimSun" w:eastAsia="SimSun" w:cs="SimSun"/>
          <w:b/>
          <w:bCs/>
          <w:color w:val="000000"/>
          <w:sz w:val="24"/>
          <w:highlight w:val="white"/>
          <w:u w:val="single"/>
        </w:rPr>
        <w:t xml:space="preserve">（厂名）</w:t>
      </w:r>
      <w:r>
        <w:rPr>
          <w:rFonts w:ascii="SimSun" w:hAnsi="SimSun" w:eastAsia="SimSun" w:cs="SimSun"/>
          <w:color w:val="000000"/>
          <w:sz w:val="20"/>
          <w:highlight w:val="white"/>
          <w:u w:val="single"/>
          <w:vertAlign w:val="superscript"/>
        </w:rPr>
        <w:t xml:space="preserve">2         </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    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b/>
          <w:color w:val="000000"/>
          <w:sz w:val="24"/>
          <w:u w:val="single"/>
        </w:rPr>
        <w:t xml:space="preserve">彩色多普勒超声诊断仪</w:t>
      </w:r>
      <w:r>
        <w:rPr>
          <w:rFonts w:ascii="SimSun" w:hAnsi="SimSun" w:eastAsia="SimSun" w:cs="SimSun"/>
          <w:b/>
          <w:color w:val="000000"/>
          <w:sz w:val="24"/>
          <w:u w:val="single"/>
        </w:rPr>
        <w:t xml:space="preserve">（型号</w:t>
      </w:r>
      <w:r>
        <w:rPr>
          <w:rFonts w:ascii="SimSun" w:hAnsi="SimSun" w:eastAsia="SimSun" w:cs="SimSun"/>
          <w:b/>
          <w:color w:val="000000"/>
          <w:sz w:val="24"/>
          <w:u w:val="single"/>
        </w:rPr>
        <w:t xml:space="preserve">）</w:t>
      </w:r>
      <w:r>
        <w:rPr>
          <w:rFonts w:ascii="SimSun" w:hAnsi="SimSun" w:eastAsia="SimSun" w:cs="SimSun"/>
          <w:color w:val="000000"/>
          <w:sz w:val="20"/>
          <w:highlight w:val="white"/>
          <w:u w:val="single"/>
          <w:vertAlign w:val="superscript"/>
        </w:rPr>
        <w:t xml:space="preserve">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b/>
          <w:color w:val="000000"/>
          <w:sz w:val="24"/>
          <w:highlight w:val="white"/>
          <w:u w:val="singl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b/>
          <w:color w:val="000000"/>
          <w:sz w:val="24"/>
          <w:u w:val="single"/>
        </w:rPr>
        <w:t xml:space="preserve">彩色多普勒超声诊断仪</w:t>
      </w:r>
      <w:r>
        <w:rPr>
          <w:rFonts w:ascii="SimSun" w:hAnsi="SimSun" w:eastAsia="SimSun" w:cs="SimSun"/>
          <w:b/>
          <w:color w:val="000000"/>
          <w:sz w:val="24"/>
          <w:u w:val="single"/>
        </w:rPr>
        <w:t xml:space="preserve">（型号</w:t>
      </w:r>
      <w:r>
        <w:rPr>
          <w:rFonts w:ascii="SimSun" w:hAnsi="SimSun" w:eastAsia="SimSun" w:cs="SimSun"/>
          <w:b/>
          <w:color w:val="000000"/>
          <w:sz w:val="24"/>
          <w:u w:val="single"/>
        </w:rPr>
        <w:t xml:space="preserve">）</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b/>
          <w:color w:val="000000"/>
          <w:sz w:val="24"/>
          <w:highlight w:val="white"/>
          <w:u w:val="single"/>
        </w:rPr>
        <w:t xml:space="preserve">/ </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b/>
          <w:color w:val="000000"/>
          <w:sz w:val="24"/>
          <w:u w:val="single"/>
        </w:rPr>
        <w:t xml:space="preserve">彩色多普勒超声诊断仪</w:t>
      </w:r>
      <w:r>
        <w:rPr>
          <w:rFonts w:ascii="SimSun" w:hAnsi="SimSun" w:eastAsia="SimSun" w:cs="SimSun"/>
          <w:b/>
          <w:color w:val="000000"/>
          <w:sz w:val="24"/>
          <w:u w:val="single"/>
        </w:rPr>
        <w:t xml:space="preserve">（型号</w:t>
      </w:r>
      <w:r>
        <w:rPr>
          <w:rFonts w:ascii="SimSun" w:hAnsi="SimSun" w:eastAsia="SimSun" w:cs="SimSun"/>
          <w:b/>
          <w:color w:val="000000"/>
          <w:sz w:val="24"/>
          <w:u w:val="single"/>
        </w:rPr>
        <w:t xml:space="preserve">）</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b/>
          <w:color w:val="000000"/>
          <w:sz w:val="24"/>
          <w:highlight w:val="white"/>
          <w:u w:val="singl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公司（单位）名称（电子签章）：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 </w:t>
      </w:r>
      <w:r/>
    </w:p>
    <w:p>
      <w:pPr>
        <w:ind w:left="0" w:right="0" w:firstLine="0"/>
        <w:jc w:val="center"/>
        <w:spacing w:before="30" w:after="3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none"/>
        </w:rPr>
      </w:r>
      <w:r>
        <w:rPr>
          <w:rFonts w:ascii="Arial" w:hAnsi="Arial" w:eastAsia="Arial" w:cs="Arial"/>
          <w:color w:val="ff0000"/>
          <w:sz w:val="24"/>
          <w:highlight w:val="none"/>
        </w:rPr>
      </w:r>
      <w:r/>
    </w:p>
    <w:p>
      <w:pPr>
        <w:ind w:left="0" w:right="0" w:firstLine="0"/>
        <w:jc w:val="center"/>
        <w:spacing w:before="30" w:after="30"/>
        <w:rPr>
          <w:rFonts w:ascii="Arial" w:hAnsi="Arial" w:eastAsia="Arial" w:cs="Arial"/>
          <w:color w:val="ff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none"/>
        </w:rPr>
      </w:r>
      <w:r>
        <w:rPr>
          <w:rFonts w:ascii="Arial" w:hAnsi="Arial" w:eastAsia="Arial" w:cs="Arial"/>
          <w:color w:val="ff0000"/>
          <w:sz w:val="24"/>
          <w:highlight w:val="none"/>
        </w:rPr>
      </w:r>
      <w:r/>
    </w:p>
    <w:p>
      <w:pPr>
        <w:ind w:left="0" w:right="0" w:firstLine="0"/>
        <w:jc w:val="center"/>
        <w:spacing w:before="30" w:after="30"/>
        <w:rPr>
          <w:rFonts w:ascii="Arial" w:hAnsi="Arial" w:eastAsia="Arial" w:cs="Arial"/>
          <w:color w:val="ff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4"/>
          <w:highlight w:val="white"/>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2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026" w:type="dxa"/>
            <w:vAlign w:val="top"/>
            <w:textDirection w:val="lrTb"/>
            <w:noWrap w:val="false"/>
          </w:tcPr>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highlight w:val="white"/>
              </w:rPr>
              <w:t xml:space="preserve">6.用“/”划除的地方无需填写。</w:t>
            </w:r>
            <w:r/>
          </w:p>
        </w:tc>
      </w:tr>
    </w:tbl>
    <w:p>
      <w:pPr>
        <w:ind w:left="359" w:right="0" w:firstLine="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06"/>
        <w:rPr>
          <w:rFonts w:cs="宋体"/>
          <w:sz w:val="22"/>
          <w:szCs w:val="22"/>
        </w:rPr>
      </w:pPr>
      <w:r>
        <w:rPr>
          <w:rFonts w:cs="宋体"/>
          <w:sz w:val="22"/>
          <w:szCs w:val="22"/>
        </w:rPr>
      </w:r>
      <w:r/>
    </w:p>
    <w:p>
      <w:pPr>
        <w:pStyle w:val="706"/>
        <w:rPr>
          <w:rFonts w:cs="宋体"/>
          <w:sz w:val="22"/>
          <w:szCs w:val="22"/>
        </w:rPr>
      </w:pPr>
      <w:r>
        <w:rPr>
          <w:rFonts w:cs="宋体"/>
          <w:sz w:val="22"/>
          <w:szCs w:val="22"/>
        </w:rPr>
      </w:r>
      <w:r>
        <w:rPr>
          <w:rFonts w:cs="宋体"/>
          <w:sz w:val="22"/>
          <w:szCs w:val="22"/>
        </w:rPr>
      </w:r>
      <w:r/>
    </w:p>
    <w:p>
      <w:pPr>
        <w:pStyle w:val="706"/>
        <w:rPr>
          <w:rFonts w:cs="宋体"/>
          <w:sz w:val="22"/>
          <w:szCs w:val="22"/>
        </w:rPr>
      </w:pPr>
      <w:r>
        <w:rPr>
          <w:rFonts w:cs="宋体"/>
          <w:sz w:val="22"/>
          <w:szCs w:val="22"/>
        </w:rPr>
      </w:r>
      <w:r>
        <w:rPr>
          <w:rFonts w:cs="宋体"/>
          <w:sz w:val="22"/>
          <w:szCs w:val="22"/>
        </w:rPr>
      </w:r>
      <w:r/>
    </w:p>
    <w:p>
      <w:pPr>
        <w:pStyle w:val="706"/>
        <w:rPr>
          <w:rFonts w:cs="宋体"/>
          <w:sz w:val="22"/>
          <w:szCs w:val="22"/>
        </w:rPr>
      </w:pPr>
      <w:r>
        <w:rPr>
          <w:rFonts w:cs="宋体"/>
          <w:sz w:val="22"/>
          <w:szCs w:val="22"/>
        </w:rPr>
      </w:r>
      <w:r/>
    </w:p>
    <w:p>
      <w:pPr>
        <w:pStyle w:val="706"/>
        <w:rPr>
          <w:rFonts w:cs="宋体"/>
          <w:sz w:val="22"/>
          <w:szCs w:val="22"/>
        </w:rPr>
      </w:pPr>
      <w:r>
        <w:rPr>
          <w:rFonts w:cs="宋体"/>
          <w:sz w:val="22"/>
          <w:szCs w:val="22"/>
        </w:rPr>
      </w:r>
      <w:r/>
    </w:p>
    <w:p>
      <w:pPr>
        <w:pStyle w:val="954"/>
        <w:ind w:firstLine="440"/>
        <w:rPr>
          <w:rFonts w:ascii="宋体" w:hAnsi="宋体" w:cs="宋体"/>
          <w:sz w:val="22"/>
          <w:szCs w:val="22"/>
        </w:rPr>
      </w:pPr>
      <w:r>
        <w:rPr>
          <w:rFonts w:ascii="宋体" w:hAnsi="宋体" w:cs="宋体"/>
          <w:sz w:val="22"/>
          <w:szCs w:val="22"/>
        </w:rPr>
      </w:r>
      <w:r/>
    </w:p>
    <w:p>
      <w:pPr>
        <w:pStyle w:val="954"/>
        <w:jc w:val="center"/>
        <w:rPr>
          <w:rFonts w:ascii="黑体" w:hAnsi="黑体" w:eastAsia="黑体" w:cs="黑体"/>
          <w:b/>
          <w:bCs/>
          <w:sz w:val="28"/>
          <w:szCs w:val="22"/>
        </w:rPr>
      </w:pPr>
      <w:r>
        <w:rPr>
          <w:rFonts w:hint="eastAsia" w:ascii="黑体" w:hAnsi="黑体" w:eastAsia="黑体" w:cs="黑体"/>
          <w:b/>
          <w:bCs/>
          <w:sz w:val="24"/>
          <w:szCs w:val="20"/>
        </w:rPr>
        <w:t xml:space="preserve">备注：以上内容，如含有排除或限制市场竞争的内容，请与我单位反映。</w:t>
      </w:r>
      <w:r/>
    </w:p>
    <w:p>
      <w:pPr>
        <w:jc w:val="center"/>
        <w:spacing w:line="360" w:lineRule="auto"/>
        <w:rPr>
          <w:rFonts w:ascii="宋体" w:hAnsi="宋体" w:cs="宋体"/>
          <w:b/>
          <w:bCs/>
          <w:sz w:val="24"/>
          <w:szCs w:val="21"/>
        </w:rPr>
      </w:pPr>
      <w:r>
        <w:rPr>
          <w:rFonts w:ascii="宋体" w:hAnsi="宋体" w:cs="宋体"/>
          <w:b/>
          <w:bCs/>
          <w:sz w:val="24"/>
          <w:szCs w:val="21"/>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sectPr>
      <w:footnotePr/>
      <w:endnotePr/>
      <w:type w:val="nextPage"/>
      <w:pgSz w:w="11906" w:h="16838" w:orient="portrait"/>
      <w:pgMar w:top="1440" w:right="1463" w:bottom="1440" w:left="1633"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iconfont">
    <w:panose1 w:val="020B050302020202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华文宋体">
    <w:panose1 w:val="02010600040101010101"/>
  </w:font>
  <w:font w:name="SimSun">
    <w:panose1 w:val="02010600030101010101"/>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rPr>
                              <w:sz w:val="28"/>
                              <w:szCs w:val="32"/>
                            </w:rPr>
                          </w:pP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rPr>
                        <w:sz w:val="28"/>
                        <w:szCs w:val="32"/>
                      </w:rPr>
                    </w:pP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3">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2">
    <w:name w:val="TOC Heading"/>
    <w:uiPriority w:val="39"/>
    <w:unhideWhenUsed/>
  </w:style>
  <w:style w:type="paragraph" w:styleId="69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4">
    <w:name w:val="Heading 1"/>
    <w:basedOn w:val="693"/>
    <w:next w:val="693"/>
    <w:link w:val="812"/>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81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814"/>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815"/>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816"/>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817"/>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818"/>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819"/>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820"/>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Normal Indent"/>
    <w:basedOn w:val="693"/>
    <w:uiPriority w:val="0"/>
    <w:qFormat/>
    <w:pPr>
      <w:ind w:left="359"/>
      <w:spacing w:line="360" w:lineRule="auto"/>
    </w:pPr>
    <w:rPr>
      <w:rFonts w:ascii="宋体" w:hAnsi="宋体"/>
      <w:szCs w:val="21"/>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3"/>
    <w:next w:val="709"/>
    <w:uiPriority w:val="99"/>
    <w:unhideWhenUsed/>
    <w:qFormat/>
    <w:pPr>
      <w:ind w:left="117"/>
      <w:jc w:val="left"/>
      <w:spacing w:before="86" w:after="160" w:line="278" w:lineRule="auto"/>
    </w:pPr>
    <w:rPr>
      <w:rFonts w:ascii="宋体" w:hAnsi="宋体"/>
      <w:sz w:val="24"/>
    </w:rPr>
  </w:style>
  <w:style w:type="paragraph" w:styleId="709">
    <w:name w:val="Subtitle"/>
    <w:basedOn w:val="693"/>
    <w:next w:val="693"/>
    <w:link w:val="772"/>
    <w:uiPriority w:val="11"/>
    <w:qFormat/>
    <w:pPr>
      <w:spacing w:before="200" w:after="200"/>
    </w:pPr>
    <w:rPr>
      <w:sz w:val="24"/>
      <w:szCs w:val="24"/>
    </w:rPr>
  </w:style>
  <w:style w:type="paragraph" w:styleId="710">
    <w:name w:val="toc 5"/>
    <w:basedOn w:val="693"/>
    <w:next w:val="693"/>
    <w:uiPriority w:val="39"/>
    <w:unhideWhenUsed/>
    <w:qFormat/>
    <w:pPr>
      <w:ind w:left="1134"/>
      <w:spacing w:after="57"/>
    </w:pPr>
  </w:style>
  <w:style w:type="paragraph" w:styleId="711">
    <w:name w:val="toc 3"/>
    <w:basedOn w:val="693"/>
    <w:next w:val="693"/>
    <w:uiPriority w:val="39"/>
    <w:unhideWhenUsed/>
    <w:qFormat/>
    <w:pPr>
      <w:ind w:left="567"/>
      <w:spacing w:after="57"/>
    </w:pPr>
  </w:style>
  <w:style w:type="paragraph" w:styleId="712">
    <w:name w:val="toc 8"/>
    <w:basedOn w:val="693"/>
    <w:next w:val="693"/>
    <w:uiPriority w:val="39"/>
    <w:unhideWhenUsed/>
    <w:qFormat/>
    <w:pPr>
      <w:ind w:left="1984"/>
      <w:spacing w:after="57"/>
    </w:pPr>
  </w:style>
  <w:style w:type="paragraph" w:styleId="713">
    <w:name w:val="endnote text"/>
    <w:basedOn w:val="693"/>
    <w:link w:val="778"/>
    <w:uiPriority w:val="99"/>
    <w:semiHidden/>
    <w:unhideWhenUsed/>
    <w:qFormat/>
    <w:rPr>
      <w:sz w:val="20"/>
    </w:rPr>
  </w:style>
  <w:style w:type="paragraph" w:styleId="714">
    <w:name w:val="Balloon Text"/>
    <w:basedOn w:val="693"/>
    <w:link w:val="1119"/>
    <w:uiPriority w:val="99"/>
    <w:semiHidden/>
    <w:unhideWhenUsed/>
    <w:qFormat/>
    <w:rPr>
      <w:sz w:val="18"/>
      <w:szCs w:val="18"/>
    </w:rPr>
  </w:style>
  <w:style w:type="paragraph" w:styleId="715">
    <w:name w:val="Footer"/>
    <w:basedOn w:val="693"/>
    <w:link w:val="831"/>
    <w:uiPriority w:val="99"/>
    <w:unhideWhenUsed/>
    <w:qFormat/>
    <w:pPr>
      <w:jc w:val="center"/>
      <w:tabs>
        <w:tab w:val="center" w:pos="7143" w:leader="none"/>
        <w:tab w:val="right" w:pos="14287" w:leader="none"/>
      </w:tabs>
    </w:pPr>
  </w:style>
  <w:style w:type="paragraph" w:styleId="716">
    <w:name w:val="Header"/>
    <w:basedOn w:val="693"/>
    <w:uiPriority w:val="99"/>
    <w:unhideWhenUsed/>
    <w:qFormat/>
    <w:pPr>
      <w:tabs>
        <w:tab w:val="center" w:pos="7143" w:leader="none"/>
        <w:tab w:val="right" w:pos="14287" w:leader="none"/>
      </w:tabs>
    </w:pPr>
  </w:style>
  <w:style w:type="paragraph" w:styleId="717">
    <w:name w:val="toc 1"/>
    <w:basedOn w:val="693"/>
    <w:next w:val="693"/>
    <w:uiPriority w:val="39"/>
    <w:unhideWhenUsed/>
    <w:qFormat/>
    <w:pPr>
      <w:spacing w:after="57"/>
    </w:pPr>
  </w:style>
  <w:style w:type="paragraph" w:styleId="718">
    <w:name w:val="toc 4"/>
    <w:basedOn w:val="693"/>
    <w:next w:val="693"/>
    <w:uiPriority w:val="39"/>
    <w:unhideWhenUsed/>
    <w:qFormat/>
    <w:pPr>
      <w:ind w:left="850"/>
      <w:spacing w:after="57"/>
    </w:pPr>
  </w:style>
  <w:style w:type="paragraph" w:styleId="719">
    <w:name w:val="footnote text"/>
    <w:basedOn w:val="693"/>
    <w:link w:val="7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93"/>
    <w:next w:val="693"/>
    <w:link w:val="771"/>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Emphasis"/>
    <w:uiPriority w:val="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table" w:styleId="731" w:customStyle="1">
    <w:name w:val="无格式表格 11"/>
    <w:basedOn w:val="704"/>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basedOn w:val="704"/>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basedOn w:val="704"/>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网格表 21"/>
    <w:basedOn w:val="704"/>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网格表 31"/>
    <w:basedOn w:val="704"/>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basedOn w:val="704"/>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网格表 5 深色1"/>
    <w:basedOn w:val="704"/>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网格表 6 彩色1"/>
    <w:basedOn w:val="704"/>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网格表 7 彩色1"/>
    <w:basedOn w:val="704"/>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清单表 1 浅色1"/>
    <w:basedOn w:val="70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清单表 21"/>
    <w:basedOn w:val="704"/>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清单表 31"/>
    <w:basedOn w:val="704"/>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41"/>
    <w:basedOn w:val="704"/>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清单表 5 深色1"/>
    <w:basedOn w:val="704"/>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清单表 6 彩色1"/>
    <w:basedOn w:val="704"/>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清单表 7 彩色1"/>
    <w:basedOn w:val="704"/>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ascii="Times New Roman" w:hAnsi="Times New Roman" w:eastAsia="宋体" w:cs="Times New Roman"/>
      <w:lang w:val="en-US" w:eastAsia="zh-CN" w:bidi="ar-SA"/>
    </w:rPr>
  </w:style>
  <w:style w:type="paragraph" w:styleId="751" w:customStyle="1">
    <w:name w:val="首行缩进"/>
    <w:basedOn w:val="693"/>
    <w:uiPriority w:val="0"/>
    <w:qFormat/>
    <w:pPr>
      <w:ind w:firstLine="200"/>
    </w:pPr>
    <w:rPr>
      <w:szCs w:val="20"/>
      <w:lang w:val="zh-CN"/>
    </w:rPr>
  </w:style>
  <w:style w:type="character" w:styleId="752" w:customStyle="1">
    <w:name w:val="Heading 1 Char"/>
    <w:basedOn w:val="703"/>
    <w:uiPriority w:val="9"/>
    <w:qFormat/>
    <w:rPr>
      <w:rFonts w:ascii="Arial" w:hAnsi="Arial" w:eastAsia="Arial" w:cs="Arial"/>
      <w:sz w:val="40"/>
      <w:szCs w:val="40"/>
    </w:rPr>
  </w:style>
  <w:style w:type="character" w:styleId="753" w:customStyle="1">
    <w:name w:val="Heading 2 Char"/>
    <w:basedOn w:val="703"/>
    <w:uiPriority w:val="9"/>
    <w:qFormat/>
    <w:rPr>
      <w:rFonts w:ascii="Arial" w:hAnsi="Arial" w:eastAsia="Arial" w:cs="Arial"/>
      <w:sz w:val="34"/>
    </w:rPr>
  </w:style>
  <w:style w:type="character" w:styleId="754" w:customStyle="1">
    <w:name w:val="Heading 3 Char"/>
    <w:basedOn w:val="703"/>
    <w:uiPriority w:val="9"/>
    <w:qFormat/>
    <w:rPr>
      <w:rFonts w:ascii="Arial" w:hAnsi="Arial" w:eastAsia="Arial" w:cs="Arial"/>
      <w:sz w:val="30"/>
      <w:szCs w:val="30"/>
    </w:rPr>
  </w:style>
  <w:style w:type="character" w:styleId="755" w:customStyle="1">
    <w:name w:val="Heading 4 Char"/>
    <w:basedOn w:val="703"/>
    <w:uiPriority w:val="9"/>
    <w:qFormat/>
    <w:rPr>
      <w:rFonts w:ascii="Arial" w:hAnsi="Arial" w:eastAsia="Arial" w:cs="Arial"/>
      <w:b/>
      <w:bCs/>
      <w:sz w:val="26"/>
      <w:szCs w:val="26"/>
    </w:rPr>
  </w:style>
  <w:style w:type="character" w:styleId="756" w:customStyle="1">
    <w:name w:val="Heading 5 Char"/>
    <w:basedOn w:val="703"/>
    <w:uiPriority w:val="9"/>
    <w:qFormat/>
    <w:rPr>
      <w:rFonts w:ascii="Arial" w:hAnsi="Arial" w:eastAsia="Arial" w:cs="Arial"/>
      <w:b/>
      <w:bCs/>
      <w:sz w:val="24"/>
      <w:szCs w:val="24"/>
    </w:rPr>
  </w:style>
  <w:style w:type="character" w:styleId="757" w:customStyle="1">
    <w:name w:val="Heading 6 Char"/>
    <w:basedOn w:val="703"/>
    <w:uiPriority w:val="9"/>
    <w:qFormat/>
    <w:rPr>
      <w:rFonts w:ascii="Arial" w:hAnsi="Arial" w:eastAsia="Arial" w:cs="Arial"/>
      <w:b/>
      <w:bCs/>
      <w:sz w:val="22"/>
      <w:szCs w:val="22"/>
    </w:rPr>
  </w:style>
  <w:style w:type="character" w:styleId="758" w:customStyle="1">
    <w:name w:val="Heading 7 Char"/>
    <w:basedOn w:val="703"/>
    <w:uiPriority w:val="9"/>
    <w:qFormat/>
    <w:rPr>
      <w:rFonts w:ascii="Arial" w:hAnsi="Arial" w:eastAsia="Arial" w:cs="Arial"/>
      <w:b/>
      <w:bCs/>
      <w:i/>
      <w:iCs/>
      <w:sz w:val="22"/>
      <w:szCs w:val="22"/>
    </w:rPr>
  </w:style>
  <w:style w:type="character" w:styleId="759" w:customStyle="1">
    <w:name w:val="Heading 8 Char"/>
    <w:basedOn w:val="703"/>
    <w:uiPriority w:val="9"/>
    <w:qFormat/>
    <w:rPr>
      <w:rFonts w:ascii="Arial" w:hAnsi="Arial" w:eastAsia="Arial" w:cs="Arial"/>
      <w:i/>
      <w:iCs/>
      <w:sz w:val="22"/>
      <w:szCs w:val="22"/>
    </w:rPr>
  </w:style>
  <w:style w:type="character" w:styleId="760" w:customStyle="1">
    <w:name w:val="Heading 9 Char"/>
    <w:basedOn w:val="703"/>
    <w:uiPriority w:val="9"/>
    <w:qFormat/>
    <w:rPr>
      <w:rFonts w:ascii="Arial" w:hAnsi="Arial" w:eastAsia="Arial" w:cs="Arial"/>
      <w:i/>
      <w:iCs/>
      <w:sz w:val="21"/>
      <w:szCs w:val="21"/>
    </w:rPr>
  </w:style>
  <w:style w:type="character" w:styleId="761" w:customStyle="1">
    <w:name w:val="Title Char"/>
    <w:basedOn w:val="703"/>
    <w:uiPriority w:val="10"/>
    <w:qFormat/>
    <w:rPr>
      <w:sz w:val="48"/>
      <w:szCs w:val="48"/>
    </w:rPr>
  </w:style>
  <w:style w:type="character" w:styleId="762" w:customStyle="1">
    <w:name w:val="Subtitle Char"/>
    <w:basedOn w:val="703"/>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Caption Char"/>
    <w:uiPriority w:val="99"/>
    <w:qFormat/>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11"/>
    <w:uiPriority w:val="39"/>
    <w:unhideWhenUsed/>
    <w:qFormat/>
    <w:rPr>
      <w:rFonts w:ascii="Times New Roman" w:hAnsi="Times New Roman" w:eastAsia="宋体" w:cs="Times New Roman"/>
      <w:lang w:val="en-US" w:eastAsia="zh-CN" w:bidi="ar-SA"/>
    </w:rPr>
  </w:style>
  <w:style w:type="paragraph" w:styleId="769">
    <w:name w:val="List Paragraph"/>
    <w:basedOn w:val="693"/>
    <w:uiPriority w:val="34"/>
    <w:qFormat/>
    <w:pPr>
      <w:contextualSpacing/>
      <w:ind w:left="720"/>
    </w:p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标题 字符1"/>
    <w:link w:val="725"/>
    <w:uiPriority w:val="10"/>
    <w:qFormat/>
    <w:rPr>
      <w:sz w:val="48"/>
      <w:szCs w:val="48"/>
    </w:rPr>
  </w:style>
  <w:style w:type="character" w:styleId="772" w:customStyle="1">
    <w:name w:val="副标题 字符1"/>
    <w:link w:val="709"/>
    <w:uiPriority w:val="11"/>
    <w:qFormat/>
    <w:rPr>
      <w:sz w:val="24"/>
      <w:szCs w:val="24"/>
    </w:rPr>
  </w:style>
  <w:style w:type="paragraph" w:styleId="773">
    <w:name w:val="Quote"/>
    <w:basedOn w:val="693"/>
    <w:next w:val="693"/>
    <w:link w:val="774"/>
    <w:uiPriority w:val="29"/>
    <w:qFormat/>
    <w:pPr>
      <w:ind w:left="720" w:right="720"/>
    </w:pPr>
    <w:rPr>
      <w:i/>
    </w:rPr>
  </w:style>
  <w:style w:type="character" w:styleId="774" w:customStyle="1">
    <w:name w:val="引用 字符1"/>
    <w:link w:val="773"/>
    <w:uiPriority w:val="29"/>
    <w:qFormat/>
    <w:rPr>
      <w:i/>
    </w:rPr>
  </w:style>
  <w:style w:type="paragraph" w:styleId="775">
    <w:name w:val="Intense Quote"/>
    <w:basedOn w:val="693"/>
    <w:next w:val="693"/>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1"/>
    <w:link w:val="775"/>
    <w:uiPriority w:val="30"/>
    <w:qFormat/>
    <w:rPr>
      <w:i/>
    </w:rPr>
  </w:style>
  <w:style w:type="character" w:styleId="777" w:customStyle="1">
    <w:name w:val="脚注文本 字符1"/>
    <w:link w:val="719"/>
    <w:uiPriority w:val="99"/>
    <w:qFormat/>
    <w:rPr>
      <w:sz w:val="18"/>
    </w:rPr>
  </w:style>
  <w:style w:type="character" w:styleId="778" w:customStyle="1">
    <w:name w:val="尾注文本 字符1"/>
    <w:link w:val="713"/>
    <w:uiPriority w:val="99"/>
    <w:qFormat/>
    <w:rPr>
      <w:sz w:val="20"/>
    </w:rPr>
  </w:style>
  <w:style w:type="paragraph" w:styleId="779" w:customStyle="1">
    <w:name w:val="TOC 标题11"/>
    <w:uiPriority w:val="39"/>
    <w:unhideWhenUsed/>
    <w:qFormat/>
    <w:rPr>
      <w:rFonts w:ascii="Times New Roman" w:hAnsi="Times New Roman" w:eastAsia="宋体" w:cs="Times New Roman"/>
      <w:lang w:val="en-US" w:eastAsia="zh-CN" w:bidi="ar-SA"/>
    </w:rPr>
  </w:style>
  <w:style w:type="character" w:styleId="780" w:customStyle="1">
    <w:name w:val="默认段落字体11"/>
    <w:uiPriority w:val="1"/>
    <w:unhideWhenUsed/>
    <w:qFormat/>
  </w:style>
  <w:style w:type="table" w:styleId="781" w:customStyle="1">
    <w:name w:val="普通表格11"/>
    <w:uiPriority w:val="99"/>
    <w:unhideWhenUsed/>
    <w:qFormat/>
    <w:tblPr>
      <w:tblCellMar>
        <w:left w:w="0" w:type="dxa"/>
        <w:top w:w="0" w:type="dxa"/>
        <w:right w:w="0" w:type="dxa"/>
        <w:bottom w:w="0" w:type="dxa"/>
      </w:tblCellMar>
    </w:tblPr>
  </w:style>
  <w:style w:type="paragraph" w:styleId="782" w:customStyle="1">
    <w:name w:val="目录 711"/>
    <w:basedOn w:val="693"/>
    <w:next w:val="693"/>
    <w:uiPriority w:val="39"/>
    <w:unhideWhenUsed/>
    <w:qFormat/>
    <w:pPr>
      <w:ind w:left="1701"/>
      <w:spacing w:after="57"/>
    </w:pPr>
  </w:style>
  <w:style w:type="paragraph" w:styleId="783" w:customStyle="1">
    <w:name w:val="批注文字11"/>
    <w:basedOn w:val="693"/>
    <w:uiPriority w:val="0"/>
    <w:qFormat/>
    <w:pPr>
      <w:jc w:val="left"/>
    </w:pPr>
  </w:style>
  <w:style w:type="paragraph" w:styleId="784" w:customStyle="1">
    <w:name w:val="正文文本11"/>
    <w:basedOn w:val="693"/>
    <w:next w:val="693"/>
    <w:uiPriority w:val="0"/>
    <w:qFormat/>
    <w:rPr>
      <w:rFonts w:ascii="楷体_GB2312" w:hAnsi="Arial" w:eastAsia="楷体_GB2312"/>
      <w:sz w:val="28"/>
      <w:szCs w:val="28"/>
    </w:rPr>
  </w:style>
  <w:style w:type="paragraph" w:styleId="785" w:customStyle="1">
    <w:name w:val="目录 511"/>
    <w:basedOn w:val="693"/>
    <w:next w:val="693"/>
    <w:uiPriority w:val="39"/>
    <w:unhideWhenUsed/>
    <w:qFormat/>
    <w:pPr>
      <w:ind w:left="1134"/>
      <w:spacing w:after="57"/>
    </w:pPr>
  </w:style>
  <w:style w:type="paragraph" w:styleId="786" w:customStyle="1">
    <w:name w:val="目录 311"/>
    <w:basedOn w:val="693"/>
    <w:next w:val="693"/>
    <w:uiPriority w:val="39"/>
    <w:unhideWhenUsed/>
    <w:qFormat/>
    <w:pPr>
      <w:ind w:left="567"/>
      <w:spacing w:after="57"/>
    </w:pPr>
  </w:style>
  <w:style w:type="paragraph" w:styleId="787" w:customStyle="1">
    <w:name w:val="目录 811"/>
    <w:basedOn w:val="693"/>
    <w:next w:val="693"/>
    <w:uiPriority w:val="39"/>
    <w:unhideWhenUsed/>
    <w:qFormat/>
    <w:pPr>
      <w:ind w:left="1984"/>
      <w:spacing w:after="57"/>
    </w:pPr>
  </w:style>
  <w:style w:type="paragraph" w:styleId="788" w:customStyle="1">
    <w:name w:val="日期11"/>
    <w:basedOn w:val="693"/>
    <w:next w:val="693"/>
    <w:link w:val="789"/>
    <w:uiPriority w:val="99"/>
    <w:unhideWhenUsed/>
    <w:qFormat/>
    <w:pPr>
      <w:ind w:left="100"/>
    </w:pPr>
  </w:style>
  <w:style w:type="character" w:styleId="789" w:customStyle="1">
    <w:name w:val="日期 字符"/>
    <w:link w:val="788"/>
    <w:uiPriority w:val="99"/>
    <w:semiHidden/>
    <w:qFormat/>
    <w:rPr>
      <w:sz w:val="21"/>
      <w:szCs w:val="22"/>
    </w:rPr>
  </w:style>
  <w:style w:type="paragraph" w:styleId="790" w:customStyle="1">
    <w:name w:val="尾注文本1"/>
    <w:basedOn w:val="693"/>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1"/>
    <w:basedOn w:val="693"/>
    <w:link w:val="793"/>
    <w:uiPriority w:val="99"/>
    <w:unhideWhenUsed/>
    <w:qFormat/>
    <w:rPr>
      <w:sz w:val="18"/>
      <w:szCs w:val="18"/>
    </w:rPr>
  </w:style>
  <w:style w:type="character" w:styleId="793" w:customStyle="1">
    <w:name w:val="批注框文本 字符"/>
    <w:link w:val="792"/>
    <w:uiPriority w:val="99"/>
    <w:semiHidden/>
    <w:qFormat/>
    <w:rPr>
      <w:sz w:val="18"/>
      <w:szCs w:val="18"/>
    </w:rPr>
  </w:style>
  <w:style w:type="paragraph" w:styleId="794" w:customStyle="1">
    <w:name w:val="页脚11"/>
    <w:basedOn w:val="693"/>
    <w:uiPriority w:val="99"/>
    <w:unhideWhenUsed/>
    <w:qFormat/>
    <w:pPr>
      <w:jc w:val="left"/>
      <w:tabs>
        <w:tab w:val="center" w:pos="4153" w:leader="none"/>
        <w:tab w:val="right" w:pos="8306" w:leader="none"/>
      </w:tabs>
    </w:pPr>
    <w:rPr>
      <w:sz w:val="18"/>
    </w:rPr>
  </w:style>
  <w:style w:type="paragraph" w:styleId="795" w:customStyle="1">
    <w:name w:val="页眉11"/>
    <w:basedOn w:val="693"/>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6" w:customStyle="1">
    <w:name w:val="目录 111"/>
    <w:basedOn w:val="693"/>
    <w:next w:val="693"/>
    <w:uiPriority w:val="39"/>
    <w:unhideWhenUsed/>
    <w:qFormat/>
    <w:pPr>
      <w:spacing w:after="57"/>
    </w:pPr>
  </w:style>
  <w:style w:type="paragraph" w:styleId="797" w:customStyle="1">
    <w:name w:val="目录 411"/>
    <w:basedOn w:val="693"/>
    <w:next w:val="693"/>
    <w:uiPriority w:val="39"/>
    <w:unhideWhenUsed/>
    <w:qFormat/>
    <w:pPr>
      <w:ind w:left="850"/>
      <w:spacing w:after="57"/>
    </w:pPr>
  </w:style>
  <w:style w:type="paragraph" w:styleId="798" w:customStyle="1">
    <w:name w:val="副标题1"/>
    <w:basedOn w:val="693"/>
    <w:next w:val="693"/>
    <w:link w:val="799"/>
    <w:uiPriority w:val="11"/>
    <w:qFormat/>
    <w:pPr>
      <w:spacing w:before="200" w:after="200"/>
    </w:pPr>
    <w:rPr>
      <w:sz w:val="24"/>
      <w:szCs w:val="24"/>
    </w:rPr>
  </w:style>
  <w:style w:type="character" w:styleId="799" w:customStyle="1">
    <w:name w:val="副标题 字符"/>
    <w:link w:val="798"/>
    <w:uiPriority w:val="11"/>
    <w:qFormat/>
    <w:rPr>
      <w:sz w:val="24"/>
      <w:szCs w:val="24"/>
    </w:rPr>
  </w:style>
  <w:style w:type="paragraph" w:styleId="800" w:customStyle="1">
    <w:name w:val="脚注文本11"/>
    <w:basedOn w:val="693"/>
    <w:link w:val="801"/>
    <w:uiPriority w:val="99"/>
    <w:unhideWhenUsed/>
    <w:qFormat/>
    <w:pPr>
      <w:spacing w:after="40"/>
    </w:pPr>
    <w:rPr>
      <w:sz w:val="18"/>
    </w:rPr>
  </w:style>
  <w:style w:type="character" w:styleId="801" w:customStyle="1">
    <w:name w:val="脚注文本 字符"/>
    <w:link w:val="800"/>
    <w:uiPriority w:val="99"/>
    <w:qFormat/>
    <w:rPr>
      <w:sz w:val="18"/>
    </w:rPr>
  </w:style>
  <w:style w:type="paragraph" w:styleId="802" w:customStyle="1">
    <w:name w:val="目录 611"/>
    <w:basedOn w:val="693"/>
    <w:next w:val="693"/>
    <w:uiPriority w:val="39"/>
    <w:unhideWhenUsed/>
    <w:qFormat/>
    <w:pPr>
      <w:ind w:left="1417"/>
      <w:spacing w:after="57"/>
    </w:pPr>
  </w:style>
  <w:style w:type="paragraph" w:styleId="803" w:customStyle="1">
    <w:name w:val="图表目录1"/>
    <w:basedOn w:val="693"/>
    <w:next w:val="693"/>
    <w:uiPriority w:val="99"/>
    <w:unhideWhenUsed/>
    <w:qFormat/>
  </w:style>
  <w:style w:type="paragraph" w:styleId="804" w:customStyle="1">
    <w:name w:val="目录 211"/>
    <w:basedOn w:val="693"/>
    <w:next w:val="693"/>
    <w:uiPriority w:val="39"/>
    <w:unhideWhenUsed/>
    <w:qFormat/>
    <w:pPr>
      <w:ind w:left="283"/>
      <w:spacing w:after="57"/>
    </w:pPr>
  </w:style>
  <w:style w:type="paragraph" w:styleId="805" w:customStyle="1">
    <w:name w:val="目录 911"/>
    <w:basedOn w:val="693"/>
    <w:next w:val="693"/>
    <w:uiPriority w:val="39"/>
    <w:unhideWhenUsed/>
    <w:qFormat/>
    <w:pPr>
      <w:ind w:left="2268"/>
      <w:spacing w:after="57"/>
    </w:pPr>
  </w:style>
  <w:style w:type="paragraph" w:styleId="806" w:customStyle="1">
    <w:name w:val="标题1"/>
    <w:basedOn w:val="693"/>
    <w:next w:val="693"/>
    <w:link w:val="807"/>
    <w:uiPriority w:val="10"/>
    <w:qFormat/>
    <w:pPr>
      <w:contextualSpacing/>
      <w:spacing w:before="300" w:after="200"/>
    </w:pPr>
    <w:rPr>
      <w:sz w:val="48"/>
      <w:szCs w:val="48"/>
    </w:rPr>
  </w:style>
  <w:style w:type="character" w:styleId="807" w:customStyle="1">
    <w:name w:val="标题 字符"/>
    <w:link w:val="806"/>
    <w:uiPriority w:val="10"/>
    <w:qFormat/>
    <w:rPr>
      <w:sz w:val="48"/>
      <w:szCs w:val="48"/>
    </w:rPr>
  </w:style>
  <w:style w:type="table" w:styleId="808" w:customStyle="1">
    <w:name w:val="网格型11"/>
    <w:uiPriority w:val="59"/>
    <w:qFormat/>
    <w:tblPr>
      <w:tblCellMar>
        <w:left w:w="0" w:type="dxa"/>
        <w:top w:w="0" w:type="dxa"/>
        <w:right w:w="0" w:type="dxa"/>
        <w:bottom w:w="0" w:type="dxa"/>
      </w:tblCellMar>
    </w:tblPr>
  </w:style>
  <w:style w:type="character" w:styleId="809" w:customStyle="1">
    <w:name w:val="尾注引用1"/>
    <w:uiPriority w:val="99"/>
    <w:unhideWhenUsed/>
    <w:qFormat/>
    <w:rPr>
      <w:vertAlign w:val="superscript"/>
    </w:rPr>
  </w:style>
  <w:style w:type="character" w:styleId="810" w:customStyle="1">
    <w:name w:val="超链接11"/>
    <w:uiPriority w:val="99"/>
    <w:unhideWhenUsed/>
    <w:qFormat/>
    <w:rPr>
      <w:color w:val="0000ff"/>
      <w:u w:val="single"/>
    </w:rPr>
  </w:style>
  <w:style w:type="character" w:styleId="811" w:customStyle="1">
    <w:name w:val="脚注引用11"/>
    <w:uiPriority w:val="99"/>
    <w:unhideWhenUsed/>
    <w:qFormat/>
    <w:rPr>
      <w:vertAlign w:val="superscript"/>
    </w:rPr>
  </w:style>
  <w:style w:type="character" w:styleId="812" w:customStyle="1">
    <w:name w:val="标题 1 字符"/>
    <w:link w:val="694"/>
    <w:uiPriority w:val="9"/>
    <w:qFormat/>
    <w:rPr>
      <w:rFonts w:ascii="Arial" w:hAnsi="Arial" w:eastAsia="Arial" w:cs="Arial"/>
      <w:sz w:val="40"/>
      <w:szCs w:val="40"/>
    </w:rPr>
  </w:style>
  <w:style w:type="character" w:styleId="813" w:customStyle="1">
    <w:name w:val="标题 2 字符"/>
    <w:link w:val="695"/>
    <w:uiPriority w:val="9"/>
    <w:qFormat/>
    <w:rPr>
      <w:rFonts w:ascii="Arial" w:hAnsi="Arial" w:eastAsia="Arial" w:cs="Arial"/>
      <w:sz w:val="34"/>
    </w:rPr>
  </w:style>
  <w:style w:type="character" w:styleId="814" w:customStyle="1">
    <w:name w:val="标题 3 字符"/>
    <w:link w:val="696"/>
    <w:uiPriority w:val="9"/>
    <w:qFormat/>
    <w:rPr>
      <w:rFonts w:ascii="Arial" w:hAnsi="Arial" w:eastAsia="Arial" w:cs="Arial"/>
      <w:sz w:val="30"/>
      <w:szCs w:val="30"/>
    </w:rPr>
  </w:style>
  <w:style w:type="character" w:styleId="815" w:customStyle="1">
    <w:name w:val="标题 4 字符"/>
    <w:link w:val="697"/>
    <w:uiPriority w:val="9"/>
    <w:qFormat/>
    <w:rPr>
      <w:rFonts w:ascii="Arial" w:hAnsi="Arial" w:eastAsia="Arial" w:cs="Arial"/>
      <w:b/>
      <w:bCs/>
      <w:sz w:val="26"/>
      <w:szCs w:val="26"/>
    </w:rPr>
  </w:style>
  <w:style w:type="character" w:styleId="816" w:customStyle="1">
    <w:name w:val="标题 5 字符"/>
    <w:link w:val="698"/>
    <w:uiPriority w:val="9"/>
    <w:qFormat/>
    <w:rPr>
      <w:rFonts w:ascii="Arial" w:hAnsi="Arial" w:eastAsia="Arial" w:cs="Arial"/>
      <w:b/>
      <w:bCs/>
      <w:sz w:val="24"/>
      <w:szCs w:val="24"/>
    </w:rPr>
  </w:style>
  <w:style w:type="character" w:styleId="817" w:customStyle="1">
    <w:name w:val="标题 6 字符"/>
    <w:link w:val="699"/>
    <w:uiPriority w:val="9"/>
    <w:qFormat/>
    <w:rPr>
      <w:rFonts w:ascii="Arial" w:hAnsi="Arial" w:eastAsia="Arial" w:cs="Arial"/>
      <w:b/>
      <w:bCs/>
      <w:sz w:val="22"/>
      <w:szCs w:val="22"/>
    </w:rPr>
  </w:style>
  <w:style w:type="character" w:styleId="818" w:customStyle="1">
    <w:name w:val="标题 7 字符"/>
    <w:link w:val="700"/>
    <w:uiPriority w:val="9"/>
    <w:qFormat/>
    <w:rPr>
      <w:rFonts w:ascii="Arial" w:hAnsi="Arial" w:eastAsia="Arial" w:cs="Arial"/>
      <w:b/>
      <w:bCs/>
      <w:i/>
      <w:iCs/>
      <w:sz w:val="22"/>
      <w:szCs w:val="22"/>
    </w:rPr>
  </w:style>
  <w:style w:type="character" w:styleId="819" w:customStyle="1">
    <w:name w:val="标题 8 字符"/>
    <w:link w:val="701"/>
    <w:uiPriority w:val="9"/>
    <w:qFormat/>
    <w:rPr>
      <w:rFonts w:ascii="Arial" w:hAnsi="Arial" w:eastAsia="Arial" w:cs="Arial"/>
      <w:i/>
      <w:iCs/>
      <w:sz w:val="22"/>
      <w:szCs w:val="22"/>
    </w:rPr>
  </w:style>
  <w:style w:type="character" w:styleId="820" w:customStyle="1">
    <w:name w:val="标题 9 字符"/>
    <w:link w:val="702"/>
    <w:uiPriority w:val="9"/>
    <w:qFormat/>
    <w:rPr>
      <w:rFonts w:ascii="Arial" w:hAnsi="Arial" w:eastAsia="Arial" w:cs="Arial"/>
      <w:i/>
      <w:iCs/>
      <w:sz w:val="21"/>
      <w:szCs w:val="21"/>
    </w:rPr>
  </w:style>
  <w:style w:type="paragraph" w:styleId="821" w:customStyle="1">
    <w:name w:val="列表段落1"/>
    <w:basedOn w:val="693"/>
    <w:uiPriority w:val="34"/>
    <w:qFormat/>
    <w:pPr>
      <w:contextualSpacing/>
      <w:ind w:left="720"/>
    </w:pPr>
  </w:style>
  <w:style w:type="paragraph" w:styleId="822" w:customStyle="1">
    <w:name w:val="无间隔1"/>
    <w:uiPriority w:val="1"/>
    <w:qFormat/>
    <w:rPr>
      <w:rFonts w:ascii="Times New Roman" w:hAnsi="Times New Roman" w:eastAsia="宋体" w:cs="Times New Roman"/>
      <w:lang w:val="en-US" w:eastAsia="zh-CN" w:bidi="ar-SA"/>
    </w:rPr>
  </w:style>
  <w:style w:type="paragraph" w:styleId="823" w:customStyle="1">
    <w:name w:val="引用1"/>
    <w:basedOn w:val="693"/>
    <w:next w:val="693"/>
    <w:link w:val="824"/>
    <w:uiPriority w:val="29"/>
    <w:qFormat/>
    <w:pPr>
      <w:ind w:left="720" w:right="720"/>
    </w:pPr>
    <w:rPr>
      <w:i/>
    </w:rPr>
  </w:style>
  <w:style w:type="character" w:styleId="824" w:customStyle="1">
    <w:name w:val="引用 字符"/>
    <w:link w:val="823"/>
    <w:uiPriority w:val="29"/>
    <w:qFormat/>
    <w:rPr>
      <w:i/>
    </w:rPr>
  </w:style>
  <w:style w:type="paragraph" w:styleId="825" w:customStyle="1">
    <w:name w:val="明显引用1"/>
    <w:basedOn w:val="693"/>
    <w:next w:val="693"/>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paragraph" w:styleId="827" w:customStyle="1">
    <w:name w:val="Header1"/>
    <w:basedOn w:val="693"/>
    <w:link w:val="828"/>
    <w:uiPriority w:val="99"/>
    <w:unhideWhenUsed/>
    <w:qFormat/>
    <w:pPr>
      <w:tabs>
        <w:tab w:val="center" w:pos="7143" w:leader="none"/>
        <w:tab w:val="right" w:pos="14287" w:leader="none"/>
      </w:tabs>
    </w:pPr>
  </w:style>
  <w:style w:type="character" w:styleId="828" w:customStyle="1">
    <w:name w:val="Header Char"/>
    <w:link w:val="827"/>
    <w:uiPriority w:val="99"/>
    <w:qFormat/>
  </w:style>
  <w:style w:type="paragraph" w:styleId="829" w:customStyle="1">
    <w:name w:val="Footer1"/>
    <w:basedOn w:val="693"/>
    <w:link w:val="830"/>
    <w:uiPriority w:val="99"/>
    <w:unhideWhenUsed/>
    <w:qFormat/>
    <w:pPr>
      <w:tabs>
        <w:tab w:val="center" w:pos="7143" w:leader="none"/>
        <w:tab w:val="right" w:pos="14287" w:leader="none"/>
      </w:tabs>
    </w:pPr>
  </w:style>
  <w:style w:type="character" w:styleId="830" w:customStyle="1">
    <w:name w:val="Footer Char"/>
    <w:link w:val="829"/>
    <w:uiPriority w:val="99"/>
    <w:qFormat/>
  </w:style>
  <w:style w:type="character" w:styleId="831" w:customStyle="1">
    <w:name w:val="页脚 字符"/>
    <w:link w:val="715"/>
    <w:uiPriority w:val="99"/>
    <w:qFormat/>
  </w:style>
  <w:style w:type="paragraph" w:styleId="832" w:customStyle="1">
    <w:name w:val="Caption1"/>
    <w:basedOn w:val="693"/>
    <w:next w:val="693"/>
    <w:uiPriority w:val="35"/>
    <w:unhideWhenUsed/>
    <w:qFormat/>
    <w:pPr>
      <w:spacing w:line="276" w:lineRule="auto"/>
    </w:pPr>
    <w:rPr>
      <w:b/>
      <w:bCs/>
      <w:color w:val="4f81bd"/>
      <w:sz w:val="18"/>
      <w:szCs w:val="18"/>
    </w:rPr>
  </w:style>
  <w:style w:type="table" w:styleId="833" w:customStyle="1">
    <w:name w:val="Table Grid Light"/>
    <w:uiPriority w:val="59"/>
    <w:qFormat/>
    <w:tblPr>
      <w:tblCellMar>
        <w:left w:w="0" w:type="dxa"/>
        <w:top w:w="0" w:type="dxa"/>
        <w:right w:w="0" w:type="dxa"/>
        <w:bottom w:w="0" w:type="dxa"/>
      </w:tblCellMar>
    </w:tblPr>
  </w:style>
  <w:style w:type="table" w:styleId="834" w:customStyle="1">
    <w:name w:val="Grid Table 1 Light - Accent 1"/>
    <w:uiPriority w:val="99"/>
    <w:qFormat/>
    <w:tblPr>
      <w:tblCellMar>
        <w:left w:w="0" w:type="dxa"/>
        <w:top w:w="0" w:type="dxa"/>
        <w:right w:w="0" w:type="dxa"/>
        <w:bottom w:w="0" w:type="dxa"/>
      </w:tblCellMar>
    </w:tblPr>
  </w:style>
  <w:style w:type="table" w:styleId="835" w:customStyle="1">
    <w:name w:val="Grid Table 1 Light - Accent 2"/>
    <w:uiPriority w:val="99"/>
    <w:qFormat/>
    <w:tblPr>
      <w:tblCellMar>
        <w:left w:w="0" w:type="dxa"/>
        <w:top w:w="0" w:type="dxa"/>
        <w:right w:w="0" w:type="dxa"/>
        <w:bottom w:w="0" w:type="dxa"/>
      </w:tblCellMar>
    </w:tblPr>
  </w:style>
  <w:style w:type="table" w:styleId="836" w:customStyle="1">
    <w:name w:val="Grid Table 1 Light - Accent 3"/>
    <w:uiPriority w:val="99"/>
    <w:qFormat/>
    <w:tblPr>
      <w:tblCellMar>
        <w:left w:w="0" w:type="dxa"/>
        <w:top w:w="0" w:type="dxa"/>
        <w:right w:w="0" w:type="dxa"/>
        <w:bottom w:w="0" w:type="dxa"/>
      </w:tblCellMar>
    </w:tblPr>
  </w:style>
  <w:style w:type="table" w:styleId="837" w:customStyle="1">
    <w:name w:val="Grid Table 1 Light - Accent 4"/>
    <w:uiPriority w:val="99"/>
    <w:qFormat/>
    <w:tblPr>
      <w:tblCellMar>
        <w:left w:w="0" w:type="dxa"/>
        <w:top w:w="0" w:type="dxa"/>
        <w:right w:w="0" w:type="dxa"/>
        <w:bottom w:w="0" w:type="dxa"/>
      </w:tblCellMar>
    </w:tblPr>
  </w:style>
  <w:style w:type="table" w:styleId="838" w:customStyle="1">
    <w:name w:val="Grid Table 1 Light - Accent 5"/>
    <w:uiPriority w:val="99"/>
    <w:qFormat/>
    <w:tblPr>
      <w:tblCellMar>
        <w:left w:w="0" w:type="dxa"/>
        <w:top w:w="0" w:type="dxa"/>
        <w:right w:w="0" w:type="dxa"/>
        <w:bottom w:w="0" w:type="dxa"/>
      </w:tblCellMar>
    </w:tblPr>
  </w:style>
  <w:style w:type="table" w:styleId="839" w:customStyle="1">
    <w:name w:val="Grid Table 1 Light - Accent 6"/>
    <w:uiPriority w:val="99"/>
    <w:qFormat/>
    <w:tblPr>
      <w:tblCellMar>
        <w:left w:w="0" w:type="dxa"/>
        <w:top w:w="0" w:type="dxa"/>
        <w:right w:w="0" w:type="dxa"/>
        <w:bottom w:w="0" w:type="dxa"/>
      </w:tblCellMar>
    </w:tblPr>
  </w:style>
  <w:style w:type="table" w:styleId="840" w:customStyle="1">
    <w:name w:val="Grid Table 2 - Accent 1"/>
    <w:uiPriority w:val="99"/>
    <w:qFormat/>
    <w:tblPr>
      <w:tblCellMar>
        <w:left w:w="0" w:type="dxa"/>
        <w:top w:w="0" w:type="dxa"/>
        <w:right w:w="0" w:type="dxa"/>
        <w:bottom w:w="0" w:type="dxa"/>
      </w:tblCellMar>
    </w:tblPr>
  </w:style>
  <w:style w:type="table" w:styleId="841" w:customStyle="1">
    <w:name w:val="Grid Table 2 - Accent 2"/>
    <w:uiPriority w:val="99"/>
    <w:qFormat/>
    <w:tblPr>
      <w:tblCellMar>
        <w:left w:w="0" w:type="dxa"/>
        <w:top w:w="0" w:type="dxa"/>
        <w:right w:w="0" w:type="dxa"/>
        <w:bottom w:w="0" w:type="dxa"/>
      </w:tblCellMar>
    </w:tblPr>
  </w:style>
  <w:style w:type="table" w:styleId="842" w:customStyle="1">
    <w:name w:val="Grid Table 2 - Accent 3"/>
    <w:uiPriority w:val="99"/>
    <w:qFormat/>
    <w:tblPr>
      <w:tblCellMar>
        <w:left w:w="0" w:type="dxa"/>
        <w:top w:w="0" w:type="dxa"/>
        <w:right w:w="0" w:type="dxa"/>
        <w:bottom w:w="0" w:type="dxa"/>
      </w:tblCellMar>
    </w:tblPr>
  </w:style>
  <w:style w:type="table" w:styleId="843" w:customStyle="1">
    <w:name w:val="Grid Table 2 - Accent 4"/>
    <w:uiPriority w:val="99"/>
    <w:qFormat/>
    <w:tblPr>
      <w:tblCellMar>
        <w:left w:w="0" w:type="dxa"/>
        <w:top w:w="0" w:type="dxa"/>
        <w:right w:w="0" w:type="dxa"/>
        <w:bottom w:w="0" w:type="dxa"/>
      </w:tblCellMar>
    </w:tblPr>
  </w:style>
  <w:style w:type="table" w:styleId="844" w:customStyle="1">
    <w:name w:val="Grid Table 2 - Accent 5"/>
    <w:uiPriority w:val="99"/>
    <w:qFormat/>
    <w:tblPr>
      <w:tblCellMar>
        <w:left w:w="0" w:type="dxa"/>
        <w:top w:w="0" w:type="dxa"/>
        <w:right w:w="0" w:type="dxa"/>
        <w:bottom w:w="0" w:type="dxa"/>
      </w:tblCellMar>
    </w:tblPr>
  </w:style>
  <w:style w:type="table" w:styleId="845" w:customStyle="1">
    <w:name w:val="Grid Table 2 - Accent 6"/>
    <w:uiPriority w:val="99"/>
    <w:qFormat/>
    <w:tblPr>
      <w:tblCellMar>
        <w:left w:w="0" w:type="dxa"/>
        <w:top w:w="0" w:type="dxa"/>
        <w:right w:w="0" w:type="dxa"/>
        <w:bottom w:w="0" w:type="dxa"/>
      </w:tblCellMar>
    </w:tblPr>
  </w:style>
  <w:style w:type="table" w:styleId="846" w:customStyle="1">
    <w:name w:val="Grid Table 3 - Accent 1"/>
    <w:uiPriority w:val="99"/>
    <w:qFormat/>
    <w:tblPr>
      <w:tblCellMar>
        <w:left w:w="0" w:type="dxa"/>
        <w:top w:w="0" w:type="dxa"/>
        <w:right w:w="0" w:type="dxa"/>
        <w:bottom w:w="0" w:type="dxa"/>
      </w:tblCellMar>
    </w:tblPr>
  </w:style>
  <w:style w:type="table" w:styleId="847" w:customStyle="1">
    <w:name w:val="Grid Table 3 - Accent 2"/>
    <w:uiPriority w:val="99"/>
    <w:qFormat/>
    <w:tblPr>
      <w:tblCellMar>
        <w:left w:w="0" w:type="dxa"/>
        <w:top w:w="0" w:type="dxa"/>
        <w:right w:w="0" w:type="dxa"/>
        <w:bottom w:w="0" w:type="dxa"/>
      </w:tblCellMar>
    </w:tblPr>
  </w:style>
  <w:style w:type="table" w:styleId="848" w:customStyle="1">
    <w:name w:val="Grid Table 3 - Accent 3"/>
    <w:uiPriority w:val="99"/>
    <w:qFormat/>
    <w:tblPr>
      <w:tblCellMar>
        <w:left w:w="0" w:type="dxa"/>
        <w:top w:w="0" w:type="dxa"/>
        <w:right w:w="0" w:type="dxa"/>
        <w:bottom w:w="0" w:type="dxa"/>
      </w:tblCellMar>
    </w:tblPr>
  </w:style>
  <w:style w:type="table" w:styleId="849" w:customStyle="1">
    <w:name w:val="Grid Table 3 - Accent 4"/>
    <w:uiPriority w:val="99"/>
    <w:qFormat/>
    <w:tblPr>
      <w:tblCellMar>
        <w:left w:w="0" w:type="dxa"/>
        <w:top w:w="0" w:type="dxa"/>
        <w:right w:w="0" w:type="dxa"/>
        <w:bottom w:w="0" w:type="dxa"/>
      </w:tblCellMar>
    </w:tblPr>
  </w:style>
  <w:style w:type="table" w:styleId="850" w:customStyle="1">
    <w:name w:val="Grid Table 3 - Accent 5"/>
    <w:uiPriority w:val="99"/>
    <w:qFormat/>
    <w:tblPr>
      <w:tblCellMar>
        <w:left w:w="0" w:type="dxa"/>
        <w:top w:w="0" w:type="dxa"/>
        <w:right w:w="0" w:type="dxa"/>
        <w:bottom w:w="0" w:type="dxa"/>
      </w:tblCellMar>
    </w:tblPr>
  </w:style>
  <w:style w:type="table" w:styleId="851" w:customStyle="1">
    <w:name w:val="Grid Table 3 - Accent 6"/>
    <w:uiPriority w:val="99"/>
    <w:qFormat/>
    <w:tblPr>
      <w:tblCellMar>
        <w:left w:w="0" w:type="dxa"/>
        <w:top w:w="0" w:type="dxa"/>
        <w:right w:w="0" w:type="dxa"/>
        <w:bottom w:w="0" w:type="dxa"/>
      </w:tblCellMar>
    </w:tblPr>
  </w:style>
  <w:style w:type="table" w:styleId="852" w:customStyle="1">
    <w:name w:val="Grid Table 4 - Accent 1"/>
    <w:uiPriority w:val="59"/>
    <w:qFormat/>
    <w:tblPr>
      <w:tblCellMar>
        <w:left w:w="0" w:type="dxa"/>
        <w:top w:w="0" w:type="dxa"/>
        <w:right w:w="0" w:type="dxa"/>
        <w:bottom w:w="0" w:type="dxa"/>
      </w:tblCellMar>
    </w:tblPr>
  </w:style>
  <w:style w:type="table" w:styleId="853" w:customStyle="1">
    <w:name w:val="Grid Table 4 - Accent 2"/>
    <w:uiPriority w:val="59"/>
    <w:qFormat/>
    <w:tblPr>
      <w:tblCellMar>
        <w:left w:w="0" w:type="dxa"/>
        <w:top w:w="0" w:type="dxa"/>
        <w:right w:w="0" w:type="dxa"/>
        <w:bottom w:w="0" w:type="dxa"/>
      </w:tblCellMar>
    </w:tblPr>
  </w:style>
  <w:style w:type="table" w:styleId="854" w:customStyle="1">
    <w:name w:val="Grid Table 4 - Accent 3"/>
    <w:uiPriority w:val="59"/>
    <w:qFormat/>
    <w:tblPr>
      <w:tblCellMar>
        <w:left w:w="0" w:type="dxa"/>
        <w:top w:w="0" w:type="dxa"/>
        <w:right w:w="0" w:type="dxa"/>
        <w:bottom w:w="0" w:type="dxa"/>
      </w:tblCellMar>
    </w:tblPr>
  </w:style>
  <w:style w:type="table" w:styleId="855" w:customStyle="1">
    <w:name w:val="Grid Table 4 - Accent 4"/>
    <w:uiPriority w:val="59"/>
    <w:qFormat/>
    <w:tblPr>
      <w:tblCellMar>
        <w:left w:w="0" w:type="dxa"/>
        <w:top w:w="0" w:type="dxa"/>
        <w:right w:w="0" w:type="dxa"/>
        <w:bottom w:w="0" w:type="dxa"/>
      </w:tblCellMar>
    </w:tblPr>
  </w:style>
  <w:style w:type="table" w:styleId="856" w:customStyle="1">
    <w:name w:val="Grid Table 4 - Accent 5"/>
    <w:uiPriority w:val="59"/>
    <w:qFormat/>
    <w:tblPr>
      <w:tblCellMar>
        <w:left w:w="0" w:type="dxa"/>
        <w:top w:w="0" w:type="dxa"/>
        <w:right w:w="0" w:type="dxa"/>
        <w:bottom w:w="0" w:type="dxa"/>
      </w:tblCellMar>
    </w:tblPr>
  </w:style>
  <w:style w:type="table" w:styleId="857" w:customStyle="1">
    <w:name w:val="Grid Table 4 - Accent 6"/>
    <w:uiPriority w:val="59"/>
    <w:qFormat/>
    <w:tblPr>
      <w:tblCellMar>
        <w:left w:w="0" w:type="dxa"/>
        <w:top w:w="0" w:type="dxa"/>
        <w:right w:w="0" w:type="dxa"/>
        <w:bottom w:w="0" w:type="dxa"/>
      </w:tblCellMar>
    </w:tblPr>
  </w:style>
  <w:style w:type="table" w:styleId="858" w:customStyle="1">
    <w:name w:val="Grid Table 5 Dark- Accent 1"/>
    <w:uiPriority w:val="99"/>
    <w:qFormat/>
    <w:tblPr>
      <w:tblCellMar>
        <w:left w:w="0" w:type="dxa"/>
        <w:top w:w="0" w:type="dxa"/>
        <w:right w:w="0" w:type="dxa"/>
        <w:bottom w:w="0" w:type="dxa"/>
      </w:tblCellMar>
    </w:tblPr>
  </w:style>
  <w:style w:type="table" w:styleId="859" w:customStyle="1">
    <w:name w:val="Grid Table 5 Dark - Accent 2"/>
    <w:uiPriority w:val="99"/>
    <w:qFormat/>
    <w:tblPr>
      <w:tblCellMar>
        <w:left w:w="0" w:type="dxa"/>
        <w:top w:w="0" w:type="dxa"/>
        <w:right w:w="0" w:type="dxa"/>
        <w:bottom w:w="0" w:type="dxa"/>
      </w:tblCellMar>
    </w:tblPr>
  </w:style>
  <w:style w:type="table" w:styleId="860" w:customStyle="1">
    <w:name w:val="Grid Table 5 Dark - Accent 3"/>
    <w:uiPriority w:val="99"/>
    <w:qFormat/>
    <w:tblPr>
      <w:tblCellMar>
        <w:left w:w="0" w:type="dxa"/>
        <w:top w:w="0" w:type="dxa"/>
        <w:right w:w="0" w:type="dxa"/>
        <w:bottom w:w="0" w:type="dxa"/>
      </w:tblCellMar>
    </w:tblPr>
  </w:style>
  <w:style w:type="table" w:styleId="861" w:customStyle="1">
    <w:name w:val="Grid Table 5 Dark- Accent 4"/>
    <w:uiPriority w:val="99"/>
    <w:qFormat/>
    <w:tblPr>
      <w:tblCellMar>
        <w:left w:w="0" w:type="dxa"/>
        <w:top w:w="0" w:type="dxa"/>
        <w:right w:w="0" w:type="dxa"/>
        <w:bottom w:w="0" w:type="dxa"/>
      </w:tblCellMar>
    </w:tblPr>
  </w:style>
  <w:style w:type="table" w:styleId="862" w:customStyle="1">
    <w:name w:val="Grid Table 5 Dark - Accent 5"/>
    <w:uiPriority w:val="99"/>
    <w:qFormat/>
    <w:tblPr>
      <w:tblCellMar>
        <w:left w:w="0" w:type="dxa"/>
        <w:top w:w="0" w:type="dxa"/>
        <w:right w:w="0" w:type="dxa"/>
        <w:bottom w:w="0" w:type="dxa"/>
      </w:tblCellMar>
    </w:tblPr>
  </w:style>
  <w:style w:type="table" w:styleId="863" w:customStyle="1">
    <w:name w:val="Grid Table 5 Dark - Accent 6"/>
    <w:uiPriority w:val="99"/>
    <w:qFormat/>
    <w:tblPr>
      <w:tblCellMar>
        <w:left w:w="0" w:type="dxa"/>
        <w:top w:w="0" w:type="dxa"/>
        <w:right w:w="0" w:type="dxa"/>
        <w:bottom w:w="0" w:type="dxa"/>
      </w:tblCellMar>
    </w:tblPr>
  </w:style>
  <w:style w:type="table" w:styleId="864" w:customStyle="1">
    <w:name w:val="Grid Table 6 Colorful - Accent 1"/>
    <w:uiPriority w:val="99"/>
    <w:qFormat/>
    <w:tblPr>
      <w:tblCellMar>
        <w:left w:w="0" w:type="dxa"/>
        <w:top w:w="0" w:type="dxa"/>
        <w:right w:w="0" w:type="dxa"/>
        <w:bottom w:w="0" w:type="dxa"/>
      </w:tblCellMar>
    </w:tblPr>
  </w:style>
  <w:style w:type="table" w:styleId="865" w:customStyle="1">
    <w:name w:val="Grid Table 6 Colorful - Accent 2"/>
    <w:uiPriority w:val="99"/>
    <w:qFormat/>
    <w:tblPr>
      <w:tblCellMar>
        <w:left w:w="0" w:type="dxa"/>
        <w:top w:w="0" w:type="dxa"/>
        <w:right w:w="0" w:type="dxa"/>
        <w:bottom w:w="0" w:type="dxa"/>
      </w:tblCellMar>
    </w:tblPr>
  </w:style>
  <w:style w:type="table" w:styleId="866" w:customStyle="1">
    <w:name w:val="Grid Table 6 Colorful - Accent 3"/>
    <w:uiPriority w:val="99"/>
    <w:qFormat/>
    <w:tblPr>
      <w:tblCellMar>
        <w:left w:w="0" w:type="dxa"/>
        <w:top w:w="0" w:type="dxa"/>
        <w:right w:w="0" w:type="dxa"/>
        <w:bottom w:w="0" w:type="dxa"/>
      </w:tblCellMar>
    </w:tblPr>
  </w:style>
  <w:style w:type="table" w:styleId="867" w:customStyle="1">
    <w:name w:val="Grid Table 6 Colorful - Accent 4"/>
    <w:uiPriority w:val="99"/>
    <w:qFormat/>
    <w:tblPr>
      <w:tblCellMar>
        <w:left w:w="0" w:type="dxa"/>
        <w:top w:w="0" w:type="dxa"/>
        <w:right w:w="0" w:type="dxa"/>
        <w:bottom w:w="0" w:type="dxa"/>
      </w:tblCellMar>
    </w:tblPr>
  </w:style>
  <w:style w:type="table" w:styleId="868" w:customStyle="1">
    <w:name w:val="Grid Table 6 Colorful - Accent 5"/>
    <w:uiPriority w:val="99"/>
    <w:qFormat/>
    <w:tblPr>
      <w:tblCellMar>
        <w:left w:w="0" w:type="dxa"/>
        <w:top w:w="0" w:type="dxa"/>
        <w:right w:w="0" w:type="dxa"/>
        <w:bottom w:w="0" w:type="dxa"/>
      </w:tblCellMar>
    </w:tblPr>
  </w:style>
  <w:style w:type="table" w:styleId="869" w:customStyle="1">
    <w:name w:val="Grid Table 6 Colorful - Accent 6"/>
    <w:uiPriority w:val="99"/>
    <w:qFormat/>
    <w:tblPr>
      <w:tblCellMar>
        <w:left w:w="0" w:type="dxa"/>
        <w:top w:w="0" w:type="dxa"/>
        <w:right w:w="0" w:type="dxa"/>
        <w:bottom w:w="0" w:type="dxa"/>
      </w:tblCellMar>
    </w:tblPr>
  </w:style>
  <w:style w:type="table" w:styleId="870" w:customStyle="1">
    <w:name w:val="Grid Table 7 Colorful - Accent 1"/>
    <w:uiPriority w:val="99"/>
    <w:qFormat/>
    <w:tblPr>
      <w:tblCellMar>
        <w:left w:w="0" w:type="dxa"/>
        <w:top w:w="0" w:type="dxa"/>
        <w:right w:w="0" w:type="dxa"/>
        <w:bottom w:w="0" w:type="dxa"/>
      </w:tblCellMar>
    </w:tblPr>
  </w:style>
  <w:style w:type="table" w:styleId="871" w:customStyle="1">
    <w:name w:val="Grid Table 7 Colorful - Accent 2"/>
    <w:uiPriority w:val="99"/>
    <w:qFormat/>
    <w:tblPr>
      <w:tblCellMar>
        <w:left w:w="0" w:type="dxa"/>
        <w:top w:w="0" w:type="dxa"/>
        <w:right w:w="0" w:type="dxa"/>
        <w:bottom w:w="0" w:type="dxa"/>
      </w:tblCellMar>
    </w:tblPr>
  </w:style>
  <w:style w:type="table" w:styleId="872" w:customStyle="1">
    <w:name w:val="Grid Table 7 Colorful - Accent 3"/>
    <w:uiPriority w:val="99"/>
    <w:qFormat/>
    <w:tblPr>
      <w:tblCellMar>
        <w:left w:w="0" w:type="dxa"/>
        <w:top w:w="0" w:type="dxa"/>
        <w:right w:w="0" w:type="dxa"/>
        <w:bottom w:w="0" w:type="dxa"/>
      </w:tblCellMar>
    </w:tblPr>
  </w:style>
  <w:style w:type="table" w:styleId="873" w:customStyle="1">
    <w:name w:val="Grid Table 7 Colorful - Accent 4"/>
    <w:uiPriority w:val="99"/>
    <w:qFormat/>
    <w:tblPr>
      <w:tblCellMar>
        <w:left w:w="0" w:type="dxa"/>
        <w:top w:w="0" w:type="dxa"/>
        <w:right w:w="0" w:type="dxa"/>
        <w:bottom w:w="0" w:type="dxa"/>
      </w:tblCellMar>
    </w:tblPr>
  </w:style>
  <w:style w:type="table" w:styleId="874" w:customStyle="1">
    <w:name w:val="Grid Table 7 Colorful - Accent 5"/>
    <w:uiPriority w:val="99"/>
    <w:qFormat/>
    <w:tblPr>
      <w:tblCellMar>
        <w:left w:w="0" w:type="dxa"/>
        <w:top w:w="0" w:type="dxa"/>
        <w:right w:w="0" w:type="dxa"/>
        <w:bottom w:w="0" w:type="dxa"/>
      </w:tblCellMar>
    </w:tblPr>
  </w:style>
  <w:style w:type="table" w:styleId="875" w:customStyle="1">
    <w:name w:val="Grid Table 7 Colorful - Accent 6"/>
    <w:uiPriority w:val="99"/>
    <w:qFormat/>
    <w:tblPr>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List Table 2 - Accent 1"/>
    <w:uiPriority w:val="99"/>
    <w:qFormat/>
    <w:tblPr>
      <w:tblCellMar>
        <w:left w:w="0" w:type="dxa"/>
        <w:top w:w="0" w:type="dxa"/>
        <w:right w:w="0" w:type="dxa"/>
        <w:bottom w:w="0" w:type="dxa"/>
      </w:tblCellMar>
    </w:tblPr>
  </w:style>
  <w:style w:type="table" w:styleId="883" w:customStyle="1">
    <w:name w:val="List Table 2 - Accent 2"/>
    <w:uiPriority w:val="99"/>
    <w:qFormat/>
    <w:tblPr>
      <w:tblCellMar>
        <w:left w:w="0" w:type="dxa"/>
        <w:top w:w="0" w:type="dxa"/>
        <w:right w:w="0" w:type="dxa"/>
        <w:bottom w:w="0" w:type="dxa"/>
      </w:tblCellMar>
    </w:tblPr>
  </w:style>
  <w:style w:type="table" w:styleId="884" w:customStyle="1">
    <w:name w:val="List Table 2 - Accent 3"/>
    <w:uiPriority w:val="99"/>
    <w:qFormat/>
    <w:tblPr>
      <w:tblCellMar>
        <w:left w:w="0" w:type="dxa"/>
        <w:top w:w="0" w:type="dxa"/>
        <w:right w:w="0" w:type="dxa"/>
        <w:bottom w:w="0" w:type="dxa"/>
      </w:tblCellMar>
    </w:tblPr>
  </w:style>
  <w:style w:type="table" w:styleId="885" w:customStyle="1">
    <w:name w:val="List Table 2 - Accent 4"/>
    <w:uiPriority w:val="99"/>
    <w:qFormat/>
    <w:tblPr>
      <w:tblCellMar>
        <w:left w:w="0" w:type="dxa"/>
        <w:top w:w="0" w:type="dxa"/>
        <w:right w:w="0" w:type="dxa"/>
        <w:bottom w:w="0" w:type="dxa"/>
      </w:tblCellMar>
    </w:tblPr>
  </w:style>
  <w:style w:type="table" w:styleId="886" w:customStyle="1">
    <w:name w:val="List Table 2 - Accent 5"/>
    <w:uiPriority w:val="99"/>
    <w:qFormat/>
    <w:tblPr>
      <w:tblCellMar>
        <w:left w:w="0" w:type="dxa"/>
        <w:top w:w="0" w:type="dxa"/>
        <w:right w:w="0" w:type="dxa"/>
        <w:bottom w:w="0" w:type="dxa"/>
      </w:tblCellMar>
    </w:tblPr>
  </w:style>
  <w:style w:type="table" w:styleId="887" w:customStyle="1">
    <w:name w:val="List Table 2 - Accent 6"/>
    <w:uiPriority w:val="99"/>
    <w:qFormat/>
    <w:tblPr>
      <w:tblCellMar>
        <w:left w:w="0" w:type="dxa"/>
        <w:top w:w="0" w:type="dxa"/>
        <w:right w:w="0" w:type="dxa"/>
        <w:bottom w:w="0" w:type="dxa"/>
      </w:tblCellMar>
    </w:tblPr>
  </w:style>
  <w:style w:type="table" w:styleId="888" w:customStyle="1">
    <w:name w:val="List Table 3 - Accent 1"/>
    <w:uiPriority w:val="99"/>
    <w:qFormat/>
    <w:tblPr>
      <w:tblCellMar>
        <w:left w:w="0" w:type="dxa"/>
        <w:top w:w="0" w:type="dxa"/>
        <w:right w:w="0" w:type="dxa"/>
        <w:bottom w:w="0" w:type="dxa"/>
      </w:tblCellMar>
    </w:tblPr>
  </w:style>
  <w:style w:type="table" w:styleId="889" w:customStyle="1">
    <w:name w:val="List Table 3 - Accent 2"/>
    <w:uiPriority w:val="99"/>
    <w:qFormat/>
    <w:tblPr>
      <w:tblCellMar>
        <w:left w:w="0" w:type="dxa"/>
        <w:top w:w="0" w:type="dxa"/>
        <w:right w:w="0" w:type="dxa"/>
        <w:bottom w:w="0" w:type="dxa"/>
      </w:tblCellMar>
    </w:tblPr>
  </w:style>
  <w:style w:type="table" w:styleId="890" w:customStyle="1">
    <w:name w:val="List Table 3 - Accent 3"/>
    <w:uiPriority w:val="99"/>
    <w:qFormat/>
    <w:tblPr>
      <w:tblCellMar>
        <w:left w:w="0" w:type="dxa"/>
        <w:top w:w="0" w:type="dxa"/>
        <w:right w:w="0" w:type="dxa"/>
        <w:bottom w:w="0" w:type="dxa"/>
      </w:tblCellMar>
    </w:tblPr>
  </w:style>
  <w:style w:type="table" w:styleId="891" w:customStyle="1">
    <w:name w:val="List Table 3 - Accent 4"/>
    <w:uiPriority w:val="99"/>
    <w:qFormat/>
    <w:tblPr>
      <w:tblCellMar>
        <w:left w:w="0" w:type="dxa"/>
        <w:top w:w="0" w:type="dxa"/>
        <w:right w:w="0" w:type="dxa"/>
        <w:bottom w:w="0" w:type="dxa"/>
      </w:tblCellMar>
    </w:tblPr>
  </w:style>
  <w:style w:type="table" w:styleId="892" w:customStyle="1">
    <w:name w:val="List Table 3 - Accent 5"/>
    <w:uiPriority w:val="99"/>
    <w:qFormat/>
    <w:tblPr>
      <w:tblCellMar>
        <w:left w:w="0" w:type="dxa"/>
        <w:top w:w="0" w:type="dxa"/>
        <w:right w:w="0" w:type="dxa"/>
        <w:bottom w:w="0" w:type="dxa"/>
      </w:tblCellMar>
    </w:tblPr>
  </w:style>
  <w:style w:type="table" w:styleId="893" w:customStyle="1">
    <w:name w:val="List Table 3 - Accent 6"/>
    <w:uiPriority w:val="99"/>
    <w:qFormat/>
    <w:tblPr>
      <w:tblCellMar>
        <w:left w:w="0" w:type="dxa"/>
        <w:top w:w="0" w:type="dxa"/>
        <w:right w:w="0" w:type="dxa"/>
        <w:bottom w:w="0" w:type="dxa"/>
      </w:tblCellMar>
    </w:tblPr>
  </w:style>
  <w:style w:type="table" w:styleId="894" w:customStyle="1">
    <w:name w:val="List Table 4 - Accent 1"/>
    <w:uiPriority w:val="99"/>
    <w:qFormat/>
    <w:tblPr>
      <w:tblCellMar>
        <w:left w:w="0" w:type="dxa"/>
        <w:top w:w="0" w:type="dxa"/>
        <w:right w:w="0" w:type="dxa"/>
        <w:bottom w:w="0" w:type="dxa"/>
      </w:tblCellMar>
    </w:tblPr>
  </w:style>
  <w:style w:type="table" w:styleId="895" w:customStyle="1">
    <w:name w:val="List Table 4 - Accent 2"/>
    <w:uiPriority w:val="99"/>
    <w:qFormat/>
    <w:tblPr>
      <w:tblCellMar>
        <w:left w:w="0" w:type="dxa"/>
        <w:top w:w="0" w:type="dxa"/>
        <w:right w:w="0" w:type="dxa"/>
        <w:bottom w:w="0" w:type="dxa"/>
      </w:tblCellMar>
    </w:tblPr>
  </w:style>
  <w:style w:type="table" w:styleId="896" w:customStyle="1">
    <w:name w:val="List Table 4 - Accent 3"/>
    <w:uiPriority w:val="99"/>
    <w:qFormat/>
    <w:tblPr>
      <w:tblCellMar>
        <w:left w:w="0" w:type="dxa"/>
        <w:top w:w="0" w:type="dxa"/>
        <w:right w:w="0" w:type="dxa"/>
        <w:bottom w:w="0" w:type="dxa"/>
      </w:tblCellMar>
    </w:tblPr>
  </w:style>
  <w:style w:type="table" w:styleId="897" w:customStyle="1">
    <w:name w:val="List Table 4 - Accent 4"/>
    <w:uiPriority w:val="99"/>
    <w:qFormat/>
    <w:tblPr>
      <w:tblCellMar>
        <w:left w:w="0" w:type="dxa"/>
        <w:top w:w="0" w:type="dxa"/>
        <w:right w:w="0" w:type="dxa"/>
        <w:bottom w:w="0" w:type="dxa"/>
      </w:tblCellMar>
    </w:tblPr>
  </w:style>
  <w:style w:type="table" w:styleId="898" w:customStyle="1">
    <w:name w:val="List Table 4 - Accent 5"/>
    <w:uiPriority w:val="99"/>
    <w:qFormat/>
    <w:tblPr>
      <w:tblCellMar>
        <w:left w:w="0" w:type="dxa"/>
        <w:top w:w="0" w:type="dxa"/>
        <w:right w:w="0" w:type="dxa"/>
        <w:bottom w:w="0" w:type="dxa"/>
      </w:tblCellMar>
    </w:tblPr>
  </w:style>
  <w:style w:type="table" w:styleId="899" w:customStyle="1">
    <w:name w:val="List Table 4 - Accent 6"/>
    <w:uiPriority w:val="99"/>
    <w:qFormat/>
    <w:tblPr>
      <w:tblCellMar>
        <w:left w:w="0" w:type="dxa"/>
        <w:top w:w="0" w:type="dxa"/>
        <w:right w:w="0" w:type="dxa"/>
        <w:bottom w:w="0" w:type="dxa"/>
      </w:tblCellMar>
    </w:tblPr>
  </w:style>
  <w:style w:type="table" w:styleId="900" w:customStyle="1">
    <w:name w:val="List Table 5 Dark - Accent 1"/>
    <w:uiPriority w:val="99"/>
    <w:qFormat/>
    <w:tblPr>
      <w:tblCellMar>
        <w:left w:w="0" w:type="dxa"/>
        <w:top w:w="0" w:type="dxa"/>
        <w:right w:w="0" w:type="dxa"/>
        <w:bottom w:w="0" w:type="dxa"/>
      </w:tblCellMar>
    </w:tblPr>
  </w:style>
  <w:style w:type="table" w:styleId="901" w:customStyle="1">
    <w:name w:val="List Table 5 Dark - Accent 2"/>
    <w:uiPriority w:val="99"/>
    <w:qFormat/>
    <w:tblPr>
      <w:tblCellMar>
        <w:left w:w="0" w:type="dxa"/>
        <w:top w:w="0" w:type="dxa"/>
        <w:right w:w="0" w:type="dxa"/>
        <w:bottom w:w="0" w:type="dxa"/>
      </w:tblCellMar>
    </w:tblPr>
  </w:style>
  <w:style w:type="table" w:styleId="902" w:customStyle="1">
    <w:name w:val="List Table 5 Dark - Accent 3"/>
    <w:uiPriority w:val="99"/>
    <w:qFormat/>
    <w:tblPr>
      <w:tblCellMar>
        <w:left w:w="0" w:type="dxa"/>
        <w:top w:w="0" w:type="dxa"/>
        <w:right w:w="0" w:type="dxa"/>
        <w:bottom w:w="0" w:type="dxa"/>
      </w:tblCellMar>
    </w:tblPr>
  </w:style>
  <w:style w:type="table" w:styleId="903" w:customStyle="1">
    <w:name w:val="List Table 5 Dark - Accent 4"/>
    <w:uiPriority w:val="99"/>
    <w:qFormat/>
    <w:tblPr>
      <w:tblCellMar>
        <w:left w:w="0" w:type="dxa"/>
        <w:top w:w="0" w:type="dxa"/>
        <w:right w:w="0" w:type="dxa"/>
        <w:bottom w:w="0" w:type="dxa"/>
      </w:tblCellMar>
    </w:tblPr>
  </w:style>
  <w:style w:type="table" w:styleId="904" w:customStyle="1">
    <w:name w:val="List Table 5 Dark - Accent 5"/>
    <w:uiPriority w:val="99"/>
    <w:qFormat/>
    <w:tblPr>
      <w:tblCellMar>
        <w:left w:w="0" w:type="dxa"/>
        <w:top w:w="0" w:type="dxa"/>
        <w:right w:w="0" w:type="dxa"/>
        <w:bottom w:w="0" w:type="dxa"/>
      </w:tblCellMar>
    </w:tblPr>
  </w:style>
  <w:style w:type="table" w:styleId="905" w:customStyle="1">
    <w:name w:val="List Table 5 Dark - Accent 6"/>
    <w:uiPriority w:val="99"/>
    <w:qFormat/>
    <w:tblPr>
      <w:tblCellMar>
        <w:left w:w="0" w:type="dxa"/>
        <w:top w:w="0" w:type="dxa"/>
        <w:right w:w="0" w:type="dxa"/>
        <w:bottom w:w="0" w:type="dxa"/>
      </w:tblCellMar>
    </w:tblPr>
  </w:style>
  <w:style w:type="table" w:styleId="906" w:customStyle="1">
    <w:name w:val="List Table 6 Colorful - Accent 1"/>
    <w:uiPriority w:val="99"/>
    <w:qFormat/>
    <w:tblPr>
      <w:tblCellMar>
        <w:left w:w="0" w:type="dxa"/>
        <w:top w:w="0" w:type="dxa"/>
        <w:right w:w="0" w:type="dxa"/>
        <w:bottom w:w="0" w:type="dxa"/>
      </w:tblCellMar>
    </w:tblPr>
  </w:style>
  <w:style w:type="table" w:styleId="907" w:customStyle="1">
    <w:name w:val="List Table 6 Colorful - Accent 2"/>
    <w:uiPriority w:val="99"/>
    <w:qFormat/>
    <w:tblPr>
      <w:tblCellMar>
        <w:left w:w="0" w:type="dxa"/>
        <w:top w:w="0" w:type="dxa"/>
        <w:right w:w="0" w:type="dxa"/>
        <w:bottom w:w="0" w:type="dxa"/>
      </w:tblCellMar>
    </w:tblPr>
  </w:style>
  <w:style w:type="table" w:styleId="908" w:customStyle="1">
    <w:name w:val="List Table 6 Colorful - Accent 3"/>
    <w:uiPriority w:val="99"/>
    <w:qFormat/>
    <w:tblPr>
      <w:tblCellMar>
        <w:left w:w="0" w:type="dxa"/>
        <w:top w:w="0" w:type="dxa"/>
        <w:right w:w="0" w:type="dxa"/>
        <w:bottom w:w="0" w:type="dxa"/>
      </w:tblCellMar>
    </w:tblPr>
  </w:style>
  <w:style w:type="table" w:styleId="909" w:customStyle="1">
    <w:name w:val="List Table 6 Colorful - Accent 4"/>
    <w:uiPriority w:val="99"/>
    <w:qFormat/>
    <w:tblPr>
      <w:tblCellMar>
        <w:left w:w="0" w:type="dxa"/>
        <w:top w:w="0" w:type="dxa"/>
        <w:right w:w="0" w:type="dxa"/>
        <w:bottom w:w="0" w:type="dxa"/>
      </w:tblCellMar>
    </w:tblPr>
  </w:style>
  <w:style w:type="table" w:styleId="910" w:customStyle="1">
    <w:name w:val="List Table 6 Colorful - Accent 5"/>
    <w:uiPriority w:val="99"/>
    <w:qFormat/>
    <w:tblPr>
      <w:tblCellMar>
        <w:left w:w="0" w:type="dxa"/>
        <w:top w:w="0" w:type="dxa"/>
        <w:right w:w="0" w:type="dxa"/>
        <w:bottom w:w="0" w:type="dxa"/>
      </w:tblCellMar>
    </w:tblPr>
  </w:style>
  <w:style w:type="table" w:styleId="911" w:customStyle="1">
    <w:name w:val="List Table 6 Colorful - Accent 6"/>
    <w:uiPriority w:val="99"/>
    <w:qFormat/>
    <w:tblPr>
      <w:tblCellMar>
        <w:left w:w="0" w:type="dxa"/>
        <w:top w:w="0" w:type="dxa"/>
        <w:right w:w="0" w:type="dxa"/>
        <w:bottom w:w="0" w:type="dxa"/>
      </w:tblCellMar>
    </w:tblPr>
  </w:style>
  <w:style w:type="table" w:styleId="912" w:customStyle="1">
    <w:name w:val="List Table 7 Colorful - Accent 1"/>
    <w:uiPriority w:val="99"/>
    <w:qFormat/>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List Table 7 Colorful - Accent 3"/>
    <w:uiPriority w:val="99"/>
    <w:qFormat/>
    <w:tblPr>
      <w:tblCellMar>
        <w:left w:w="0" w:type="dxa"/>
        <w:top w:w="0" w:type="dxa"/>
        <w:right w:w="0" w:type="dxa"/>
        <w:bottom w:w="0" w:type="dxa"/>
      </w:tblCellMar>
    </w:tblPr>
  </w:style>
  <w:style w:type="table" w:styleId="915" w:customStyle="1">
    <w:name w:val="List Table 7 Colorful - Accent 4"/>
    <w:uiPriority w:val="99"/>
    <w:qFormat/>
    <w:tblPr>
      <w:tblCellMar>
        <w:left w:w="0" w:type="dxa"/>
        <w:top w:w="0" w:type="dxa"/>
        <w:right w:w="0" w:type="dxa"/>
        <w:bottom w:w="0" w:type="dxa"/>
      </w:tblCellMar>
    </w:tblPr>
  </w:style>
  <w:style w:type="table" w:styleId="916" w:customStyle="1">
    <w:name w:val="List Table 7 Colorful - Accent 5"/>
    <w:uiPriority w:val="99"/>
    <w:qFormat/>
    <w:tblPr>
      <w:tblCellMar>
        <w:left w:w="0" w:type="dxa"/>
        <w:top w:w="0" w:type="dxa"/>
        <w:right w:w="0" w:type="dxa"/>
        <w:bottom w:w="0" w:type="dxa"/>
      </w:tblCellMar>
    </w:tblPr>
  </w:style>
  <w:style w:type="table" w:styleId="917" w:customStyle="1">
    <w:name w:val="List Table 7 Colorful - Accent 6"/>
    <w:uiPriority w:val="99"/>
    <w:qFormat/>
    <w:tblPr>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Bordered &amp; Lined - Accent 1"/>
    <w:uiPriority w:val="99"/>
    <w:qFormat/>
    <w:rPr>
      <w:color w:val="404040"/>
    </w:rPr>
    <w:tblPr>
      <w:tblCellMar>
        <w:left w:w="0" w:type="dxa"/>
        <w:top w:w="0" w:type="dxa"/>
        <w:right w:w="0" w:type="dxa"/>
        <w:bottom w:w="0" w:type="dxa"/>
      </w:tblCellMar>
    </w:tblPr>
  </w:style>
  <w:style w:type="table" w:styleId="927" w:customStyle="1">
    <w:name w:val="Bordered &amp; Lined - Accent 2"/>
    <w:uiPriority w:val="99"/>
    <w:qFormat/>
    <w:rPr>
      <w:color w:val="404040"/>
    </w:rPr>
    <w:tblPr>
      <w:tblCellMar>
        <w:left w:w="0" w:type="dxa"/>
        <w:top w:w="0" w:type="dxa"/>
        <w:right w:w="0" w:type="dxa"/>
        <w:bottom w:w="0" w:type="dxa"/>
      </w:tblCellMar>
    </w:tblPr>
  </w:style>
  <w:style w:type="table" w:styleId="928" w:customStyle="1">
    <w:name w:val="Bordered &amp; Lined - Accent 3"/>
    <w:uiPriority w:val="99"/>
    <w:qFormat/>
    <w:rPr>
      <w:color w:val="404040"/>
    </w:rPr>
    <w:tblPr>
      <w:tblCellMar>
        <w:left w:w="0" w:type="dxa"/>
        <w:top w:w="0" w:type="dxa"/>
        <w:right w:w="0" w:type="dxa"/>
        <w:bottom w:w="0" w:type="dxa"/>
      </w:tblCellMar>
    </w:tblPr>
  </w:style>
  <w:style w:type="table" w:styleId="929" w:customStyle="1">
    <w:name w:val="Bordered &amp; Lined - Accent 4"/>
    <w:uiPriority w:val="99"/>
    <w:qFormat/>
    <w:rPr>
      <w:color w:val="404040"/>
    </w:rPr>
    <w:tblPr>
      <w:tblCellMar>
        <w:left w:w="0" w:type="dxa"/>
        <w:top w:w="0" w:type="dxa"/>
        <w:right w:w="0" w:type="dxa"/>
        <w:bottom w:w="0" w:type="dxa"/>
      </w:tblCellMar>
    </w:tblPr>
  </w:style>
  <w:style w:type="table" w:styleId="930" w:customStyle="1">
    <w:name w:val="Bordered &amp; Lined - Accent 5"/>
    <w:uiPriority w:val="99"/>
    <w:qFormat/>
    <w:rPr>
      <w:color w:val="404040"/>
    </w:rPr>
    <w:tblPr>
      <w:tblCellMar>
        <w:left w:w="0" w:type="dxa"/>
        <w:top w:w="0" w:type="dxa"/>
        <w:right w:w="0" w:type="dxa"/>
        <w:bottom w:w="0" w:type="dxa"/>
      </w:tblCellMar>
    </w:tblPr>
  </w:style>
  <w:style w:type="table" w:styleId="931" w:customStyle="1">
    <w:name w:val="Bordered &amp; Lined - Accent 6"/>
    <w:uiPriority w:val="99"/>
    <w:qFormat/>
    <w:rPr>
      <w:color w:val="404040"/>
    </w:rPr>
    <w:tblPr>
      <w:tblCellMar>
        <w:left w:w="0" w:type="dxa"/>
        <w:top w:w="0" w:type="dxa"/>
        <w:right w:w="0" w:type="dxa"/>
        <w:bottom w:w="0" w:type="dxa"/>
      </w:tblCellMar>
    </w:tblPr>
  </w:style>
  <w:style w:type="table" w:styleId="932" w:customStyle="1">
    <w:name w:val="Bordered"/>
    <w:uiPriority w:val="99"/>
    <w:qFormat/>
    <w:tblPr>
      <w:tblCellMar>
        <w:left w:w="0" w:type="dxa"/>
        <w:top w:w="0" w:type="dxa"/>
        <w:right w:w="0" w:type="dxa"/>
        <w:bottom w:w="0" w:type="dxa"/>
      </w:tblCellMar>
    </w:tblPr>
  </w:style>
  <w:style w:type="table" w:styleId="933" w:customStyle="1">
    <w:name w:val="Bordered - Accent 1"/>
    <w:uiPriority w:val="99"/>
    <w:qFormat/>
    <w:tblPr>
      <w:tblCellMar>
        <w:left w:w="0" w:type="dxa"/>
        <w:top w:w="0" w:type="dxa"/>
        <w:right w:w="0" w:type="dxa"/>
        <w:bottom w:w="0" w:type="dxa"/>
      </w:tblCellMar>
    </w:tblPr>
  </w:style>
  <w:style w:type="table" w:styleId="934" w:customStyle="1">
    <w:name w:val="Bordered - Accent 2"/>
    <w:uiPriority w:val="99"/>
    <w:qFormat/>
    <w:tblPr>
      <w:tblCellMar>
        <w:left w:w="0" w:type="dxa"/>
        <w:top w:w="0" w:type="dxa"/>
        <w:right w:w="0" w:type="dxa"/>
        <w:bottom w:w="0" w:type="dxa"/>
      </w:tblCellMar>
    </w:tblPr>
  </w:style>
  <w:style w:type="table" w:styleId="935" w:customStyle="1">
    <w:name w:val="Bordered - Accent 3"/>
    <w:uiPriority w:val="99"/>
    <w:qFormat/>
    <w:tblPr>
      <w:tblCellMar>
        <w:left w:w="0" w:type="dxa"/>
        <w:top w:w="0" w:type="dxa"/>
        <w:right w:w="0" w:type="dxa"/>
        <w:bottom w:w="0" w:type="dxa"/>
      </w:tblCellMar>
    </w:tblPr>
  </w:style>
  <w:style w:type="table" w:styleId="936" w:customStyle="1">
    <w:name w:val="Bordered - Accent 4"/>
    <w:uiPriority w:val="99"/>
    <w:qFormat/>
    <w:tblPr>
      <w:tblCellMar>
        <w:left w:w="0" w:type="dxa"/>
        <w:top w:w="0" w:type="dxa"/>
        <w:right w:w="0" w:type="dxa"/>
        <w:bottom w:w="0" w:type="dxa"/>
      </w:tblCellMar>
    </w:tblPr>
  </w:style>
  <w:style w:type="table" w:styleId="937" w:customStyle="1">
    <w:name w:val="Bordered - Accent 5"/>
    <w:uiPriority w:val="99"/>
    <w:qFormat/>
    <w:tblPr>
      <w:tblCellMar>
        <w:left w:w="0" w:type="dxa"/>
        <w:top w:w="0" w:type="dxa"/>
        <w:right w:w="0" w:type="dxa"/>
        <w:bottom w:w="0" w:type="dxa"/>
      </w:tblCellMar>
    </w:tblPr>
  </w:style>
  <w:style w:type="table" w:styleId="938" w:customStyle="1">
    <w:name w:val="Bordered - Accent 6"/>
    <w:uiPriority w:val="99"/>
    <w:qFormat/>
    <w:tblPr>
      <w:tblCellMar>
        <w:left w:w="0" w:type="dxa"/>
        <w:top w:w="0" w:type="dxa"/>
        <w:right w:w="0" w:type="dxa"/>
        <w:bottom w:w="0" w:type="dxa"/>
      </w:tblCellMar>
    </w:tblPr>
  </w:style>
  <w:style w:type="paragraph" w:styleId="939" w:customStyle="1">
    <w:name w:val="TOC 标题2"/>
    <w:uiPriority w:val="39"/>
    <w:qFormat/>
    <w:rPr>
      <w:rFonts w:ascii="Times New Roman" w:hAnsi="Times New Roman" w:eastAsia="宋体" w:cs="Times New Roman"/>
      <w:lang w:val="en-US" w:eastAsia="zh-CN" w:bidi="ar-SA"/>
    </w:rPr>
  </w:style>
  <w:style w:type="paragraph" w:styleId="940" w:customStyle="1">
    <w:name w:val="标题 11"/>
    <w:basedOn w:val="693"/>
    <w:next w:val="693"/>
    <w:link w:val="941"/>
    <w:uiPriority w:val="0"/>
    <w:qFormat/>
    <w:pPr>
      <w:keepLines/>
      <w:keepNext/>
      <w:spacing w:before="340" w:after="330" w:line="578" w:lineRule="auto"/>
      <w:outlineLvl w:val="0"/>
    </w:pPr>
    <w:rPr>
      <w:b/>
      <w:bCs/>
      <w:sz w:val="44"/>
      <w:szCs w:val="44"/>
    </w:rPr>
  </w:style>
  <w:style w:type="character" w:styleId="941" w:customStyle="1">
    <w:name w:val="标题 1 Char"/>
    <w:link w:val="940"/>
    <w:uiPriority w:val="0"/>
    <w:qFormat/>
    <w:rPr>
      <w:rFonts w:ascii="Times New Roman" w:hAnsi="Times New Roman" w:eastAsia="宋体" w:cs="Times New Roman"/>
      <w:b/>
      <w:bCs/>
      <w:sz w:val="44"/>
      <w:szCs w:val="44"/>
    </w:rPr>
  </w:style>
  <w:style w:type="paragraph" w:styleId="942" w:customStyle="1">
    <w:name w:val="标题 21"/>
    <w:basedOn w:val="693"/>
    <w:next w:val="693"/>
    <w:link w:val="943"/>
    <w:uiPriority w:val="9"/>
    <w:qFormat/>
    <w:pPr>
      <w:keepLines/>
      <w:keepNext/>
      <w:spacing w:before="260" w:after="260" w:line="416" w:lineRule="auto"/>
      <w:outlineLvl w:val="1"/>
    </w:pPr>
    <w:rPr>
      <w:rFonts w:ascii="Arial" w:hAnsi="Arial" w:eastAsia="黑体"/>
      <w:b/>
      <w:bCs/>
      <w:sz w:val="32"/>
      <w:szCs w:val="32"/>
    </w:rPr>
  </w:style>
  <w:style w:type="character" w:styleId="943" w:customStyle="1">
    <w:name w:val="标题 2 Char"/>
    <w:link w:val="942"/>
    <w:uiPriority w:val="9"/>
    <w:qFormat/>
    <w:rPr>
      <w:rFonts w:ascii="Arial" w:hAnsi="Arial" w:eastAsia="黑体" w:cs="Times New Roman"/>
      <w:b/>
      <w:bCs/>
      <w:sz w:val="32"/>
      <w:szCs w:val="32"/>
    </w:rPr>
  </w:style>
  <w:style w:type="paragraph" w:styleId="944" w:customStyle="1">
    <w:name w:val="标题 31"/>
    <w:basedOn w:val="693"/>
    <w:next w:val="693"/>
    <w:link w:val="945"/>
    <w:uiPriority w:val="0"/>
    <w:qFormat/>
    <w:pPr>
      <w:ind w:firstLine="49"/>
      <w:keepLines/>
      <w:keepNext/>
      <w:spacing w:before="20" w:after="20" w:line="415" w:lineRule="auto"/>
      <w:outlineLvl w:val="2"/>
    </w:pPr>
    <w:rPr>
      <w:rFonts w:hAnsi="黑体" w:eastAsia="黑体"/>
      <w:sz w:val="24"/>
      <w:szCs w:val="20"/>
    </w:rPr>
  </w:style>
  <w:style w:type="character" w:styleId="945" w:customStyle="1">
    <w:name w:val="标题 3 Char"/>
    <w:link w:val="944"/>
    <w:uiPriority w:val="0"/>
    <w:qFormat/>
    <w:rPr>
      <w:rFonts w:ascii="Times New Roman" w:hAnsi="黑体" w:eastAsia="黑体" w:cs="Times New Roman"/>
      <w:sz w:val="24"/>
      <w:szCs w:val="20"/>
    </w:rPr>
  </w:style>
  <w:style w:type="paragraph" w:styleId="946" w:customStyle="1">
    <w:name w:val="标题 41"/>
    <w:basedOn w:val="693"/>
    <w:next w:val="693"/>
    <w:link w:val="947"/>
    <w:uiPriority w:val="1"/>
    <w:qFormat/>
    <w:pPr>
      <w:keepLines/>
      <w:keepNext/>
      <w:spacing w:before="280" w:after="290" w:line="376" w:lineRule="auto"/>
      <w:outlineLvl w:val="3"/>
    </w:pPr>
    <w:rPr>
      <w:rFonts w:ascii="Cambria" w:hAnsi="Cambria"/>
      <w:b/>
      <w:bCs/>
      <w:sz w:val="28"/>
      <w:szCs w:val="28"/>
    </w:rPr>
  </w:style>
  <w:style w:type="character" w:styleId="947" w:customStyle="1">
    <w:name w:val="标题 4 Char"/>
    <w:link w:val="946"/>
    <w:uiPriority w:val="1"/>
    <w:qFormat/>
    <w:rPr>
      <w:rFonts w:ascii="Cambria" w:hAnsi="Cambria" w:eastAsia="宋体" w:cs="Times New Roman"/>
      <w:b/>
      <w:bCs/>
      <w:sz w:val="28"/>
      <w:szCs w:val="28"/>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paragraph" w:styleId="950" w:customStyle="1">
    <w:name w:val="目录 71"/>
    <w:basedOn w:val="693"/>
    <w:next w:val="693"/>
    <w:uiPriority w:val="0"/>
    <w:qFormat/>
    <w:pPr>
      <w:ind w:left="1200"/>
    </w:pPr>
    <w:rPr>
      <w:szCs w:val="24"/>
    </w:rPr>
  </w:style>
  <w:style w:type="paragraph" w:styleId="951" w:customStyle="1">
    <w:name w:val="正文缩进1"/>
    <w:basedOn w:val="693"/>
    <w:uiPriority w:val="0"/>
    <w:qFormat/>
    <w:pPr>
      <w:ind w:firstLine="200"/>
    </w:pPr>
    <w:rPr>
      <w:szCs w:val="24"/>
    </w:rPr>
  </w:style>
  <w:style w:type="paragraph" w:styleId="952" w:customStyle="1">
    <w:name w:val="批注文字1"/>
    <w:basedOn w:val="693"/>
    <w:link w:val="953"/>
    <w:uiPriority w:val="0"/>
    <w:qFormat/>
    <w:pPr>
      <w:jc w:val="left"/>
    </w:pPr>
    <w:rPr>
      <w:sz w:val="20"/>
      <w:szCs w:val="24"/>
    </w:rPr>
  </w:style>
  <w:style w:type="character" w:styleId="953" w:customStyle="1">
    <w:name w:val="批注文字 Char"/>
    <w:link w:val="952"/>
    <w:uiPriority w:val="0"/>
    <w:qFormat/>
    <w:rPr>
      <w:rFonts w:ascii="Times New Roman" w:hAnsi="Times New Roman" w:eastAsia="宋体" w:cs="Times New Roman"/>
      <w:szCs w:val="24"/>
    </w:rPr>
  </w:style>
  <w:style w:type="paragraph" w:styleId="954" w:customStyle="1">
    <w:name w:val="正文文本1"/>
    <w:basedOn w:val="693"/>
    <w:next w:val="693"/>
    <w:link w:val="955"/>
    <w:uiPriority w:val="0"/>
    <w:qFormat/>
    <w:pPr>
      <w:spacing w:after="120"/>
    </w:pPr>
    <w:rPr>
      <w:sz w:val="20"/>
      <w:szCs w:val="24"/>
    </w:rPr>
  </w:style>
  <w:style w:type="character" w:styleId="955" w:customStyle="1">
    <w:name w:val="正文文本 Char"/>
    <w:link w:val="954"/>
    <w:uiPriority w:val="99"/>
    <w:qFormat/>
    <w:rPr>
      <w:rFonts w:ascii="Times New Roman" w:hAnsi="Times New Roman" w:eastAsia="宋体" w:cs="Times New Roman"/>
      <w:szCs w:val="24"/>
    </w:rPr>
  </w:style>
  <w:style w:type="paragraph" w:styleId="956" w:customStyle="1">
    <w:name w:val="目录 51"/>
    <w:basedOn w:val="693"/>
    <w:next w:val="693"/>
    <w:uiPriority w:val="0"/>
    <w:qFormat/>
    <w:pPr>
      <w:ind w:left="800"/>
    </w:pPr>
    <w:rPr>
      <w:szCs w:val="24"/>
    </w:rPr>
  </w:style>
  <w:style w:type="paragraph" w:styleId="957" w:customStyle="1">
    <w:name w:val="目录 31"/>
    <w:basedOn w:val="693"/>
    <w:next w:val="693"/>
    <w:uiPriority w:val="0"/>
    <w:qFormat/>
    <w:pPr>
      <w:ind w:left="400"/>
    </w:pPr>
    <w:rPr>
      <w:szCs w:val="24"/>
    </w:rPr>
  </w:style>
  <w:style w:type="paragraph" w:styleId="958" w:customStyle="1">
    <w:name w:val="纯文本2"/>
    <w:basedOn w:val="693"/>
    <w:link w:val="959"/>
    <w:uiPriority w:val="0"/>
    <w:qFormat/>
    <w:rPr>
      <w:rFonts w:ascii="宋体" w:hAnsi="Courier New"/>
      <w:sz w:val="20"/>
      <w:szCs w:val="20"/>
    </w:rPr>
  </w:style>
  <w:style w:type="character" w:styleId="959" w:customStyle="1">
    <w:name w:val="纯文本 Char"/>
    <w:link w:val="958"/>
    <w:uiPriority w:val="0"/>
    <w:qFormat/>
    <w:rPr>
      <w:rFonts w:ascii="宋体" w:hAnsi="Courier New" w:eastAsia="宋体" w:cs="Times New Roman"/>
      <w:szCs w:val="20"/>
    </w:rPr>
  </w:style>
  <w:style w:type="paragraph" w:styleId="960" w:customStyle="1">
    <w:name w:val="目录 81"/>
    <w:basedOn w:val="693"/>
    <w:next w:val="693"/>
    <w:uiPriority w:val="0"/>
    <w:qFormat/>
    <w:pPr>
      <w:ind w:left="1400"/>
    </w:pPr>
    <w:rPr>
      <w:szCs w:val="24"/>
    </w:rPr>
  </w:style>
  <w:style w:type="paragraph" w:styleId="961" w:customStyle="1">
    <w:name w:val="日期1"/>
    <w:basedOn w:val="693"/>
    <w:next w:val="693"/>
    <w:link w:val="962"/>
    <w:uiPriority w:val="0"/>
    <w:qFormat/>
    <w:rPr>
      <w:rFonts w:ascii="宋体" w:hAnsi="宋体" w:eastAsia="楷体_GB2312"/>
      <w:sz w:val="24"/>
      <w:szCs w:val="20"/>
    </w:rPr>
  </w:style>
  <w:style w:type="character" w:styleId="962" w:customStyle="1">
    <w:name w:val="日期 Char"/>
    <w:link w:val="961"/>
    <w:uiPriority w:val="0"/>
    <w:qFormat/>
    <w:rPr>
      <w:rFonts w:ascii="宋体" w:hAnsi="宋体" w:eastAsia="楷体_GB2312" w:cs="Times New Roman"/>
      <w:sz w:val="24"/>
      <w:szCs w:val="20"/>
    </w:rPr>
  </w:style>
  <w:style w:type="paragraph" w:styleId="963" w:customStyle="1">
    <w:name w:val="批注框文本1"/>
    <w:basedOn w:val="693"/>
    <w:link w:val="964"/>
    <w:uiPriority w:val="0"/>
    <w:qFormat/>
    <w:rPr>
      <w:sz w:val="18"/>
      <w:szCs w:val="18"/>
    </w:rPr>
  </w:style>
  <w:style w:type="character" w:styleId="964" w:customStyle="1">
    <w:name w:val="批注框文本 Char"/>
    <w:link w:val="963"/>
    <w:uiPriority w:val="0"/>
    <w:qFormat/>
    <w:rPr>
      <w:rFonts w:ascii="Times New Roman" w:hAnsi="Times New Roman" w:eastAsia="宋体" w:cs="Times New Roman"/>
      <w:sz w:val="18"/>
      <w:szCs w:val="18"/>
    </w:rPr>
  </w:style>
  <w:style w:type="paragraph" w:styleId="965" w:customStyle="1">
    <w:name w:val="页脚1"/>
    <w:basedOn w:val="693"/>
    <w:link w:val="966"/>
    <w:uiPriority w:val="99"/>
    <w:qFormat/>
    <w:pPr>
      <w:jc w:val="left"/>
      <w:tabs>
        <w:tab w:val="center" w:pos="4153" w:leader="none"/>
        <w:tab w:val="right" w:pos="8306" w:leader="none"/>
      </w:tabs>
    </w:pPr>
    <w:rPr>
      <w:sz w:val="18"/>
      <w:szCs w:val="20"/>
    </w:rPr>
  </w:style>
  <w:style w:type="character" w:styleId="966" w:customStyle="1">
    <w:name w:val="页脚 Char"/>
    <w:link w:val="965"/>
    <w:uiPriority w:val="99"/>
    <w:qFormat/>
    <w:rPr>
      <w:rFonts w:ascii="Times New Roman" w:hAnsi="Times New Roman" w:eastAsia="宋体" w:cs="Times New Roman"/>
      <w:sz w:val="18"/>
      <w:szCs w:val="20"/>
    </w:rPr>
  </w:style>
  <w:style w:type="paragraph" w:styleId="967" w:customStyle="1">
    <w:name w:val="页眉1"/>
    <w:basedOn w:val="693"/>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693"/>
    <w:next w:val="693"/>
    <w:uiPriority w:val="39"/>
    <w:qFormat/>
    <w:rPr>
      <w:szCs w:val="24"/>
    </w:rPr>
  </w:style>
  <w:style w:type="paragraph" w:styleId="970" w:customStyle="1">
    <w:name w:val="目录 41"/>
    <w:basedOn w:val="693"/>
    <w:next w:val="693"/>
    <w:uiPriority w:val="0"/>
    <w:qFormat/>
    <w:pPr>
      <w:ind w:left="600"/>
    </w:pPr>
    <w:rPr>
      <w:szCs w:val="24"/>
    </w:rPr>
  </w:style>
  <w:style w:type="paragraph" w:styleId="971" w:customStyle="1">
    <w:name w:val="脚注文本1"/>
    <w:basedOn w:val="693"/>
    <w:link w:val="972"/>
    <w:uiPriority w:val="0"/>
    <w:qFormat/>
    <w:pPr>
      <w:jc w:val="left"/>
    </w:pPr>
    <w:rPr>
      <w:sz w:val="18"/>
      <w:szCs w:val="18"/>
    </w:rPr>
  </w:style>
  <w:style w:type="character" w:styleId="972" w:customStyle="1">
    <w:name w:val="脚注文本 Char"/>
    <w:link w:val="971"/>
    <w:uiPriority w:val="0"/>
    <w:qFormat/>
    <w:rPr>
      <w:rFonts w:ascii="Times New Roman" w:hAnsi="Times New Roman" w:eastAsia="宋体" w:cs="Times New Roman"/>
      <w:sz w:val="18"/>
      <w:szCs w:val="18"/>
    </w:rPr>
  </w:style>
  <w:style w:type="paragraph" w:styleId="973" w:customStyle="1">
    <w:name w:val="目录 61"/>
    <w:basedOn w:val="693"/>
    <w:next w:val="693"/>
    <w:uiPriority w:val="0"/>
    <w:qFormat/>
    <w:pPr>
      <w:ind w:left="1000"/>
    </w:pPr>
    <w:rPr>
      <w:szCs w:val="24"/>
    </w:rPr>
  </w:style>
  <w:style w:type="paragraph" w:styleId="974" w:customStyle="1">
    <w:name w:val="目录 21"/>
    <w:basedOn w:val="693"/>
    <w:next w:val="693"/>
    <w:uiPriority w:val="0"/>
    <w:qFormat/>
    <w:pPr>
      <w:ind w:left="200"/>
    </w:pPr>
    <w:rPr>
      <w:szCs w:val="24"/>
    </w:rPr>
  </w:style>
  <w:style w:type="paragraph" w:styleId="975" w:customStyle="1">
    <w:name w:val="目录 91"/>
    <w:basedOn w:val="693"/>
    <w:next w:val="693"/>
    <w:uiPriority w:val="0"/>
    <w:qFormat/>
    <w:pPr>
      <w:ind w:left="1600"/>
    </w:pPr>
    <w:rPr>
      <w:szCs w:val="24"/>
    </w:rPr>
  </w:style>
  <w:style w:type="paragraph" w:styleId="976" w:customStyle="1">
    <w:name w:val="普通(网站)1"/>
    <w:basedOn w:val="693"/>
    <w:uiPriority w:val="0"/>
    <w:qFormat/>
    <w:pPr>
      <w:jc w:val="left"/>
      <w:spacing w:beforeAutospacing="1" w:afterAutospacing="1"/>
    </w:pPr>
    <w:rPr>
      <w:sz w:val="24"/>
      <w:szCs w:val="24"/>
    </w:rPr>
  </w:style>
  <w:style w:type="paragraph" w:styleId="977" w:customStyle="1">
    <w:name w:val="批注主题1"/>
    <w:basedOn w:val="952"/>
    <w:next w:val="952"/>
    <w:link w:val="978"/>
    <w:uiPriority w:val="0"/>
    <w:qFormat/>
    <w:rPr>
      <w:b/>
      <w:bCs/>
    </w:rPr>
  </w:style>
  <w:style w:type="character" w:styleId="978" w:customStyle="1">
    <w:name w:val="批注主题 Char"/>
    <w:link w:val="977"/>
    <w:uiPriority w:val="0"/>
    <w:qFormat/>
    <w:rPr>
      <w:rFonts w:ascii="Times New Roman" w:hAnsi="Times New Roman" w:eastAsia="宋体" w:cs="Times New Roman"/>
      <w:b/>
      <w:bCs/>
      <w:szCs w:val="24"/>
    </w:rPr>
  </w:style>
  <w:style w:type="table" w:styleId="979" w:customStyle="1">
    <w:name w:val="网格型1"/>
    <w:basedOn w:val="949"/>
    <w:uiPriority w:val="0"/>
    <w:qFormat/>
    <w:pPr>
      <w:jc w:val="both"/>
      <w:widowControl w:val="off"/>
    </w:pPr>
    <w:tblPr/>
  </w:style>
  <w:style w:type="character" w:styleId="980" w:customStyle="1">
    <w:name w:val="要点1"/>
    <w:uiPriority w:val="0"/>
    <w:qFormat/>
    <w:rPr>
      <w:b/>
      <w:sz w:val="24"/>
      <w:szCs w:val="24"/>
    </w:rPr>
  </w:style>
  <w:style w:type="character" w:styleId="981" w:customStyle="1">
    <w:name w:val="访问过的超链接1"/>
    <w:uiPriority w:val="0"/>
    <w:qFormat/>
    <w:rPr>
      <w:color w:val="800080"/>
      <w:u w:val="none"/>
    </w:rPr>
  </w:style>
  <w:style w:type="character" w:styleId="982" w:customStyle="1">
    <w:name w:val="强调1"/>
    <w:uiPriority w:val="0"/>
    <w:qFormat/>
    <w:rPr>
      <w:color w:val="cc0000"/>
      <w:sz w:val="24"/>
      <w:szCs w:val="24"/>
    </w:rPr>
  </w:style>
  <w:style w:type="character" w:styleId="983" w:customStyle="1">
    <w:name w:val="HTML 定义1"/>
    <w:uiPriority w:val="0"/>
    <w:qFormat/>
  </w:style>
  <w:style w:type="character" w:styleId="984" w:customStyle="1">
    <w:name w:val="HTML 缩写1"/>
    <w:uiPriority w:val="0"/>
    <w:qFormat/>
  </w:style>
  <w:style w:type="character" w:styleId="985" w:customStyle="1">
    <w:name w:val="HTML 变量1"/>
    <w:uiPriority w:val="0"/>
    <w:qFormat/>
  </w:style>
  <w:style w:type="character" w:styleId="986" w:customStyle="1">
    <w:name w:val="超链接1"/>
    <w:uiPriority w:val="99"/>
    <w:qFormat/>
    <w:rPr>
      <w:color w:val="555555"/>
      <w:u w:val="none"/>
    </w:rPr>
  </w:style>
  <w:style w:type="character" w:styleId="987" w:customStyle="1">
    <w:name w:val="HTML 代码1"/>
    <w:uiPriority w:val="0"/>
    <w:qFormat/>
    <w:rPr>
      <w:rFonts w:ascii="monospace" w:hAnsi="monospace" w:eastAsia="monospace" w:cs="monospace"/>
      <w:color w:val="555555"/>
      <w:sz w:val="24"/>
      <w:szCs w:val="24"/>
      <w:u w:val="none"/>
    </w:rPr>
  </w:style>
  <w:style w:type="character" w:styleId="988" w:customStyle="1">
    <w:name w:val="批注引用1"/>
    <w:uiPriority w:val="0"/>
    <w:qFormat/>
    <w:rPr>
      <w:sz w:val="21"/>
      <w:szCs w:val="21"/>
    </w:rPr>
  </w:style>
  <w:style w:type="character" w:styleId="989" w:customStyle="1">
    <w:name w:val="HTML 引文1"/>
    <w:uiPriority w:val="0"/>
    <w:qFormat/>
  </w:style>
  <w:style w:type="character" w:styleId="990" w:customStyle="1">
    <w:name w:val="脚注引用1"/>
    <w:uiPriority w:val="0"/>
    <w:qFormat/>
    <w:rPr>
      <w:vertAlign w:val="superscript"/>
    </w:rPr>
  </w:style>
  <w:style w:type="character" w:styleId="991" w:customStyle="1">
    <w:name w:val="HTML 键盘1"/>
    <w:uiPriority w:val="0"/>
    <w:qFormat/>
    <w:rPr>
      <w:rFonts w:ascii="monospace" w:hAnsi="monospace" w:eastAsia="monospace" w:cs="monospace"/>
      <w:sz w:val="24"/>
      <w:szCs w:val="24"/>
    </w:rPr>
  </w:style>
  <w:style w:type="character" w:styleId="992" w:customStyle="1">
    <w:name w:val="HTML 样本1"/>
    <w:uiPriority w:val="0"/>
    <w:qFormat/>
    <w:rPr>
      <w:rFonts w:ascii="monospace" w:hAnsi="monospace" w:eastAsia="monospace" w:cs="monospace"/>
      <w:sz w:val="24"/>
      <w:szCs w:val="24"/>
    </w:rPr>
  </w:style>
  <w:style w:type="paragraph" w:styleId="993" w:customStyle="1">
    <w:name w:val="段"/>
    <w:next w:val="693"/>
    <w:uiPriority w:val="0"/>
    <w:qFormat/>
    <w:pPr>
      <w:ind w:firstLine="200"/>
      <w:jc w:val="both"/>
    </w:pPr>
    <w:rPr>
      <w:rFonts w:ascii="宋体" w:hAnsi="Times New Roman" w:eastAsia="宋体" w:cs="Times New Roman"/>
      <w:sz w:val="21"/>
      <w:lang w:val="en-US" w:eastAsia="zh-CN" w:bidi="ar-SA"/>
    </w:rPr>
  </w:style>
  <w:style w:type="character" w:styleId="994" w:customStyle="1">
    <w:name w:val="place2"/>
    <w:uiPriority w:val="0"/>
    <w:qFormat/>
    <w:rPr>
      <w:rFonts w:ascii="微软雅黑" w:hAnsi="微软雅黑" w:eastAsia="微软雅黑" w:cs="微软雅黑"/>
      <w:color w:val="888888"/>
      <w:sz w:val="25"/>
      <w:szCs w:val="25"/>
    </w:rPr>
  </w:style>
  <w:style w:type="character" w:styleId="995" w:customStyle="1">
    <w:name w:val="ui-bz-bg-hover"/>
    <w:uiPriority w:val="0"/>
    <w:qFormat/>
    <w:rPr>
      <w:shd w:val="clear" w:color="auto" w:fill="000000"/>
    </w:rPr>
  </w:style>
  <w:style w:type="character" w:styleId="996" w:customStyle="1">
    <w:name w:val="font1"/>
    <w:uiPriority w:val="0"/>
    <w:qFormat/>
  </w:style>
  <w:style w:type="character" w:styleId="997" w:customStyle="1">
    <w:name w:val="place3"/>
    <w:uiPriority w:val="0"/>
    <w:qFormat/>
  </w:style>
  <w:style w:type="character" w:styleId="998" w:customStyle="1">
    <w:name w:val="bds_more1"/>
    <w:uiPriority w:val="0"/>
    <w:qFormat/>
  </w:style>
  <w:style w:type="character" w:styleId="999" w:customStyle="1">
    <w:name w:val="bds_nopic1"/>
    <w:uiPriority w:val="0"/>
    <w:qFormat/>
  </w:style>
  <w:style w:type="character" w:styleId="1000" w:customStyle="1">
    <w:name w:val="redfilefwwh"/>
    <w:uiPriority w:val="0"/>
    <w:qFormat/>
    <w:rPr>
      <w:color w:val="ba2636"/>
      <w:sz w:val="18"/>
      <w:szCs w:val="18"/>
    </w:rPr>
  </w:style>
  <w:style w:type="character" w:styleId="1001" w:customStyle="1">
    <w:name w:val="bds_nopic2"/>
    <w:uiPriority w:val="0"/>
    <w:qFormat/>
  </w:style>
  <w:style w:type="character" w:styleId="1002" w:customStyle="1">
    <w:name w:val="top-icon"/>
    <w:uiPriority w:val="0"/>
    <w:qFormat/>
  </w:style>
  <w:style w:type="character" w:styleId="1003" w:customStyle="1">
    <w:name w:val="no42"/>
    <w:uiPriority w:val="0"/>
    <w:qFormat/>
  </w:style>
  <w:style w:type="character" w:styleId="1004" w:customStyle="1">
    <w:name w:val="hover"/>
    <w:uiPriority w:val="0"/>
    <w:qFormat/>
    <w:rPr>
      <w:color w:val="025291"/>
    </w:rPr>
  </w:style>
  <w:style w:type="character" w:styleId="1005" w:customStyle="1">
    <w:name w:val="qxdate"/>
    <w:uiPriority w:val="0"/>
    <w:qFormat/>
    <w:rPr>
      <w:color w:val="333333"/>
      <w:sz w:val="18"/>
      <w:szCs w:val="18"/>
    </w:rPr>
  </w:style>
  <w:style w:type="character" w:styleId="1006" w:customStyle="1">
    <w:name w:val="displayarti"/>
    <w:uiPriority w:val="0"/>
    <w:qFormat/>
    <w:rPr>
      <w:color w:val="ffffff"/>
      <w:shd w:val="clear" w:color="auto" w:fill="a00000"/>
    </w:rPr>
  </w:style>
  <w:style w:type="character" w:styleId="1007" w:customStyle="1">
    <w:name w:val="tip7"/>
    <w:uiPriority w:val="0"/>
    <w:qFormat/>
    <w:rPr>
      <w:vanish/>
      <w:color w:val="ff0000"/>
      <w:sz w:val="18"/>
      <w:szCs w:val="18"/>
    </w:rPr>
  </w:style>
  <w:style w:type="character" w:styleId="1008" w:customStyle="1">
    <w:name w:val="orange6"/>
    <w:uiPriority w:val="0"/>
    <w:qFormat/>
    <w:rPr>
      <w:color w:val="3fb58f"/>
    </w:rPr>
  </w:style>
  <w:style w:type="character" w:styleId="1009" w:customStyle="1">
    <w:name w:val="ico-jiang1"/>
    <w:uiPriority w:val="0"/>
    <w:qFormat/>
  </w:style>
  <w:style w:type="character" w:styleId="1010" w:customStyle="1">
    <w:name w:val="font"/>
    <w:uiPriority w:val="0"/>
    <w:qFormat/>
  </w:style>
  <w:style w:type="character" w:styleId="1011" w:customStyle="1">
    <w:name w:val="prev"/>
    <w:uiPriority w:val="0"/>
    <w:qFormat/>
    <w:rPr>
      <w:color w:val="888888"/>
    </w:rPr>
  </w:style>
  <w:style w:type="character" w:styleId="1012" w:customStyle="1">
    <w:name w:val="no72"/>
    <w:uiPriority w:val="0"/>
    <w:qFormat/>
  </w:style>
  <w:style w:type="character" w:styleId="1013" w:customStyle="1">
    <w:name w:val="ui-bz-bg-hover1"/>
    <w:uiPriority w:val="0"/>
    <w:qFormat/>
  </w:style>
  <w:style w:type="character" w:styleId="1014" w:customStyle="1">
    <w:name w:val="font31"/>
    <w:uiPriority w:val="0"/>
    <w:qFormat/>
    <w:rPr>
      <w:rFonts w:hint="eastAsia" w:ascii="宋体" w:hAnsi="宋体" w:eastAsia="宋体" w:cs="宋体"/>
      <w:color w:val="000000"/>
      <w:sz w:val="22"/>
      <w:szCs w:val="22"/>
      <w:u w:val="none"/>
    </w:rPr>
  </w:style>
  <w:style w:type="character" w:styleId="1015" w:customStyle="1">
    <w:name w:val="font41"/>
    <w:uiPriority w:val="0"/>
    <w:qFormat/>
    <w:rPr>
      <w:rFonts w:hint="eastAsia" w:ascii="宋体" w:hAnsi="宋体" w:eastAsia="宋体" w:cs="宋体"/>
      <w:color w:val="000000"/>
      <w:sz w:val="22"/>
      <w:szCs w:val="22"/>
      <w:u w:val="none"/>
    </w:rPr>
  </w:style>
  <w:style w:type="character" w:styleId="1016" w:customStyle="1">
    <w:name w:val="ico-jiang"/>
    <w:uiPriority w:val="0"/>
    <w:qFormat/>
  </w:style>
  <w:style w:type="character" w:styleId="1017" w:customStyle="1">
    <w:name w:val="f-star"/>
    <w:uiPriority w:val="0"/>
    <w:qFormat/>
    <w:rPr>
      <w:color w:val="999999"/>
      <w:sz w:val="21"/>
      <w:szCs w:val="21"/>
    </w:rPr>
  </w:style>
  <w:style w:type="character" w:styleId="1018" w:customStyle="1">
    <w:name w:val="next3"/>
    <w:uiPriority w:val="0"/>
    <w:qFormat/>
    <w:rPr>
      <w:rFonts w:hint="eastAsia" w:ascii="微软雅黑" w:hAnsi="微软雅黑" w:eastAsia="微软雅黑" w:cs="微软雅黑"/>
      <w:sz w:val="21"/>
      <w:szCs w:val="21"/>
    </w:rPr>
  </w:style>
  <w:style w:type="character" w:styleId="1019" w:customStyle="1">
    <w:name w:val="bds_more"/>
    <w:uiPriority w:val="0"/>
    <w:qFormat/>
    <w:rPr>
      <w:rFonts w:hint="eastAsia" w:ascii="宋体" w:hAnsi="宋体" w:eastAsia="宋体" w:cs="宋体"/>
    </w:rPr>
  </w:style>
  <w:style w:type="character" w:styleId="1020" w:customStyle="1">
    <w:name w:val="font11"/>
    <w:uiPriority w:val="0"/>
    <w:qFormat/>
    <w:rPr>
      <w:rFonts w:hint="eastAsia" w:ascii="仿宋" w:hAnsi="仿宋" w:eastAsia="仿宋" w:cs="仿宋"/>
      <w:color w:val="000000"/>
      <w:sz w:val="24"/>
      <w:szCs w:val="24"/>
      <w:u w:val="none"/>
    </w:rPr>
  </w:style>
  <w:style w:type="character" w:styleId="1021" w:customStyle="1">
    <w:name w:val="redfilenumber"/>
    <w:uiPriority w:val="0"/>
    <w:qFormat/>
    <w:rPr>
      <w:color w:val="ba2636"/>
      <w:sz w:val="18"/>
      <w:szCs w:val="18"/>
    </w:rPr>
  </w:style>
  <w:style w:type="character" w:styleId="1022" w:customStyle="1">
    <w:name w:val="cfdate"/>
    <w:uiPriority w:val="0"/>
    <w:qFormat/>
    <w:rPr>
      <w:color w:val="333333"/>
      <w:sz w:val="18"/>
      <w:szCs w:val="18"/>
    </w:rPr>
  </w:style>
  <w:style w:type="character" w:styleId="1023" w:customStyle="1">
    <w:name w:val="next2"/>
    <w:uiPriority w:val="0"/>
    <w:qFormat/>
    <w:rPr>
      <w:color w:val="888888"/>
    </w:rPr>
  </w:style>
  <w:style w:type="character" w:styleId="1024" w:customStyle="1">
    <w:name w:val="font61"/>
    <w:uiPriority w:val="0"/>
    <w:qFormat/>
    <w:rPr>
      <w:rFonts w:hint="eastAsia" w:ascii="宋体" w:hAnsi="宋体" w:eastAsia="宋体" w:cs="宋体"/>
      <w:color w:val="000000"/>
      <w:sz w:val="22"/>
      <w:szCs w:val="22"/>
      <w:u w:val="none"/>
    </w:rPr>
  </w:style>
  <w:style w:type="character" w:styleId="1025" w:customStyle="1">
    <w:name w:val="bds_nopic"/>
    <w:uiPriority w:val="0"/>
    <w:qFormat/>
  </w:style>
  <w:style w:type="character" w:styleId="1026" w:customStyle="1">
    <w:name w:val="laypage_curr"/>
    <w:uiPriority w:val="0"/>
    <w:qFormat/>
    <w:rPr>
      <w:color w:val="fffdf4"/>
      <w:shd w:val="clear" w:color="auto" w:fill="0b67a6"/>
    </w:rPr>
  </w:style>
  <w:style w:type="character" w:styleId="1027" w:customStyle="1">
    <w:name w:val="gwds_nopic2"/>
    <w:uiPriority w:val="0"/>
    <w:qFormat/>
  </w:style>
  <w:style w:type="character" w:styleId="1028" w:customStyle="1">
    <w:name w:val="no62"/>
    <w:uiPriority w:val="0"/>
    <w:qFormat/>
  </w:style>
  <w:style w:type="character" w:styleId="1029" w:customStyle="1">
    <w:name w:val="font21"/>
    <w:basedOn w:val="703"/>
    <w:uiPriority w:val="0"/>
    <w:qFormat/>
    <w:rPr>
      <w:rFonts w:hint="eastAsia" w:ascii="宋体" w:hAnsi="宋体" w:eastAsia="宋体" w:cs="宋体"/>
      <w:color w:val="000000"/>
      <w:sz w:val="24"/>
      <w:szCs w:val="24"/>
      <w:u w:val="none"/>
    </w:rPr>
  </w:style>
  <w:style w:type="character" w:styleId="1030" w:customStyle="1">
    <w:name w:val="hover17"/>
    <w:uiPriority w:val="0"/>
    <w:qFormat/>
    <w:rPr>
      <w:color w:val="025291"/>
    </w:rPr>
  </w:style>
  <w:style w:type="character" w:styleId="1031" w:customStyle="1">
    <w:name w:val="prev1"/>
    <w:uiPriority w:val="0"/>
    <w:qFormat/>
    <w:rPr>
      <w:rFonts w:ascii="微软雅黑" w:hAnsi="微软雅黑" w:eastAsia="微软雅黑" w:cs="微软雅黑"/>
      <w:sz w:val="21"/>
      <w:szCs w:val="21"/>
    </w:rPr>
  </w:style>
  <w:style w:type="character" w:styleId="1032" w:customStyle="1">
    <w:name w:val="t-tag"/>
    <w:uiPriority w:val="0"/>
    <w:qFormat/>
    <w:rPr>
      <w:color w:val="ffffff"/>
      <w:sz w:val="18"/>
      <w:szCs w:val="18"/>
      <w:shd w:val="clear" w:color="auto" w:fill="fe8833"/>
    </w:rPr>
  </w:style>
  <w:style w:type="character" w:styleId="1033" w:customStyle="1">
    <w:name w:val="org_name2"/>
    <w:uiPriority w:val="0"/>
    <w:qFormat/>
    <w:rPr>
      <w:color w:val="ff0000"/>
      <w:sz w:val="21"/>
      <w:szCs w:val="21"/>
    </w:rPr>
  </w:style>
  <w:style w:type="character" w:styleId="1034" w:customStyle="1">
    <w:name w:val="font01"/>
    <w:basedOn w:val="703"/>
    <w:uiPriority w:val="99"/>
    <w:qFormat/>
    <w:rPr>
      <w:rFonts w:hint="eastAsia" w:ascii="宋体" w:hAnsi="宋体" w:eastAsia="宋体" w:cs="宋体"/>
      <w:color w:val="000000"/>
      <w:sz w:val="22"/>
      <w:szCs w:val="22"/>
      <w:u w:val="none"/>
    </w:rPr>
  </w:style>
  <w:style w:type="character" w:styleId="1035" w:customStyle="1">
    <w:name w:val="noline"/>
    <w:uiPriority w:val="0"/>
    <w:qFormat/>
  </w:style>
  <w:style w:type="character" w:styleId="1036" w:customStyle="1">
    <w:name w:val="place"/>
    <w:uiPriority w:val="0"/>
    <w:qFormat/>
  </w:style>
  <w:style w:type="character" w:styleId="1037" w:customStyle="1">
    <w:name w:val="place1"/>
    <w:uiPriority w:val="0"/>
    <w:qFormat/>
  </w:style>
  <w:style w:type="character" w:styleId="1038" w:customStyle="1">
    <w:name w:val="no52"/>
    <w:uiPriority w:val="0"/>
    <w:qFormat/>
  </w:style>
  <w:style w:type="character" w:styleId="1039" w:customStyle="1">
    <w:name w:val="my-notice1"/>
    <w:uiPriority w:val="0"/>
    <w:qFormat/>
  </w:style>
  <w:style w:type="character" w:styleId="1040" w:customStyle="1">
    <w:name w:val="gjfg"/>
    <w:uiPriority w:val="0"/>
    <w:qFormat/>
  </w:style>
  <w:style w:type="character" w:styleId="1041" w:customStyle="1">
    <w:name w:val="gwds_nopic1"/>
    <w:uiPriority w:val="0"/>
    <w:qFormat/>
  </w:style>
  <w:style w:type="character" w:styleId="1042" w:customStyle="1">
    <w:name w:val="gwds_nopic"/>
    <w:uiPriority w:val="0"/>
    <w:qFormat/>
  </w:style>
  <w:style w:type="character" w:styleId="1043" w:customStyle="1">
    <w:name w:val="bds_more2"/>
    <w:uiPriority w:val="0"/>
    <w:qFormat/>
  </w:style>
  <w:style w:type="character" w:styleId="1044" w:customStyle="1">
    <w:name w:val="my-class"/>
    <w:uiPriority w:val="0"/>
    <w:qFormat/>
  </w:style>
  <w:style w:type="character" w:styleId="1045" w:customStyle="1">
    <w:name w:val="hover18"/>
    <w:uiPriority w:val="0"/>
    <w:qFormat/>
    <w:rPr>
      <w:color w:val="025291"/>
    </w:rPr>
  </w:style>
  <w:style w:type="character" w:styleId="1046" w:customStyle="1">
    <w:name w:val="tip6"/>
    <w:uiPriority w:val="0"/>
    <w:qFormat/>
  </w:style>
  <w:style w:type="character" w:styleId="1047" w:customStyle="1">
    <w:name w:val="nth-child(1)"/>
    <w:uiPriority w:val="0"/>
    <w:qFormat/>
  </w:style>
  <w:style w:type="character" w:styleId="1048" w:customStyle="1">
    <w:name w:val="nth-child(1)1"/>
    <w:uiPriority w:val="0"/>
    <w:qFormat/>
  </w:style>
  <w:style w:type="character" w:styleId="1049" w:customStyle="1">
    <w:name w:val="pause-close"/>
    <w:uiPriority w:val="0"/>
    <w:qFormat/>
  </w:style>
  <w:style w:type="character" w:styleId="1050" w:customStyle="1">
    <w:name w:val="before"/>
    <w:uiPriority w:val="0"/>
    <w:qFormat/>
  </w:style>
  <w:style w:type="character" w:styleId="1051" w:customStyle="1">
    <w:name w:val="before1"/>
    <w:uiPriority w:val="0"/>
    <w:qFormat/>
  </w:style>
  <w:style w:type="character" w:styleId="1052" w:customStyle="1">
    <w:name w:val="after2"/>
    <w:uiPriority w:val="0"/>
    <w:qFormat/>
  </w:style>
  <w:style w:type="character" w:styleId="1053" w:customStyle="1">
    <w:name w:val="nth-child(2)"/>
    <w:uiPriority w:val="0"/>
    <w:qFormat/>
    <w:rPr>
      <w:b/>
      <w:sz w:val="36"/>
      <w:szCs w:val="36"/>
    </w:rPr>
  </w:style>
  <w:style w:type="character" w:styleId="1054" w:customStyle="1">
    <w:name w:val="nth-child(2)1"/>
    <w:uiPriority w:val="0"/>
    <w:qFormat/>
    <w:rPr>
      <w:rFonts w:ascii="iconfont" w:hAnsi="iconfont" w:eastAsia="iconfont" w:cs="iconfont"/>
    </w:rPr>
  </w:style>
  <w:style w:type="character" w:styleId="1055" w:customStyle="1">
    <w:name w:val="more1"/>
    <w:uiPriority w:val="0"/>
    <w:qFormat/>
    <w:rPr>
      <w:color w:val="666666"/>
      <w:sz w:val="18"/>
      <w:szCs w:val="18"/>
    </w:rPr>
  </w:style>
  <w:style w:type="character" w:styleId="1056" w:customStyle="1">
    <w:name w:val="ing"/>
    <w:uiPriority w:val="0"/>
    <w:qFormat/>
    <w:rPr>
      <w:color w:val="00b882"/>
    </w:rPr>
  </w:style>
  <w:style w:type="character" w:styleId="1057" w:customStyle="1">
    <w:name w:val="ing1"/>
    <w:uiPriority w:val="0"/>
    <w:qFormat/>
    <w:rPr>
      <w:color w:val="00b882"/>
    </w:rPr>
  </w:style>
  <w:style w:type="character" w:styleId="1058" w:customStyle="1">
    <w:name w:val="bg-icon2"/>
    <w:uiPriority w:val="0"/>
    <w:qFormat/>
    <w:rPr>
      <w:color w:val="00b28e"/>
    </w:rPr>
  </w:style>
  <w:style w:type="character" w:styleId="1059" w:customStyle="1">
    <w:name w:val="text6"/>
    <w:uiPriority w:val="0"/>
    <w:qFormat/>
  </w:style>
  <w:style w:type="character" w:styleId="1060" w:customStyle="1">
    <w:name w:val="hover34"/>
    <w:uiPriority w:val="0"/>
    <w:qFormat/>
    <w:rPr>
      <w:color w:val="00b882"/>
      <w:u w:val="single"/>
    </w:rPr>
  </w:style>
  <w:style w:type="character" w:styleId="1061" w:customStyle="1">
    <w:name w:val="hover35"/>
    <w:uiPriority w:val="0"/>
    <w:qFormat/>
    <w:rPr>
      <w:color w:val="ffffff"/>
    </w:rPr>
  </w:style>
  <w:style w:type="character" w:styleId="1062" w:customStyle="1">
    <w:name w:val="icons14"/>
    <w:uiPriority w:val="0"/>
    <w:qFormat/>
  </w:style>
  <w:style w:type="character" w:styleId="1063" w:customStyle="1">
    <w:name w:val="default-color"/>
    <w:uiPriority w:val="0"/>
    <w:qFormat/>
    <w:rPr>
      <w:sz w:val="24"/>
      <w:szCs w:val="24"/>
    </w:rPr>
  </w:style>
  <w:style w:type="character" w:styleId="1064" w:customStyle="1">
    <w:name w:val="default-color1"/>
    <w:uiPriority w:val="0"/>
    <w:qFormat/>
  </w:style>
  <w:style w:type="character" w:styleId="1065" w:customStyle="1">
    <w:name w:val="complete2"/>
    <w:uiPriority w:val="0"/>
    <w:qFormat/>
    <w:rPr>
      <w:shd w:val="clear" w:color="auto" w:fill="4bb7ce"/>
    </w:rPr>
  </w:style>
  <w:style w:type="paragraph" w:styleId="1066" w:customStyle="1">
    <w:name w:val="样式 标题 3 + (中文) 黑体 小四 非加粗 段前: 7.8 磅 段后: 0 磅 行距: 固定值 20 磅"/>
    <w:basedOn w:val="944"/>
    <w:uiPriority w:val="0"/>
    <w:qFormat/>
    <w:pPr>
      <w:spacing w:before="0" w:after="0" w:line="400" w:lineRule="exact"/>
    </w:pPr>
    <w:rPr>
      <w:rFonts w:cs="宋体"/>
    </w:rPr>
  </w:style>
  <w:style w:type="paragraph" w:styleId="1067" w:customStyle="1">
    <w:name w:val="列出段落3"/>
    <w:basedOn w:val="693"/>
    <w:uiPriority w:val="99"/>
    <w:qFormat/>
    <w:pPr>
      <w:ind w:firstLine="200"/>
    </w:pPr>
    <w:rPr>
      <w:szCs w:val="24"/>
    </w:rPr>
  </w:style>
  <w:style w:type="paragraph" w:styleId="1068"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69"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cs="宋体"/>
      <w:b w:val="0"/>
      <w:bCs w:val="0"/>
      <w:sz w:val="28"/>
      <w:szCs w:val="20"/>
    </w:rPr>
  </w:style>
  <w:style w:type="paragraph" w:styleId="1070" w:customStyle="1">
    <w:name w:val="样式"/>
    <w:uiPriority w:val="0"/>
    <w:qFormat/>
    <w:pPr>
      <w:widowControl w:val="off"/>
    </w:pPr>
    <w:rPr>
      <w:rFonts w:ascii="宋体" w:hAnsi="宋体" w:eastAsia="宋体" w:cs="宋体"/>
      <w:sz w:val="24"/>
      <w:szCs w:val="24"/>
      <w:lang w:val="en-US" w:eastAsia="zh-CN" w:bidi="ar-SA"/>
    </w:rPr>
  </w:style>
  <w:style w:type="paragraph" w:styleId="1071" w:customStyle="1">
    <w:name w:val="纯文本1"/>
    <w:basedOn w:val="693"/>
    <w:uiPriority w:val="0"/>
    <w:qFormat/>
    <w:rPr>
      <w:rFonts w:ascii="宋体" w:hAnsi="Courier New"/>
      <w:sz w:val="28"/>
      <w:szCs w:val="24"/>
    </w:rPr>
  </w:style>
  <w:style w:type="paragraph" w:styleId="1072" w:customStyle="1">
    <w:name w:val="列出段落2"/>
    <w:basedOn w:val="693"/>
    <w:uiPriority w:val="99"/>
    <w:unhideWhenUsed/>
    <w:qFormat/>
    <w:pPr>
      <w:ind w:firstLine="200"/>
    </w:pPr>
    <w:rPr>
      <w:szCs w:val="24"/>
    </w:rPr>
  </w:style>
  <w:style w:type="paragraph" w:styleId="1073" w:customStyle="1">
    <w:name w:val="列出段落1"/>
    <w:basedOn w:val="693"/>
    <w:uiPriority w:val="99"/>
    <w:unhideWhenUsed/>
    <w:qFormat/>
    <w:pPr>
      <w:ind w:firstLine="200"/>
    </w:pPr>
    <w:rPr>
      <w:szCs w:val="24"/>
    </w:rPr>
  </w:style>
  <w:style w:type="paragraph" w:styleId="1074" w:customStyle="1">
    <w:name w:val="修订1"/>
    <w:uiPriority w:val="99"/>
    <w:unhideWhenUsed/>
    <w:qFormat/>
    <w:rPr>
      <w:rFonts w:ascii="Times New Roman" w:hAnsi="Times New Roman" w:eastAsia="宋体" w:cs="Times New Roman"/>
      <w:sz w:val="21"/>
      <w:szCs w:val="24"/>
      <w:lang w:val="en-US" w:eastAsia="zh-CN" w:bidi="ar-SA"/>
    </w:rPr>
  </w:style>
  <w:style w:type="paragraph" w:styleId="1075" w:customStyle="1">
    <w:name w:val="reply-text"/>
    <w:basedOn w:val="693"/>
    <w:uiPriority w:val="0"/>
    <w:qFormat/>
    <w:pPr>
      <w:ind w:right="1200"/>
      <w:jc w:val="left"/>
    </w:pPr>
    <w:rPr>
      <w:szCs w:val="21"/>
    </w:rPr>
  </w:style>
  <w:style w:type="character" w:styleId="1076" w:customStyle="1">
    <w:name w:val="next"/>
    <w:uiPriority w:val="0"/>
    <w:qFormat/>
    <w:rPr>
      <w:color w:val="888888"/>
    </w:rPr>
  </w:style>
  <w:style w:type="character" w:styleId="1077" w:customStyle="1">
    <w:name w:val="next1"/>
    <w:uiPriority w:val="0"/>
    <w:qFormat/>
    <w:rPr>
      <w:rFonts w:ascii="微软雅黑" w:hAnsi="微软雅黑" w:eastAsia="微软雅黑" w:cs="微软雅黑"/>
      <w:sz w:val="21"/>
      <w:szCs w:val="21"/>
    </w:rPr>
  </w:style>
  <w:style w:type="character" w:styleId="1078" w:customStyle="1">
    <w:name w:val="count3"/>
    <w:uiPriority w:val="0"/>
    <w:qFormat/>
  </w:style>
  <w:style w:type="character" w:styleId="1079" w:customStyle="1">
    <w:name w:val="t"/>
    <w:uiPriority w:val="0"/>
    <w:qFormat/>
  </w:style>
  <w:style w:type="character" w:styleId="1080" w:customStyle="1">
    <w:name w:val="lv5"/>
    <w:uiPriority w:val="0"/>
    <w:qFormat/>
  </w:style>
  <w:style w:type="character" w:styleId="1081" w:customStyle="1">
    <w:name w:val="jianj"/>
    <w:uiPriority w:val="0"/>
    <w:qFormat/>
  </w:style>
  <w:style w:type="character" w:styleId="1082" w:customStyle="1">
    <w:name w:val="jianj1"/>
    <w:uiPriority w:val="0"/>
    <w:qFormat/>
  </w:style>
  <w:style w:type="character" w:styleId="1083" w:customStyle="1">
    <w:name w:val="jianj2"/>
    <w:uiPriority w:val="0"/>
    <w:qFormat/>
  </w:style>
  <w:style w:type="character" w:styleId="1084" w:customStyle="1">
    <w:name w:val="sd"/>
    <w:uiPriority w:val="0"/>
    <w:qFormat/>
  </w:style>
  <w:style w:type="character" w:styleId="1085" w:customStyle="1">
    <w:name w:val="sc"/>
    <w:uiPriority w:val="0"/>
    <w:qFormat/>
  </w:style>
  <w:style w:type="character" w:styleId="1086" w:customStyle="1">
    <w:name w:val="sc1"/>
    <w:uiPriority w:val="0"/>
    <w:qFormat/>
  </w:style>
  <w:style w:type="character" w:styleId="1087" w:customStyle="1">
    <w:name w:val="aut"/>
    <w:uiPriority w:val="0"/>
    <w:qFormat/>
  </w:style>
  <w:style w:type="character" w:styleId="1088" w:customStyle="1">
    <w:name w:val="aut1"/>
    <w:uiPriority w:val="0"/>
    <w:qFormat/>
  </w:style>
  <w:style w:type="character" w:styleId="1089" w:customStyle="1">
    <w:name w:val="dn"/>
    <w:uiPriority w:val="0"/>
    <w:qFormat/>
  </w:style>
  <w:style w:type="character" w:styleId="1090" w:customStyle="1">
    <w:name w:val="pl"/>
    <w:uiPriority w:val="0"/>
    <w:qFormat/>
  </w:style>
  <w:style w:type="character" w:styleId="1091" w:customStyle="1">
    <w:name w:val="pl1"/>
    <w:uiPriority w:val="0"/>
    <w:qFormat/>
  </w:style>
  <w:style w:type="character" w:styleId="1092" w:customStyle="1">
    <w:name w:val="jrxz"/>
    <w:uiPriority w:val="0"/>
    <w:qFormat/>
  </w:style>
  <w:style w:type="character" w:styleId="1093" w:customStyle="1">
    <w:name w:val="jrxz1"/>
    <w:uiPriority w:val="0"/>
    <w:qFormat/>
  </w:style>
  <w:style w:type="character" w:styleId="1094" w:customStyle="1">
    <w:name w:val="down14"/>
    <w:uiPriority w:val="0"/>
    <w:qFormat/>
  </w:style>
  <w:style w:type="character" w:styleId="1095" w:customStyle="1">
    <w:name w:val="down15"/>
    <w:uiPriority w:val="0"/>
    <w:qFormat/>
  </w:style>
  <w:style w:type="character" w:styleId="1096" w:customStyle="1">
    <w:name w:val="zt"/>
    <w:uiPriority w:val="0"/>
    <w:qFormat/>
  </w:style>
  <w:style w:type="character" w:styleId="1097" w:customStyle="1">
    <w:name w:val="zt1"/>
    <w:uiPriority w:val="0"/>
    <w:qFormat/>
  </w:style>
  <w:style w:type="character" w:styleId="1098" w:customStyle="1">
    <w:name w:val="time22"/>
    <w:uiPriority w:val="0"/>
    <w:qFormat/>
  </w:style>
  <w:style w:type="character" w:styleId="1099" w:customStyle="1">
    <w:name w:val="time23"/>
    <w:uiPriority w:val="0"/>
    <w:qFormat/>
  </w:style>
  <w:style w:type="character" w:styleId="1100" w:customStyle="1">
    <w:name w:val="time24"/>
    <w:uiPriority w:val="0"/>
    <w:qFormat/>
  </w:style>
  <w:style w:type="character" w:styleId="1101" w:customStyle="1">
    <w:name w:val="anz"/>
    <w:uiPriority w:val="0"/>
    <w:qFormat/>
  </w:style>
  <w:style w:type="character" w:styleId="1102" w:customStyle="1">
    <w:name w:val="anz1"/>
    <w:uiPriority w:val="0"/>
    <w:qFormat/>
  </w:style>
  <w:style w:type="character" w:styleId="1103" w:customStyle="1">
    <w:name w:val="anz2"/>
    <w:uiPriority w:val="0"/>
    <w:qFormat/>
  </w:style>
  <w:style w:type="character" w:styleId="1104" w:customStyle="1">
    <w:name w:val="jiet"/>
    <w:uiPriority w:val="0"/>
    <w:qFormat/>
  </w:style>
  <w:style w:type="character" w:styleId="1105" w:customStyle="1">
    <w:name w:val="jiet1"/>
    <w:uiPriority w:val="0"/>
    <w:qFormat/>
  </w:style>
  <w:style w:type="character" w:styleId="1106" w:customStyle="1">
    <w:name w:val="jiet2"/>
    <w:uiPriority w:val="0"/>
    <w:qFormat/>
  </w:style>
  <w:style w:type="character" w:styleId="1107" w:customStyle="1">
    <w:name w:val="lv1"/>
    <w:uiPriority w:val="0"/>
    <w:qFormat/>
  </w:style>
  <w:style w:type="character" w:styleId="1108" w:customStyle="1">
    <w:name w:val="lv2"/>
    <w:uiPriority w:val="0"/>
    <w:qFormat/>
  </w:style>
  <w:style w:type="character" w:styleId="1109" w:customStyle="1">
    <w:name w:val="lv3"/>
    <w:uiPriority w:val="0"/>
    <w:qFormat/>
  </w:style>
  <w:style w:type="character" w:styleId="1110" w:customStyle="1">
    <w:name w:val="lv4"/>
    <w:uiPriority w:val="0"/>
    <w:qFormat/>
  </w:style>
  <w:style w:type="character" w:styleId="1111" w:customStyle="1">
    <w:name w:val="disabled"/>
    <w:uiPriority w:val="0"/>
    <w:qFormat/>
    <w:rPr>
      <w:color w:val="666666"/>
      <w:shd w:val="clear" w:color="auto" w:fill="ffffff"/>
    </w:rPr>
  </w:style>
  <w:style w:type="paragraph" w:styleId="1112" w:customStyle="1">
    <w:name w:val="格式３"/>
    <w:basedOn w:val="693"/>
    <w:uiPriority w:val="0"/>
    <w:qFormat/>
    <w:pPr>
      <w:ind w:left="600" w:hanging="250"/>
      <w:spacing w:line="420" w:lineRule="exact"/>
    </w:pPr>
    <w:rPr>
      <w:rFonts w:ascii="宋体" w:hAnsi="宋体"/>
      <w:color w:val="000000"/>
      <w:sz w:val="24"/>
      <w:szCs w:val="20"/>
    </w:rPr>
  </w:style>
  <w:style w:type="paragraph" w:styleId="1113" w:customStyle="1">
    <w:name w:val="正文文本 31"/>
    <w:basedOn w:val="693"/>
    <w:link w:val="1114"/>
    <w:uiPriority w:val="0"/>
    <w:qFormat/>
    <w:pPr>
      <w:jc w:val="center"/>
    </w:pPr>
    <w:rPr>
      <w:rFonts w:eastAsia="黑体"/>
      <w:sz w:val="72"/>
      <w:szCs w:val="24"/>
    </w:rPr>
  </w:style>
  <w:style w:type="character" w:styleId="1114" w:customStyle="1">
    <w:name w:val="正文文本 3 Char"/>
    <w:link w:val="1113"/>
    <w:uiPriority w:val="0"/>
    <w:qFormat/>
    <w:rPr>
      <w:rFonts w:ascii="Times New Roman" w:hAnsi="Times New Roman" w:eastAsia="黑体"/>
      <w:sz w:val="72"/>
      <w:szCs w:val="24"/>
    </w:rPr>
  </w:style>
  <w:style w:type="paragraph" w:styleId="1115" w:customStyle="1">
    <w:name w:val="正文文本缩进1"/>
    <w:basedOn w:val="693"/>
    <w:link w:val="1116"/>
    <w:uiPriority w:val="99"/>
    <w:unhideWhenUsed/>
    <w:qFormat/>
    <w:pPr>
      <w:ind w:left="200"/>
      <w:spacing w:after="120"/>
    </w:pPr>
    <w:rPr>
      <w:szCs w:val="24"/>
    </w:rPr>
  </w:style>
  <w:style w:type="character" w:styleId="1116" w:customStyle="1">
    <w:name w:val="正文文本缩进 Char"/>
    <w:link w:val="1115"/>
    <w:uiPriority w:val="99"/>
    <w:qFormat/>
    <w:rPr>
      <w:rFonts w:ascii="Times New Roman" w:hAnsi="Times New Roman"/>
      <w:sz w:val="21"/>
      <w:szCs w:val="24"/>
    </w:rPr>
  </w:style>
  <w:style w:type="paragraph" w:styleId="1117" w:customStyle="1">
    <w:name w:val="标题二、"/>
    <w:basedOn w:val="693"/>
    <w:uiPriority w:val="99"/>
    <w:qFormat/>
    <w:pPr>
      <w:ind w:firstLine="200"/>
      <w:spacing w:line="360" w:lineRule="auto"/>
      <w:outlineLvl w:val="2"/>
    </w:pPr>
    <w:rPr>
      <w:rFonts w:ascii="宋体" w:hAnsi="宋体"/>
      <w:b/>
      <w:szCs w:val="21"/>
    </w:rPr>
  </w:style>
  <w:style w:type="character" w:styleId="1118" w:customStyle="1">
    <w:name w:val="font51"/>
    <w:uiPriority w:val="0"/>
    <w:qFormat/>
    <w:rPr>
      <w:rFonts w:hint="eastAsia" w:ascii="华文中宋" w:hAnsi="华文中宋" w:eastAsia="华文中宋" w:cs="华文中宋"/>
      <w:color w:val="000000"/>
      <w:sz w:val="21"/>
      <w:szCs w:val="21"/>
      <w:u w:val="none"/>
    </w:rPr>
  </w:style>
  <w:style w:type="character" w:styleId="1119" w:customStyle="1">
    <w:name w:val="批注框文本 字符1"/>
    <w:basedOn w:val="703"/>
    <w:link w:val="714"/>
    <w:uiPriority w:val="99"/>
    <w:semiHidden/>
    <w:qFormat/>
    <w:rPr>
      <w:sz w:val="18"/>
      <w:szCs w:val="18"/>
    </w:rPr>
  </w:style>
  <w:style w:type="paragraph" w:styleId="1120" w:customStyle="1">
    <w:name w:val="标题 411"/>
    <w:basedOn w:val="693"/>
    <w:next w:val="693"/>
    <w:uiPriority w:val="1"/>
    <w:qFormat/>
    <w:pPr>
      <w:keepLines/>
      <w:keepNext/>
      <w:spacing w:before="280" w:after="290" w:line="376" w:lineRule="auto"/>
      <w:outlineLvl w:val="3"/>
    </w:pPr>
    <w:rPr>
      <w:rFonts w:ascii="Cambria" w:hAnsi="Cambria"/>
      <w:b/>
      <w:bCs/>
      <w:sz w:val="28"/>
      <w:szCs w:val="28"/>
    </w:rPr>
  </w:style>
  <w:style w:type="paragraph" w:styleId="1121" w:customStyle="1">
    <w:name w:val="纯文本11"/>
    <w:basedOn w:val="693"/>
    <w:uiPriority w:val="99"/>
    <w:unhideWhenUsed/>
    <w:qFormat/>
    <w:rPr>
      <w:rFonts w:ascii="宋体" w:hAnsi="Courier New" w:cs="Courier New"/>
    </w:rPr>
  </w:style>
  <w:style w:type="character" w:styleId="1122" w:customStyle="1">
    <w:name w:val="text-only"/>
    <w:basedOn w:val="703"/>
    <w:uiPriority w:val="0"/>
    <w:qFormat/>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纵横</dc:creator>
  <cp:lastModifiedBy>陆静娟</cp:lastModifiedBy>
  <cp:revision>66</cp:revision>
  <dcterms:created xsi:type="dcterms:W3CDTF">2025-05-26T08:25:00Z</dcterms:created>
  <dcterms:modified xsi:type="dcterms:W3CDTF">2026-08-28T04:40:23Z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eyJoZGlkIjoiMzQ2NmMwMTI1OGNmODVlNDU2MDBkZWEwZTE4NmQzMDAiLCJ1c2VySWQiOiIyNTAyNzA3NDUifQ==</vt:lpwstr>
  </property>
  <property fmtid="{D5CDD505-2E9C-101B-9397-08002B2CF9AE}" pid="3" name="KSOProductBuildVer">
    <vt:lpwstr>2052-12.1.0.26895</vt:lpwstr>
  </property>
  <property fmtid="{D5CDD505-2E9C-101B-9397-08002B2CF9AE}" pid="4" name="ICV">
    <vt:lpwstr>80B1F7760D28431E93A5D3AFC1A88BB6_12</vt:lpwstr>
  </property>
</Properties>
</file>