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宋体" w:hAnsi="宋体" w:cs="宋体"/>
          <w:bCs/>
          <w:color w:val="auto"/>
          <w:sz w:val="30"/>
          <w:highlight w:val="none"/>
        </w:rPr>
      </w:pPr>
      <w:r>
        <w:rPr>
          <w:rFonts w:ascii="宋体" w:hAnsi="宋体" w:cs="宋体"/>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ascii="黑体" w:hAnsi="华文中宋" w:eastAsia="黑体" w:cs="Times New Roman"/>
          <w:bCs/>
          <w:color w:val="auto"/>
          <w:spacing w:val="20"/>
          <w:sz w:val="52"/>
          <w:szCs w:val="52"/>
          <w:highlight w:val="none"/>
          <w:lang w:val="en-US" w:eastAsia="zh-CN" w:bidi="ar-SA"/>
        </w:rPr>
      </w:pPr>
      <w:r>
        <w:rPr>
          <w:rFonts w:hint="eastAsia" w:ascii="黑体" w:hAnsi="华文中宋" w:eastAsia="黑体" w:cs="Times New Roman"/>
          <w:bCs/>
          <w:color w:val="auto"/>
          <w:spacing w:val="20"/>
          <w:sz w:val="52"/>
          <w:szCs w:val="52"/>
          <w:highlight w:val="none"/>
          <w:lang w:val="en-US" w:eastAsia="zh-CN" w:bidi="ar-SA"/>
        </w:rPr>
        <w:t xml:space="preserve">（暗标）</w:t>
      </w:r>
      <w:r/>
    </w:p>
    <w:p>
      <w:pPr>
        <w:jc w:val="center"/>
        <w:rPr>
          <w:rFonts w:ascii="黑体" w:hAnsi="华文中宋" w:eastAsia="黑体"/>
          <w:b/>
          <w:bCs w:val="0"/>
          <w:color w:val="auto"/>
          <w:spacing w:val="20"/>
          <w:sz w:val="52"/>
          <w:szCs w:val="52"/>
          <w:highlight w:val="none"/>
        </w:rPr>
      </w:pPr>
      <w:r>
        <w:rPr>
          <w:rFonts w:ascii="黑体" w:hAnsi="华文中宋" w:eastAsia="黑体"/>
          <w:b/>
          <w:bCs w:val="0"/>
          <w:color w:val="auto"/>
          <w:spacing w:val="20"/>
          <w:sz w:val="52"/>
          <w:szCs w:val="52"/>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ind w:firstLine="900"/>
        <w:rPr>
          <w:rFonts w:ascii="黑体" w:hAnsi="华文中宋" w:eastAsia="黑体"/>
          <w:b/>
          <w:bCs w:val="0"/>
          <w:color w:val="auto"/>
          <w:sz w:val="30"/>
          <w:szCs w:val="30"/>
          <w:highlight w:val="none"/>
        </w:rPr>
      </w:pPr>
      <w:r>
        <w:rPr>
          <w:rFonts w:ascii="黑体" w:hAnsi="华文中宋" w:eastAsia="黑体"/>
          <w:b/>
          <w:bCs w:val="0"/>
          <w:color w:val="auto"/>
          <w:sz w:val="30"/>
          <w:szCs w:val="30"/>
          <w:highlight w:val="none"/>
        </w:rPr>
      </w:r>
      <w:r/>
    </w:p>
    <w:p>
      <w:pPr>
        <w:pStyle w:val="674"/>
        <w:rPr>
          <w:rFonts w:ascii="黑体" w:hAnsi="华文中宋" w:eastAsia="黑体"/>
          <w:color w:val="auto"/>
          <w:sz w:val="30"/>
          <w:szCs w:val="30"/>
          <w:highlight w:val="none"/>
        </w:rPr>
      </w:pPr>
      <w:r>
        <w:rPr>
          <w:rFonts w:ascii="黑体" w:hAnsi="华文中宋" w:eastAsia="黑体"/>
          <w:color w:val="auto"/>
          <w:sz w:val="30"/>
          <w:szCs w:val="30"/>
          <w:highlight w:val="none"/>
        </w:rPr>
      </w:r>
      <w:r/>
    </w:p>
    <w:p>
      <w:pPr>
        <w:pStyle w:val="674"/>
        <w:rPr>
          <w:rFonts w:ascii="黑体" w:hAnsi="华文中宋" w:eastAsia="黑体"/>
          <w:color w:val="auto"/>
          <w:sz w:val="30"/>
          <w:szCs w:val="30"/>
          <w:highlight w:val="none"/>
        </w:rPr>
      </w:pPr>
      <w:r>
        <w:rPr>
          <w:rFonts w:ascii="黑体" w:hAnsi="华文中宋" w:eastAsia="黑体"/>
          <w:color w:val="auto"/>
          <w:sz w:val="30"/>
          <w:szCs w:val="30"/>
          <w:highlight w:val="none"/>
        </w:rPr>
      </w:r>
      <w:r/>
    </w:p>
    <w:p>
      <w:pPr>
        <w:pStyle w:val="684"/>
        <w:rPr>
          <w:rFonts w:ascii="黑体" w:hAnsi="华文中宋" w:eastAsia="黑体"/>
          <w:color w:val="auto"/>
          <w:sz w:val="30"/>
          <w:szCs w:val="30"/>
          <w:highlight w:val="none"/>
        </w:rPr>
      </w:pPr>
      <w:r>
        <w:rPr>
          <w:rFonts w:ascii="黑体" w:hAnsi="华文中宋" w:eastAsia="黑体"/>
          <w:color w:val="auto"/>
          <w:sz w:val="30"/>
          <w:szCs w:val="30"/>
          <w:highlight w:val="none"/>
        </w:rPr>
      </w:r>
      <w:r/>
    </w:p>
    <w:p>
      <w:pPr>
        <w:ind w:firstLine="6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6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JSZC-320200-JSZH-G2026-0067</w:t>
      </w:r>
      <w:r/>
    </w:p>
    <w:p>
      <w:pPr>
        <w:ind w:firstLine="6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6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太湖野外站保障湖泊水源地安全挥发性新污染物筛查</w:t>
      </w:r>
      <w:r/>
    </w:p>
    <w:p>
      <w:pPr>
        <w:ind w:firstLine="2652"/>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lang w:eastAsia="zh-CN"/>
        </w:rPr>
        <w:t xml:space="preserve">能力建设项目</w:t>
      </w:r>
      <w:r/>
    </w:p>
    <w:p>
      <w:pPr>
        <w:ind w:firstLine="6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600"/>
        <w:jc w:val="left"/>
        <w:rPr>
          <w:rFonts w:ascii="华文中宋" w:hAnsi="华文中宋" w:eastAsia="华文中宋"/>
          <w:bCs/>
          <w:color w:val="auto"/>
          <w:sz w:val="32"/>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二〇二六年</w:t>
      </w:r>
      <w:r>
        <w:rPr>
          <w:rFonts w:hint="eastAsia" w:ascii="黑体" w:hAnsi="华文中宋" w:eastAsia="黑体"/>
          <w:bCs/>
          <w:color w:val="auto"/>
          <w:sz w:val="30"/>
          <w:szCs w:val="30"/>
          <w:highlight w:val="none"/>
          <w:lang w:val="en-US" w:eastAsia="zh-CN"/>
        </w:rPr>
        <w:t xml:space="preserve">八</w:t>
      </w:r>
      <w:r>
        <w:rPr>
          <w:rFonts w:hint="eastAsia" w:ascii="黑体" w:hAnsi="华文中宋" w:eastAsia="黑体"/>
          <w:bCs/>
          <w:color w:val="auto"/>
          <w:sz w:val="30"/>
          <w:szCs w:val="30"/>
          <w:highlight w:val="none"/>
        </w:rPr>
        <w:t xml:space="preserve">月</w:t>
      </w:r>
      <w:r/>
    </w:p>
    <w:p>
      <w:pPr>
        <w:jc w:val="center"/>
        <w:rPr>
          <w:rStyle w:val="715"/>
          <w:rFonts w:eastAsia="黑体"/>
          <w:bCs/>
          <w:color w:val="auto"/>
          <w:sz w:val="48"/>
          <w:highlight w:val="none"/>
        </w:rPr>
      </w:pPr>
      <w:r>
        <w:rPr>
          <w:rStyle w:val="715"/>
          <w:rFonts w:eastAsia="黑体"/>
          <w:bCs/>
          <w:color w:val="auto"/>
          <w:sz w:val="48"/>
          <w:highlight w:val="none"/>
        </w:rPr>
        <w:br w:type="page" w:clear="all"/>
      </w:r>
      <w:r>
        <w:rPr>
          <w:rStyle w:val="715"/>
          <w:rFonts w:hint="eastAsia" w:eastAsia="黑体"/>
          <w:bCs/>
          <w:color w:val="auto"/>
          <w:sz w:val="48"/>
          <w:highlight w:val="none"/>
        </w:rPr>
        <w:t xml:space="preserve">目录</w:t>
      </w:r>
      <w:r/>
    </w:p>
    <w:p>
      <w:pPr>
        <w:jc w:val="center"/>
        <w:rPr>
          <w:rFonts w:ascii="宋体" w:hAnsi="宋体" w:cs="宋体"/>
          <w:bCs/>
          <w:color w:val="auto"/>
          <w:sz w:val="30"/>
          <w:highlight w:val="none"/>
        </w:rPr>
      </w:pPr>
      <w:r>
        <w:rPr>
          <w:rFonts w:ascii="宋体" w:hAnsi="宋体" w:cs="宋体"/>
          <w:bCs/>
          <w:color w:val="auto"/>
          <w:sz w:val="30"/>
          <w:highlight w:val="none"/>
        </w:rPr>
      </w:r>
      <w:r/>
    </w:p>
    <w:p>
      <w:pPr>
        <w:pStyle w:val="696"/>
        <w:spacing w:line="480" w:lineRule="auto"/>
        <w:tabs>
          <w:tab w:val="right" w:pos="9746" w:leader="dot"/>
        </w:tabs>
        <w:rPr>
          <w:rFonts w:hint="eastAsia" w:ascii="宋体" w:hAnsi="宋体" w:eastAsia="宋体" w:cs="宋体"/>
          <w:b/>
          <w:bCs w:val="0"/>
          <w:sz w:val="32"/>
          <w:szCs w:val="32"/>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TOC \o "1-1" \h \u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sz w:val="32"/>
          <w:szCs w:val="32"/>
          <w:highlight w:val="none"/>
        </w:rPr>
        <w:instrText xml:space="preserve"> HYPERLINK \l _Toc8214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 xml:space="preserve">一、投标邀请函</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_Toc8214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3</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32"/>
          <w:highlight w:val="none"/>
        </w:rPr>
        <w:fldChar w:fldCharType="end"/>
      </w:r>
      <w:r/>
    </w:p>
    <w:p>
      <w:pPr>
        <w:pStyle w:val="696"/>
        <w:spacing w:line="480" w:lineRule="auto"/>
        <w:tabs>
          <w:tab w:val="right" w:pos="9746" w:leader="dot"/>
        </w:tabs>
        <w:rPr>
          <w:rFonts w:hint="eastAsia" w:ascii="宋体" w:hAnsi="宋体" w:eastAsia="宋体" w:cs="宋体"/>
          <w:b/>
          <w:bCs w:val="0"/>
          <w:sz w:val="32"/>
          <w:szCs w:val="32"/>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sz w:val="32"/>
          <w:szCs w:val="32"/>
          <w:highlight w:val="none"/>
        </w:rPr>
        <w:instrText xml:space="preserve"> HYPERLINK \l _Toc17027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 xml:space="preserve">二、投标人须知</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_Toc17027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7</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32"/>
          <w:highlight w:val="none"/>
        </w:rPr>
        <w:fldChar w:fldCharType="end"/>
      </w:r>
      <w:r/>
    </w:p>
    <w:p>
      <w:pPr>
        <w:pStyle w:val="696"/>
        <w:spacing w:line="480" w:lineRule="auto"/>
        <w:tabs>
          <w:tab w:val="right" w:pos="9746" w:leader="dot"/>
        </w:tabs>
        <w:rPr>
          <w:rFonts w:hint="eastAsia" w:ascii="宋体" w:hAnsi="宋体" w:eastAsia="宋体" w:cs="宋体"/>
          <w:b/>
          <w:bCs w:val="0"/>
          <w:sz w:val="32"/>
          <w:szCs w:val="32"/>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sz w:val="32"/>
          <w:szCs w:val="32"/>
          <w:highlight w:val="none"/>
        </w:rPr>
        <w:instrText xml:space="preserve"> HYPERLINK \l _Toc18420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 xml:space="preserve">三、项目技术要求和有关说明</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_Toc18420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19</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32"/>
          <w:highlight w:val="none"/>
        </w:rPr>
        <w:fldChar w:fldCharType="end"/>
      </w:r>
      <w:r/>
    </w:p>
    <w:p>
      <w:pPr>
        <w:pStyle w:val="696"/>
        <w:spacing w:line="480" w:lineRule="auto"/>
        <w:tabs>
          <w:tab w:val="right" w:pos="9746" w:leader="dot"/>
        </w:tabs>
        <w:rPr>
          <w:rFonts w:hint="eastAsia" w:ascii="宋体" w:hAnsi="宋体" w:eastAsia="宋体" w:cs="宋体"/>
          <w:b/>
          <w:bCs w:val="0"/>
          <w:sz w:val="32"/>
          <w:szCs w:val="32"/>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sz w:val="32"/>
          <w:szCs w:val="32"/>
          <w:highlight w:val="none"/>
        </w:rPr>
        <w:instrText xml:space="preserve"> HYPERLINK \l _Toc30887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 xml:space="preserve">四、合同书（格式）</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_Toc30887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29</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32"/>
          <w:highlight w:val="none"/>
        </w:rPr>
        <w:fldChar w:fldCharType="end"/>
      </w:r>
      <w:r/>
    </w:p>
    <w:p>
      <w:pPr>
        <w:pStyle w:val="696"/>
        <w:spacing w:line="480" w:lineRule="auto"/>
        <w:tabs>
          <w:tab w:val="right" w:pos="9746" w:leader="dot"/>
        </w:tabs>
        <w:rPr>
          <w:rFonts w:hint="eastAsia" w:ascii="宋体" w:hAnsi="宋体" w:eastAsia="宋体" w:cs="宋体"/>
          <w:b/>
          <w:bCs w:val="0"/>
          <w:sz w:val="32"/>
          <w:szCs w:val="32"/>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sz w:val="32"/>
          <w:szCs w:val="32"/>
          <w:highlight w:val="none"/>
        </w:rPr>
        <w:instrText xml:space="preserve"> HYPERLINK \l _Toc19942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 xml:space="preserve">五、附件</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_Toc19942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44</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32"/>
          <w:highlight w:val="none"/>
        </w:rPr>
        <w:fldChar w:fldCharType="end"/>
      </w:r>
      <w:r/>
    </w:p>
    <w:p>
      <w:pPr>
        <w:spacing w:line="480" w:lineRule="auto"/>
        <w:rPr>
          <w:rFonts w:ascii="宋体"/>
          <w:bCs/>
          <w:color w:val="auto"/>
          <w:sz w:val="32"/>
          <w:highlight w:val="none"/>
        </w:rPr>
      </w:pPr>
      <w:r>
        <w:rPr>
          <w:rFonts w:hint="eastAsia" w:ascii="宋体" w:hAnsi="宋体" w:eastAsia="宋体" w:cs="宋体"/>
          <w:b/>
          <w:bCs w:val="0"/>
          <w:color w:val="auto"/>
          <w:sz w:val="32"/>
          <w:szCs w:val="32"/>
          <w:highlight w:val="none"/>
        </w:rPr>
        <w:fldChar w:fldCharType="end"/>
      </w:r>
      <w:r/>
    </w:p>
    <w:p>
      <w:pPr>
        <w:jc w:val="center"/>
        <w:spacing w:line="360" w:lineRule="auto"/>
        <w:rPr>
          <w:rFonts w:ascii="黑体" w:eastAsia="黑体"/>
          <w:bCs/>
          <w:color w:val="auto"/>
          <w:sz w:val="28"/>
          <w:szCs w:val="28"/>
          <w:highlight w:val="none"/>
        </w:rPr>
        <w:outlineLvl w:val="0"/>
      </w:pPr>
      <w:r/>
      <w:bookmarkStart w:id="0" w:name="报价方须知前附表"/>
      <w:r/>
      <w:bookmarkEnd w:id="0"/>
      <w:r/>
      <w:bookmarkStart w:id="33" w:name="_GoBack"/>
      <w:r/>
      <w:bookmarkEnd w:id="33"/>
      <w:r>
        <w:rPr>
          <w:rFonts w:ascii="黑体" w:eastAsia="黑体"/>
          <w:bCs/>
          <w:color w:val="auto"/>
          <w:sz w:val="28"/>
          <w:szCs w:val="28"/>
          <w:highlight w:val="none"/>
        </w:rPr>
        <w:br w:type="page" w:clear="all"/>
      </w:r>
      <w:bookmarkStart w:id="1" w:name="_Toc8214"/>
      <w:r>
        <w:rPr>
          <w:rFonts w:hint="eastAsia" w:ascii="黑体" w:eastAsia="黑体"/>
          <w:bCs/>
          <w:color w:val="auto"/>
          <w:sz w:val="28"/>
          <w:szCs w:val="28"/>
          <w:highlight w:val="none"/>
        </w:rPr>
        <w:t xml:space="preserve">一、投标邀请函</w:t>
      </w:r>
      <w:bookmarkEnd w:id="1"/>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江苏智汇锡建工程项目管理有限公司受太湖流域水文水资源监测中心（太湖流域水环境监测中心）委托，对</w:t>
      </w:r>
      <w:r>
        <w:rPr>
          <w:rFonts w:hint="eastAsia" w:ascii="宋体" w:hAnsi="宋体"/>
          <w:bCs/>
          <w:color w:val="auto"/>
          <w:sz w:val="24"/>
          <w:szCs w:val="24"/>
          <w:highlight w:val="none"/>
          <w:lang w:eastAsia="zh-CN"/>
        </w:rPr>
        <w:t xml:space="preserve">太湖野外站保障湖泊水源地安全挥发性新污染物筛查能力建设项目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太湖野外站保障湖泊水源地安全挥发性新污染物筛查能力建设项目</w:t>
      </w:r>
      <w:r>
        <w:rPr>
          <w:rFonts w:ascii="宋体" w:hAnsi="宋体" w:cs="宋体"/>
        </w:rP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JSZC-320200-JSZH-G2026-0067</w:t>
      </w:r>
      <w:r>
        <w:rPr>
          <w:rFonts w:ascii="宋体" w:hAnsi="宋体" w:cs="宋体"/>
        </w:rPr>
      </w:r>
    </w:p>
    <w:p>
      <w:pPr>
        <w:ind w:firstLine="480"/>
        <w:jc w:val="left"/>
        <w:spacing w:line="360" w:lineRule="auto"/>
        <w:widowControl/>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3.合同履行期限：</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日历天；</w:t>
      </w:r>
      <w:r>
        <w:rPr>
          <w:rFonts w:ascii="宋体" w:hAnsi="宋体" w:cs="宋体"/>
        </w:rP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4.项目基本情况</w:t>
      </w:r>
      <w:r>
        <w:rPr>
          <w:rFonts w:hint="eastAsia" w:ascii="宋体" w:hAnsi="宋体" w:eastAsia="宋体" w:cs="宋体"/>
          <w:color w:val="auto"/>
          <w:sz w:val="24"/>
          <w:szCs w:val="24"/>
          <w:highlight w:val="none"/>
          <w:lang w:eastAsia="zh-CN"/>
        </w:rPr>
        <w:t xml:space="preserve">：太湖野外站保障湖泊水源地安全挥发性新污染物筛查能力建设项目</w:t>
      </w:r>
      <w:r>
        <w:rPr>
          <w:rFonts w:hint="eastAsia" w:ascii="宋体" w:hAnsi="宋体" w:eastAsia="宋体" w:cs="宋体"/>
          <w:color w:val="auto"/>
          <w:sz w:val="24"/>
          <w:szCs w:val="24"/>
          <w:highlight w:val="none"/>
        </w:rPr>
        <w:t xml:space="preserve">，本项目共设1个标段</w:t>
      </w:r>
      <w:r>
        <w:rPr>
          <w:rFonts w:hint="eastAsia" w:ascii="宋体" w:hAnsi="宋体" w:eastAsia="宋体" w:cs="宋体"/>
          <w:color w:val="auto"/>
          <w:sz w:val="24"/>
          <w:szCs w:val="24"/>
          <w:highlight w:val="none"/>
          <w:lang w:eastAsia="zh-CN"/>
        </w:rPr>
        <w:t xml:space="preserve">。</w:t>
      </w:r>
      <w:r>
        <w:rPr>
          <w:rFonts w:ascii="宋体" w:hAnsi="宋体" w:cs="宋体"/>
        </w:rPr>
      </w:r>
    </w:p>
    <w:p>
      <w:pPr>
        <w:ind w:firstLine="480"/>
        <w:jc w:val="left"/>
        <w:spacing w:line="360" w:lineRule="auto"/>
        <w:widowControl/>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5.项目预算：</w:t>
      </w:r>
      <w:r>
        <w:rPr>
          <w:rFonts w:hint="eastAsia" w:ascii="宋体" w:hAnsi="宋体" w:cs="宋体"/>
          <w:color w:val="auto"/>
          <w:sz w:val="24"/>
          <w:szCs w:val="24"/>
          <w:highlight w:val="none"/>
          <w:lang w:val="en-US" w:eastAsia="zh-CN"/>
        </w:rPr>
        <w:t xml:space="preserve">475.00</w:t>
      </w:r>
      <w:r>
        <w:rPr>
          <w:rFonts w:hint="eastAsia" w:ascii="宋体" w:hAnsi="宋体" w:eastAsia="宋体" w:cs="宋体"/>
          <w:color w:val="auto"/>
          <w:sz w:val="24"/>
          <w:szCs w:val="24"/>
          <w:highlight w:val="none"/>
        </w:rPr>
        <w:t xml:space="preserve">万元；</w:t>
      </w:r>
      <w:r>
        <w:rPr>
          <w:rFonts w:ascii="宋体" w:hAnsi="宋体" w:cs="宋体"/>
        </w:rPr>
      </w:r>
    </w:p>
    <w:p>
      <w:pPr>
        <w:ind w:firstLine="480"/>
        <w:jc w:val="left"/>
        <w:spacing w:line="360" w:lineRule="auto"/>
        <w:widowControl/>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6.最高限价：</w:t>
      </w:r>
      <w:r>
        <w:rPr>
          <w:rFonts w:hint="eastAsia" w:ascii="宋体" w:hAnsi="宋体" w:cs="宋体"/>
          <w:color w:val="auto"/>
          <w:sz w:val="24"/>
          <w:szCs w:val="24"/>
          <w:highlight w:val="none"/>
          <w:lang w:val="en-US" w:eastAsia="zh-CN"/>
        </w:rPr>
        <w:t xml:space="preserve">475.00</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lang w:eastAsia="zh-CN"/>
        </w:rPr>
        <w:t xml:space="preserve">全二维气相色谱-高分辨飞行时间质谱联用仪</w:t>
      </w:r>
      <w:r>
        <w:rPr>
          <w:rFonts w:hint="eastAsia" w:ascii="宋体" w:hAnsi="宋体" w:eastAsia="宋体" w:cs="宋体"/>
          <w:color w:val="auto"/>
          <w:sz w:val="24"/>
          <w:szCs w:val="24"/>
          <w:highlight w:val="none"/>
          <w:lang w:val="en-US" w:eastAsia="zh-CN"/>
        </w:rPr>
        <w:t xml:space="preserve">最高限价320.00万元，</w:t>
      </w:r>
      <w:r>
        <w:rPr>
          <w:rFonts w:hint="eastAsia" w:ascii="宋体" w:hAnsi="宋体" w:eastAsia="宋体" w:cs="宋体"/>
          <w:color w:val="auto"/>
          <w:sz w:val="24"/>
          <w:szCs w:val="24"/>
          <w:highlight w:val="none"/>
          <w:lang w:val="en-US" w:eastAsia="zh-CN" w:bidi="ar"/>
        </w:rPr>
        <w:t xml:space="preserve">多功能自动进样器</w:t>
      </w:r>
      <w:r>
        <w:rPr>
          <w:rFonts w:hint="eastAsia" w:ascii="宋体" w:hAnsi="宋体" w:eastAsia="宋体" w:cs="宋体"/>
          <w:color w:val="auto"/>
          <w:sz w:val="24"/>
          <w:szCs w:val="24"/>
          <w:highlight w:val="none"/>
          <w:lang w:val="en-US" w:eastAsia="zh-CN"/>
        </w:rPr>
        <w:t xml:space="preserve">最高限价</w:t>
      </w:r>
      <w:r>
        <w:rPr>
          <w:rFonts w:hint="eastAsia" w:ascii="宋体" w:hAnsi="宋体" w:cs="宋体"/>
          <w:color w:val="auto"/>
          <w:sz w:val="24"/>
          <w:szCs w:val="24"/>
          <w:highlight w:val="none"/>
          <w:lang w:val="en-US" w:eastAsia="zh-CN"/>
        </w:rPr>
        <w:t xml:space="preserve">155.00</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，投标报价高于最高限价的作为无效投标处理</w:t>
      </w:r>
      <w:r>
        <w:rPr>
          <w:rFonts w:ascii="宋体" w:hAnsi="宋体" w:cs="宋体"/>
        </w:rPr>
      </w:r>
    </w:p>
    <w:p>
      <w:pPr>
        <w:ind w:firstLine="480"/>
        <w:jc w:val="left"/>
        <w:spacing w:line="360" w:lineRule="auto"/>
        <w:widowControl/>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7.采购方式：公开招标</w:t>
      </w:r>
      <w:r>
        <w:rPr>
          <w:rFonts w:ascii="宋体" w:hAnsi="宋体" w:cs="宋体"/>
        </w:rPr>
      </w:r>
    </w:p>
    <w:p>
      <w:pPr>
        <w:ind w:firstLine="480"/>
        <w:jc w:val="left"/>
        <w:spacing w:line="360" w:lineRule="auto"/>
        <w:widowControl/>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8.采购人：太湖流域水文水资源监测中心（太湖流域水环境监测中心）</w:t>
      </w:r>
      <w:r>
        <w:rPr>
          <w:rFonts w:ascii="宋体" w:hAnsi="宋体" w:cs="宋体"/>
        </w:rPr>
      </w:r>
    </w:p>
    <w:p>
      <w:pPr>
        <w:ind w:firstLine="480"/>
        <w:jc w:val="left"/>
        <w:spacing w:line="360" w:lineRule="auto"/>
        <w:widowControl/>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9.本项目标的所属行业：工业；</w:t>
      </w:r>
      <w:r>
        <w:rPr>
          <w:rFonts w:ascii="宋体" w:hAnsi="宋体" w:cs="宋体"/>
        </w:rPr>
      </w:r>
    </w:p>
    <w:p>
      <w:pPr>
        <w:ind w:firstLine="480"/>
        <w:jc w:val="left"/>
        <w:spacing w:line="360" w:lineRule="auto"/>
        <w:widowControl/>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10.本项目是否专门面向中小企业：否；</w:t>
      </w:r>
      <w:r>
        <w:rPr>
          <w:rFonts w:ascii="宋体" w:hAnsi="宋体" w:cs="宋体"/>
        </w:rP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2.落实政府采购政策需满足的资格要求：无；</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投标供应商应为中国大陆境内合法注册的独立企（事）业法人单位；（2）未被“信用中国”（www.creditchina.gov.cn）、中国政府采购网（www.ccgp.gov.cn）列入失信被执行人、重大税收违法案件当事人名单、政府采购严重违法失信行为记录名单；（3）授权委托人应为投标供应商企业在职员工；（4）本项目不接受联合体投标。</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1.潜在投标供应商可在项目招标公告附件中查看公开招标文件，如确定投标，必须在苏采云平台（http://jszfcg.jsczt.cn/j</w:t>
      </w:r>
      <w:r>
        <w:rPr>
          <w:rFonts w:hint="eastAsia" w:ascii="宋体" w:hAnsi="宋体"/>
          <w:bCs/>
          <w:color w:val="auto"/>
          <w:sz w:val="24"/>
          <w:szCs w:val="24"/>
          <w:highlight w:val="none"/>
        </w:rPr>
        <w:t xml:space="preserve">szc/login）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将以线上不见面、电话咨询、发邮件等方式开展线上答疑服务。截止至</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日17:00前，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JSZC-320200-JSZH-G2026-0067</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发邮件给项目联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:30（投标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2" w:name="_Toc28359007"/>
      <w:r>
        <w:rPr>
          <w:rFonts w:hint="eastAsia" w:ascii="宋体" w:hAnsi="宋体" w:cs="宋体"/>
          <w:color w:val="auto"/>
          <w:sz w:val="24"/>
          <w:szCs w:val="24"/>
          <w:highlight w:val="none"/>
        </w:rPr>
        <w:t xml:space="preserve">“苏采云”系统（网址：http://jszfcg.jsczt.cn/）</w:t>
      </w:r>
      <w:bookmarkEnd w:id="2"/>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江苏智汇锡建工程项目管理有限公司（无锡市新吴区和风路19号启迪协信中心6号楼9楼）会议室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（九）其他</w:t>
      </w:r>
      <w:r/>
    </w:p>
    <w:p>
      <w:pPr>
        <w:pStyle w:val="70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70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采购人：太湖流域水文水资源监测中心（太湖流域水环境监测中心）</w:t>
      </w:r>
      <w:r/>
    </w:p>
    <w:p>
      <w:pPr>
        <w:pStyle w:val="70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采购人地址：江苏省无锡市金城路835号</w:t>
      </w:r>
      <w:r/>
    </w:p>
    <w:p>
      <w:pPr>
        <w:pStyle w:val="707"/>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袁先生</w:t>
      </w:r>
      <w:r/>
    </w:p>
    <w:p>
      <w:pPr>
        <w:pStyle w:val="707"/>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联系电话：</w:t>
      </w:r>
      <w:r>
        <w:rPr>
          <w:rFonts w:hint="eastAsia" w:cs="宋体"/>
          <w:color w:val="auto"/>
          <w:highlight w:val="none"/>
        </w:rPr>
        <w:t xml:space="preserve">0510-854429</w:t>
      </w:r>
      <w:r>
        <w:rPr>
          <w:rFonts w:hint="eastAsia" w:cs="宋体"/>
          <w:color w:val="auto"/>
          <w:highlight w:val="none"/>
          <w:lang w:val="en-US" w:eastAsia="zh-CN"/>
        </w:rPr>
        <w:t xml:space="preserve">17</w:t>
      </w:r>
      <w:r/>
    </w:p>
    <w:p>
      <w:pPr>
        <w:pStyle w:val="707"/>
        <w:ind w:firstLine="480"/>
        <w:spacing w:before="0" w:beforeAutospacing="0" w:after="0" w:afterAutospacing="0" w:line="460" w:lineRule="exact"/>
        <w:tabs>
          <w:tab w:val="left" w:pos="0" w:leader="none"/>
        </w:tabs>
        <w:rPr>
          <w:rFonts w:cs="宋体"/>
          <w:color w:val="auto"/>
          <w:highlight w:val="none"/>
          <w:lang w:val="zh-CN"/>
        </w:rPr>
      </w:pPr>
      <w:r>
        <w:rPr>
          <w:rFonts w:cs="宋体"/>
          <w:color w:val="auto"/>
          <w:highlight w:val="none"/>
          <w:lang w:val="zh-CN"/>
        </w:rPr>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采购代理机构：江苏智汇锡建工程项目管理有限公司</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联系地址：无锡市新吴区和风路19号启迪协信中心6号楼9楼</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联系电话：0510-82796055</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联系人：徐丽平、吴雨洁</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邮箱：jszh009@163.com</w:t>
      </w:r>
      <w:r/>
    </w:p>
    <w:p>
      <w:pPr>
        <w:pStyle w:val="707"/>
        <w:ind w:firstLine="480"/>
        <w:spacing w:before="0" w:beforeAutospacing="0" w:after="0" w:afterAutospacing="0" w:line="460" w:lineRule="exact"/>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br w:type="page" w:clear="all"/>
      </w:r>
      <w:r/>
    </w:p>
    <w:p>
      <w:pPr>
        <w:jc w:val="center"/>
        <w:spacing w:line="360" w:lineRule="auto"/>
        <w:rPr>
          <w:rFonts w:ascii="黑体" w:eastAsia="黑体"/>
          <w:bCs/>
          <w:color w:val="auto"/>
          <w:sz w:val="28"/>
          <w:szCs w:val="28"/>
          <w:highlight w:val="none"/>
        </w:rPr>
        <w:outlineLvl w:val="0"/>
      </w:pPr>
      <w:r/>
      <w:bookmarkStart w:id="3" w:name="_Toc17027"/>
      <w:r>
        <w:rPr>
          <w:rFonts w:hint="eastAsia" w:ascii="黑体" w:eastAsia="黑体"/>
          <w:bCs/>
          <w:color w:val="auto"/>
          <w:sz w:val="28"/>
          <w:szCs w:val="28"/>
          <w:highlight w:val="none"/>
        </w:rPr>
        <w:t xml:space="preserve">二、投标人须知</w:t>
      </w:r>
      <w:bookmarkEnd w:id="3"/>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投标供应商应在苏采云平台（http://jszfcg.jsczt.cn/jszc/login）下载招标文件及有关资料，按要求制作、上传投标文件，对招标文件各项内容做出实质性响应，否则投标无效。</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招标文件仅作为本次采购使用。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2.如需对招标文件进行澄清或修正，江苏智汇锡建工程项目管理有限公司将在江苏政府采购网发布更正公告，该澄清或修正的内容为招标文件的组成部分。投标人应在投标截止时间前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\o "http://download.ccgp.gov.cn/2018/zhiyihanfanben.zip"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p>
    <w:p>
      <w:pPr>
        <w:ind w:left="1200" w:hanging="72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地址：江苏智汇锡建工程项目管理有限公司（无锡市新吴区和风路19号启迪协信中心6号楼9楼）</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jc w:val="left"/>
        <w:spacing w:line="360" w:lineRule="auto"/>
        <w:shd w:val="clear" w:color="auto" w:fill="ffffff"/>
        <w:widowControl/>
        <w:rPr>
          <w:rFonts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cs="宋体"/>
          <w:color w:val="auto"/>
          <w:sz w:val="24"/>
          <w:szCs w:val="24"/>
          <w:highlight w:val="none"/>
        </w:rPr>
        <w:t xml:space="preserve">徐丽平、吴雨洁</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cs="宋体"/>
          <w:color w:val="auto"/>
          <w:sz w:val="24"/>
          <w:szCs w:val="24"/>
          <w:highlight w:val="none"/>
        </w:rPr>
        <w:t xml:space="preserve">0510-82796055</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投标人近一年中任意一个月份（不含投标当月）的财务状况报告（资产负债表和利润表）或由会计师事务所出具的近两年中（2024年或2025年）任意一个年度的审计报告和所附已审财务报告；</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注：按照《政府采购法实施条例释义》，法人的分支机构由于其不能独立承担民事责任，</w:t>
      </w:r>
      <w:r>
        <w:rPr>
          <w:rFonts w:hint="eastAsia" w:ascii="宋体" w:hAnsi="宋体" w:cs="宋体"/>
          <w:color w:val="auto"/>
          <w:sz w:val="24"/>
          <w:szCs w:val="24"/>
          <w:highlight w:val="none"/>
        </w:rPr>
        <w:t xml:space="preserve">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6、售后服务承诺（</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7、投标人基本情况声明（</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8、项目人员配置清单（</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9、关于符合本国产品标准的声明函（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bCs/>
          <w:color w:val="auto"/>
          <w:sz w:val="24"/>
          <w:szCs w:val="24"/>
          <w:highlight w:val="none"/>
        </w:rPr>
        <w:t xml:space="preserve">10、技术文件</w:t>
      </w:r>
      <w:r>
        <w:rPr>
          <w:rFonts w:hint="eastAsia" w:ascii="宋体" w:hAnsi="宋体" w:eastAsia="宋体" w:cs="Times New Roman"/>
          <w:b/>
          <w:color w:val="auto"/>
          <w:sz w:val="24"/>
          <w:szCs w:val="24"/>
          <w:highlight w:val="none"/>
          <w:lang w:val="en-US" w:eastAsia="zh-CN" w:bidi="ar-SA"/>
        </w:rPr>
        <w:t xml:space="preserve">（暗标，内容参照评标办法）</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u w:val="single"/>
          <w:lang w:val="en-US" w:eastAsia="zh-CN" w:bidi="ar-SA"/>
        </w:rPr>
      </w:pPr>
      <w:r>
        <w:rPr>
          <w:rFonts w:hint="eastAsia" w:ascii="宋体" w:hAnsi="宋体" w:eastAsia="宋体" w:cs="Times New Roman"/>
          <w:b/>
          <w:color w:val="auto"/>
          <w:sz w:val="24"/>
          <w:szCs w:val="21"/>
          <w:highlight w:val="none"/>
          <w:u w:val="single"/>
          <w:lang w:val="en-US" w:eastAsia="zh-CN" w:bidi="ar-SA"/>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u w:val="single"/>
          <w:lang w:val="en-US" w:eastAsia="zh-CN" w:bidi="ar-SA"/>
        </w:rPr>
      </w:pPr>
      <w:r>
        <w:rPr>
          <w:rFonts w:hint="eastAsia" w:ascii="宋体" w:hAnsi="宋体" w:eastAsia="宋体" w:cs="Times New Roman"/>
          <w:b/>
          <w:color w:val="auto"/>
          <w:sz w:val="24"/>
          <w:szCs w:val="21"/>
          <w:highlight w:val="none"/>
          <w:lang w:val="en-US" w:eastAsia="zh-CN" w:bidi="ar-SA"/>
        </w:rPr>
        <w:t xml:space="preserve">不得有体现投标人身份的内容是指：</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lang w:val="en-US" w:eastAsia="zh-CN" w:bidi="ar-SA"/>
        </w:rPr>
      </w:pPr>
      <w:r>
        <w:rPr>
          <w:rFonts w:hint="eastAsia" w:ascii="宋体" w:hAnsi="宋体" w:eastAsia="宋体" w:cs="Times New Roman"/>
          <w:b/>
          <w:color w:val="auto"/>
          <w:sz w:val="24"/>
          <w:szCs w:val="21"/>
          <w:highlight w:val="none"/>
          <w:lang w:val="en-US" w:eastAsia="zh-CN" w:bidi="ar-SA"/>
        </w:rPr>
        <w:t xml:space="preserve">①技术部分不得出现能够体现投标人身份、名称的相关描述、材料、文件等内容；</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lang w:val="en-US" w:eastAsia="zh-CN" w:bidi="ar-SA"/>
        </w:rPr>
      </w:pPr>
      <w:r>
        <w:rPr>
          <w:rFonts w:hint="eastAsia" w:ascii="宋体" w:hAnsi="宋体" w:eastAsia="宋体" w:cs="Times New Roman"/>
          <w:b/>
          <w:color w:val="auto"/>
          <w:sz w:val="24"/>
          <w:szCs w:val="21"/>
          <w:highlight w:val="none"/>
          <w:lang w:val="en-US" w:eastAsia="zh-CN" w:bidi="ar-SA"/>
        </w:rPr>
        <w:t xml:space="preserve">②技术部分不得更改，不得在其中涂改、标注或做任何可以辨认投标人及所属人员身份的名称、印章、商标等标记；</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lang w:val="en-US" w:eastAsia="zh-CN" w:bidi="ar-SA"/>
        </w:rPr>
      </w:pPr>
      <w:r>
        <w:rPr>
          <w:rFonts w:hint="eastAsia" w:ascii="宋体" w:hAnsi="宋体" w:eastAsia="宋体" w:cs="Times New Roman"/>
          <w:b/>
          <w:color w:val="auto"/>
          <w:sz w:val="24"/>
          <w:szCs w:val="21"/>
          <w:highlight w:val="none"/>
          <w:lang w:val="en-US" w:eastAsia="zh-CN" w:bidi="ar-SA"/>
        </w:rPr>
        <w:t xml:space="preserve">③技术部分应当版面整洁、字迹清楚、不许批注或进行底纹、阴影、水印等特殊设置，不得采用任何不符合常规、有别于其他投标人的特殊做法；</w:t>
      </w:r>
      <w:r/>
    </w:p>
    <w:p>
      <w:pPr>
        <w:ind w:firstLine="48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1"/>
          <w:highlight w:val="none"/>
          <w:lang w:val="en-US" w:eastAsia="zh-CN" w:bidi="ar-SA"/>
        </w:rPr>
        <w:t xml:space="preserve">④不得有其他体现投标人身份的内容。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11、评分标准中对应的其他所需证明材料（如有自行添加）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w:t>
      </w:r>
      <w:r>
        <w:rPr>
          <w:rFonts w:hint="eastAsia" w:ascii="宋体"/>
          <w:bCs/>
          <w:color w:val="auto"/>
          <w:sz w:val="24"/>
          <w:szCs w:val="24"/>
          <w:highlight w:val="none"/>
        </w:rPr>
        <w:t xml:space="preserve">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13、要求采购人提供的配合（如有自拟并自行添加）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14、其他（报价人认为有必要提供的声明和文件，如有自拟并自行添加）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1-10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响应及投标费用自理。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投标供应商应由其法定代表人或法定代表人授权代表在规定的网上投标时间内，凭CA数字证书登录苏采云平台获取招标文件，在投标客户端制作投标文件（电子数据），并在投标截止时间之前上传投标文件。</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
          <w:bCs w:val="0"/>
          <w:color w:val="auto"/>
          <w:sz w:val="24"/>
          <w:szCs w:val="24"/>
          <w:highlight w:val="none"/>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7"/>
        </w:numPr>
        <w:ind w:left="0" w:firstLine="480"/>
        <w:keepLines w:val="0"/>
        <w:keepNext w:val="0"/>
        <w:pageBreakBefore w:val="0"/>
        <w:spacing w:line="360" w:lineRule="auto"/>
        <w:widowControl w:val="off"/>
        <w:tabs>
          <w:tab w:val="left" w:pos="945" w:leader="none"/>
        </w:tabs>
        <w:rPr>
          <w:rFonts w:hint="default" w:ascii="宋体" w:hAnsi="Times New Roman" w:eastAsia="宋体" w:cs="Times New Roman"/>
          <w:bCs/>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未按规定在江苏省政府采购（苏采云）平台注册的；</w:t>
      </w:r>
      <w:r/>
    </w:p>
    <w:p>
      <w:pPr>
        <w:numPr>
          <w:ilvl w:val="0"/>
          <w:numId w:val="7"/>
        </w:numPr>
        <w:ind w:left="0" w:firstLine="480"/>
        <w:keepLines w:val="0"/>
        <w:keepNext w:val="0"/>
        <w:pageBreakBefore w:val="0"/>
        <w:spacing w:line="360" w:lineRule="auto"/>
        <w:widowControl w:val="off"/>
        <w:tabs>
          <w:tab w:val="left" w:pos="945" w:leader="none"/>
        </w:tabs>
        <w:rPr>
          <w:rFonts w:hint="default" w:ascii="宋体" w:hAnsi="Times New Roman"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电子投标文件未按规定期限投标的，纸质投标文件（如有）未按规定的期限、地点送达的；</w:t>
      </w:r>
      <w:r/>
    </w:p>
    <w:p>
      <w:pPr>
        <w:numPr>
          <w:ilvl w:val="0"/>
          <w:numId w:val="7"/>
        </w:numPr>
        <w:ind w:left="0" w:firstLine="480"/>
        <w:keepLines w:val="0"/>
        <w:keepNext w:val="0"/>
        <w:pageBreakBefore w:val="0"/>
        <w:spacing w:line="360" w:lineRule="auto"/>
        <w:widowControl w:val="off"/>
        <w:tabs>
          <w:tab w:val="left" w:pos="945" w:leader="none"/>
        </w:tabs>
        <w:rPr>
          <w:rFonts w:hint="default" w:ascii="宋体" w:hAnsi="Times New Roman"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电子投标文件未按招标文件要求签章的；</w:t>
      </w:r>
      <w:r/>
    </w:p>
    <w:p>
      <w:pPr>
        <w:numPr>
          <w:ilvl w:val="0"/>
          <w:numId w:val="7"/>
        </w:numPr>
        <w:ind w:left="0" w:firstLine="480"/>
        <w:keepLines w:val="0"/>
        <w:keepNext w:val="0"/>
        <w:pageBreakBefore w:val="0"/>
        <w:spacing w:line="360" w:lineRule="auto"/>
        <w:widowControl w:val="off"/>
        <w:tabs>
          <w:tab w:val="left" w:pos="945" w:leader="none"/>
        </w:tabs>
        <w:rPr>
          <w:rFonts w:hint="default" w:ascii="宋体" w:hAnsi="Times New Roman"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投标人未按招标文件要求解密电子投标文件的；</w:t>
      </w:r>
      <w:r/>
    </w:p>
    <w:p>
      <w:pPr>
        <w:numPr>
          <w:ilvl w:val="0"/>
          <w:numId w:val="7"/>
        </w:numPr>
        <w:ind w:left="0" w:firstLine="480"/>
        <w:keepLines w:val="0"/>
        <w:keepNext w:val="0"/>
        <w:pageBreakBefore w:val="0"/>
        <w:spacing w:line="360" w:lineRule="auto"/>
        <w:widowControl w:val="off"/>
        <w:tabs>
          <w:tab w:val="left" w:pos="945" w:leader="none"/>
        </w:tabs>
        <w:rPr>
          <w:rFonts w:hint="default" w:ascii="宋体" w:hAnsi="Times New Roman"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投标人的法定代表人授权代表，无法定代表人授权委托书的；</w:t>
      </w:r>
      <w:r/>
    </w:p>
    <w:p>
      <w:pPr>
        <w:numPr>
          <w:ilvl w:val="0"/>
          <w:numId w:val="7"/>
        </w:numPr>
        <w:ind w:left="0" w:firstLine="480"/>
        <w:keepLines w:val="0"/>
        <w:keepNext w:val="0"/>
        <w:pageBreakBefore w:val="0"/>
        <w:spacing w:line="360" w:lineRule="auto"/>
        <w:widowControl w:val="off"/>
        <w:tabs>
          <w:tab w:val="left" w:pos="945" w:leader="none"/>
        </w:tabs>
        <w:rPr>
          <w:rFonts w:hint="default" w:ascii="宋体" w:hAnsi="Times New Roman"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不具备招标文件中规定的资格要求或未按招标文件规定的要求提供资格、资信证明文件的；</w:t>
      </w:r>
      <w:r/>
    </w:p>
    <w:p>
      <w:pPr>
        <w:numPr>
          <w:ilvl w:val="0"/>
          <w:numId w:val="7"/>
        </w:numPr>
        <w:ind w:left="0" w:firstLine="480"/>
        <w:keepLines w:val="0"/>
        <w:keepNext w:val="0"/>
        <w:pageBreakBefore w:val="0"/>
        <w:spacing w:line="360" w:lineRule="auto"/>
        <w:widowControl w:val="off"/>
        <w:tabs>
          <w:tab w:val="left" w:pos="945" w:leader="none"/>
        </w:tabs>
        <w:rPr>
          <w:rFonts w:hint="default" w:ascii="宋体" w:hAnsi="Times New Roman" w:eastAsia="宋体" w:cs="Times New Roman"/>
          <w:bCs/>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被“信用中国”网站（</w:t>
      </w:r>
      <w:r>
        <w:rPr>
          <w:rFonts w:hint="default" w:ascii="Times New Roman" w:hAnsi="Times New Roman" w:eastAsia="宋体" w:cs="Times New Roman"/>
          <w:color w:val="auto"/>
          <w:sz w:val="24"/>
          <w:highlight w:val="none"/>
          <w:lang w:val="en-US" w:eastAsia="zh-CN" w:bidi="ar-SA"/>
        </w:rPr>
        <w:fldChar w:fldCharType="begin"/>
      </w:r>
      <w:r>
        <w:rPr>
          <w:rFonts w:hint="default" w:ascii="Times New Roman" w:hAnsi="Times New Roman" w:eastAsia="宋体" w:cs="Times New Roman"/>
          <w:color w:val="auto"/>
          <w:sz w:val="24"/>
          <w:highlight w:val="none"/>
          <w:lang w:val="en-US" w:eastAsia="zh-CN" w:bidi="ar-SA"/>
        </w:rPr>
        <w:instrText xml:space="preserve"> HYPERLINK "http://www.creditchina.gov.cn" </w:instrText>
      </w:r>
      <w:r>
        <w:rPr>
          <w:rFonts w:hint="default" w:ascii="Times New Roman" w:hAnsi="Times New Roman" w:eastAsia="宋体" w:cs="Times New Roman"/>
          <w:color w:val="auto"/>
          <w:sz w:val="24"/>
          <w:highlight w:val="none"/>
          <w:lang w:val="en-US" w:eastAsia="zh-CN" w:bidi="ar-SA"/>
        </w:rPr>
        <w:fldChar w:fldCharType="separate"/>
      </w:r>
      <w:r>
        <w:rPr>
          <w:rFonts w:hint="eastAsia" w:ascii="宋体" w:hAnsi="宋体" w:eastAsia="宋体" w:cs="Times New Roman"/>
          <w:color w:val="auto"/>
          <w:sz w:val="24"/>
          <w:szCs w:val="24"/>
          <w:highlight w:val="none"/>
          <w:lang w:val="en-US" w:eastAsia="zh-CN" w:bidi="ar-SA"/>
        </w:rPr>
        <w:t xml:space="preserve">www.creditchina.gov.cn</w:t>
      </w:r>
      <w:r>
        <w:rPr>
          <w:rFonts w:hint="eastAsia" w:ascii="宋体" w:hAnsi="宋体" w:eastAsia="宋体" w:cs="Times New Roman"/>
          <w:color w:val="auto"/>
          <w:sz w:val="24"/>
          <w:szCs w:val="24"/>
          <w:highlight w:val="none"/>
          <w:lang w:val="en-US" w:eastAsia="zh-CN" w:bidi="ar-SA"/>
        </w:rPr>
        <w:fldChar w:fldCharType="end"/>
      </w:r>
      <w:r>
        <w:rPr>
          <w:rFonts w:hint="eastAsia" w:ascii="宋体" w:hAnsi="宋体" w:eastAsia="宋体" w:cs="Times New Roman"/>
          <w:color w:val="auto"/>
          <w:sz w:val="24"/>
          <w:szCs w:val="24"/>
          <w:highlight w:val="none"/>
          <w:lang w:val="en-US" w:eastAsia="zh-CN" w:bidi="ar-SA"/>
        </w:rPr>
        <w:t xml:space="preserve">）、中国政府采购网（www.ccgp.gov.cn）列入失信被执行人、重大税收违法案件当事人名单、政府采购严重违法失信行为记录名单的；</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投标文件未按招标文件规定的内容和要求填写的；没有在投标系统指定位置上传对应文件、材料的；</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电子投标文件图片、字迹模糊不清、无法辨认的；</w:t>
      </w:r>
      <w:r/>
    </w:p>
    <w:p>
      <w:pPr>
        <w:numPr>
          <w:ilvl w:val="0"/>
          <w:numId w:val="7"/>
        </w:numPr>
        <w:ind w:left="0" w:firstLine="480"/>
        <w:keepLines w:val="0"/>
        <w:keepNext w:val="0"/>
        <w:pageBreakBefore w:val="0"/>
        <w:spacing w:line="360" w:lineRule="auto"/>
        <w:widowControl w:val="off"/>
        <w:tabs>
          <w:tab w:val="left" w:pos="945" w:leader="none"/>
        </w:tabs>
        <w:rPr>
          <w:rFonts w:hint="default" w:ascii="宋体" w:hAnsi="Times New Roman" w:eastAsia="宋体" w:cs="Times New Roman"/>
          <w:bCs/>
          <w:color w:val="auto"/>
          <w:sz w:val="24"/>
          <w:szCs w:val="24"/>
          <w:highlight w:val="none"/>
          <w:lang w:val="en-US" w:eastAsia="zh-CN" w:bidi="ar-SA"/>
        </w:rPr>
      </w:pPr>
      <w:r>
        <w:rPr>
          <w:rFonts w:hint="eastAsia" w:ascii="宋体" w:hAnsi="Times New Roman" w:eastAsia="宋体" w:cs="Times New Roman"/>
          <w:bCs/>
          <w:color w:val="auto"/>
          <w:sz w:val="24"/>
          <w:szCs w:val="24"/>
          <w:highlight w:val="none"/>
          <w:lang w:val="en-US" w:eastAsia="zh-CN" w:bidi="ar-SA"/>
        </w:rPr>
        <w:t xml:space="preserve">电子投标文件中技术文件暗标部分中出现该报价供应商单位名称、简称、人员姓名、Logo、商标、电话号码等任何标识标记及其他暗示性标志的；</w:t>
      </w:r>
      <w:r/>
    </w:p>
    <w:p>
      <w:pPr>
        <w:numPr>
          <w:ilvl w:val="0"/>
          <w:numId w:val="7"/>
        </w:numPr>
        <w:ind w:left="0" w:firstLine="480"/>
        <w:keepLines w:val="0"/>
        <w:keepNext w:val="0"/>
        <w:pageBreakBefore w:val="0"/>
        <w:spacing w:line="360" w:lineRule="auto"/>
        <w:widowControl w:val="off"/>
        <w:tabs>
          <w:tab w:val="left" w:pos="945" w:leader="none"/>
        </w:tabs>
        <w:rPr>
          <w:rFonts w:hint="default" w:ascii="宋体" w:hAnsi="Times New Roman" w:eastAsia="宋体" w:cs="Times New Roman"/>
          <w:bCs/>
          <w:color w:val="auto"/>
          <w:sz w:val="24"/>
          <w:szCs w:val="24"/>
          <w:highlight w:val="none"/>
          <w:lang w:val="en-US" w:eastAsia="zh-CN" w:bidi="ar-SA"/>
        </w:rPr>
      </w:pPr>
      <w:r>
        <w:rPr>
          <w:rFonts w:hint="eastAsia" w:ascii="宋体" w:hAnsi="Times New Roman" w:eastAsia="宋体" w:cs="Times New Roman"/>
          <w:bCs/>
          <w:color w:val="auto"/>
          <w:sz w:val="24"/>
          <w:szCs w:val="24"/>
          <w:highlight w:val="none"/>
          <w:lang w:val="en-US" w:eastAsia="zh-CN" w:bidi="ar-SA"/>
        </w:rPr>
        <w:t xml:space="preserve">电子投标文件中技术文件暗标部分未按要求编制，编制粗糙、缺漏项、格式混乱、条理不清的；</w:t>
      </w:r>
      <w:r/>
    </w:p>
    <w:p>
      <w:pPr>
        <w:numPr>
          <w:ilvl w:val="0"/>
          <w:numId w:val="7"/>
        </w:numPr>
        <w:ind w:left="0" w:firstLine="480"/>
        <w:keepLines w:val="0"/>
        <w:keepNext w:val="0"/>
        <w:pageBreakBefore w:val="0"/>
        <w:spacing w:line="360" w:lineRule="auto"/>
        <w:widowControl w:val="off"/>
        <w:tabs>
          <w:tab w:val="left" w:pos="945" w:leader="none"/>
        </w:tabs>
        <w:rPr>
          <w:rFonts w:hint="default" w:ascii="宋体" w:hAnsi="Times New Roman"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投标文件中有招标文件未允许提供的选择性内容；</w:t>
      </w:r>
      <w:r/>
    </w:p>
    <w:p>
      <w:pPr>
        <w:numPr>
          <w:ilvl w:val="0"/>
          <w:numId w:val="7"/>
        </w:numPr>
        <w:ind w:left="0" w:firstLine="480"/>
        <w:keepLines w:val="0"/>
        <w:keepNext w:val="0"/>
        <w:pageBreakBefore w:val="0"/>
        <w:spacing w:line="360" w:lineRule="auto"/>
        <w:widowControl w:val="off"/>
        <w:tabs>
          <w:tab w:val="left" w:pos="945" w:leader="none"/>
        </w:tabs>
        <w:rPr>
          <w:rFonts w:hint="default" w:ascii="宋体" w:hAnsi="Times New Roman"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不同投标人委托同一单位或者个人办理投标事宜的；</w:t>
      </w:r>
      <w:r/>
    </w:p>
    <w:p>
      <w:pPr>
        <w:numPr>
          <w:ilvl w:val="0"/>
          <w:numId w:val="7"/>
        </w:numPr>
        <w:ind w:left="0" w:firstLine="480"/>
        <w:keepLines w:val="0"/>
        <w:keepNext w:val="0"/>
        <w:pageBreakBefore w:val="0"/>
        <w:spacing w:line="360" w:lineRule="auto"/>
        <w:widowControl w:val="off"/>
        <w:tabs>
          <w:tab w:val="left" w:pos="945" w:leader="none"/>
        </w:tabs>
        <w:rPr>
          <w:rFonts w:hint="default" w:ascii="宋体" w:hAnsi="Times New Roman"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不同投标人的单位负责人为同一人或者存在直接控股、管理关系的；</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不同投标人的投标文件的上传形式、目录序号、排版格式、文字风格等存在明显的相似性或一致性，特征显示由同一单位或者同一个人编制的；</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7"/>
        </w:numPr>
        <w:ind w:left="0" w:firstLine="480"/>
        <w:keepLines w:val="0"/>
        <w:keepNext w:val="0"/>
        <w:pageBreakBefore w:val="0"/>
        <w:spacing w:line="360" w:lineRule="auto"/>
        <w:widowControl w:val="off"/>
        <w:tabs>
          <w:tab w:val="left" w:pos="945" w:leader="none"/>
        </w:tabs>
        <w:rPr>
          <w:rFonts w:hint="default" w:ascii="宋体" w:hAnsi="Times New Roman"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项目（标段）投标总价超过本项目（标段）预算或最高限价的；</w:t>
      </w:r>
      <w:r/>
    </w:p>
    <w:p>
      <w:pPr>
        <w:numPr>
          <w:ilvl w:val="0"/>
          <w:numId w:val="7"/>
        </w:numPr>
        <w:ind w:left="0" w:firstLine="480"/>
        <w:keepLines w:val="0"/>
        <w:keepNext w:val="0"/>
        <w:pageBreakBefore w:val="0"/>
        <w:spacing w:line="360" w:lineRule="auto"/>
        <w:widowControl w:val="off"/>
        <w:tabs>
          <w:tab w:val="left" w:pos="945" w:leader="none"/>
        </w:tabs>
        <w:rPr>
          <w:rFonts w:hint="default" w:ascii="宋体" w:hAnsi="Times New Roman"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提供虚假材料的（包括工商营业执照、财务报表、资格证明文件等）；</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投标文件含有采购人不能接受的附加条件的；</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i w:val="0"/>
          <w:iCs w:val="0"/>
          <w:color w:val="auto"/>
          <w:sz w:val="24"/>
          <w:szCs w:val="24"/>
          <w:highlight w:val="none"/>
          <w:lang w:val="en-US" w:eastAsia="zh-CN" w:bidi="ar-SA"/>
        </w:rPr>
      </w:pPr>
      <w:r>
        <w:rPr>
          <w:rFonts w:hint="eastAsia" w:ascii="宋体" w:hAnsi="宋体" w:eastAsia="宋体" w:cs="Times New Roman"/>
          <w:bCs/>
          <w:i w:val="0"/>
          <w:iCs w:val="0"/>
          <w:color w:val="auto"/>
          <w:sz w:val="24"/>
          <w:szCs w:val="24"/>
          <w:highlight w:val="none"/>
          <w:lang w:val="en-US" w:eastAsia="zh-CN" w:bidi="ar-SA"/>
        </w:rPr>
        <w:t xml:space="preserve">根据《财政部关于推动解决政府采购异常低价问题的通知》（财库〔2026〕2号）要求，政府采购评审中出现下列情形之一的，评审委员会应当启动异常低价投标（响应）审查程序：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lang w:val="en-US" w:eastAsia="zh-CN" w:bidi="ar-SA"/>
        </w:rPr>
      </w:pPr>
      <w:r>
        <w:rPr>
          <w:rFonts w:hint="eastAsia" w:ascii="宋体" w:hAnsi="宋体" w:eastAsia="宋体" w:cs="Times New Roman"/>
          <w:bCs/>
          <w:i w:val="0"/>
          <w:iCs w:val="0"/>
          <w:color w:val="auto"/>
          <w:sz w:val="24"/>
          <w:szCs w:val="24"/>
          <w:highlight w:val="none"/>
          <w:lang w:val="en-US" w:eastAsia="zh-CN" w:bidi="ar-SA"/>
        </w:rPr>
        <w:t xml:space="preserve">（1）投标（响应）报价低于全部通过符合性审查供应商投标（响应）报价平均值50%的，即投标（响应）报价＜全部通过符合性审查供应商投标（响应）报价平均值×50%；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lang w:val="en-US" w:eastAsia="zh-CN" w:bidi="ar-SA"/>
        </w:rPr>
      </w:pPr>
      <w:r>
        <w:rPr>
          <w:rFonts w:hint="eastAsia" w:ascii="宋体" w:hAnsi="宋体" w:eastAsia="宋体" w:cs="Times New Roman"/>
          <w:bCs/>
          <w:i w:val="0"/>
          <w:iCs w:val="0"/>
          <w:color w:val="auto"/>
          <w:sz w:val="24"/>
          <w:szCs w:val="24"/>
          <w:highlight w:val="none"/>
          <w:lang w:val="en-US" w:eastAsia="zh-CN" w:bidi="ar-SA"/>
        </w:rPr>
        <w:t xml:space="preserve">（2）投标（响应）报价低于通过符合性审查的次低报价供应商投标（响应）报价50%的，即投标（响应）报价＜通过符合性审查的次低报价供应商投标（响应）报价×50%；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lang w:val="en-US" w:eastAsia="zh-CN" w:bidi="ar-SA"/>
        </w:rPr>
      </w:pPr>
      <w:r>
        <w:rPr>
          <w:rFonts w:hint="eastAsia" w:ascii="宋体" w:hAnsi="宋体" w:eastAsia="宋体" w:cs="Times New Roman"/>
          <w:bCs/>
          <w:i w:val="0"/>
          <w:iCs w:val="0"/>
          <w:color w:val="auto"/>
          <w:sz w:val="24"/>
          <w:szCs w:val="24"/>
          <w:highlight w:val="none"/>
          <w:lang w:val="en-US" w:eastAsia="zh-CN" w:bidi="ar-SA"/>
        </w:rPr>
        <w:t xml:space="preserve">（3）投标（响应）报价低于采购项目最高限价45%的，即投标（响应）报价＜采购项目最高限价×45%；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lang w:val="en-US" w:eastAsia="zh-CN" w:bidi="ar-SA"/>
        </w:rPr>
      </w:pPr>
      <w:r>
        <w:rPr>
          <w:rFonts w:hint="eastAsia" w:ascii="宋体" w:hAnsi="宋体" w:eastAsia="宋体" w:cs="Times New Roman"/>
          <w:bCs/>
          <w:i w:val="0"/>
          <w:iCs w:val="0"/>
          <w:color w:val="auto"/>
          <w:sz w:val="24"/>
          <w:szCs w:val="24"/>
          <w:highlight w:val="none"/>
          <w:lang w:val="en-US" w:eastAsia="zh-CN" w:bidi="ar-SA"/>
        </w:rPr>
        <w:t xml:space="preserve">（4）评审委员会基于专业判断，认为供应商报价过低，有可能影响产品质量或者不能诚信履约的其他情形。</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lang w:val="en-US" w:eastAsia="zh-CN" w:bidi="ar-SA"/>
        </w:rPr>
      </w:pPr>
      <w:r>
        <w:rPr>
          <w:rFonts w:hint="eastAsia" w:ascii="宋体" w:hAnsi="宋体" w:eastAsia="宋体" w:cs="Times New Roman"/>
          <w:bCs/>
          <w:i w:val="0"/>
          <w:iCs w:val="0"/>
          <w:color w:val="auto"/>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lang w:val="en-US" w:eastAsia="zh-CN" w:bidi="ar-SA"/>
        </w:rPr>
      </w:pPr>
      <w:r>
        <w:rPr>
          <w:rFonts w:hint="eastAsia" w:ascii="宋体" w:hAnsi="宋体" w:eastAsia="宋体" w:cs="Times New Roman"/>
          <w:bCs/>
          <w:i w:val="0"/>
          <w:iCs w:val="0"/>
          <w:color w:val="auto"/>
          <w:sz w:val="24"/>
          <w:szCs w:val="24"/>
          <w:highlight w:val="none"/>
          <w:lang w:val="en-US" w:eastAsia="zh-CN" w:bidi="ar-SA"/>
        </w:rPr>
        <w:t xml:space="preserve">相关法律法规对供应商报价有规定的，从其规定。</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lang w:val="en-US" w:eastAsia="zh-CN" w:bidi="ar-SA"/>
        </w:rPr>
      </w:pPr>
      <w:r>
        <w:rPr>
          <w:rFonts w:hint="eastAsia" w:ascii="宋体" w:hAnsi="宋体" w:eastAsia="宋体" w:cs="Times New Roman"/>
          <w:bCs/>
          <w:i w:val="0"/>
          <w:iCs w:val="0"/>
          <w:color w:val="auto"/>
          <w:sz w:val="24"/>
          <w:szCs w:val="24"/>
          <w:highlight w:val="none"/>
          <w:lang w:val="en-US" w:eastAsia="zh-CN" w:bidi="ar-SA"/>
        </w:rPr>
        <w:t xml:space="preserve">如果项目或采购包存在有分项价格最高限价要求或单价最高限价（最高限制单价）要求时，有上述情形的，应当启动异常低价投标（响应）审查程序。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lang w:val="en-US" w:eastAsia="zh-CN" w:bidi="ar-SA"/>
        </w:rPr>
      </w:pPr>
      <w:r>
        <w:rPr>
          <w:rFonts w:hint="eastAsia" w:ascii="宋体" w:hAnsi="宋体" w:eastAsia="宋体" w:cs="Times New Roman"/>
          <w:bCs/>
          <w:i w:val="0"/>
          <w:iCs w:val="0"/>
          <w:color w:val="auto"/>
          <w:sz w:val="24"/>
          <w:szCs w:val="24"/>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lang w:val="en-US" w:eastAsia="zh-CN" w:bidi="ar-SA"/>
        </w:rPr>
      </w:pPr>
      <w:r>
        <w:rPr>
          <w:rFonts w:hint="eastAsia" w:ascii="宋体" w:hAnsi="宋体" w:eastAsia="宋体" w:cs="Times New Roman"/>
          <w:bCs/>
          <w:i w:val="0"/>
          <w:iCs w:val="0"/>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lang w:val="en-US" w:eastAsia="zh-CN" w:bidi="ar-SA"/>
        </w:rPr>
      </w:pPr>
      <w:r>
        <w:rPr>
          <w:rFonts w:hint="eastAsia" w:ascii="宋体" w:hAnsi="宋体" w:eastAsia="宋体" w:cs="Times New Roman"/>
          <w:bCs/>
          <w:i w:val="0"/>
          <w:iCs w:val="0"/>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0" w:firstLine="480"/>
        <w:keepLines w:val="0"/>
        <w:keepNext w:val="0"/>
        <w:pageBreakBefore w:val="0"/>
        <w:spacing w:line="360" w:lineRule="auto"/>
        <w:widowControl w:val="off"/>
        <w:tabs>
          <w:tab w:val="left" w:pos="945" w:leader="none"/>
        </w:tabs>
        <w:rPr>
          <w:rFonts w:hint="default" w:ascii="宋体" w:hAnsi="宋体" w:eastAsia="宋体" w:cs="Times New Roman"/>
          <w:b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财政部门在投诉处理、监督检查中发现评审委员会未按规定对异常低价开展审查的，依法予以纠正并追究评审专家的法律责任。</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highlight w:val="none"/>
          <w:shd w:val="clear" w:color="auto" w:fill="auto"/>
          <w:lang w:val="en-US" w:eastAsia="zh-CN" w:bidi="ar-SA"/>
        </w:rPr>
        <w:t xml:space="preserve">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除单一来源采购项目外，为采购项目提供整体设计、规范编制或者项目管理、监理、检测等服务的；</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投标文件内容不全或不符合招标文件中规定的其他实质性要求的；</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法律法规和招标文件规定的其他无效情形。</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所有投标单位在招标文件规定的时间内解密各自投标文件；</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2．投标截止时间后参加投标的供应商或解密投标文件的供应商不足三家的，不开标；开标后，所有投标供应商可在线上开标大厅中看到所有投标人的投标报价；</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5．投标人未参加开标的，视同认可开标结果。</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numPr>
          <w:ilvl w:val="0"/>
          <w:numId w:val="8"/>
        </w:numPr>
        <w:ind w:left="0" w:firstLine="523"/>
        <w:spacing w:line="360"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8"/>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8"/>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7．</w:t>
      </w: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8．评分标准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\o "http://download.ccgp.gov.cn/2018/zhiyihanfanben.zip"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事宜的，将记入投标供应商在江苏省和无锡市的政府采购“供应商诚信记录”，并按相关规定处理。</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江苏智汇锡建工程项目管理有限公司向中标供应商发出中标通知书。</w:t>
      </w:r>
      <w:r/>
    </w:p>
    <w:p>
      <w:pPr>
        <w:numPr>
          <w:ilvl w:val="0"/>
          <w:numId w:val="10"/>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1"/>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中标或者成交后无正当理由拒不与采购人签订政府采购合同，或者未按照采购文件确定的事项签订政府采购合同的；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3"/>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 xml:space="preserve">招标代理单位</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w:t>
      </w:r>
      <w:r>
        <w:rPr>
          <w:rFonts w:hint="eastAsia" w:ascii="宋体" w:hAnsi="宋体"/>
          <w:bCs/>
          <w:color w:val="auto"/>
          <w:sz w:val="24"/>
          <w:szCs w:val="24"/>
          <w:highlight w:val="none"/>
        </w:rPr>
        <w:t xml:space="preserve">做</w:t>
      </w:r>
      <w:r>
        <w:rPr>
          <w:rFonts w:ascii="宋体" w:hAnsi="宋体"/>
          <w:bCs/>
          <w:color w:val="auto"/>
          <w:sz w:val="24"/>
          <w:szCs w:val="24"/>
          <w:highlight w:val="none"/>
        </w:rPr>
        <w:t xml:space="preserve">任何修改。</w:t>
      </w:r>
      <w:r/>
    </w:p>
    <w:p>
      <w:pPr>
        <w:numPr>
          <w:ilvl w:val="0"/>
          <w:numId w:val="13"/>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中标后无正当理由不与采购人签订合同的；</w:t>
      </w:r>
      <w:r/>
    </w:p>
    <w:p>
      <w:pPr>
        <w:numPr>
          <w:ilvl w:val="3"/>
          <w:numId w:val="0"/>
        </w:numPr>
        <w:ind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0"/>
        </w:numPr>
        <w:ind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525" w:leader="none"/>
          <w:tab w:val="left" w:pos="945" w:leader="none"/>
          <w:tab w:val="left" w:pos="105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1.本项目</w:t>
      </w:r>
      <w:r>
        <w:rPr>
          <w:rFonts w:hint="eastAsia" w:ascii="宋体" w:hAnsi="宋体"/>
          <w:bCs/>
          <w:color w:val="auto"/>
          <w:sz w:val="24"/>
          <w:szCs w:val="24"/>
          <w:highlight w:val="none"/>
          <w:lang w:val="en-US" w:eastAsia="zh-CN"/>
        </w:rPr>
        <w:t xml:space="preserve">代理服务费以成交金额为计费基础，按差额定率累进法计算：100万以下费率为1.5%，100万-500万费率为1.1%，500万-1000万费率为0.8%。</w:t>
      </w:r>
      <w:r/>
    </w:p>
    <w:p>
      <w:pPr>
        <w:ind w:firstLine="480"/>
        <w:spacing w:line="360" w:lineRule="auto"/>
        <w:tabs>
          <w:tab w:val="left" w:pos="525" w:leader="none"/>
          <w:tab w:val="left" w:pos="945" w:leader="none"/>
          <w:tab w:val="left" w:pos="1050"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2.招标代理费包含在投标报价中，由中标供应商支付；领取中标通知书时由中标供应商向采购代理机构一次性付清。</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numPr>
          <w:ilvl w:val="1"/>
          <w:numId w:val="14"/>
        </w:numPr>
        <w:ind w:left="0" w:firstLine="525"/>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中标供应商可采用合同融资形式，中标人可凭政府采购合同办理融资贷款，详见无锡市政府采购网“政采贷”专栏。</w:t>
      </w:r>
      <w:r/>
    </w:p>
    <w:p>
      <w:pPr>
        <w:numPr>
          <w:ilvl w:val="1"/>
          <w:numId w:val="14"/>
        </w:numPr>
        <w:ind w:left="0" w:firstLine="525"/>
        <w:jc w:val="left"/>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担保，是指由专业担保机构为中标供应商支付履约保证金的义务向采购人提供的保函担保。专业担保机构根据中标供应商的中标（成交）通知书为凭据，进行资信审查后出具保函，中标供应商以保函形式缴纳履约保证金；供应商未按政府采购合同履行约定义务而应实际支付保证金的，由专业担保机构按照担保函约定履行担保责任。</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中标供应商可以采用电子履约保函形式，具体操作可登录江苏政府采购网的保险保函模块进行办理，也可通过无锡市政府采购网、“苏采云”系统链接访问（首次使用需注册）。</w:t>
      </w:r>
      <w:r/>
    </w:p>
    <w:p>
      <w:pPr>
        <w:ind w:firstLine="480"/>
        <w:jc w:val="center"/>
        <w:spacing w:line="360" w:lineRule="auto"/>
        <w:rPr>
          <w:rFonts w:ascii="黑体" w:eastAsia="黑体"/>
          <w:bCs/>
          <w:color w:val="auto"/>
          <w:sz w:val="30"/>
          <w:szCs w:val="30"/>
          <w:highlight w:val="none"/>
        </w:rPr>
        <w:outlineLvl w:val="0"/>
      </w:pPr>
      <w:r>
        <w:rPr>
          <w:rFonts w:hint="eastAsia" w:ascii="宋体" w:hAnsi="宋体"/>
          <w:bCs/>
          <w:color w:val="auto"/>
          <w:sz w:val="24"/>
          <w:szCs w:val="24"/>
          <w:highlight w:val="none"/>
        </w:rPr>
        <w:br w:type="page" w:clear="all"/>
      </w:r>
      <w:bookmarkStart w:id="4" w:name="_Toc18420"/>
      <w:r>
        <w:rPr>
          <w:rFonts w:hint="eastAsia" w:ascii="黑体" w:hAnsi="Cambria" w:eastAsia="黑体"/>
          <w:b/>
          <w:bCs/>
          <w:color w:val="auto"/>
          <w:sz w:val="36"/>
          <w:szCs w:val="36"/>
          <w:highlight w:val="none"/>
        </w:rPr>
        <w:t xml:space="preserve">三、项目技术要求和有关说明</w:t>
      </w:r>
      <w:bookmarkEnd w:id="4"/>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bookmarkStart w:id="5" w:name="_Toc18982"/>
      <w:r>
        <w:rPr>
          <w:rFonts w:hint="eastAsia" w:ascii="宋体" w:hAnsi="宋体" w:eastAsia="宋体" w:cs="宋体"/>
          <w:b/>
          <w:bCs/>
          <w:color w:val="auto"/>
          <w:sz w:val="24"/>
          <w:szCs w:val="24"/>
          <w:highlight w:val="none"/>
        </w:rPr>
        <w:t xml:space="preserve">本项目中的</w:t>
      </w:r>
      <w:r>
        <w:rPr>
          <w:rFonts w:hint="eastAsia" w:ascii="宋体" w:hAnsi="宋体" w:cs="宋体"/>
          <w:b/>
          <w:bCs/>
          <w:color w:val="auto"/>
          <w:sz w:val="24"/>
          <w:szCs w:val="24"/>
          <w:highlight w:val="none"/>
          <w:lang w:val="en-US" w:eastAsia="zh-CN"/>
        </w:rPr>
        <w:t xml:space="preserve">飞行时间质谱</w:t>
      </w:r>
      <w:r>
        <w:rPr>
          <w:rFonts w:hint="default" w:ascii="宋体" w:hAnsi="宋体" w:eastAsia="宋体" w:cs="宋体"/>
          <w:b/>
          <w:bCs/>
          <w:color w:val="auto"/>
          <w:sz w:val="24"/>
          <w:szCs w:val="24"/>
          <w:highlight w:val="none"/>
          <w:lang w:val="en-US" w:eastAsia="zh-CN"/>
        </w:rPr>
        <w:t xml:space="preserve">仪</w:t>
      </w:r>
      <w:r>
        <w:rPr>
          <w:rFonts w:hint="eastAsia" w:ascii="宋体" w:hAnsi="宋体" w:eastAsia="宋体" w:cs="宋体"/>
          <w:b/>
          <w:bCs/>
          <w:color w:val="auto"/>
          <w:sz w:val="24"/>
          <w:szCs w:val="24"/>
          <w:highlight w:val="none"/>
        </w:rPr>
        <w:t xml:space="preserve">为核心产品。</w:t>
      </w:r>
      <w:r/>
    </w:p>
    <w:p>
      <w:pPr>
        <w:ind w:left="0" w:firstLine="482"/>
        <w:jc w:val="left"/>
        <w:keepLines w:val="0"/>
        <w:keepNext w:val="0"/>
        <w:pageBreakBefore w:val="0"/>
        <w:spacing w:line="360" w:lineRule="auto"/>
        <w:rPr>
          <w:rFonts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lang w:bidi="ar"/>
        </w:rPr>
        <w:t xml:space="preserve">一、项目名称</w:t>
      </w:r>
      <w:r/>
    </w:p>
    <w:p>
      <w:pPr>
        <w:ind w:lef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bidi="ar"/>
        </w:rPr>
      </w:pPr>
      <w:r>
        <w:rPr>
          <w:rFonts w:hint="eastAsia" w:asciiTheme="minorEastAsia" w:hAnsiTheme="minorEastAsia" w:eastAsiaTheme="minorEastAsia" w:cstheme="minorEastAsia"/>
          <w:color w:val="auto"/>
          <w:sz w:val="24"/>
          <w:szCs w:val="24"/>
          <w:highlight w:val="none"/>
          <w:lang w:eastAsia="zh-CN" w:bidi="ar"/>
        </w:rPr>
        <w:t xml:space="preserve">太湖野外站保障湖泊水源地安全挥发性新污染物筛查能力建设项目</w:t>
      </w:r>
      <w:r/>
    </w:p>
    <w:p>
      <w:pPr>
        <w:ind w:left="0" w:firstLine="482"/>
        <w:jc w:val="left"/>
        <w:keepLines w:val="0"/>
        <w:keepNext w:val="0"/>
        <w:pageBreakBefore w:val="0"/>
        <w:spacing w:line="360" w:lineRule="auto"/>
        <w:rPr>
          <w:rFonts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lang w:bidi="ar"/>
        </w:rPr>
        <w:t xml:space="preserve">二、采购需求</w:t>
      </w:r>
      <w:r/>
    </w:p>
    <w:p>
      <w:pPr>
        <w:ind w:left="0" w:firstLine="480"/>
        <w:jc w:val="left"/>
        <w:keepLines w:val="0"/>
        <w:keepNext w:val="0"/>
        <w:pageBreakBefore w:val="0"/>
        <w:spacing w:line="360" w:lineRule="auto"/>
        <w:widowControl/>
        <w:rPr>
          <w:rFonts w:hint="default" w:ascii="宋体" w:hAnsi="宋体" w:eastAsia="宋体" w:cs="Times New Roman"/>
          <w:b/>
          <w:bCs/>
          <w:color w:val="auto"/>
          <w:sz w:val="24"/>
          <w:szCs w:val="24"/>
          <w:highlight w:val="none"/>
          <w14:ligatures w14:val="none"/>
        </w:rPr>
        <w:outlineLvl w:val="1"/>
      </w:pPr>
      <w:r>
        <w:rPr>
          <w:rFonts w:hint="default" w:ascii="宋体" w:hAnsi="宋体" w:eastAsia="宋体" w:cs="Times New Roman"/>
          <w:b/>
          <w:bCs/>
          <w:color w:val="auto"/>
          <w:sz w:val="24"/>
          <w:szCs w:val="24"/>
          <w:highlight w:val="none"/>
          <w:lang w:val="en-US" w:eastAsia="zh-CN" w:bidi="ar-SA"/>
        </w:rPr>
        <w:t xml:space="preserve">购置</w:t>
      </w:r>
      <w:r>
        <w:rPr>
          <w:rFonts w:hint="default" w:ascii="宋体" w:hAnsi="宋体" w:eastAsia="宋体" w:cs="Times New Roman"/>
          <w:b/>
          <w:bCs/>
          <w:color w:val="auto"/>
          <w:sz w:val="24"/>
          <w:szCs w:val="24"/>
          <w:highlight w:val="none"/>
          <w:lang w:val="en-US" w:eastAsia="zh-CN" w:bidi="ar-SA"/>
        </w:rPr>
        <w:t xml:space="preserve">多功能自动进样-全二维气相色谱-高分辨飞行时间质谱联用仪</w:t>
      </w:r>
      <w:r>
        <w:rPr>
          <w:rFonts w:hint="default" w:ascii="宋体" w:hAnsi="宋体" w:eastAsia="宋体" w:cs="Times New Roman"/>
          <w:b/>
          <w:bCs/>
          <w:color w:val="auto"/>
          <w:sz w:val="24"/>
          <w:szCs w:val="24"/>
          <w:highlight w:val="none"/>
          <w:lang w:val="en-US" w:eastAsia="zh-CN" w:bidi="ar-SA"/>
        </w:rPr>
        <w:t xml:space="preserve">1套，包括</w:t>
      </w:r>
      <w:r>
        <w:rPr>
          <w:rFonts w:hint="default" w:ascii="宋体" w:hAnsi="宋体" w:eastAsia="宋体" w:cs="Times New Roman"/>
          <w:b/>
          <w:bCs/>
          <w:color w:val="auto"/>
          <w:sz w:val="24"/>
          <w:szCs w:val="24"/>
          <w:highlight w:val="none"/>
          <w:lang w:val="en-US" w:eastAsia="zh-CN" w:bidi="ar-SA"/>
        </w:rPr>
        <w:t xml:space="preserve">全二维气相色谱仪</w:t>
      </w:r>
      <w:r>
        <w:rPr>
          <w:rFonts w:hint="default" w:ascii="宋体" w:hAnsi="宋体" w:eastAsia="宋体" w:cs="Times New Roman"/>
          <w:b/>
          <w:bCs/>
          <w:color w:val="auto"/>
          <w:sz w:val="24"/>
          <w:szCs w:val="24"/>
          <w:highlight w:val="none"/>
          <w:lang w:val="en-US" w:eastAsia="zh-CN" w:bidi="ar-SA"/>
        </w:rPr>
        <w:t xml:space="preserve">、飞行时间质谱</w:t>
      </w:r>
      <w:r>
        <w:rPr>
          <w:rFonts w:hint="default" w:ascii="宋体" w:hAnsi="宋体" w:eastAsia="宋体" w:cs="Times New Roman"/>
          <w:b/>
          <w:bCs/>
          <w:color w:val="auto"/>
          <w:sz w:val="24"/>
          <w:szCs w:val="24"/>
          <w:highlight w:val="none"/>
          <w:lang w:val="en-US" w:eastAsia="zh-CN" w:bidi="ar-SA"/>
        </w:rPr>
        <w:t xml:space="preserve">仪</w:t>
      </w:r>
      <w:r>
        <w:rPr>
          <w:rFonts w:hint="default" w:ascii="宋体" w:hAnsi="宋体" w:eastAsia="宋体" w:cs="Times New Roman"/>
          <w:b/>
          <w:bCs/>
          <w:color w:val="auto"/>
          <w:sz w:val="24"/>
          <w:szCs w:val="24"/>
          <w:highlight w:val="none"/>
          <w:lang w:val="en-US" w:eastAsia="zh-CN" w:bidi="ar-SA"/>
        </w:rPr>
        <w:t xml:space="preserve">、</w:t>
      </w:r>
      <w:r>
        <w:rPr>
          <w:rFonts w:hint="default" w:ascii="宋体" w:hAnsi="宋体" w:eastAsia="宋体" w:cs="Times New Roman"/>
          <w:b/>
          <w:bCs/>
          <w:color w:val="auto"/>
          <w:sz w:val="24"/>
          <w:szCs w:val="24"/>
          <w:highlight w:val="none"/>
          <w:lang w:val="en-US" w:eastAsia="zh-CN" w:bidi="ar-SA"/>
        </w:rPr>
        <w:t xml:space="preserve">多功能自动进样</w:t>
      </w:r>
      <w:r>
        <w:rPr>
          <w:rFonts w:hint="default" w:ascii="宋体" w:hAnsi="宋体" w:eastAsia="宋体" w:cs="Times New Roman"/>
          <w:b/>
          <w:bCs/>
          <w:color w:val="auto"/>
          <w:sz w:val="24"/>
          <w:szCs w:val="24"/>
          <w:highlight w:val="none"/>
          <w:lang w:val="en-US" w:eastAsia="zh-CN" w:bidi="ar-SA"/>
        </w:rPr>
        <w:t xml:space="preserve">器</w:t>
      </w:r>
      <w:r>
        <w:rPr>
          <w:rFonts w:hint="default" w:ascii="宋体" w:hAnsi="宋体" w:eastAsia="宋体" w:cs="Times New Roman"/>
          <w:b/>
          <w:bCs/>
          <w:color w:val="auto"/>
          <w:sz w:val="24"/>
          <w:szCs w:val="24"/>
          <w:highlight w:val="none"/>
          <w:lang w:val="en-US" w:eastAsia="zh-CN" w:bidi="ar-SA"/>
        </w:rPr>
        <w:t xml:space="preserve">（</w:t>
      </w:r>
      <w:r>
        <w:rPr>
          <w:rFonts w:hint="default" w:ascii="宋体" w:hAnsi="宋体" w:eastAsia="宋体" w:cs="Times New Roman"/>
          <w:b/>
          <w:bCs/>
          <w:color w:val="auto"/>
          <w:sz w:val="24"/>
          <w:szCs w:val="24"/>
          <w:highlight w:val="none"/>
          <w:lang w:val="en-US" w:eastAsia="zh-CN" w:bidi="ar-SA"/>
        </w:rPr>
        <w:t xml:space="preserve">至少包括液体进样、静态顶空进样、固相微萃取进样、热脱附进样、动态顶空进样等功能</w:t>
      </w:r>
      <w:r>
        <w:rPr>
          <w:rFonts w:hint="default" w:ascii="宋体" w:hAnsi="宋体" w:eastAsia="宋体" w:cs="Times New Roman"/>
          <w:b/>
          <w:bCs/>
          <w:color w:val="auto"/>
          <w:sz w:val="24"/>
          <w:szCs w:val="24"/>
          <w:highlight w:val="none"/>
          <w:lang w:val="en-US" w:eastAsia="zh-CN" w:bidi="ar-SA"/>
        </w:rPr>
        <w:t xml:space="preserve">）</w:t>
      </w:r>
      <w:r>
        <w:rPr>
          <w:rFonts w:hint="default" w:ascii="宋体" w:hAnsi="宋体" w:eastAsia="宋体" w:cs="Times New Roman"/>
          <w:b/>
          <w:bCs/>
          <w:color w:val="auto"/>
          <w:sz w:val="24"/>
          <w:szCs w:val="24"/>
          <w:highlight w:val="none"/>
          <w:lang w:val="en-US" w:eastAsia="zh-CN" w:bidi="ar-SA"/>
        </w:rPr>
        <w:t xml:space="preserve">及</w:t>
      </w:r>
      <w:r>
        <w:rPr>
          <w:rFonts w:hint="default" w:ascii="宋体" w:hAnsi="宋体" w:eastAsia="宋体" w:cs="Times New Roman"/>
          <w:b/>
          <w:bCs/>
          <w:color w:val="auto"/>
          <w:sz w:val="24"/>
          <w:szCs w:val="24"/>
          <w:highlight w:val="none"/>
          <w:lang w:val="en-US" w:eastAsia="zh-CN" w:bidi="ar-SA"/>
        </w:rPr>
        <w:t xml:space="preserve">氮气发生器、</w:t>
      </w:r>
      <w:r>
        <w:rPr>
          <w:rFonts w:hint="default" w:ascii="宋体" w:hAnsi="宋体" w:eastAsia="宋体" w:cs="Times New Roman"/>
          <w:b/>
          <w:bCs/>
          <w:color w:val="auto"/>
          <w:sz w:val="24"/>
          <w:szCs w:val="24"/>
          <w:highlight w:val="none"/>
          <w:lang w:val="en-US" w:eastAsia="zh-CN" w:bidi="ar-SA"/>
        </w:rPr>
        <w:t xml:space="preserve">磁力</w:t>
      </w:r>
      <w:r>
        <w:rPr>
          <w:rFonts w:hint="default" w:ascii="宋体" w:hAnsi="宋体" w:eastAsia="宋体" w:cs="Times New Roman"/>
          <w:b/>
          <w:bCs/>
          <w:color w:val="auto"/>
          <w:sz w:val="24"/>
          <w:szCs w:val="24"/>
          <w:highlight w:val="none"/>
          <w:lang w:val="en-US" w:eastAsia="zh-CN" w:bidi="ar-SA"/>
        </w:rPr>
        <w:t xml:space="preserve">搅拌器、工作站等辅助配套设备。</w:t>
      </w:r>
      <w:r>
        <w:rPr>
          <w:rFonts w:hint="default" w:ascii="宋体" w:hAnsi="宋体" w:eastAsia="宋体" w:cs="Times New Roman"/>
          <w:b/>
          <w:bCs/>
          <w:color w:val="auto"/>
          <w:sz w:val="24"/>
          <w:szCs w:val="24"/>
          <w:highlight w:val="none"/>
          <w:lang w:val="en-US" w:eastAsia="zh-CN" w:bidi="ar-SA"/>
        </w:rPr>
      </w:r>
    </w:p>
    <w:p>
      <w:pPr>
        <w:ind w:left="0" w:firstLine="482"/>
        <w:jc w:val="left"/>
        <w:keepLines w:val="0"/>
        <w:keepNext w:val="0"/>
        <w:pageBreakBefore w:val="0"/>
        <w:spacing w:line="360" w:lineRule="auto"/>
        <w:rPr>
          <w:rFonts w:hint="default" w:asciiTheme="minorEastAsia" w:hAnsiTheme="minorEastAsia" w:eastAsiaTheme="minorEastAsia" w:cstheme="minorEastAsia"/>
          <w:b/>
          <w:bCs/>
          <w:color w:val="auto"/>
          <w:sz w:val="24"/>
          <w:szCs w:val="24"/>
          <w:highlight w:val="none"/>
          <w:lang w:val="en-US" w:eastAsia="zh-CN"/>
        </w:rPr>
        <w:outlineLvl w:val="1"/>
      </w:pPr>
      <w:r>
        <w:rPr>
          <w:rFonts w:hint="eastAsia" w:asciiTheme="minorEastAsia" w:hAnsiTheme="minorEastAsia" w:eastAsiaTheme="minorEastAsia" w:cstheme="minorEastAsia"/>
          <w:b/>
          <w:bCs/>
          <w:color w:val="auto"/>
          <w:sz w:val="24"/>
          <w:szCs w:val="24"/>
          <w:highlight w:val="none"/>
          <w:lang w:val="en-US" w:eastAsia="zh-CN" w:bidi="ar"/>
        </w:rPr>
        <w:t xml:space="preserve">三</w:t>
      </w:r>
      <w:r>
        <w:rPr>
          <w:rFonts w:hint="eastAsia" w:asciiTheme="minorEastAsia" w:hAnsiTheme="minorEastAsia" w:eastAsiaTheme="minorEastAsia" w:cstheme="minorEastAsia"/>
          <w:b/>
          <w:bCs/>
          <w:color w:val="auto"/>
          <w:sz w:val="24"/>
          <w:szCs w:val="24"/>
          <w:highlight w:val="none"/>
          <w:lang w:bidi="ar"/>
        </w:rPr>
        <w:t xml:space="preserve">、</w:t>
      </w:r>
      <w:r>
        <w:rPr>
          <w:rFonts w:hint="eastAsia" w:asciiTheme="minorEastAsia" w:hAnsiTheme="minorEastAsia" w:eastAsiaTheme="minorEastAsia" w:cstheme="minorEastAsia"/>
          <w:b/>
          <w:bCs/>
          <w:color w:val="auto"/>
          <w:sz w:val="24"/>
          <w:szCs w:val="24"/>
          <w:highlight w:val="none"/>
          <w:lang w:val="en-US" w:eastAsia="zh-CN" w:bidi="ar"/>
        </w:rPr>
        <w:t xml:space="preserve">技术要求</w:t>
      </w:r>
      <w:r/>
    </w:p>
    <w:p>
      <w:pPr>
        <w:ind w:left="0" w:firstLine="482"/>
        <w:jc w:val="left"/>
        <w:keepLines w:val="0"/>
        <w:keepNext w:val="0"/>
        <w:pageBreakBefore w:val="0"/>
        <w:spacing w:line="360" w:lineRule="auto"/>
        <w:widowControl/>
        <w:rPr>
          <w:rFonts w:hint="eastAsia" w:ascii="宋体" w:hAnsi="宋体" w:eastAsia="宋体" w:cs="Times New Roman"/>
          <w:b/>
          <w:color w:val="auto"/>
          <w:sz w:val="24"/>
          <w:szCs w:val="24"/>
          <w:highlight w:val="none"/>
          <w:lang w:val="en-US" w:eastAsia="zh-CN" w:bidi="ar-SA"/>
        </w:rPr>
      </w:pPr>
      <w:r/>
      <w:bookmarkStart w:id="6" w:name="_Toc17659"/>
      <w:r/>
      <w:bookmarkEnd w:id="6"/>
      <w:r/>
      <w:bookmarkStart w:id="7" w:name="_Toc19855"/>
      <w:r/>
      <w:bookmarkEnd w:id="7"/>
      <w:r/>
      <w:bookmarkStart w:id="8" w:name="_Toc19972"/>
      <w:r/>
      <w:bookmarkEnd w:id="8"/>
      <w:r/>
      <w:bookmarkStart w:id="9" w:name="_Toc23359"/>
      <w:r/>
      <w:bookmarkEnd w:id="9"/>
      <w:r/>
      <w:bookmarkStart w:id="10" w:name="_Toc23160"/>
      <w:r/>
      <w:bookmarkEnd w:id="10"/>
      <w:r/>
      <w:bookmarkStart w:id="11" w:name="_Toc21499"/>
      <w:r/>
      <w:bookmarkEnd w:id="11"/>
      <w:r/>
      <w:bookmarkStart w:id="12" w:name="_Toc4221"/>
      <w:r/>
      <w:bookmarkEnd w:id="12"/>
      <w:r/>
      <w:bookmarkStart w:id="13" w:name="_Toc23683"/>
      <w:r/>
      <w:bookmarkEnd w:id="13"/>
      <w:r/>
      <w:bookmarkStart w:id="14" w:name="_Toc18796"/>
      <w:r/>
      <w:bookmarkEnd w:id="14"/>
      <w:r/>
      <w:bookmarkStart w:id="15" w:name="_Hlk149159273"/>
      <w:r/>
      <w:bookmarkEnd w:id="15"/>
      <w:r/>
      <w:bookmarkStart w:id="16" w:name="_Toc24302"/>
      <w:r/>
      <w:bookmarkEnd w:id="16"/>
      <w:r>
        <w:rPr>
          <w:rFonts w:hint="eastAsia" w:ascii="宋体" w:hAnsi="宋体" w:eastAsia="宋体" w:cs="Times New Roman"/>
          <w:b/>
          <w:color w:val="auto"/>
          <w:sz w:val="24"/>
          <w:szCs w:val="24"/>
          <w:highlight w:val="none"/>
          <w:lang w:val="en-US" w:eastAsia="zh-CN" w:bidi="ar-SA"/>
        </w:rPr>
        <w:t xml:space="preserve">1</w:t>
      </w:r>
      <w:r>
        <w:rPr>
          <w:rFonts w:hint="default" w:ascii="宋体" w:hAnsi="宋体" w:eastAsia="宋体" w:cs="Times New Roman"/>
          <w:b/>
          <w:color w:val="auto"/>
          <w:sz w:val="24"/>
          <w:szCs w:val="24"/>
          <w:highlight w:val="none"/>
          <w:lang w:val="en-US" w:eastAsia="zh-CN" w:bidi="ar-SA"/>
        </w:rPr>
        <w:t xml:space="preserve">.工作条件</w:t>
      </w:r>
      <w:r/>
    </w:p>
    <w:p>
      <w:pPr>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1.1电源</w:t>
      </w:r>
      <w:r>
        <w:rPr>
          <w:rFonts w:hint="eastAsia" w:ascii="宋体" w:hAnsi="宋体" w:cs="Times New Roman"/>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220V，50Hz</w:t>
      </w:r>
      <w:r/>
    </w:p>
    <w:p>
      <w:pPr>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1.2温度</w:t>
      </w:r>
      <w:r>
        <w:rPr>
          <w:rFonts w:hint="eastAsia" w:ascii="宋体" w:hAnsi="宋体" w:cs="Times New Roman"/>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操作环境15</w:t>
      </w:r>
      <w:r>
        <w:rPr>
          <w:rFonts w:hint="eastAsia" w:ascii="微软雅黑" w:hAnsi="微软雅黑" w:eastAsia="微软雅黑" w:cs="微软雅黑"/>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C -35</w:t>
      </w:r>
      <w:r>
        <w:rPr>
          <w:rFonts w:hint="eastAsia" w:ascii="微软雅黑" w:hAnsi="微软雅黑" w:eastAsia="微软雅黑" w:cs="微软雅黑"/>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C</w:t>
      </w:r>
      <w:r/>
    </w:p>
    <w:p>
      <w:pPr>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1.3湿度</w:t>
      </w:r>
      <w:r>
        <w:rPr>
          <w:rFonts w:hint="eastAsia" w:ascii="宋体" w:hAnsi="宋体" w:cs="Times New Roman"/>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35～85%</w:t>
      </w:r>
      <w:r/>
    </w:p>
    <w:p>
      <w:pPr>
        <w:ind w:left="0" w:firstLine="482"/>
        <w:jc w:val="left"/>
        <w:keepLines w:val="0"/>
        <w:keepNext w:val="0"/>
        <w:pageBreakBefore w:val="0"/>
        <w:spacing w:line="360" w:lineRule="auto"/>
        <w:widowControl/>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2</w:t>
      </w:r>
      <w:r>
        <w:rPr>
          <w:rFonts w:hint="default" w:ascii="宋体" w:hAnsi="宋体" w:eastAsia="宋体" w:cs="Times New Roman"/>
          <w:b/>
          <w:color w:val="auto"/>
          <w:sz w:val="24"/>
          <w:szCs w:val="24"/>
          <w:highlight w:val="none"/>
          <w:lang w:val="en-US" w:eastAsia="zh-CN" w:bidi="ar-SA"/>
        </w:rPr>
        <w:t xml:space="preserve">.性能指标</w:t>
      </w:r>
      <w:r/>
    </w:p>
    <w:p>
      <w:pPr>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气相色谱仪和</w:t>
      </w:r>
      <w:r>
        <w:rPr>
          <w:rFonts w:hint="eastAsia" w:ascii="宋体" w:hAnsi="宋体" w:eastAsia="宋体" w:cs="Times New Roman"/>
          <w:color w:val="auto"/>
          <w:sz w:val="24"/>
          <w:szCs w:val="24"/>
          <w:highlight w:val="none"/>
          <w:lang w:val="en-US" w:eastAsia="zh-CN" w:bidi="ar-SA"/>
        </w:rPr>
        <w:t xml:space="preserve">飞行时间</w:t>
      </w:r>
      <w:r>
        <w:rPr>
          <w:rFonts w:hint="default" w:ascii="宋体" w:hAnsi="宋体" w:eastAsia="宋体" w:cs="Times New Roman"/>
          <w:color w:val="auto"/>
          <w:sz w:val="24"/>
          <w:szCs w:val="24"/>
          <w:highlight w:val="none"/>
          <w:lang w:val="en-US" w:eastAsia="zh-CN" w:bidi="ar-SA"/>
        </w:rPr>
        <w:t xml:space="preserve">质谱仪必须由同一供应商制造，</w:t>
      </w:r>
      <w:r>
        <w:rPr>
          <w:rFonts w:hint="eastAsia" w:ascii="宋体" w:hAnsi="宋体" w:eastAsia="宋体" w:cs="Times New Roman"/>
          <w:color w:val="auto"/>
          <w:sz w:val="24"/>
          <w:szCs w:val="24"/>
          <w:highlight w:val="none"/>
          <w:lang w:val="en-US" w:eastAsia="zh-CN" w:bidi="ar-SA"/>
        </w:rPr>
        <w:t xml:space="preserve">全二维调制器、气相色谱仪、飞行时间质谱仪、多功能自动进样器在硬件和软件层面均实现无缝耦合集成应用，形成一整套适用于挥发性/半挥发性有机物的靶向和非靶向样品处理检测的设备。</w:t>
      </w:r>
      <w:r/>
    </w:p>
    <w:p>
      <w:pPr>
        <w:ind w:left="0" w:firstLine="482"/>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b/>
          <w:color w:val="auto"/>
          <w:sz w:val="24"/>
          <w:szCs w:val="24"/>
          <w:highlight w:val="none"/>
          <w:lang w:val="en-US" w:eastAsia="zh-CN" w:bidi="ar-SA"/>
        </w:rPr>
        <w:t xml:space="preserve">2.1 </w:t>
      </w:r>
      <w:r>
        <w:rPr>
          <w:rFonts w:hint="eastAsia" w:ascii="宋体" w:hAnsi="宋体" w:eastAsia="宋体" w:cs="Times New Roman"/>
          <w:b/>
          <w:color w:val="auto"/>
          <w:sz w:val="24"/>
          <w:szCs w:val="24"/>
          <w:highlight w:val="none"/>
          <w:lang w:val="en-US" w:eastAsia="zh-CN" w:bidi="ar-SA"/>
        </w:rPr>
        <w:t xml:space="preserve">全二维调制器</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2.1.1具备</w:t>
      </w:r>
      <w:r>
        <w:rPr>
          <w:rFonts w:hint="eastAsia" w:ascii="宋体" w:hAnsi="宋体" w:eastAsia="宋体" w:cs="Times New Roman"/>
          <w:color w:val="auto"/>
          <w:sz w:val="24"/>
          <w:szCs w:val="24"/>
          <w:highlight w:val="none"/>
          <w:lang w:val="en-US" w:eastAsia="en-US" w:bidi="ar-SA"/>
        </w:rPr>
        <w:t xml:space="preserve">质谱解卷积功能</w:t>
      </w:r>
      <w:r>
        <w:rPr>
          <w:rFonts w:hint="eastAsia" w:ascii="宋体" w:hAnsi="宋体" w:eastAsia="宋体" w:cs="Times New Roman"/>
          <w:color w:val="auto"/>
          <w:sz w:val="24"/>
          <w:szCs w:val="24"/>
          <w:highlight w:val="none"/>
          <w:lang w:val="en-US" w:eastAsia="zh-CN" w:bidi="ar-SA"/>
        </w:rPr>
        <w:t xml:space="preserve">。</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2.1.2</w:t>
      </w:r>
      <w:r>
        <w:rPr>
          <w:rFonts w:hint="eastAsia" w:ascii="宋体" w:hAnsi="宋体" w:eastAsia="宋体" w:cs="Times New Roman"/>
          <w:color w:val="auto"/>
          <w:sz w:val="24"/>
          <w:szCs w:val="24"/>
          <w:highlight w:val="none"/>
          <w:lang w:val="en-US" w:eastAsia="en-US" w:bidi="ar-SA"/>
        </w:rPr>
        <w:t xml:space="preserve">冷区温度</w:t>
      </w:r>
      <w:r>
        <w:rPr>
          <w:rFonts w:hint="eastAsia" w:ascii="宋体" w:hAnsi="宋体" w:eastAsia="宋体" w:cs="Times New Roman"/>
          <w:color w:val="auto"/>
          <w:sz w:val="24"/>
          <w:szCs w:val="24"/>
          <w:highlight w:val="none"/>
          <w:lang w:val="en-US" w:eastAsia="zh-CN" w:bidi="ar-SA"/>
        </w:rPr>
        <w:t xml:space="preserve">覆盖</w:t>
      </w:r>
      <w:r>
        <w:rPr>
          <w:rFonts w:hint="eastAsia" w:ascii="宋体" w:hAnsi="宋体" w:eastAsia="宋体" w:cs="Times New Roman"/>
          <w:color w:val="auto"/>
          <w:sz w:val="24"/>
          <w:szCs w:val="24"/>
          <w:highlight w:val="none"/>
          <w:lang w:val="en-US" w:eastAsia="en-US" w:bidi="ar-SA"/>
        </w:rPr>
        <w:t xml:space="preserve">-5</w:t>
      </w:r>
      <w:r>
        <w:rPr>
          <w:rFonts w:hint="eastAsia" w:ascii="宋体" w:hAnsi="宋体" w:eastAsia="宋体" w:cs="Times New Roman"/>
          <w:color w:val="auto"/>
          <w:sz w:val="24"/>
          <w:szCs w:val="24"/>
          <w:highlight w:val="none"/>
          <w:lang w:val="en-US" w:eastAsia="zh-CN" w:bidi="ar-SA"/>
        </w:rPr>
        <w:t xml:space="preserve">0～9℃</w:t>
      </w:r>
      <w:r>
        <w:rPr>
          <w:rFonts w:hint="eastAsia" w:ascii="宋体" w:hAnsi="宋体" w:eastAsia="宋体" w:cs="Times New Roman"/>
          <w:color w:val="auto"/>
          <w:sz w:val="24"/>
          <w:szCs w:val="24"/>
          <w:highlight w:val="none"/>
          <w:lang w:val="en-US" w:eastAsia="en-US" w:bidi="ar-SA"/>
        </w:rPr>
        <w:t xml:space="preserve">，热区温度</w:t>
      </w:r>
      <w:r>
        <w:rPr>
          <w:rFonts w:hint="eastAsia" w:ascii="宋体" w:hAnsi="宋体" w:eastAsia="宋体" w:cs="Times New Roman"/>
          <w:color w:val="auto"/>
          <w:sz w:val="24"/>
          <w:szCs w:val="24"/>
          <w:highlight w:val="none"/>
          <w:lang w:val="en-US" w:eastAsia="zh-CN" w:bidi="ar-SA"/>
        </w:rPr>
        <w:t xml:space="preserve">覆盖50～</w:t>
      </w:r>
      <w:r>
        <w:rPr>
          <w:rFonts w:hint="eastAsia" w:ascii="宋体" w:hAnsi="宋体" w:eastAsia="宋体" w:cs="Times New Roman"/>
          <w:color w:val="auto"/>
          <w:sz w:val="24"/>
          <w:szCs w:val="24"/>
          <w:highlight w:val="none"/>
          <w:lang w:val="en-US" w:eastAsia="en-US" w:bidi="ar-SA"/>
        </w:rPr>
        <w:t xml:space="preserve">320</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en-US" w:bidi="ar-SA"/>
        </w:rPr>
        <w:t xml:space="preserve">，支持程序升温</w:t>
      </w:r>
      <w:r>
        <w:rPr>
          <w:rFonts w:hint="eastAsia" w:ascii="宋体" w:hAnsi="宋体" w:eastAsia="宋体" w:cs="Times New Roman"/>
          <w:color w:val="auto"/>
          <w:sz w:val="24"/>
          <w:szCs w:val="24"/>
          <w:highlight w:val="none"/>
          <w:lang w:val="en-US" w:eastAsia="zh-CN" w:bidi="ar-SA"/>
        </w:rPr>
        <w:t xml:space="preserve">，调制周期覆盖</w:t>
      </w:r>
      <w:r>
        <w:rPr>
          <w:rFonts w:hint="eastAsia" w:ascii="宋体" w:hAnsi="宋体" w:eastAsia="宋体" w:cs="Times New Roman"/>
          <w:color w:val="auto"/>
          <w:sz w:val="24"/>
          <w:szCs w:val="24"/>
          <w:highlight w:val="none"/>
          <w:lang w:val="en-US" w:eastAsia="en-US" w:bidi="ar-SA"/>
        </w:rPr>
        <w:t xml:space="preserve">2</w:t>
      </w:r>
      <w:r>
        <w:rPr>
          <w:rFonts w:hint="eastAsia" w:ascii="宋体" w:hAnsi="宋体" w:eastAsia="宋体" w:cs="Times New Roman"/>
          <w:color w:val="auto"/>
          <w:sz w:val="24"/>
          <w:szCs w:val="24"/>
          <w:highlight w:val="none"/>
          <w:lang w:val="en-US" w:eastAsia="zh-CN" w:bidi="ar-SA"/>
        </w:rPr>
        <w:t xml:space="preserve">到300秒。</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2.1.3适用目标化合物范围覆盖</w:t>
      </w:r>
      <w:r>
        <w:rPr>
          <w:rFonts w:hint="eastAsia" w:ascii="宋体" w:hAnsi="宋体" w:eastAsia="宋体" w:cs="Times New Roman"/>
          <w:color w:val="auto"/>
          <w:sz w:val="24"/>
          <w:szCs w:val="24"/>
          <w:highlight w:val="none"/>
          <w:lang w:val="en-US" w:eastAsia="en-US" w:bidi="ar-SA"/>
        </w:rPr>
        <w:t xml:space="preserve">C7</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en-US" w:bidi="ar-SA"/>
        </w:rPr>
        <w:t xml:space="preserve">C40</w:t>
      </w:r>
      <w:r>
        <w:rPr>
          <w:rFonts w:hint="eastAsia" w:ascii="宋体" w:hAnsi="宋体" w:eastAsia="宋体" w:cs="Times New Roman"/>
          <w:color w:val="auto"/>
          <w:sz w:val="24"/>
          <w:szCs w:val="24"/>
          <w:highlight w:val="none"/>
          <w:lang w:val="en-US" w:eastAsia="zh-CN" w:bidi="ar-SA"/>
        </w:rPr>
        <w:t xml:space="preserve">，调制后的</w:t>
      </w:r>
      <w:r>
        <w:rPr>
          <w:rFonts w:hint="eastAsia" w:ascii="宋体" w:hAnsi="宋体" w:eastAsia="宋体" w:cs="Times New Roman"/>
          <w:color w:val="auto"/>
          <w:sz w:val="24"/>
          <w:szCs w:val="24"/>
          <w:highlight w:val="none"/>
          <w:lang w:val="en-US" w:eastAsia="en-US" w:bidi="ar-SA"/>
        </w:rPr>
        <w:t xml:space="preserve">二维峰宽</w:t>
      </w:r>
      <w:r>
        <w:rPr>
          <w:rFonts w:hint="eastAsia" w:ascii="宋体" w:hAnsi="宋体" w:eastAsia="宋体" w:cs="Times New Roman"/>
          <w:color w:val="auto"/>
          <w:sz w:val="24"/>
          <w:szCs w:val="24"/>
          <w:highlight w:val="none"/>
          <w:lang w:val="en-US" w:eastAsia="zh-CN" w:bidi="ar-SA"/>
        </w:rPr>
        <w:t xml:space="preserve">小于</w:t>
      </w:r>
      <w:r>
        <w:rPr>
          <w:rFonts w:hint="eastAsia" w:ascii="宋体" w:hAnsi="宋体" w:eastAsia="宋体" w:cs="Times New Roman"/>
          <w:color w:val="auto"/>
          <w:sz w:val="24"/>
          <w:szCs w:val="24"/>
          <w:highlight w:val="none"/>
          <w:lang w:val="en-US" w:eastAsia="en-US" w:bidi="ar-SA"/>
        </w:rPr>
        <w:t xml:space="preserve">100ms（n-C18正构烷烃典型值）</w:t>
      </w:r>
      <w:r>
        <w:rPr>
          <w:rFonts w:hint="eastAsia" w:ascii="宋体" w:hAnsi="宋体" w:eastAsia="宋体" w:cs="Times New Roman"/>
          <w:color w:val="auto"/>
          <w:sz w:val="24"/>
          <w:szCs w:val="24"/>
          <w:highlight w:val="none"/>
          <w:lang w:val="en-US" w:eastAsia="zh-CN" w:bidi="ar-SA"/>
        </w:rPr>
        <w:t xml:space="preserve">。</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2.1.4具备二维保留时间锁定、缩放和方法转换、直接读入气相数据以及通用数据格式的功能。</w:t>
      </w:r>
      <w:r/>
    </w:p>
    <w:p>
      <w:pPr>
        <w:numPr>
          <w:ilvl w:val="0"/>
          <w:numId w:val="0"/>
        </w:numPr>
        <w:contextualSpacing/>
        <w:ind w:lef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2.1.5具备自动计算调制周期并显示轮廓图和3D等多种二维色谱图、自动积分、定量和生成报告、可调整显示和干预积分过程、支持多种方式创建目标化合物、化合物族和无效积分区域。</w:t>
      </w:r>
      <w:r/>
    </w:p>
    <w:p>
      <w:pPr>
        <w:numPr>
          <w:ilvl w:val="0"/>
          <w:numId w:val="0"/>
        </w:numPr>
        <w:contextualSpacing/>
        <w:ind w:left="0" w:firstLine="480"/>
        <w:jc w:val="left"/>
        <w:keepLines w:val="0"/>
        <w:keepNext w:val="0"/>
        <w:pageBreakBefore w:val="0"/>
        <w:spacing w:line="360" w:lineRule="auto"/>
        <w:widowControl/>
        <w:rPr>
          <w:rFonts w:ascii="宋体" w:hAnsi="宋体" w:eastAsia="宋体" w:cs="Times New Roman"/>
          <w:color w:val="auto"/>
          <w:sz w:val="24"/>
          <w:szCs w:val="24"/>
          <w:highlight w:val="none"/>
          <w:lang w:val="en-US" w:eastAsia="en-US" w:bidi="ar-SA"/>
        </w:rPr>
      </w:pPr>
      <w:r>
        <w:rPr>
          <w:rFonts w:hint="eastAsia" w:ascii="宋体" w:hAnsi="宋体" w:eastAsia="宋体" w:cs="Times New Roman"/>
          <w:color w:val="auto"/>
          <w:sz w:val="24"/>
          <w:szCs w:val="24"/>
          <w:highlight w:val="none"/>
          <w:lang w:val="en-US" w:eastAsia="zh-CN" w:bidi="ar-SA"/>
        </w:rPr>
        <w:t xml:space="preserve">2.1.6具备可视化数据比较、自动保存结果、</w:t>
      </w:r>
      <w:r>
        <w:rPr>
          <w:rFonts w:hint="eastAsia" w:ascii="宋体" w:hAnsi="宋体" w:eastAsia="宋体" w:cs="Times New Roman"/>
          <w:color w:val="auto"/>
          <w:sz w:val="24"/>
          <w:szCs w:val="24"/>
          <w:highlight w:val="none"/>
          <w:lang w:val="en-US" w:eastAsia="en-US" w:bidi="ar-SA"/>
        </w:rPr>
        <w:t xml:space="preserve">NIST库</w:t>
      </w:r>
      <w:r>
        <w:rPr>
          <w:rFonts w:hint="eastAsia" w:ascii="宋体" w:hAnsi="宋体" w:eastAsia="宋体" w:cs="Times New Roman"/>
          <w:color w:val="auto"/>
          <w:sz w:val="24"/>
          <w:szCs w:val="24"/>
          <w:highlight w:val="none"/>
          <w:lang w:val="en-US" w:eastAsia="zh-CN" w:bidi="ar-SA"/>
        </w:rPr>
        <w:t xml:space="preserve">检索定性、</w:t>
      </w:r>
      <w:r>
        <w:rPr>
          <w:rFonts w:hint="eastAsia" w:ascii="宋体" w:hAnsi="宋体" w:eastAsia="宋体" w:cs="Times New Roman"/>
          <w:color w:val="auto"/>
          <w:sz w:val="24"/>
          <w:szCs w:val="24"/>
          <w:highlight w:val="none"/>
          <w:lang w:val="en-US" w:eastAsia="en-US" w:bidi="ar-SA"/>
        </w:rPr>
        <w:t xml:space="preserve">保留指数辅助定性</w:t>
      </w:r>
      <w:r>
        <w:rPr>
          <w:rFonts w:hint="eastAsia" w:ascii="宋体" w:hAnsi="宋体" w:eastAsia="宋体" w:cs="Times New Roman"/>
          <w:color w:val="auto"/>
          <w:sz w:val="24"/>
          <w:szCs w:val="24"/>
          <w:highlight w:val="none"/>
          <w:lang w:val="en-US" w:eastAsia="zh-CN" w:bidi="ar-SA"/>
        </w:rPr>
        <w:t xml:space="preserve">功能。（提供检测实例软件截图等证明材料）</w:t>
      </w:r>
      <w:r/>
    </w:p>
    <w:p>
      <w:pPr>
        <w:ind w:left="0" w:firstLine="482"/>
        <w:jc w:val="left"/>
        <w:keepLines w:val="0"/>
        <w:keepNext w:val="0"/>
        <w:pageBreakBefore w:val="0"/>
        <w:spacing w:line="360" w:lineRule="auto"/>
        <w:widowControl/>
        <w:rPr>
          <w:rFonts w:hint="eastAsia" w:ascii="宋体" w:hAnsi="宋体" w:eastAsia="宋体" w:cs="Times New Roman"/>
          <w:b/>
          <w:color w:val="auto"/>
          <w:sz w:val="24"/>
          <w:szCs w:val="24"/>
          <w:highlight w:val="none"/>
          <w:lang w:val="en-US" w:eastAsia="zh-CN" w:bidi="ar-SA"/>
        </w:rPr>
      </w:pPr>
      <w:r>
        <w:rPr>
          <w:rFonts w:hint="default" w:ascii="宋体" w:hAnsi="宋体" w:eastAsia="宋体" w:cs="Times New Roman"/>
          <w:b/>
          <w:color w:val="auto"/>
          <w:sz w:val="24"/>
          <w:szCs w:val="24"/>
          <w:highlight w:val="none"/>
          <w:lang w:val="en-US" w:eastAsia="zh-CN" w:bidi="ar-SA"/>
        </w:rPr>
        <w:t xml:space="preserve">2.2 气相色谱仪</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en-US" w:bidi="ar-SA"/>
        </w:rPr>
        <w:t xml:space="preserve">2.2.1柱箱温度</w:t>
      </w:r>
      <w:r>
        <w:rPr>
          <w:rFonts w:hint="eastAsia" w:ascii="宋体" w:hAnsi="宋体" w:eastAsia="宋体" w:cs="Times New Roman"/>
          <w:color w:val="auto"/>
          <w:sz w:val="24"/>
          <w:szCs w:val="24"/>
          <w:highlight w:val="none"/>
          <w:lang w:val="en-US" w:eastAsia="zh-CN" w:bidi="ar-SA"/>
        </w:rPr>
        <w:t xml:space="preserve">范围至少覆盖</w:t>
      </w:r>
      <w:r>
        <w:rPr>
          <w:rFonts w:ascii="宋体" w:hAnsi="宋体" w:eastAsia="宋体" w:cs="Times New Roman"/>
          <w:color w:val="auto"/>
          <w:sz w:val="24"/>
          <w:szCs w:val="24"/>
          <w:highlight w:val="none"/>
          <w:lang w:val="en-US" w:eastAsia="en-US" w:bidi="ar-SA"/>
        </w:rPr>
        <w:t xml:space="preserve">4</w:t>
      </w:r>
      <w:r>
        <w:rPr>
          <w:rFonts w:hint="eastAsia" w:ascii="宋体" w:hAnsi="宋体" w:eastAsia="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en-US" w:bidi="ar-SA"/>
        </w:rPr>
        <w:t xml:space="preserve">450</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en-US" w:bidi="ar-SA"/>
        </w:rPr>
        <w:t xml:space="preserve">，</w:t>
      </w:r>
      <w:r>
        <w:rPr>
          <w:rFonts w:hint="eastAsia" w:ascii="宋体" w:hAnsi="宋体" w:eastAsia="宋体" w:cs="Times New Roman"/>
          <w:color w:val="auto"/>
          <w:sz w:val="24"/>
          <w:szCs w:val="24"/>
          <w:highlight w:val="none"/>
          <w:lang w:val="en-US" w:eastAsia="zh-CN" w:bidi="ar-SA"/>
        </w:rPr>
        <w:t xml:space="preserve">具备</w:t>
      </w:r>
      <w:r>
        <w:rPr>
          <w:rFonts w:ascii="宋体" w:hAnsi="宋体" w:eastAsia="宋体" w:cs="Times New Roman"/>
          <w:color w:val="auto"/>
          <w:sz w:val="24"/>
          <w:szCs w:val="24"/>
          <w:highlight w:val="none"/>
          <w:lang w:val="en-US" w:eastAsia="en-US" w:bidi="ar-SA"/>
        </w:rPr>
        <w:t xml:space="preserve">20梯度/21平台程序升温</w:t>
      </w:r>
      <w:r>
        <w:rPr>
          <w:rFonts w:hint="eastAsia" w:ascii="宋体" w:hAnsi="宋体" w:eastAsia="宋体" w:cs="Times New Roman"/>
          <w:color w:val="auto"/>
          <w:sz w:val="24"/>
          <w:szCs w:val="24"/>
          <w:highlight w:val="none"/>
          <w:lang w:val="en-US" w:eastAsia="zh-CN" w:bidi="ar-SA"/>
        </w:rPr>
        <w:t xml:space="preserve">，控温准确度达到0.01℃。</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2.2.2柱箱</w:t>
      </w:r>
      <w:r>
        <w:rPr>
          <w:rFonts w:ascii="宋体" w:hAnsi="宋体" w:eastAsia="宋体" w:cs="Times New Roman"/>
          <w:color w:val="auto"/>
          <w:sz w:val="24"/>
          <w:szCs w:val="24"/>
          <w:highlight w:val="none"/>
          <w:lang w:val="en-US" w:eastAsia="en-US" w:bidi="ar-SA"/>
        </w:rPr>
        <w:t xml:space="preserve">温度稳定性</w:t>
      </w:r>
      <w:r>
        <w:rPr>
          <w:rFonts w:hint="eastAsia" w:ascii="宋体" w:hAnsi="宋体" w:eastAsia="宋体" w:cs="Times New Roman"/>
          <w:color w:val="auto"/>
          <w:sz w:val="24"/>
          <w:szCs w:val="24"/>
          <w:highlight w:val="none"/>
          <w:lang w:val="en-US" w:eastAsia="zh-CN" w:bidi="ar-SA"/>
        </w:rPr>
        <w:t xml:space="preserve">小于</w:t>
      </w:r>
      <w:r>
        <w:rPr>
          <w:rFonts w:ascii="宋体" w:hAnsi="宋体" w:eastAsia="宋体" w:cs="Times New Roman"/>
          <w:color w:val="auto"/>
          <w:sz w:val="24"/>
          <w:szCs w:val="24"/>
          <w:highlight w:val="none"/>
          <w:lang w:val="en-US" w:eastAsia="en-US" w:bidi="ar-SA"/>
        </w:rPr>
        <w:t xml:space="preserve">0.01</w:t>
      </w:r>
      <w:r>
        <w:rPr>
          <w:rFonts w:hint="eastAsia" w:ascii="宋体" w:hAnsi="宋体" w:eastAsia="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en-US" w:bidi="ar-SA"/>
        </w:rPr>
        <w:t xml:space="preserve"> /1</w:t>
      </w:r>
      <w:r>
        <w:rPr>
          <w:rFonts w:hint="eastAsia" w:ascii="宋体" w:hAnsi="宋体" w:eastAsia="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en-US" w:bidi="ar-SA"/>
        </w:rPr>
        <w:t xml:space="preserve">环境变化</w:t>
      </w:r>
      <w:r>
        <w:rPr>
          <w:rFonts w:hint="eastAsia" w:ascii="宋体" w:hAnsi="宋体" w:eastAsia="宋体" w:cs="Times New Roman"/>
          <w:color w:val="auto"/>
          <w:sz w:val="24"/>
          <w:szCs w:val="24"/>
          <w:highlight w:val="none"/>
          <w:lang w:val="en-US" w:eastAsia="zh-CN" w:bidi="ar-SA"/>
        </w:rPr>
        <w:t xml:space="preserve">，柱箱最大升温速率不小于120</w:t>
      </w:r>
      <w:r>
        <w:rPr>
          <w:rFonts w:ascii="宋体" w:hAnsi="宋体" w:eastAsia="宋体" w:cs="Times New Roman"/>
          <w:color w:val="auto"/>
          <w:sz w:val="24"/>
          <w:szCs w:val="24"/>
          <w:highlight w:val="none"/>
          <w:lang w:val="en-US" w:eastAsia="en-US" w:bidi="ar-SA"/>
        </w:rPr>
        <w:t xml:space="preserve">˚C/min</w:t>
      </w:r>
      <w:r>
        <w:rPr>
          <w:rFonts w:hint="eastAsia" w:ascii="宋体" w:hAnsi="宋体" w:eastAsia="宋体" w:cs="Times New Roman"/>
          <w:color w:val="auto"/>
          <w:sz w:val="24"/>
          <w:szCs w:val="24"/>
          <w:highlight w:val="none"/>
          <w:lang w:val="en-US" w:eastAsia="zh-CN" w:bidi="ar-SA"/>
        </w:rPr>
        <w:t xml:space="preserve">，以0.01℃/min增加；柱箱</w:t>
      </w:r>
      <w:r>
        <w:rPr>
          <w:rFonts w:ascii="宋体" w:hAnsi="宋体" w:eastAsia="宋体" w:cs="Times New Roman"/>
          <w:color w:val="auto"/>
          <w:sz w:val="24"/>
          <w:szCs w:val="24"/>
          <w:highlight w:val="none"/>
          <w:lang w:val="en-US" w:eastAsia="en-US" w:bidi="ar-SA"/>
        </w:rPr>
        <w:t xml:space="preserve">降温从450</w:t>
      </w:r>
      <w:r>
        <w:rPr>
          <w:rFonts w:hint="eastAsia" w:ascii="宋体" w:hAnsi="宋体" w:eastAsia="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en-US" w:bidi="ar-SA"/>
        </w:rPr>
        <w:t xml:space="preserve">降至50</w:t>
      </w:r>
      <w:r>
        <w:rPr>
          <w:rFonts w:hint="eastAsia" w:ascii="宋体" w:hAnsi="宋体" w:eastAsia="宋体" w:cs="Times New Roman"/>
          <w:color w:val="auto"/>
          <w:sz w:val="24"/>
          <w:szCs w:val="24"/>
          <w:highlight w:val="none"/>
          <w:lang w:val="en-US" w:eastAsia="zh-CN" w:bidi="ar-SA"/>
        </w:rPr>
        <w:t xml:space="preserve">℃应小于</w:t>
      </w:r>
      <w:r>
        <w:rPr>
          <w:rFonts w:ascii="宋体" w:hAnsi="宋体" w:eastAsia="宋体" w:cs="Times New Roman"/>
          <w:color w:val="auto"/>
          <w:sz w:val="24"/>
          <w:szCs w:val="24"/>
          <w:highlight w:val="none"/>
          <w:lang w:val="en-US" w:eastAsia="en-US" w:bidi="ar-SA"/>
        </w:rPr>
        <w:t xml:space="preserve">220秒</w:t>
      </w:r>
      <w:r>
        <w:rPr>
          <w:rFonts w:hint="eastAsia" w:ascii="宋体" w:hAnsi="宋体" w:eastAsia="宋体" w:cs="Times New Roman"/>
          <w:color w:val="auto"/>
          <w:sz w:val="24"/>
          <w:szCs w:val="24"/>
          <w:highlight w:val="none"/>
          <w:lang w:val="en-US" w:eastAsia="zh-CN" w:bidi="ar-SA"/>
        </w:rPr>
        <w:t xml:space="preserve">。</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en-US" w:bidi="ar-SA"/>
        </w:rPr>
        <w:t xml:space="preserve">2.2.</w:t>
      </w: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en-US" w:bidi="ar-SA"/>
        </w:rPr>
        <w:t xml:space="preserve">具</w:t>
      </w:r>
      <w:r>
        <w:rPr>
          <w:rFonts w:hint="eastAsia" w:ascii="宋体" w:hAnsi="宋体" w:eastAsia="宋体" w:cs="Times New Roman"/>
          <w:color w:val="auto"/>
          <w:sz w:val="24"/>
          <w:szCs w:val="24"/>
          <w:highlight w:val="none"/>
          <w:lang w:val="en-US" w:eastAsia="zh-CN" w:bidi="ar-SA"/>
        </w:rPr>
        <w:t xml:space="preserve">备</w:t>
      </w:r>
      <w:r>
        <w:rPr>
          <w:rFonts w:hint="eastAsia" w:ascii="宋体" w:hAnsi="宋体" w:eastAsia="宋体" w:cs="Times New Roman"/>
          <w:color w:val="auto"/>
          <w:sz w:val="24"/>
          <w:szCs w:val="24"/>
          <w:highlight w:val="none"/>
          <w:lang w:val="en-US" w:eastAsia="en-US" w:bidi="ar-SA"/>
        </w:rPr>
        <w:t xml:space="preserve">色谱柱使用情况记录</w:t>
      </w:r>
      <w:r>
        <w:rPr>
          <w:rFonts w:hint="eastAsia" w:ascii="宋体" w:hAnsi="宋体" w:eastAsia="宋体" w:cs="Times New Roman"/>
          <w:color w:val="auto"/>
          <w:sz w:val="24"/>
          <w:szCs w:val="24"/>
          <w:highlight w:val="none"/>
          <w:lang w:val="en-US" w:eastAsia="zh-CN" w:bidi="ar-SA"/>
        </w:rPr>
        <w:t xml:space="preserve">功能（需配套</w:t>
      </w:r>
      <w:r>
        <w:rPr>
          <w:rFonts w:hint="eastAsia" w:ascii="宋体" w:hAnsi="宋体" w:eastAsia="宋体" w:cs="Times New Roman"/>
          <w:color w:val="auto"/>
          <w:sz w:val="24"/>
          <w:szCs w:val="24"/>
          <w:highlight w:val="none"/>
          <w:lang w:val="en-US" w:eastAsia="en-US" w:bidi="ar-SA"/>
        </w:rPr>
        <w:t xml:space="preserve">不低于3个色谱柱智能钥匙接口</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具有4个及以上</w:t>
      </w:r>
      <w:r>
        <w:rPr>
          <w:rFonts w:hint="eastAsia" w:ascii="宋体" w:hAnsi="宋体" w:eastAsia="宋体" w:cs="Times New Roman"/>
          <w:color w:val="auto"/>
          <w:sz w:val="24"/>
          <w:szCs w:val="24"/>
          <w:highlight w:val="none"/>
          <w:lang w:val="en-US" w:eastAsia="en-US" w:bidi="ar-SA"/>
        </w:rPr>
        <w:t xml:space="preserve">色谱柱智能钥匙接口</w:t>
      </w:r>
      <w:r>
        <w:rPr>
          <w:rFonts w:hint="eastAsia" w:ascii="宋体" w:hAnsi="宋体" w:eastAsia="宋体" w:cs="Times New Roman"/>
          <w:color w:val="auto"/>
          <w:sz w:val="24"/>
          <w:szCs w:val="24"/>
          <w:highlight w:val="none"/>
          <w:lang w:val="en-US" w:eastAsia="zh-CN" w:bidi="ar-SA"/>
        </w:rPr>
        <w:t xml:space="preserve">的</w:t>
      </w:r>
      <w:r>
        <w:rPr>
          <w:rFonts w:hint="eastAsia" w:ascii="宋体" w:hAnsi="宋体" w:eastAsia="宋体" w:cs="Times New Roman"/>
          <w:color w:val="auto"/>
          <w:sz w:val="24"/>
          <w:szCs w:val="24"/>
          <w:highlight w:val="none"/>
          <w:lang w:val="en-US" w:eastAsia="zh-CN" w:bidi="ar-SA"/>
        </w:rPr>
        <w:t xml:space="preserve">。（需提供主机实物照片等证明材料）</w:t>
      </w:r>
      <w:r/>
    </w:p>
    <w:p>
      <w:pPr>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2.2.4具备惰性</w:t>
      </w:r>
      <w:r>
        <w:rPr>
          <w:rFonts w:hint="default" w:ascii="宋体" w:hAnsi="宋体" w:eastAsia="宋体" w:cs="Times New Roman"/>
          <w:color w:val="auto"/>
          <w:sz w:val="24"/>
          <w:szCs w:val="24"/>
          <w:highlight w:val="none"/>
          <w:lang w:val="en-US" w:eastAsia="zh-CN" w:bidi="ar-SA"/>
        </w:rPr>
        <w:t xml:space="preserve">分流/不分流毛细管柱进样口</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带电子气路控制</w:t>
      </w:r>
      <w:r>
        <w:rPr>
          <w:rFonts w:hint="eastAsia" w:ascii="宋体" w:hAnsi="宋体" w:eastAsia="宋体" w:cs="Times New Roman"/>
          <w:color w:val="auto"/>
          <w:sz w:val="24"/>
          <w:szCs w:val="24"/>
          <w:highlight w:val="none"/>
          <w:lang w:val="en-US" w:eastAsia="zh-CN" w:bidi="ar-SA"/>
        </w:rPr>
        <w:t xml:space="preserve">，进样口经高惰性处理，进样口</w:t>
      </w:r>
      <w:r>
        <w:rPr>
          <w:rFonts w:hint="default" w:ascii="宋体" w:hAnsi="宋体" w:eastAsia="宋体" w:cs="Times New Roman"/>
          <w:color w:val="auto"/>
          <w:sz w:val="24"/>
          <w:szCs w:val="24"/>
          <w:highlight w:val="none"/>
          <w:lang w:val="en-US" w:eastAsia="zh-CN" w:bidi="ar-SA"/>
        </w:rPr>
        <w:t xml:space="preserve">最高使用温度</w:t>
      </w:r>
      <w:r>
        <w:rPr>
          <w:rFonts w:hint="eastAsia" w:ascii="宋体" w:hAnsi="宋体" w:eastAsia="宋体" w:cs="Times New Roman"/>
          <w:color w:val="auto"/>
          <w:sz w:val="24"/>
          <w:szCs w:val="24"/>
          <w:highlight w:val="none"/>
          <w:lang w:val="en-US" w:eastAsia="zh-CN" w:bidi="ar-SA"/>
        </w:rPr>
        <w:t xml:space="preserve">不低于35</w:t>
      </w:r>
      <w:r>
        <w:rPr>
          <w:rFonts w:hint="default" w:ascii="宋体" w:hAnsi="宋体" w:eastAsia="宋体" w:cs="Times New Roman"/>
          <w:color w:val="auto"/>
          <w:sz w:val="24"/>
          <w:szCs w:val="24"/>
          <w:highlight w:val="none"/>
          <w:lang w:val="en-US" w:eastAsia="zh-CN" w:bidi="ar-SA"/>
        </w:rPr>
        <w:t xml:space="preserve">0</w:t>
      </w:r>
      <w:r>
        <w:rPr>
          <w:rFonts w:hint="eastAsia" w:ascii="微软雅黑" w:hAnsi="微软雅黑" w:eastAsia="微软雅黑" w:cs="微软雅黑"/>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C</w:t>
      </w:r>
      <w:r>
        <w:rPr>
          <w:rFonts w:hint="eastAsia" w:ascii="宋体" w:hAnsi="宋体" w:eastAsia="宋体" w:cs="Times New Roman"/>
          <w:color w:val="auto"/>
          <w:sz w:val="24"/>
          <w:szCs w:val="24"/>
          <w:highlight w:val="none"/>
          <w:lang w:val="en-US" w:eastAsia="zh-CN" w:bidi="ar-SA"/>
        </w:rPr>
        <w:t xml:space="preserve">。</w:t>
      </w:r>
      <w:r/>
    </w:p>
    <w:p>
      <w:pPr>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2.2.5</w:t>
      </w:r>
      <w:r>
        <w:rPr>
          <w:rFonts w:hint="default" w:ascii="宋体" w:hAnsi="宋体" w:eastAsia="宋体" w:cs="Times New Roman"/>
          <w:color w:val="auto"/>
          <w:sz w:val="24"/>
          <w:szCs w:val="24"/>
          <w:highlight w:val="none"/>
          <w:lang w:val="en-US" w:eastAsia="zh-CN" w:bidi="ar-SA"/>
        </w:rPr>
        <w:t xml:space="preserve">可编程电子参数设定压力、流速、分流比</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压力设定精度</w:t>
      </w:r>
      <w:r>
        <w:rPr>
          <w:rFonts w:hint="eastAsia" w:ascii="宋体" w:hAnsi="宋体" w:eastAsia="宋体" w:cs="Times New Roman"/>
          <w:color w:val="auto"/>
          <w:sz w:val="24"/>
          <w:szCs w:val="24"/>
          <w:highlight w:val="none"/>
          <w:lang w:val="en-US" w:eastAsia="zh-CN" w:bidi="ar-SA"/>
        </w:rPr>
        <w:t xml:space="preserve">不大于</w:t>
      </w:r>
      <w:r>
        <w:rPr>
          <w:rFonts w:hint="default" w:ascii="宋体" w:hAnsi="宋体" w:eastAsia="宋体" w:cs="Times New Roman"/>
          <w:color w:val="auto"/>
          <w:sz w:val="24"/>
          <w:szCs w:val="24"/>
          <w:highlight w:val="none"/>
          <w:lang w:val="en-US" w:eastAsia="zh-CN" w:bidi="ar-SA"/>
        </w:rPr>
        <w:t xml:space="preserve">0.001psi</w:t>
      </w:r>
      <w:r>
        <w:rPr>
          <w:rFonts w:hint="eastAsia" w:ascii="宋体" w:hAnsi="宋体" w:eastAsia="宋体" w:cs="Times New Roman"/>
          <w:color w:val="auto"/>
          <w:sz w:val="24"/>
          <w:szCs w:val="24"/>
          <w:highlight w:val="none"/>
          <w:lang w:val="en-US" w:eastAsia="zh-CN" w:bidi="ar-SA"/>
        </w:rPr>
        <w:t xml:space="preserve">，压力设定范围覆盖0～100psi；流量设定范围覆盖0～1200mL/min；最大</w:t>
      </w:r>
      <w:r>
        <w:rPr>
          <w:rFonts w:hint="default" w:ascii="宋体" w:hAnsi="宋体" w:eastAsia="宋体" w:cs="Times New Roman"/>
          <w:color w:val="auto"/>
          <w:sz w:val="24"/>
          <w:szCs w:val="24"/>
          <w:highlight w:val="none"/>
          <w:lang w:val="en-US" w:eastAsia="zh-CN" w:bidi="ar-SA"/>
        </w:rPr>
        <w:t xml:space="preserve">分流比</w:t>
      </w:r>
      <w:r>
        <w:rPr>
          <w:rFonts w:hint="eastAsia" w:ascii="宋体" w:hAnsi="宋体" w:eastAsia="宋体" w:cs="Times New Roman"/>
          <w:color w:val="auto"/>
          <w:sz w:val="24"/>
          <w:szCs w:val="24"/>
          <w:highlight w:val="none"/>
          <w:lang w:val="en-US" w:eastAsia="zh-CN" w:bidi="ar-SA"/>
        </w:rPr>
        <w:t xml:space="preserve">不小于</w:t>
      </w:r>
      <w:r>
        <w:rPr>
          <w:rFonts w:hint="default" w:ascii="宋体" w:hAnsi="宋体" w:eastAsia="宋体" w:cs="Times New Roman"/>
          <w:color w:val="auto"/>
          <w:sz w:val="24"/>
          <w:szCs w:val="24"/>
          <w:highlight w:val="none"/>
          <w:lang w:val="en-US" w:eastAsia="zh-CN" w:bidi="ar-SA"/>
        </w:rPr>
        <w:t xml:space="preserve">12000:1</w:t>
      </w:r>
      <w:r>
        <w:rPr>
          <w:rFonts w:hint="eastAsia" w:ascii="宋体" w:hAnsi="宋体" w:eastAsia="宋体" w:cs="Times New Roman"/>
          <w:color w:val="auto"/>
          <w:sz w:val="24"/>
          <w:szCs w:val="24"/>
          <w:highlight w:val="none"/>
          <w:lang w:val="en-US" w:eastAsia="zh-CN" w:bidi="ar-SA"/>
        </w:rPr>
        <w:t xml:space="preserve">。</w:t>
      </w:r>
      <w:r/>
    </w:p>
    <w:p>
      <w:pPr>
        <w:ind w:lef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2.2.6具有先进流量控制隔垫吹扫功能，隔垫吹扫流量覆盖0～30mL/min，连续可调。</w:t>
      </w:r>
      <w:r/>
    </w:p>
    <w:p>
      <w:pPr>
        <w:numPr>
          <w:ilvl w:val="0"/>
          <w:numId w:val="0"/>
        </w:numPr>
        <w:contextualSpacing/>
        <w:ind w:left="0" w:firstLine="480"/>
        <w:jc w:val="left"/>
        <w:keepLines w:val="0"/>
        <w:keepNext w:val="0"/>
        <w:pageBreakBefore w:val="0"/>
        <w:spacing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2.2.7★具备</w:t>
      </w:r>
      <w:r>
        <w:rPr>
          <w:rFonts w:hint="eastAsia" w:ascii="宋体" w:hAnsi="宋体" w:eastAsia="宋体" w:cs="Times New Roman"/>
          <w:color w:val="auto"/>
          <w:sz w:val="24"/>
          <w:szCs w:val="24"/>
          <w:highlight w:val="none"/>
          <w:lang w:val="en-US" w:eastAsia="en-US" w:bidi="ar-SA"/>
        </w:rPr>
        <w:t xml:space="preserve">扳转式进样口密封系统</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en-US" w:bidi="ar-SA"/>
        </w:rPr>
        <w:t xml:space="preserve">无需工具能够快速、轻松地更换进样口衬管（提供进样口实物</w:t>
      </w:r>
      <w:r>
        <w:rPr>
          <w:rFonts w:hint="eastAsia" w:ascii="宋体" w:hAnsi="宋体" w:eastAsia="宋体" w:cs="Times New Roman"/>
          <w:color w:val="auto"/>
          <w:sz w:val="24"/>
          <w:szCs w:val="24"/>
          <w:highlight w:val="none"/>
          <w:lang w:val="en-US" w:eastAsia="zh-CN" w:bidi="ar-SA"/>
        </w:rPr>
        <w:t xml:space="preserve">照片等</w:t>
      </w:r>
      <w:r>
        <w:rPr>
          <w:rFonts w:hint="eastAsia" w:ascii="宋体" w:hAnsi="宋体" w:eastAsia="宋体" w:cs="Times New Roman"/>
          <w:color w:val="auto"/>
          <w:sz w:val="24"/>
          <w:szCs w:val="24"/>
          <w:highlight w:val="none"/>
          <w:lang w:val="en-US" w:eastAsia="en-US" w:bidi="ar-SA"/>
        </w:rPr>
        <w:t xml:space="preserve">证明</w:t>
      </w:r>
      <w:r>
        <w:rPr>
          <w:rFonts w:hint="eastAsia" w:ascii="宋体" w:hAnsi="宋体" w:eastAsia="宋体" w:cs="Times New Roman"/>
          <w:color w:val="auto"/>
          <w:sz w:val="24"/>
          <w:szCs w:val="24"/>
          <w:highlight w:val="none"/>
          <w:lang w:val="en-US" w:eastAsia="zh-CN" w:bidi="ar-SA"/>
        </w:rPr>
        <w:t xml:space="preserve">材料</w:t>
      </w:r>
      <w:r>
        <w:rPr>
          <w:rFonts w:hint="eastAsia" w:ascii="宋体" w:hAnsi="宋体" w:eastAsia="宋体" w:cs="Times New Roman"/>
          <w:color w:val="auto"/>
          <w:sz w:val="24"/>
          <w:szCs w:val="24"/>
          <w:highlight w:val="none"/>
          <w:lang w:val="en-US" w:eastAsia="en-US" w:bidi="ar-SA"/>
        </w:rPr>
        <w:t xml:space="preserve">）</w:t>
      </w:r>
      <w:r/>
    </w:p>
    <w:p>
      <w:pPr>
        <w:numPr>
          <w:ilvl w:val="0"/>
          <w:numId w:val="0"/>
        </w:numPr>
        <w:contextualSpacing/>
        <w:ind w:left="0" w:firstLine="482"/>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ascii="宋体" w:hAnsi="宋体" w:eastAsia="宋体" w:cs="Times New Roman"/>
          <w:b/>
          <w:color w:val="auto"/>
          <w:sz w:val="24"/>
          <w:szCs w:val="24"/>
          <w:highlight w:val="none"/>
          <w:lang w:val="en-US" w:eastAsia="en-US" w:bidi="ar-SA"/>
        </w:rPr>
        <w:t xml:space="preserve">2.</w:t>
      </w:r>
      <w:r>
        <w:rPr>
          <w:rFonts w:hint="eastAsia" w:ascii="宋体" w:hAnsi="宋体" w:eastAsia="宋体" w:cs="Times New Roman"/>
          <w:b/>
          <w:color w:val="auto"/>
          <w:sz w:val="24"/>
          <w:szCs w:val="24"/>
          <w:highlight w:val="none"/>
          <w:lang w:val="en-US" w:eastAsia="zh-CN" w:bidi="ar-SA"/>
        </w:rPr>
        <w:t xml:space="preserve">3</w:t>
      </w:r>
      <w:r>
        <w:rPr>
          <w:rFonts w:ascii="宋体" w:hAnsi="宋体" w:eastAsia="宋体" w:cs="Times New Roman"/>
          <w:b/>
          <w:color w:val="auto"/>
          <w:sz w:val="24"/>
          <w:szCs w:val="24"/>
          <w:highlight w:val="none"/>
          <w:lang w:val="en-US" w:eastAsia="en-US" w:bidi="ar-SA"/>
        </w:rPr>
        <w:t xml:space="preserve"> </w:t>
      </w:r>
      <w:r>
        <w:rPr>
          <w:rFonts w:hint="eastAsia" w:ascii="宋体" w:hAnsi="宋体" w:eastAsia="宋体" w:cs="Times New Roman"/>
          <w:b/>
          <w:color w:val="auto"/>
          <w:sz w:val="24"/>
          <w:szCs w:val="24"/>
          <w:highlight w:val="none"/>
          <w:lang w:val="en-US" w:eastAsia="zh-CN" w:bidi="ar-SA"/>
        </w:rPr>
        <w:t xml:space="preserve">飞行时间质</w:t>
      </w:r>
      <w:r>
        <w:rPr>
          <w:rFonts w:ascii="宋体" w:hAnsi="宋体" w:eastAsia="宋体" w:cs="Times New Roman"/>
          <w:b/>
          <w:color w:val="auto"/>
          <w:sz w:val="24"/>
          <w:szCs w:val="24"/>
          <w:highlight w:val="none"/>
          <w:lang w:val="en-US" w:eastAsia="en-US" w:bidi="ar-SA"/>
        </w:rPr>
        <w:t xml:space="preserve">谱仪</w:t>
      </w:r>
      <w:r/>
    </w:p>
    <w:p>
      <w:pPr>
        <w:numPr>
          <w:ilvl w:val="0"/>
          <w:numId w:val="0"/>
        </w:numPr>
        <w:contextualSpacing/>
        <w:ind w:lef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2.3.1★采用具备整体式</w:t>
      </w:r>
      <w:r>
        <w:rPr>
          <w:rFonts w:hint="eastAsia" w:ascii="宋体" w:hAnsi="宋体" w:cs="Times New Roman"/>
          <w:color w:val="auto"/>
          <w:sz w:val="24"/>
          <w:szCs w:val="24"/>
          <w:highlight w:val="none"/>
          <w:lang w:val="en-US" w:eastAsia="zh-CN" w:bidi="ar-SA"/>
        </w:rPr>
        <w:t xml:space="preserve">四极</w:t>
      </w:r>
      <w:r>
        <w:rPr>
          <w:rFonts w:hint="eastAsia" w:ascii="宋体" w:hAnsi="宋体" w:eastAsia="宋体" w:cs="Times New Roman"/>
          <w:color w:val="auto"/>
          <w:sz w:val="24"/>
          <w:szCs w:val="24"/>
          <w:highlight w:val="none"/>
          <w:lang w:val="en-US" w:eastAsia="zh-CN" w:bidi="ar-SA"/>
        </w:rPr>
        <w:t xml:space="preserve">杆的飞行时间质量分析器，具有高分辨全扫描采集模式；▲四极杆可独立温控可达 150℃以上。</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2.3.4★</w:t>
      </w:r>
      <w:r>
        <w:rPr>
          <w:rFonts w:ascii="宋体" w:hAnsi="宋体" w:eastAsia="宋体" w:cs="Times New Roman"/>
          <w:color w:val="auto"/>
          <w:sz w:val="24"/>
          <w:szCs w:val="24"/>
          <w:highlight w:val="none"/>
          <w:lang w:val="en-US" w:eastAsia="en-US" w:bidi="ar-SA"/>
        </w:rPr>
        <w:t xml:space="preserve">质谱采集范围</w:t>
      </w:r>
      <w:r>
        <w:rPr>
          <w:rFonts w:hint="eastAsia" w:ascii="宋体" w:hAnsi="宋体" w:eastAsia="宋体" w:cs="Times New Roman"/>
          <w:color w:val="auto"/>
          <w:sz w:val="24"/>
          <w:szCs w:val="24"/>
          <w:highlight w:val="none"/>
          <w:lang w:val="en-US" w:eastAsia="zh-CN" w:bidi="ar-SA"/>
        </w:rPr>
        <w:t xml:space="preserve">至少覆盖</w:t>
      </w:r>
      <w:r>
        <w:rPr>
          <w:rFonts w:ascii="宋体" w:hAnsi="宋体" w:eastAsia="宋体" w:cs="Times New Roman"/>
          <w:color w:val="auto"/>
          <w:sz w:val="24"/>
          <w:szCs w:val="24"/>
          <w:highlight w:val="none"/>
          <w:lang w:val="en-US" w:eastAsia="en-US" w:bidi="ar-SA"/>
        </w:rPr>
        <w:t xml:space="preserve">20</w:t>
      </w:r>
      <w:r>
        <w:rPr>
          <w:rFonts w:hint="eastAsia" w:ascii="宋体" w:hAnsi="宋体" w:eastAsia="宋体" w:cs="Times New Roman"/>
          <w:color w:val="auto"/>
          <w:sz w:val="24"/>
          <w:szCs w:val="24"/>
          <w:highlight w:val="none"/>
          <w:lang w:val="en-US" w:eastAsia="zh-CN" w:bidi="ar-SA"/>
        </w:rPr>
        <w:t xml:space="preserve">～15</w:t>
      </w:r>
      <w:r>
        <w:rPr>
          <w:rFonts w:ascii="宋体" w:hAnsi="宋体" w:eastAsia="宋体" w:cs="Times New Roman"/>
          <w:color w:val="auto"/>
          <w:sz w:val="24"/>
          <w:szCs w:val="24"/>
          <w:highlight w:val="none"/>
          <w:lang w:val="en-US" w:eastAsia="en-US" w:bidi="ar-SA"/>
        </w:rPr>
        <w:t xml:space="preserve">00 m/z</w:t>
      </w:r>
      <w:r>
        <w:rPr>
          <w:rFonts w:hint="eastAsia" w:ascii="宋体" w:hAnsi="宋体" w:eastAsia="宋体" w:cs="Times New Roman"/>
          <w:color w:val="auto"/>
          <w:sz w:val="24"/>
          <w:szCs w:val="24"/>
          <w:highlight w:val="none"/>
          <w:lang w:val="en-US" w:eastAsia="en-US" w:bidi="ar-SA"/>
        </w:rPr>
        <w:t xml:space="preserve">，且与采集速率无关</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质谱</w:t>
      </w:r>
      <w:r>
        <w:rPr>
          <w:rFonts w:ascii="宋体" w:hAnsi="宋体" w:eastAsia="宋体" w:cs="Times New Roman"/>
          <w:color w:val="auto"/>
          <w:sz w:val="24"/>
          <w:szCs w:val="24"/>
          <w:highlight w:val="none"/>
          <w:lang w:val="en-US" w:eastAsia="en-US" w:bidi="ar-SA"/>
        </w:rPr>
        <w:t xml:space="preserve">采集范围</w:t>
      </w:r>
      <w:r>
        <w:rPr>
          <w:rFonts w:hint="eastAsia" w:ascii="宋体" w:hAnsi="宋体" w:eastAsia="宋体" w:cs="Times New Roman"/>
          <w:color w:val="auto"/>
          <w:sz w:val="24"/>
          <w:szCs w:val="24"/>
          <w:highlight w:val="none"/>
          <w:lang w:val="en-US" w:eastAsia="zh-CN" w:bidi="ar-SA"/>
        </w:rPr>
        <w:t xml:space="preserve">能够覆盖20～3000</w:t>
      </w:r>
      <w:r>
        <w:rPr>
          <w:rFonts w:ascii="宋体" w:hAnsi="宋体" w:eastAsia="宋体" w:cs="Times New Roman"/>
          <w:color w:val="auto"/>
          <w:sz w:val="24"/>
          <w:szCs w:val="24"/>
          <w:highlight w:val="none"/>
          <w:lang w:val="en-US" w:eastAsia="en-US" w:bidi="ar-SA"/>
        </w:rPr>
        <w:t xml:space="preserve">m/z</w:t>
      </w:r>
      <w:r>
        <w:rPr>
          <w:rFonts w:hint="eastAsia" w:ascii="宋体" w:hAnsi="宋体" w:eastAsia="宋体" w:cs="Times New Roman"/>
          <w:color w:val="auto"/>
          <w:sz w:val="24"/>
          <w:szCs w:val="24"/>
          <w:highlight w:val="none"/>
          <w:lang w:val="en-US" w:eastAsia="en-US" w:bidi="ar-SA"/>
        </w:rPr>
        <w:t xml:space="preserve">。</w:t>
      </w:r>
      <w:r>
        <w:rPr>
          <w:rFonts w:ascii="宋体" w:hAnsi="宋体" w:eastAsia="宋体" w:cs="Times New Roman"/>
          <w:color w:val="auto"/>
          <w:sz w:val="24"/>
          <w:szCs w:val="24"/>
          <w:highlight w:val="none"/>
          <w:lang w:val="en-US" w:eastAsia="en-US" w:bidi="ar-SA"/>
        </w:rPr>
        <w:t xml:space="preserve">（提供</w:t>
      </w:r>
      <w:r>
        <w:rPr>
          <w:rFonts w:hint="eastAsia" w:ascii="宋体" w:hAnsi="宋体" w:eastAsia="宋体" w:cs="Times New Roman"/>
          <w:color w:val="auto"/>
          <w:sz w:val="24"/>
          <w:szCs w:val="24"/>
          <w:highlight w:val="none"/>
          <w:lang w:val="en-US" w:eastAsia="zh-CN" w:bidi="ar-SA"/>
        </w:rPr>
        <w:t xml:space="preserve">产品彩页或正式技术说明书或官网介绍网址等证明材料</w:t>
      </w:r>
      <w:r>
        <w:rPr>
          <w:rFonts w:ascii="宋体" w:hAnsi="宋体" w:eastAsia="宋体" w:cs="Times New Roman"/>
          <w:color w:val="auto"/>
          <w:sz w:val="24"/>
          <w:szCs w:val="24"/>
          <w:highlight w:val="none"/>
          <w:lang w:val="en-US" w:eastAsia="en-US" w:bidi="ar-SA"/>
        </w:rPr>
        <w:t xml:space="preserve">）</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2.3.5★</w:t>
      </w:r>
      <w:r>
        <w:rPr>
          <w:rFonts w:hint="eastAsia" w:ascii="宋体" w:hAnsi="宋体" w:eastAsia="宋体" w:cs="Arial"/>
          <w:color w:val="auto"/>
          <w:sz w:val="24"/>
          <w:szCs w:val="24"/>
          <w:highlight w:val="none"/>
          <w:lang w:val="en-US" w:eastAsia="en-US" w:bidi="ar-SA"/>
        </w:rPr>
        <w:t xml:space="preserve">质量</w:t>
      </w:r>
      <w:r>
        <w:rPr>
          <w:rFonts w:hint="eastAsia" w:ascii="宋体" w:hAnsi="宋体" w:eastAsia="宋体" w:cs="Arial"/>
          <w:color w:val="auto"/>
          <w:sz w:val="24"/>
          <w:szCs w:val="24"/>
          <w:highlight w:val="none"/>
          <w:lang w:val="en-US" w:eastAsia="zh-CN" w:bidi="ar-SA"/>
        </w:rPr>
        <w:t xml:space="preserve">精</w:t>
      </w:r>
      <w:r>
        <w:rPr>
          <w:rFonts w:hint="eastAsia" w:ascii="宋体" w:hAnsi="宋体" w:eastAsia="宋体" w:cs="Arial"/>
          <w:color w:val="auto"/>
          <w:sz w:val="24"/>
          <w:szCs w:val="24"/>
          <w:highlight w:val="none"/>
          <w:lang w:val="en-US" w:eastAsia="en-US" w:bidi="ar-SA"/>
        </w:rPr>
        <w:t xml:space="preserve">度小于</w:t>
      </w:r>
      <w:r>
        <w:rPr>
          <w:rFonts w:hint="eastAsia" w:ascii="宋体" w:hAnsi="宋体" w:eastAsia="宋体" w:cs="Arial"/>
          <w:color w:val="auto"/>
          <w:sz w:val="24"/>
          <w:szCs w:val="24"/>
          <w:highlight w:val="none"/>
          <w:lang w:val="en-US" w:eastAsia="zh-CN" w:bidi="ar-SA"/>
        </w:rPr>
        <w:t xml:space="preserve">等于</w:t>
      </w:r>
      <w:r>
        <w:rPr>
          <w:rFonts w:hint="eastAsia" w:ascii="宋体" w:hAnsi="宋体" w:eastAsia="宋体" w:cs="Arial"/>
          <w:color w:val="auto"/>
          <w:sz w:val="24"/>
          <w:szCs w:val="24"/>
          <w:highlight w:val="none"/>
          <w:lang w:val="en-US" w:eastAsia="en-US" w:bidi="ar-SA"/>
        </w:rPr>
        <w:t xml:space="preserve">5ppm（在m/z 271.9867，1pg ofn连续8针进样分析）；▲</w:t>
      </w:r>
      <w:r>
        <w:rPr>
          <w:rFonts w:hint="eastAsia" w:ascii="宋体" w:hAnsi="宋体" w:eastAsia="宋体" w:cs="Arial"/>
          <w:color w:val="auto"/>
          <w:sz w:val="24"/>
          <w:szCs w:val="24"/>
          <w:highlight w:val="none"/>
          <w:lang w:val="en-US" w:eastAsia="en-US" w:bidi="ar-SA"/>
        </w:rPr>
        <w:t xml:space="preserve">质量</w:t>
      </w:r>
      <w:r>
        <w:rPr>
          <w:rFonts w:hint="eastAsia" w:ascii="宋体" w:hAnsi="宋体" w:eastAsia="宋体" w:cs="Arial"/>
          <w:color w:val="auto"/>
          <w:sz w:val="24"/>
          <w:szCs w:val="24"/>
          <w:highlight w:val="none"/>
          <w:lang w:val="en-US" w:eastAsia="zh-CN" w:bidi="ar-SA"/>
        </w:rPr>
        <w:t xml:space="preserve">精度</w:t>
      </w:r>
      <w:r>
        <w:rPr>
          <w:rFonts w:hint="eastAsia" w:ascii="宋体" w:hAnsi="宋体" w:eastAsia="宋体" w:cs="Arial"/>
          <w:color w:val="auto"/>
          <w:sz w:val="24"/>
          <w:szCs w:val="24"/>
          <w:highlight w:val="none"/>
          <w:lang w:val="en-US" w:eastAsia="en-US" w:bidi="ar-SA"/>
        </w:rPr>
        <w:t xml:space="preserve">小于</w:t>
      </w:r>
      <w:r>
        <w:rPr>
          <w:rFonts w:hint="eastAsia" w:ascii="宋体" w:hAnsi="宋体" w:eastAsia="宋体" w:cs="Arial"/>
          <w:color w:val="auto"/>
          <w:sz w:val="24"/>
          <w:szCs w:val="24"/>
          <w:highlight w:val="none"/>
          <w:lang w:val="en-US" w:eastAsia="zh-CN" w:bidi="ar-SA"/>
        </w:rPr>
        <w:t xml:space="preserve">等于</w:t>
      </w:r>
      <w:r>
        <w:rPr>
          <w:rFonts w:hint="eastAsia" w:ascii="宋体" w:hAnsi="宋体" w:eastAsia="宋体" w:cs="Arial"/>
          <w:color w:val="auto"/>
          <w:sz w:val="24"/>
          <w:szCs w:val="24"/>
          <w:highlight w:val="none"/>
          <w:lang w:val="en-US" w:eastAsia="en-US" w:bidi="ar-SA"/>
        </w:rPr>
        <w:t xml:space="preserve">2ppm（在m/z 271.9867，1pg ofn连续8针进样分析）</w:t>
      </w:r>
      <w:r>
        <w:rPr>
          <w:rFonts w:hint="eastAsia" w:ascii="宋体" w:hAnsi="宋体" w:eastAsia="宋体" w:cs="Arial"/>
          <w:color w:val="auto"/>
          <w:sz w:val="24"/>
          <w:szCs w:val="24"/>
          <w:highlight w:val="none"/>
          <w:lang w:val="en-US" w:eastAsia="en-US" w:bidi="ar-SA"/>
        </w:rPr>
        <w:t xml:space="preserve">。（提供官方技术说明书作为证明材料）</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en-US" w:bidi="ar-SA"/>
        </w:rPr>
      </w:pPr>
      <w:r>
        <w:rPr>
          <w:rFonts w:hint="eastAsia" w:ascii="宋体" w:hAnsi="宋体" w:eastAsia="宋体" w:cs="Times New Roman"/>
          <w:color w:val="auto"/>
          <w:sz w:val="24"/>
          <w:szCs w:val="24"/>
          <w:highlight w:val="none"/>
          <w:lang w:val="en-US" w:eastAsia="zh-CN" w:bidi="ar-SA"/>
        </w:rPr>
        <w:t xml:space="preserve">2.3.6★检测限</w:t>
      </w:r>
      <w:r>
        <w:rPr>
          <w:rFonts w:ascii="宋体" w:hAnsi="宋体" w:eastAsia="宋体" w:cs="Times New Roman"/>
          <w:color w:val="auto"/>
          <w:sz w:val="24"/>
          <w:szCs w:val="24"/>
          <w:highlight w:val="none"/>
          <w:lang w:val="en-US" w:eastAsia="en-US" w:bidi="ar-SA"/>
        </w:rPr>
        <w:t xml:space="preserve">IDL</w:t>
      </w:r>
      <w:r>
        <w:rPr>
          <w:rFonts w:hint="eastAsia" w:ascii="宋体" w:hAnsi="宋体" w:eastAsia="宋体" w:cs="Times New Roman"/>
          <w:color w:val="auto"/>
          <w:sz w:val="24"/>
          <w:szCs w:val="24"/>
          <w:highlight w:val="none"/>
          <w:lang w:val="en-US" w:eastAsia="zh-CN" w:bidi="ar-SA"/>
        </w:rPr>
        <w:t xml:space="preserve">（MRM）</w:t>
      </w:r>
      <w:r>
        <w:rPr>
          <w:rFonts w:hint="eastAsia" w:ascii="宋体" w:hAnsi="宋体" w:eastAsia="宋体" w:cs="Times New Roman"/>
          <w:color w:val="auto"/>
          <w:sz w:val="24"/>
          <w:szCs w:val="24"/>
          <w:highlight w:val="none"/>
          <w:lang w:val="en-US" w:eastAsia="en-US" w:bidi="ar-SA"/>
        </w:rPr>
        <w:t xml:space="preserve">小于</w:t>
      </w:r>
      <w:r>
        <w:rPr>
          <w:rFonts w:hint="eastAsia" w:ascii="宋体" w:hAnsi="宋体" w:eastAsia="宋体" w:cs="Times New Roman"/>
          <w:color w:val="auto"/>
          <w:sz w:val="24"/>
          <w:szCs w:val="24"/>
          <w:highlight w:val="none"/>
          <w:lang w:val="en-US" w:eastAsia="zh-CN" w:bidi="ar-SA"/>
        </w:rPr>
        <w:t xml:space="preserve">等于100</w:t>
      </w:r>
      <w:r>
        <w:rPr>
          <w:rFonts w:ascii="宋体" w:hAnsi="宋体" w:eastAsia="宋体" w:cs="Times New Roman"/>
          <w:color w:val="auto"/>
          <w:sz w:val="24"/>
          <w:szCs w:val="24"/>
          <w:highlight w:val="none"/>
          <w:lang w:val="en-US" w:eastAsia="en-US" w:bidi="ar-SA"/>
        </w:rPr>
        <w:t xml:space="preserve"> </w:t>
      </w:r>
      <w:r>
        <w:rPr>
          <w:rFonts w:hint="eastAsia" w:ascii="宋体" w:hAnsi="宋体" w:eastAsia="宋体" w:cs="Times New Roman"/>
          <w:color w:val="auto"/>
          <w:sz w:val="24"/>
          <w:szCs w:val="24"/>
          <w:highlight w:val="none"/>
          <w:lang w:val="en-US" w:eastAsia="en-US" w:bidi="ar-SA"/>
        </w:rPr>
        <w:t xml:space="preserve">fg</w:t>
      </w:r>
      <w:r>
        <w:rPr>
          <w:rFonts w:hint="eastAsia" w:ascii="宋体" w:hAnsi="宋体" w:eastAsia="宋体" w:cs="Times New Roman"/>
          <w:color w:val="auto"/>
          <w:sz w:val="24"/>
          <w:szCs w:val="24"/>
          <w:highlight w:val="none"/>
          <w:lang w:val="en-US" w:eastAsia="zh-CN" w:bidi="ar-SA"/>
        </w:rPr>
        <w:t xml:space="preserve">八氟萘，测试条件为</w:t>
      </w:r>
      <w:r>
        <w:rPr>
          <w:rFonts w:ascii="宋体" w:hAnsi="宋体" w:eastAsia="宋体" w:cs="Times New Roman"/>
          <w:color w:val="auto"/>
          <w:sz w:val="24"/>
          <w:szCs w:val="24"/>
          <w:highlight w:val="none"/>
          <w:lang w:val="en-US" w:eastAsia="en-US" w:bidi="ar-SA"/>
        </w:rPr>
        <w:t xml:space="preserve">1</w:t>
      </w:r>
      <w:r>
        <w:rPr>
          <w:rFonts w:hint="eastAsia" w:ascii="宋体" w:hAnsi="宋体" w:eastAsia="宋体" w:cs="Times New Roman"/>
          <w:color w:val="auto"/>
          <w:sz w:val="24"/>
          <w:szCs w:val="24"/>
          <w:highlight w:val="none"/>
          <w:lang w:val="en-US" w:eastAsia="en-US" w:bidi="ar-SA"/>
        </w:rPr>
        <w:t xml:space="preserve">u</w:t>
      </w:r>
      <w:r>
        <w:rPr>
          <w:rFonts w:ascii="宋体" w:hAnsi="宋体" w:eastAsia="宋体" w:cs="Times New Roman"/>
          <w:color w:val="auto"/>
          <w:sz w:val="24"/>
          <w:szCs w:val="24"/>
          <w:highlight w:val="none"/>
          <w:lang w:val="en-US" w:eastAsia="en-US" w:bidi="ar-SA"/>
        </w:rPr>
        <w:t xml:space="preserve">L</w:t>
      </w:r>
      <w:r>
        <w:rPr>
          <w:rFonts w:hint="eastAsia" w:ascii="宋体" w:hAnsi="宋体" w:eastAsia="宋体" w:cs="Times New Roman"/>
          <w:color w:val="auto"/>
          <w:sz w:val="24"/>
          <w:szCs w:val="24"/>
          <w:highlight w:val="none"/>
          <w:lang w:val="en-US" w:eastAsia="zh-CN" w:bidi="ar-SA"/>
        </w:rPr>
        <w:t xml:space="preserve">浓度</w:t>
      </w:r>
      <w:r>
        <w:rPr>
          <w:rFonts w:ascii="宋体" w:hAnsi="宋体" w:eastAsia="宋体" w:cs="Times New Roman"/>
          <w:color w:val="auto"/>
          <w:sz w:val="24"/>
          <w:szCs w:val="24"/>
          <w:highlight w:val="none"/>
          <w:lang w:val="en-US" w:eastAsia="en-US" w:bidi="ar-SA"/>
        </w:rPr>
        <w:t xml:space="preserve">100fg/</w:t>
      </w:r>
      <w:r>
        <w:rPr>
          <w:rFonts w:hint="eastAsia" w:ascii="宋体" w:hAnsi="宋体" w:eastAsia="宋体" w:cs="Times New Roman"/>
          <w:color w:val="auto"/>
          <w:sz w:val="24"/>
          <w:szCs w:val="24"/>
          <w:highlight w:val="none"/>
          <w:lang w:val="en-US" w:eastAsia="en-US" w:bidi="ar-SA"/>
        </w:rPr>
        <w:t xml:space="preserve">u</w:t>
      </w:r>
      <w:r>
        <w:rPr>
          <w:rFonts w:ascii="宋体" w:hAnsi="宋体" w:eastAsia="宋体" w:cs="Times New Roman"/>
          <w:color w:val="auto"/>
          <w:sz w:val="24"/>
          <w:szCs w:val="24"/>
          <w:highlight w:val="none"/>
          <w:lang w:val="en-US" w:eastAsia="en-US" w:bidi="ar-SA"/>
        </w:rPr>
        <w:t xml:space="preserve">L</w:t>
      </w:r>
      <w:r>
        <w:rPr>
          <w:rFonts w:hint="eastAsia" w:ascii="宋体" w:hAnsi="宋体" w:eastAsia="宋体" w:cs="Times New Roman"/>
          <w:color w:val="auto"/>
          <w:sz w:val="24"/>
          <w:szCs w:val="24"/>
          <w:highlight w:val="none"/>
          <w:lang w:val="en-US" w:eastAsia="en-US" w:bidi="ar-SA"/>
        </w:rPr>
        <w:t xml:space="preserve">的</w:t>
      </w:r>
      <w:r>
        <w:rPr>
          <w:rFonts w:ascii="宋体" w:hAnsi="宋体" w:eastAsia="宋体" w:cs="Times New Roman"/>
          <w:color w:val="auto"/>
          <w:sz w:val="24"/>
          <w:szCs w:val="24"/>
          <w:highlight w:val="none"/>
          <w:lang w:val="en-US" w:eastAsia="en-US" w:bidi="ar-SA"/>
        </w:rPr>
        <w:t xml:space="preserve">OFN</w:t>
      </w:r>
      <w:r>
        <w:rPr>
          <w:rFonts w:hint="eastAsia" w:ascii="宋体" w:hAnsi="宋体" w:eastAsia="宋体" w:cs="Times New Roman"/>
          <w:color w:val="auto"/>
          <w:sz w:val="24"/>
          <w:szCs w:val="24"/>
          <w:highlight w:val="none"/>
          <w:lang w:val="en-US" w:eastAsia="en-US" w:bidi="ar-SA"/>
        </w:rPr>
        <w:t xml:space="preserve">（</w:t>
      </w:r>
      <w:r>
        <w:rPr>
          <w:rFonts w:ascii="宋体" w:hAnsi="宋体" w:eastAsia="宋体" w:cs="Times New Roman"/>
          <w:color w:val="auto"/>
          <w:sz w:val="24"/>
          <w:szCs w:val="24"/>
          <w:highlight w:val="none"/>
          <w:lang w:val="en-US" w:eastAsia="en-US" w:bidi="ar-SA"/>
        </w:rPr>
        <w:t xml:space="preserve">m/z 271.9867 </w:t>
      </w:r>
      <w:r>
        <w:rPr>
          <w:rFonts w:hint="eastAsia" w:ascii="宋体" w:hAnsi="宋体" w:eastAsia="宋体" w:cs="Times New Roman"/>
          <w:color w:val="auto"/>
          <w:sz w:val="24"/>
          <w:szCs w:val="24"/>
          <w:highlight w:val="none"/>
          <w:lang w:val="en-US" w:eastAsia="en-US" w:bidi="ar-SA"/>
        </w:rPr>
        <w:t xml:space="preserve">处）八次连续不分流进样所得峰面积 RSD</w:t>
      </w:r>
      <w:r>
        <w:rPr>
          <w:rFonts w:ascii="宋体" w:hAnsi="宋体" w:eastAsia="宋体" w:cs="Times New Roman"/>
          <w:color w:val="auto"/>
          <w:sz w:val="24"/>
          <w:szCs w:val="24"/>
          <w:highlight w:val="none"/>
          <w:lang w:val="en-US" w:eastAsia="en-US" w:bidi="ar-SA"/>
        </w:rPr>
        <w:t xml:space="preserve">&lt;8% </w:t>
      </w:r>
      <w:r>
        <w:rPr>
          <w:rFonts w:hint="eastAsia" w:ascii="宋体" w:hAnsi="宋体" w:eastAsia="宋体" w:cs="Times New Roman"/>
          <w:color w:val="auto"/>
          <w:sz w:val="24"/>
          <w:szCs w:val="24"/>
          <w:highlight w:val="none"/>
          <w:lang w:val="en-US" w:eastAsia="en-US" w:bidi="ar-SA"/>
        </w:rPr>
        <w:t xml:space="preserve">在</w:t>
      </w:r>
      <w:r>
        <w:rPr>
          <w:rFonts w:ascii="宋体" w:hAnsi="宋体" w:eastAsia="宋体" w:cs="Times New Roman"/>
          <w:color w:val="auto"/>
          <w:sz w:val="24"/>
          <w:szCs w:val="24"/>
          <w:highlight w:val="none"/>
          <w:lang w:val="en-US" w:eastAsia="en-US" w:bidi="ar-SA"/>
        </w:rPr>
        <w:t xml:space="preserve">99%</w:t>
      </w:r>
      <w:r>
        <w:rPr>
          <w:rFonts w:hint="eastAsia" w:ascii="宋体" w:hAnsi="宋体" w:eastAsia="宋体" w:cs="Times New Roman"/>
          <w:color w:val="auto"/>
          <w:sz w:val="24"/>
          <w:szCs w:val="24"/>
          <w:highlight w:val="none"/>
          <w:lang w:val="en-US" w:eastAsia="en-US" w:bidi="ar-SA"/>
        </w:rPr>
        <w:t xml:space="preserve">置信水平下统计得出</w:t>
      </w:r>
      <w:r>
        <w:rPr>
          <w:rFonts w:hint="eastAsia" w:ascii="宋体" w:hAnsi="宋体" w:eastAsia="宋体" w:cs="Times New Roman"/>
          <w:color w:val="auto"/>
          <w:sz w:val="24"/>
          <w:szCs w:val="24"/>
          <w:highlight w:val="none"/>
          <w:lang w:val="en-US" w:eastAsia="zh-CN" w:bidi="ar-SA"/>
        </w:rPr>
        <w:t xml:space="preserve">，且</w:t>
      </w:r>
      <w:r>
        <w:rPr>
          <w:rFonts w:hint="eastAsia" w:ascii="宋体" w:hAnsi="宋体" w:eastAsia="宋体" w:cs="Times New Roman"/>
          <w:color w:val="auto"/>
          <w:sz w:val="24"/>
          <w:szCs w:val="24"/>
          <w:highlight w:val="none"/>
          <w:lang w:val="en-US" w:eastAsia="en-US" w:bidi="ar-SA"/>
        </w:rPr>
        <w:t xml:space="preserve">色谱柱</w:t>
      </w:r>
      <w:r>
        <w:rPr>
          <w:rFonts w:hint="eastAsia" w:ascii="宋体" w:hAnsi="宋体" w:eastAsia="宋体" w:cs="Times New Roman"/>
          <w:color w:val="auto"/>
          <w:sz w:val="24"/>
          <w:szCs w:val="24"/>
          <w:highlight w:val="none"/>
          <w:lang w:val="en-US" w:eastAsia="zh-CN" w:bidi="ar-SA"/>
        </w:rPr>
        <w:t xml:space="preserve">采用</w:t>
      </w:r>
      <w:r>
        <w:rPr>
          <w:rFonts w:hint="eastAsia" w:ascii="宋体" w:hAnsi="宋体" w:eastAsia="宋体" w:cs="Times New Roman"/>
          <w:color w:val="auto"/>
          <w:sz w:val="24"/>
          <w:szCs w:val="24"/>
          <w:highlight w:val="none"/>
          <w:lang w:val="en-US" w:eastAsia="en-US" w:bidi="ar-SA"/>
        </w:rPr>
        <w:t xml:space="preserve">3</w:t>
      </w:r>
      <w:r>
        <w:rPr>
          <w:rFonts w:ascii="宋体" w:hAnsi="宋体" w:eastAsia="宋体" w:cs="Times New Roman"/>
          <w:color w:val="auto"/>
          <w:sz w:val="24"/>
          <w:szCs w:val="24"/>
          <w:highlight w:val="none"/>
          <w:lang w:val="en-US" w:eastAsia="en-US" w:bidi="ar-SA"/>
        </w:rPr>
        <w:t xml:space="preserve">0</w:t>
      </w:r>
      <w:r>
        <w:rPr>
          <w:rFonts w:hint="eastAsia" w:ascii="宋体" w:hAnsi="宋体" w:eastAsia="宋体" w:cs="Times New Roman"/>
          <w:color w:val="auto"/>
          <w:sz w:val="24"/>
          <w:szCs w:val="24"/>
          <w:highlight w:val="none"/>
          <w:lang w:val="en-US" w:eastAsia="en-US" w:bidi="ar-SA"/>
        </w:rPr>
        <w:t xml:space="preserve">m</w:t>
      </w:r>
      <w:r>
        <w:rPr>
          <w:rFonts w:ascii="宋体" w:hAnsi="宋体" w:eastAsia="宋体" w:cs="Times New Roman"/>
          <w:color w:val="auto"/>
          <w:sz w:val="24"/>
          <w:szCs w:val="24"/>
          <w:highlight w:val="none"/>
          <w:lang w:val="en-US" w:eastAsia="en-US" w:bidi="ar-SA"/>
        </w:rPr>
        <w:t xml:space="preserve">*0.25</w:t>
      </w:r>
      <w:r>
        <w:rPr>
          <w:rFonts w:hint="eastAsia" w:ascii="宋体" w:hAnsi="宋体" w:eastAsia="宋体" w:cs="Times New Roman"/>
          <w:color w:val="auto"/>
          <w:sz w:val="24"/>
          <w:szCs w:val="24"/>
          <w:highlight w:val="none"/>
          <w:lang w:val="en-US" w:eastAsia="en-US" w:bidi="ar-SA"/>
        </w:rPr>
        <w:t xml:space="preserve">mm</w:t>
      </w:r>
      <w:r>
        <w:rPr>
          <w:rFonts w:ascii="宋体" w:hAnsi="宋体" w:eastAsia="宋体" w:cs="Times New Roman"/>
          <w:color w:val="auto"/>
          <w:sz w:val="24"/>
          <w:szCs w:val="24"/>
          <w:highlight w:val="none"/>
          <w:lang w:val="en-US" w:eastAsia="en-US" w:bidi="ar-SA"/>
        </w:rPr>
        <w:t xml:space="preserve">*0.25</w:t>
      </w:r>
      <w:r>
        <w:rPr>
          <w:rFonts w:hint="eastAsia" w:ascii="宋体" w:hAnsi="宋体" w:eastAsia="宋体" w:cs="Times New Roman"/>
          <w:color w:val="auto"/>
          <w:sz w:val="24"/>
          <w:szCs w:val="24"/>
          <w:highlight w:val="none"/>
          <w:lang w:val="en-US" w:eastAsia="en-US" w:bidi="ar-SA"/>
        </w:rPr>
        <w:t xml:space="preserve">um</w:t>
      </w:r>
      <w:r>
        <w:rPr>
          <w:rFonts w:hint="eastAsia" w:ascii="宋体" w:hAnsi="宋体" w:eastAsia="宋体" w:cs="Times New Roman"/>
          <w:color w:val="auto"/>
          <w:sz w:val="24"/>
          <w:szCs w:val="24"/>
          <w:highlight w:val="none"/>
          <w:lang w:val="en-US" w:eastAsia="zh-CN" w:bidi="ar-SA"/>
        </w:rPr>
        <w:t xml:space="preserve">规格；▲</w:t>
      </w:r>
      <w:r>
        <w:rPr>
          <w:rFonts w:hint="eastAsia" w:ascii="宋体" w:hAnsi="宋体" w:eastAsia="宋体" w:cs="Times New Roman"/>
          <w:color w:val="auto"/>
          <w:sz w:val="24"/>
          <w:szCs w:val="24"/>
          <w:highlight w:val="none"/>
          <w:lang w:val="en-US" w:eastAsia="zh-CN" w:bidi="ar-SA"/>
        </w:rPr>
        <w:t xml:space="preserve">相同测试条件下检测限</w:t>
      </w:r>
      <w:r>
        <w:rPr>
          <w:rFonts w:ascii="宋体" w:hAnsi="宋体" w:eastAsia="宋体" w:cs="Times New Roman"/>
          <w:color w:val="auto"/>
          <w:sz w:val="24"/>
          <w:szCs w:val="24"/>
          <w:highlight w:val="none"/>
          <w:lang w:val="en-US" w:eastAsia="en-US" w:bidi="ar-SA"/>
        </w:rPr>
        <w:t xml:space="preserve">IDL</w:t>
      </w:r>
      <w:r>
        <w:rPr>
          <w:rFonts w:hint="eastAsia" w:ascii="宋体" w:hAnsi="宋体" w:eastAsia="宋体" w:cs="Times New Roman"/>
          <w:color w:val="auto"/>
          <w:sz w:val="24"/>
          <w:szCs w:val="24"/>
          <w:highlight w:val="none"/>
          <w:lang w:val="en-US" w:eastAsia="zh-CN" w:bidi="ar-SA"/>
        </w:rPr>
        <w:t xml:space="preserve">（MRM）</w:t>
      </w:r>
      <w:r>
        <w:rPr>
          <w:rFonts w:hint="eastAsia" w:ascii="宋体" w:hAnsi="宋体" w:eastAsia="宋体" w:cs="Times New Roman"/>
          <w:color w:val="auto"/>
          <w:sz w:val="24"/>
          <w:szCs w:val="24"/>
          <w:highlight w:val="none"/>
          <w:lang w:val="en-US" w:eastAsia="en-US" w:bidi="ar-SA"/>
        </w:rPr>
        <w:t xml:space="preserve">小于</w:t>
      </w:r>
      <w:r>
        <w:rPr>
          <w:rFonts w:hint="eastAsia" w:ascii="宋体" w:hAnsi="宋体" w:eastAsia="宋体" w:cs="Times New Roman"/>
          <w:color w:val="auto"/>
          <w:sz w:val="24"/>
          <w:szCs w:val="24"/>
          <w:highlight w:val="none"/>
          <w:lang w:val="en-US" w:eastAsia="zh-CN" w:bidi="ar-SA"/>
        </w:rPr>
        <w:t xml:space="preserve">等于60</w:t>
      </w:r>
      <w:r>
        <w:rPr>
          <w:rFonts w:ascii="宋体" w:hAnsi="宋体" w:eastAsia="宋体" w:cs="Times New Roman"/>
          <w:color w:val="auto"/>
          <w:sz w:val="24"/>
          <w:szCs w:val="24"/>
          <w:highlight w:val="none"/>
          <w:lang w:val="en-US" w:eastAsia="en-US" w:bidi="ar-SA"/>
        </w:rPr>
        <w:t xml:space="preserve"> </w:t>
      </w:r>
      <w:r>
        <w:rPr>
          <w:rFonts w:hint="eastAsia" w:ascii="宋体" w:hAnsi="宋体" w:eastAsia="宋体" w:cs="Times New Roman"/>
          <w:color w:val="auto"/>
          <w:sz w:val="24"/>
          <w:szCs w:val="24"/>
          <w:highlight w:val="none"/>
          <w:lang w:val="en-US" w:eastAsia="en-US" w:bidi="ar-SA"/>
        </w:rPr>
        <w:t xml:space="preserve">fg</w:t>
      </w:r>
      <w:r>
        <w:rPr>
          <w:rFonts w:hint="eastAsia" w:ascii="宋体" w:hAnsi="宋体" w:eastAsia="宋体" w:cs="Times New Roman"/>
          <w:color w:val="auto"/>
          <w:sz w:val="24"/>
          <w:szCs w:val="24"/>
          <w:highlight w:val="none"/>
          <w:lang w:val="en-US" w:eastAsia="zh-CN" w:bidi="ar-SA"/>
        </w:rPr>
        <w:t xml:space="preserve">八氟萘</w:t>
      </w:r>
      <w:r>
        <w:rPr>
          <w:rFonts w:hint="eastAsia" w:ascii="宋体" w:hAnsi="宋体" w:eastAsia="宋体" w:cs="Times New Roman"/>
          <w:color w:val="auto"/>
          <w:sz w:val="24"/>
          <w:szCs w:val="24"/>
          <w:highlight w:val="none"/>
          <w:lang w:val="en-US" w:eastAsia="en-US" w:bidi="ar-SA"/>
        </w:rPr>
        <w:t xml:space="preserve">。</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2.3.7★</w:t>
      </w:r>
      <w:r>
        <w:rPr>
          <w:rFonts w:hint="eastAsia" w:ascii="宋体" w:hAnsi="宋体" w:eastAsia="宋体" w:cs="Times New Roman"/>
          <w:color w:val="auto"/>
          <w:sz w:val="24"/>
          <w:szCs w:val="24"/>
          <w:highlight w:val="none"/>
          <w:lang w:val="en-US" w:eastAsia="zh-CN" w:bidi="ar-SA"/>
        </w:rPr>
        <w:t xml:space="preserve">分辨率不低于20000FWHM@271.9867 m/z；▲</w:t>
      </w:r>
      <w:r>
        <w:rPr>
          <w:rFonts w:ascii="宋体" w:hAnsi="宋体" w:eastAsia="宋体" w:cs="Times New Roman"/>
          <w:color w:val="auto"/>
          <w:sz w:val="24"/>
          <w:szCs w:val="24"/>
          <w:highlight w:val="none"/>
          <w:lang w:val="en-US" w:eastAsia="en-US" w:bidi="ar-SA"/>
        </w:rPr>
        <w:t xml:space="preserve">分辨率</w:t>
      </w:r>
      <w:r>
        <w:rPr>
          <w:rFonts w:hint="eastAsia" w:ascii="宋体" w:hAnsi="宋体" w:eastAsia="宋体" w:cs="Times New Roman"/>
          <w:color w:val="auto"/>
          <w:sz w:val="24"/>
          <w:szCs w:val="24"/>
          <w:highlight w:val="none"/>
          <w:lang w:val="en-US" w:eastAsia="zh-CN" w:bidi="ar-SA"/>
        </w:rPr>
        <w:t xml:space="preserve">不低于</w:t>
      </w:r>
      <w:r>
        <w:rPr>
          <w:rFonts w:ascii="宋体" w:hAnsi="宋体" w:eastAsia="宋体" w:cs="Times New Roman"/>
          <w:color w:val="auto"/>
          <w:sz w:val="24"/>
          <w:szCs w:val="24"/>
          <w:highlight w:val="none"/>
          <w:lang w:val="en-US" w:eastAsia="en-US" w:bidi="ar-SA"/>
        </w:rPr>
        <w:t xml:space="preserve">2</w:t>
      </w:r>
      <w:r>
        <w:rPr>
          <w:rFonts w:hint="eastAsia" w:ascii="宋体" w:hAnsi="宋体" w:eastAsia="宋体" w:cs="Times New Roman"/>
          <w:color w:val="auto"/>
          <w:sz w:val="24"/>
          <w:szCs w:val="24"/>
          <w:highlight w:val="none"/>
          <w:lang w:val="en-US" w:eastAsia="zh-CN" w:bidi="ar-SA"/>
        </w:rPr>
        <w:t xml:space="preserve">5</w:t>
      </w:r>
      <w:r>
        <w:rPr>
          <w:rFonts w:ascii="宋体" w:hAnsi="宋体" w:eastAsia="宋体" w:cs="Times New Roman"/>
          <w:color w:val="auto"/>
          <w:sz w:val="24"/>
          <w:szCs w:val="24"/>
          <w:highlight w:val="none"/>
          <w:lang w:val="en-US" w:eastAsia="en-US" w:bidi="ar-SA"/>
        </w:rPr>
        <w:t xml:space="preserve">000</w:t>
      </w:r>
      <w:r>
        <w:rPr>
          <w:rFonts w:hint="eastAsia" w:ascii="宋体" w:hAnsi="宋体" w:eastAsia="宋体" w:cs="Times New Roman"/>
          <w:color w:val="auto"/>
          <w:sz w:val="24"/>
          <w:szCs w:val="24"/>
          <w:highlight w:val="none"/>
          <w:lang w:val="en-US" w:eastAsia="zh-CN" w:bidi="ar-SA"/>
        </w:rPr>
        <w:t xml:space="preserve">FWHM@271.9867 m/z</w:t>
      </w:r>
      <w:r>
        <w:rPr>
          <w:rFonts w:hint="eastAsia" w:ascii="宋体" w:hAnsi="宋体" w:eastAsia="宋体" w:cs="Times New Roman"/>
          <w:color w:val="auto"/>
          <w:sz w:val="24"/>
          <w:szCs w:val="24"/>
          <w:highlight w:val="none"/>
          <w:lang w:val="en-US" w:eastAsia="zh-CN" w:bidi="ar-SA"/>
        </w:rPr>
        <w:t xml:space="preserve">。（提供官方技术说明书作为证明材料）</w:t>
      </w:r>
      <w:r/>
    </w:p>
    <w:p>
      <w:pPr>
        <w:ind w:lef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2.3.8★</w:t>
      </w:r>
      <w:r>
        <w:rPr>
          <w:rFonts w:hint="default" w:ascii="宋体" w:hAnsi="宋体" w:eastAsia="宋体" w:cs="Times New Roman"/>
          <w:color w:val="auto"/>
          <w:sz w:val="24"/>
          <w:szCs w:val="24"/>
          <w:highlight w:val="none"/>
          <w:lang w:val="en-US" w:eastAsia="zh-CN" w:bidi="ar-SA"/>
        </w:rPr>
        <w:t xml:space="preserve">采集速率</w:t>
      </w:r>
      <w:r>
        <w:rPr>
          <w:rFonts w:hint="eastAsia" w:ascii="宋体" w:hAnsi="宋体" w:eastAsia="宋体" w:cs="Times New Roman"/>
          <w:color w:val="auto"/>
          <w:sz w:val="24"/>
          <w:szCs w:val="24"/>
          <w:highlight w:val="none"/>
          <w:lang w:val="en-US" w:eastAsia="zh-CN" w:bidi="ar-SA"/>
        </w:rPr>
        <w:t xml:space="preserve">范围覆盖1～</w:t>
      </w:r>
      <w:r>
        <w:rPr>
          <w:rFonts w:hint="default" w:ascii="宋体" w:hAnsi="宋体" w:eastAsia="宋体" w:cs="Times New Roman"/>
          <w:color w:val="auto"/>
          <w:sz w:val="24"/>
          <w:szCs w:val="24"/>
          <w:highlight w:val="none"/>
          <w:lang w:val="en-US" w:eastAsia="zh-CN" w:bidi="ar-SA"/>
        </w:rPr>
        <w:t xml:space="preserve">50谱图/秒</w:t>
      </w:r>
      <w:r>
        <w:rPr>
          <w:rFonts w:hint="eastAsia" w:ascii="宋体" w:hAnsi="宋体" w:eastAsia="宋体" w:cs="Times New Roman"/>
          <w:color w:val="auto"/>
          <w:sz w:val="24"/>
          <w:szCs w:val="24"/>
          <w:highlight w:val="none"/>
          <w:lang w:val="en-US" w:eastAsia="zh-CN" w:bidi="ar-SA"/>
        </w:rPr>
        <w:t xml:space="preserve">，且与分辨率无关。</w:t>
      </w:r>
      <w:r>
        <w:rPr>
          <w:rFonts w:hint="default" w:ascii="宋体" w:hAnsi="宋体" w:eastAsia="宋体" w:cs="Times New Roman"/>
          <w:color w:val="auto"/>
          <w:sz w:val="24"/>
          <w:szCs w:val="24"/>
          <w:highlight w:val="none"/>
          <w:lang w:val="en-US" w:eastAsia="zh-CN" w:bidi="ar-SA"/>
        </w:rPr>
        <w:t xml:space="preserve">（提供</w:t>
      </w:r>
      <w:r>
        <w:rPr>
          <w:rFonts w:hint="eastAsia" w:ascii="宋体" w:hAnsi="宋体" w:eastAsia="宋体" w:cs="Times New Roman"/>
          <w:color w:val="auto"/>
          <w:sz w:val="24"/>
          <w:szCs w:val="24"/>
          <w:highlight w:val="none"/>
          <w:lang w:val="en-US" w:eastAsia="zh-CN" w:bidi="ar-SA"/>
        </w:rPr>
        <w:t xml:space="preserve">产品彩页或正式技术说明书或官网介绍网址等证明材料</w:t>
      </w:r>
      <w:r>
        <w:rPr>
          <w:rFonts w:hint="default" w:ascii="宋体" w:hAnsi="宋体" w:eastAsia="宋体" w:cs="Times New Roman"/>
          <w:color w:val="auto"/>
          <w:sz w:val="24"/>
          <w:szCs w:val="24"/>
          <w:highlight w:val="none"/>
          <w:lang w:val="en-US" w:eastAsia="zh-CN" w:bidi="ar-SA"/>
        </w:rPr>
        <w:t xml:space="preserve">）。</w:t>
      </w:r>
      <w:r/>
    </w:p>
    <w:p>
      <w:pPr>
        <w:numPr>
          <w:ilvl w:val="0"/>
          <w:numId w:val="0"/>
        </w:numPr>
        <w:contextualSpacing/>
        <w:ind w:lef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2.3.9★</w:t>
      </w:r>
      <w:r>
        <w:rPr>
          <w:rFonts w:hint="eastAsia" w:ascii="宋体" w:hAnsi="宋体" w:eastAsia="宋体" w:cs="Times New Roman"/>
          <w:color w:val="auto"/>
          <w:sz w:val="24"/>
          <w:szCs w:val="24"/>
          <w:highlight w:val="none"/>
          <w:lang w:val="en-US" w:eastAsia="en-US" w:bidi="ar-SA"/>
        </w:rPr>
        <w:t xml:space="preserve">谱内动态</w:t>
      </w:r>
      <w:r>
        <w:rPr>
          <w:rFonts w:ascii="宋体" w:hAnsi="宋体" w:eastAsia="宋体" w:cs="Times New Roman"/>
          <w:color w:val="auto"/>
          <w:sz w:val="24"/>
          <w:szCs w:val="24"/>
          <w:highlight w:val="none"/>
          <w:lang w:val="en-US" w:eastAsia="en-US" w:bidi="ar-SA"/>
        </w:rPr>
        <w:t xml:space="preserve">范围</w:t>
      </w:r>
      <w:r>
        <w:rPr>
          <w:rFonts w:hint="eastAsia" w:ascii="宋体" w:hAnsi="宋体" w:eastAsia="宋体" w:cs="Times New Roman"/>
          <w:color w:val="auto"/>
          <w:sz w:val="24"/>
          <w:szCs w:val="24"/>
          <w:highlight w:val="none"/>
          <w:lang w:val="en-US" w:eastAsia="zh-CN" w:bidi="ar-SA"/>
        </w:rPr>
        <w:t xml:space="preserve">不小于</w:t>
      </w:r>
      <w:r>
        <w:rPr>
          <w:rFonts w:hint="eastAsia" w:ascii="宋体" w:hAnsi="宋体" w:eastAsia="宋体" w:cs="Times New Roman"/>
          <w:color w:val="auto"/>
          <w:sz w:val="24"/>
          <w:szCs w:val="24"/>
          <w:highlight w:val="none"/>
          <w:lang w:val="en-US" w:eastAsia="en-US" w:bidi="ar-SA"/>
        </w:rPr>
        <w:t xml:space="preserve">4</w:t>
      </w:r>
      <w:r>
        <w:rPr>
          <w:rFonts w:ascii="宋体" w:hAnsi="宋体" w:eastAsia="宋体" w:cs="Times New Roman"/>
          <w:color w:val="auto"/>
          <w:sz w:val="24"/>
          <w:szCs w:val="24"/>
          <w:highlight w:val="none"/>
          <w:lang w:val="en-US" w:eastAsia="en-US" w:bidi="ar-SA"/>
        </w:rPr>
        <w:t xml:space="preserve">个数量级</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en-US" w:bidi="ar-SA"/>
        </w:rPr>
        <w:t xml:space="preserve">谱内动态</w:t>
      </w:r>
      <w:r>
        <w:rPr>
          <w:rFonts w:ascii="宋体" w:hAnsi="宋体" w:eastAsia="宋体" w:cs="Times New Roman"/>
          <w:color w:val="auto"/>
          <w:sz w:val="24"/>
          <w:szCs w:val="24"/>
          <w:highlight w:val="none"/>
          <w:lang w:val="en-US" w:eastAsia="en-US" w:bidi="ar-SA"/>
        </w:rPr>
        <w:t xml:space="preserve">范围</w:t>
      </w:r>
      <w:r>
        <w:rPr>
          <w:rFonts w:hint="eastAsia" w:ascii="宋体" w:hAnsi="宋体" w:eastAsia="宋体" w:cs="Times New Roman"/>
          <w:color w:val="auto"/>
          <w:sz w:val="24"/>
          <w:szCs w:val="24"/>
          <w:highlight w:val="none"/>
          <w:lang w:val="en-US" w:eastAsia="zh-CN" w:bidi="ar-SA"/>
        </w:rPr>
        <w:t xml:space="preserve">不小于</w:t>
      </w:r>
      <w:r>
        <w:rPr>
          <w:rFonts w:hint="eastAsia" w:ascii="宋体" w:hAnsi="宋体" w:eastAsia="宋体" w:cs="Times New Roman"/>
          <w:color w:val="auto"/>
          <w:sz w:val="24"/>
          <w:szCs w:val="24"/>
          <w:highlight w:val="none"/>
          <w:lang w:val="en-US" w:eastAsia="en-US" w:bidi="ar-SA"/>
        </w:rPr>
        <w:t xml:space="preserve">5</w:t>
      </w:r>
      <w:r>
        <w:rPr>
          <w:rFonts w:ascii="宋体" w:hAnsi="宋体" w:eastAsia="宋体" w:cs="Times New Roman"/>
          <w:color w:val="auto"/>
          <w:sz w:val="24"/>
          <w:szCs w:val="24"/>
          <w:highlight w:val="none"/>
          <w:lang w:val="en-US" w:eastAsia="en-US" w:bidi="ar-SA"/>
        </w:rPr>
        <w:t xml:space="preserve">个数量级</w:t>
      </w:r>
      <w:r>
        <w:rPr>
          <w:rFonts w:hint="eastAsia" w:ascii="宋体" w:hAnsi="宋体" w:eastAsia="宋体" w:cs="Times New Roman"/>
          <w:color w:val="auto"/>
          <w:sz w:val="24"/>
          <w:szCs w:val="24"/>
          <w:highlight w:val="none"/>
          <w:lang w:val="en-US" w:eastAsia="zh-CN" w:bidi="ar-SA"/>
        </w:rPr>
        <w:t xml:space="preserve">。</w:t>
      </w:r>
      <w:r/>
    </w:p>
    <w:p>
      <w:pPr>
        <w:numPr>
          <w:ilvl w:val="0"/>
          <w:numId w:val="0"/>
        </w:numPr>
        <w:contextualSpacing/>
        <w:ind w:left="0" w:firstLine="480"/>
        <w:jc w:val="left"/>
        <w:keepLines w:val="0"/>
        <w:keepNext w:val="0"/>
        <w:pageBreakBefore w:val="0"/>
        <w:spacing w:line="360" w:lineRule="auto"/>
        <w:widowControl/>
        <w:rPr>
          <w:rFonts w:ascii="宋体" w:hAnsi="宋体" w:eastAsia="宋体" w:cs="Times New Roman"/>
          <w:color w:val="auto"/>
          <w:sz w:val="24"/>
          <w:szCs w:val="24"/>
          <w:highlight w:val="none"/>
          <w:lang w:val="en-US" w:eastAsia="en-US" w:bidi="ar-SA"/>
        </w:rPr>
      </w:pPr>
      <w:r>
        <w:rPr>
          <w:rFonts w:hint="eastAsia" w:ascii="宋体" w:hAnsi="宋体" w:eastAsia="宋体" w:cs="Times New Roman"/>
          <w:color w:val="auto"/>
          <w:sz w:val="24"/>
          <w:szCs w:val="24"/>
          <w:highlight w:val="none"/>
          <w:lang w:val="en-US" w:eastAsia="zh-CN" w:bidi="ar-SA"/>
        </w:rPr>
        <w:t xml:space="preserve">2.3.10</w:t>
      </w:r>
      <w:r>
        <w:rPr>
          <w:rFonts w:ascii="宋体" w:hAnsi="宋体" w:eastAsia="宋体" w:cs="Times New Roman"/>
          <w:color w:val="auto"/>
          <w:sz w:val="24"/>
          <w:szCs w:val="24"/>
          <w:highlight w:val="none"/>
          <w:lang w:val="en-US" w:eastAsia="en-US" w:bidi="ar-SA"/>
        </w:rPr>
        <w:t xml:space="preserve">离子源</w:t>
      </w:r>
      <w:r>
        <w:rPr>
          <w:rFonts w:hint="eastAsia" w:ascii="宋体" w:hAnsi="宋体" w:eastAsia="宋体" w:cs="Times New Roman"/>
          <w:color w:val="auto"/>
          <w:sz w:val="24"/>
          <w:szCs w:val="24"/>
          <w:highlight w:val="none"/>
          <w:lang w:val="en-US" w:eastAsia="zh-CN" w:bidi="ar-SA"/>
        </w:rPr>
        <w:t xml:space="preserve">采用</w:t>
      </w:r>
      <w:r>
        <w:rPr>
          <w:rFonts w:ascii="宋体" w:hAnsi="宋体" w:eastAsia="宋体" w:cs="Times New Roman"/>
          <w:color w:val="auto"/>
          <w:sz w:val="24"/>
          <w:szCs w:val="24"/>
          <w:highlight w:val="none"/>
          <w:lang w:val="en-US" w:eastAsia="en-US" w:bidi="ar-SA"/>
        </w:rPr>
        <w:t xml:space="preserve">多功能高效电子轰击源</w:t>
      </w:r>
      <w:r>
        <w:rPr>
          <w:rFonts w:hint="eastAsia" w:ascii="宋体" w:hAnsi="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en-US" w:bidi="ar-SA"/>
        </w:rPr>
        <w:t xml:space="preserve">EI源</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en-US" w:bidi="ar-SA"/>
        </w:rPr>
        <w:t xml:space="preserve">（提供</w:t>
      </w:r>
      <w:r>
        <w:rPr>
          <w:rFonts w:hint="eastAsia" w:ascii="宋体" w:hAnsi="宋体" w:eastAsia="宋体" w:cs="Times New Roman"/>
          <w:color w:val="auto"/>
          <w:sz w:val="24"/>
          <w:szCs w:val="24"/>
          <w:highlight w:val="none"/>
          <w:lang w:val="en-US" w:eastAsia="zh-CN" w:bidi="ar-SA"/>
        </w:rPr>
        <w:t xml:space="preserve">软件截图等</w:t>
      </w:r>
      <w:r>
        <w:rPr>
          <w:rFonts w:ascii="宋体" w:hAnsi="宋体" w:eastAsia="宋体" w:cs="Times New Roman"/>
          <w:color w:val="auto"/>
          <w:sz w:val="24"/>
          <w:szCs w:val="24"/>
          <w:highlight w:val="none"/>
          <w:lang w:val="en-US" w:eastAsia="en-US" w:bidi="ar-SA"/>
        </w:rPr>
        <w:t xml:space="preserve">证明</w:t>
      </w:r>
      <w:r>
        <w:rPr>
          <w:rFonts w:hint="eastAsia" w:ascii="宋体" w:hAnsi="宋体" w:eastAsia="宋体" w:cs="Times New Roman"/>
          <w:color w:val="auto"/>
          <w:sz w:val="24"/>
          <w:szCs w:val="24"/>
          <w:highlight w:val="none"/>
          <w:lang w:val="en-US" w:eastAsia="zh-CN" w:bidi="ar-SA"/>
        </w:rPr>
        <w:t xml:space="preserve">材料</w:t>
      </w:r>
      <w:r>
        <w:rPr>
          <w:rFonts w:ascii="宋体" w:hAnsi="宋体" w:eastAsia="宋体" w:cs="Times New Roman"/>
          <w:color w:val="auto"/>
          <w:sz w:val="24"/>
          <w:szCs w:val="24"/>
          <w:highlight w:val="none"/>
          <w:lang w:val="en-US" w:eastAsia="en-US" w:bidi="ar-SA"/>
        </w:rPr>
        <w:t xml:space="preserve">）。</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2.3.11离子源的离子化能量范围覆盖5～200eV且连续可调。</w:t>
      </w:r>
      <w:r/>
    </w:p>
    <w:p>
      <w:pPr>
        <w:numPr>
          <w:ilvl w:val="0"/>
          <w:numId w:val="0"/>
        </w:numPr>
        <w:contextualSpacing/>
        <w:ind w:left="0" w:firstLine="482"/>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ascii="宋体" w:hAnsi="宋体" w:eastAsia="宋体" w:cs="Times New Roman"/>
          <w:b/>
          <w:color w:val="auto"/>
          <w:sz w:val="24"/>
          <w:szCs w:val="24"/>
          <w:highlight w:val="none"/>
          <w:lang w:val="en-US" w:eastAsia="en-US" w:bidi="ar-SA"/>
        </w:rPr>
        <w:t xml:space="preserve">2.</w:t>
      </w:r>
      <w:r>
        <w:rPr>
          <w:rFonts w:hint="eastAsia" w:ascii="宋体" w:hAnsi="宋体" w:eastAsia="宋体" w:cs="Times New Roman"/>
          <w:b/>
          <w:color w:val="auto"/>
          <w:sz w:val="24"/>
          <w:szCs w:val="24"/>
          <w:highlight w:val="none"/>
          <w:lang w:val="en-US" w:eastAsia="zh-CN" w:bidi="ar-SA"/>
        </w:rPr>
        <w:t xml:space="preserve">4</w:t>
      </w:r>
      <w:r>
        <w:rPr>
          <w:rFonts w:ascii="宋体" w:hAnsi="宋体" w:eastAsia="宋体" w:cs="Times New Roman"/>
          <w:b/>
          <w:color w:val="auto"/>
          <w:sz w:val="24"/>
          <w:szCs w:val="24"/>
          <w:highlight w:val="none"/>
          <w:lang w:val="en-US" w:eastAsia="en-US" w:bidi="ar-SA"/>
        </w:rPr>
        <w:t xml:space="preserve"> </w:t>
      </w:r>
      <w:r>
        <w:rPr>
          <w:rFonts w:hint="eastAsia" w:ascii="宋体" w:hAnsi="宋体" w:eastAsia="宋体" w:cs="Times New Roman"/>
          <w:color w:val="auto"/>
          <w:sz w:val="24"/>
          <w:szCs w:val="24"/>
          <w:highlight w:val="none"/>
          <w:lang w:val="en-US" w:eastAsia="en-US" w:bidi="ar-SA"/>
        </w:rPr>
        <w:t xml:space="preserve">多功能自动进样</w:t>
      </w:r>
      <w:r>
        <w:rPr>
          <w:rFonts w:hint="eastAsia" w:ascii="宋体" w:hAnsi="宋体" w:eastAsia="宋体" w:cs="Times New Roman"/>
          <w:color w:val="auto"/>
          <w:sz w:val="24"/>
          <w:szCs w:val="24"/>
          <w:highlight w:val="none"/>
          <w:lang w:val="en-US" w:eastAsia="zh-CN" w:bidi="ar-SA"/>
        </w:rPr>
        <w:t xml:space="preserve">器</w:t>
      </w:r>
      <w:r/>
    </w:p>
    <w:p>
      <w:pPr>
        <w:numPr>
          <w:ilvl w:val="0"/>
          <w:numId w:val="0"/>
        </w:numPr>
        <w:contextualSpacing/>
        <w:ind w:lef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2.4.1★具备</w:t>
      </w:r>
      <w:r>
        <w:rPr>
          <w:rFonts w:ascii="宋体" w:hAnsi="宋体" w:eastAsia="宋体" w:cs="Times New Roman"/>
          <w:color w:val="auto"/>
          <w:sz w:val="24"/>
          <w:szCs w:val="24"/>
          <w:highlight w:val="none"/>
          <w:lang w:val="en-US" w:eastAsia="en-US" w:bidi="ar-SA"/>
        </w:rPr>
        <w:t xml:space="preserve">液体进样</w:t>
      </w:r>
      <w:r>
        <w:rPr>
          <w:rFonts w:hint="eastAsia" w:ascii="宋体" w:hAnsi="宋体" w:eastAsia="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en-US" w:bidi="ar-SA"/>
        </w:rPr>
        <w:t xml:space="preserve">静态顶空</w:t>
      </w:r>
      <w:r>
        <w:rPr>
          <w:rFonts w:hint="eastAsia" w:ascii="宋体" w:hAnsi="宋体" w:eastAsia="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en-US" w:bidi="ar-SA"/>
        </w:rPr>
        <w:t xml:space="preserve">固相微萃取</w:t>
      </w:r>
      <w:r>
        <w:rPr>
          <w:rFonts w:hint="eastAsia" w:ascii="宋体" w:hAnsi="宋体" w:eastAsia="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en-US" w:bidi="ar-SA"/>
        </w:rPr>
        <w:t xml:space="preserve">热脱附</w:t>
      </w:r>
      <w:r>
        <w:rPr>
          <w:rFonts w:hint="eastAsia" w:ascii="宋体" w:hAnsi="宋体" w:eastAsia="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en-US" w:bidi="ar-SA"/>
        </w:rPr>
        <w:t xml:space="preserve">动态顶空</w:t>
      </w:r>
      <w:r>
        <w:rPr>
          <w:rFonts w:hint="eastAsia" w:ascii="宋体" w:hAnsi="宋体" w:eastAsia="宋体" w:cs="Times New Roman"/>
          <w:color w:val="auto"/>
          <w:sz w:val="24"/>
          <w:szCs w:val="24"/>
          <w:highlight w:val="none"/>
          <w:lang w:val="en-US" w:eastAsia="zh-CN" w:bidi="ar-SA"/>
        </w:rPr>
        <w:t xml:space="preserve">五合一</w:t>
      </w:r>
      <w:r>
        <w:rPr>
          <w:rFonts w:ascii="宋体" w:hAnsi="宋体" w:eastAsia="宋体" w:cs="Times New Roman"/>
          <w:color w:val="auto"/>
          <w:sz w:val="24"/>
          <w:szCs w:val="24"/>
          <w:highlight w:val="none"/>
          <w:lang w:val="en-US" w:eastAsia="en-US" w:bidi="ar-SA"/>
        </w:rPr>
        <w:t xml:space="preserve">模块</w:t>
      </w:r>
      <w:r>
        <w:rPr>
          <w:rFonts w:hint="eastAsia" w:ascii="宋体" w:hAnsi="宋体" w:eastAsia="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en-US" w:bidi="ar-SA"/>
        </w:rPr>
        <w:t xml:space="preserve">样品预处理可与GC分析同时进行</w:t>
      </w:r>
      <w:r>
        <w:rPr>
          <w:rFonts w:hint="eastAsia" w:ascii="宋体" w:hAnsi="宋体" w:eastAsia="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en-US" w:bidi="ar-SA"/>
        </w:rPr>
        <w:t xml:space="preserve">具备搅拌子吸附萃取、薄膜固相萃取、全蒸发顶空、多管捕集动态顶空等前处理功能</w:t>
      </w:r>
      <w:r>
        <w:rPr>
          <w:rFonts w:hint="eastAsia" w:ascii="宋体" w:hAnsi="宋体" w:eastAsia="宋体" w:cs="Times New Roman"/>
          <w:color w:val="auto"/>
          <w:sz w:val="24"/>
          <w:szCs w:val="24"/>
          <w:highlight w:val="none"/>
          <w:lang w:val="en-US" w:eastAsia="zh-CN" w:bidi="ar-SA"/>
        </w:rPr>
        <w:t xml:space="preserve">。（提供产品彩页或正式技术说明书或官网介绍网址等证明材料）</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2.4.2进样器具备</w:t>
      </w:r>
      <w:r>
        <w:rPr>
          <w:rFonts w:ascii="宋体" w:hAnsi="宋体" w:eastAsia="宋体" w:cs="Times New Roman"/>
          <w:color w:val="auto"/>
          <w:sz w:val="24"/>
          <w:szCs w:val="24"/>
          <w:highlight w:val="none"/>
          <w:lang w:val="en-US" w:eastAsia="en-US" w:bidi="ar-SA"/>
        </w:rPr>
        <w:t xml:space="preserve">XYZ轴三维运动，定位精度</w:t>
      </w:r>
      <w:r>
        <w:rPr>
          <w:rFonts w:hint="eastAsia" w:ascii="宋体" w:hAnsi="宋体" w:eastAsia="宋体" w:cs="Times New Roman"/>
          <w:color w:val="auto"/>
          <w:sz w:val="24"/>
          <w:szCs w:val="24"/>
          <w:highlight w:val="none"/>
          <w:lang w:val="en-US" w:eastAsia="zh-CN" w:bidi="ar-SA"/>
        </w:rPr>
        <w:t xml:space="preserve">达到或优于</w:t>
      </w:r>
      <w:r>
        <w:rPr>
          <w:rFonts w:ascii="宋体" w:hAnsi="宋体" w:eastAsia="宋体" w:cs="Times New Roman"/>
          <w:color w:val="auto"/>
          <w:sz w:val="24"/>
          <w:szCs w:val="24"/>
          <w:highlight w:val="none"/>
          <w:lang w:val="en-US" w:eastAsia="en-US" w:bidi="ar-SA"/>
        </w:rPr>
        <w:t xml:space="preserve">±0.1mm</w:t>
      </w:r>
      <w:r>
        <w:rPr>
          <w:rFonts w:hint="eastAsia" w:ascii="宋体" w:hAnsi="宋体" w:eastAsia="宋体" w:cs="Times New Roman"/>
          <w:color w:val="auto"/>
          <w:sz w:val="24"/>
          <w:szCs w:val="24"/>
          <w:highlight w:val="none"/>
          <w:lang w:val="en-US" w:eastAsia="zh-CN" w:bidi="ar-SA"/>
        </w:rPr>
        <w:t xml:space="preserve">。</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2.4.3</w:t>
      </w:r>
      <w:r>
        <w:rPr>
          <w:rFonts w:ascii="宋体" w:hAnsi="宋体" w:eastAsia="宋体" w:cs="Times New Roman"/>
          <w:color w:val="auto"/>
          <w:sz w:val="24"/>
          <w:szCs w:val="24"/>
          <w:highlight w:val="none"/>
          <w:lang w:val="en-US" w:eastAsia="en-US" w:bidi="ar-SA"/>
        </w:rPr>
        <w:t xml:space="preserve">液体进样不少于160位2ml样品</w:t>
      </w:r>
      <w:r>
        <w:rPr>
          <w:rFonts w:hint="eastAsia" w:ascii="宋体" w:hAnsi="宋体" w:eastAsia="宋体" w:cs="Times New Roman"/>
          <w:color w:val="auto"/>
          <w:sz w:val="24"/>
          <w:szCs w:val="24"/>
          <w:highlight w:val="none"/>
          <w:lang w:val="en-US" w:eastAsia="zh-CN" w:bidi="ar-SA"/>
        </w:rPr>
        <w:t xml:space="preserve">盘；</w:t>
      </w:r>
      <w:r>
        <w:rPr>
          <w:rFonts w:ascii="宋体" w:hAnsi="宋体" w:eastAsia="宋体" w:cs="Times New Roman"/>
          <w:color w:val="auto"/>
          <w:sz w:val="24"/>
          <w:szCs w:val="24"/>
          <w:highlight w:val="none"/>
          <w:lang w:val="en-US" w:eastAsia="en-US" w:bidi="ar-SA"/>
        </w:rPr>
        <w:t xml:space="preserve">可装1 µL</w:t>
      </w:r>
      <w:r>
        <w:rPr>
          <w:rFonts w:hint="eastAsia" w:ascii="宋体" w:hAnsi="宋体" w:eastAsia="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en-US" w:bidi="ar-SA"/>
        </w:rPr>
        <w:t xml:space="preserve">1000</w:t>
      </w:r>
      <w:r>
        <w:rPr>
          <w:rFonts w:ascii="宋体" w:hAnsi="宋体" w:eastAsia="宋体" w:cs="Times New Roman"/>
          <w:color w:val="auto"/>
          <w:sz w:val="24"/>
          <w:szCs w:val="24"/>
          <w:highlight w:val="none"/>
          <w:lang w:val="en-US" w:eastAsia="en-US" w:bidi="ar-SA"/>
        </w:rPr>
        <w:t xml:space="preserve">µL 注射器</w:t>
      </w:r>
      <w:r>
        <w:rPr>
          <w:rFonts w:hint="eastAsia" w:ascii="宋体" w:hAnsi="宋体" w:eastAsia="宋体" w:cs="Times New Roman"/>
          <w:color w:val="auto"/>
          <w:sz w:val="24"/>
          <w:szCs w:val="24"/>
          <w:highlight w:val="none"/>
          <w:lang w:val="en-US" w:eastAsia="zh-CN" w:bidi="ar-SA"/>
        </w:rPr>
        <w:t xml:space="preserve">；进样速度覆盖0.1～100ul/s，填充速度覆盖0.1～100ul/s。</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2.4.4顶空进样不少于</w:t>
      </w:r>
      <w:r>
        <w:rPr>
          <w:rFonts w:ascii="宋体" w:hAnsi="宋体" w:eastAsia="宋体" w:cs="Times New Roman"/>
          <w:color w:val="auto"/>
          <w:sz w:val="24"/>
          <w:szCs w:val="24"/>
          <w:highlight w:val="none"/>
          <w:lang w:val="en-US" w:eastAsia="en-US" w:bidi="ar-SA"/>
        </w:rPr>
        <w:t xml:space="preserve">45位10/20ml样品</w:t>
      </w:r>
      <w:r>
        <w:rPr>
          <w:rFonts w:hint="eastAsia" w:ascii="宋体" w:hAnsi="宋体" w:eastAsia="宋体" w:cs="Times New Roman"/>
          <w:color w:val="auto"/>
          <w:sz w:val="24"/>
          <w:szCs w:val="24"/>
          <w:highlight w:val="none"/>
          <w:lang w:val="en-US" w:eastAsia="zh-CN" w:bidi="ar-SA"/>
        </w:rPr>
        <w:t xml:space="preserve">盘；</w:t>
      </w:r>
      <w:r>
        <w:rPr>
          <w:rFonts w:ascii="宋体" w:hAnsi="宋体" w:eastAsia="宋体" w:cs="Times New Roman"/>
          <w:color w:val="auto"/>
          <w:sz w:val="24"/>
          <w:szCs w:val="24"/>
          <w:highlight w:val="none"/>
          <w:lang w:val="en-US" w:eastAsia="en-US" w:bidi="ar-SA"/>
        </w:rPr>
        <w:t xml:space="preserve">能实现每次GC运行时从单个样品瓶中多次进样</w:t>
      </w:r>
      <w:r>
        <w:rPr>
          <w:rFonts w:hint="eastAsia" w:ascii="宋体" w:hAnsi="宋体" w:eastAsia="宋体" w:cs="Times New Roman"/>
          <w:color w:val="auto"/>
          <w:sz w:val="24"/>
          <w:szCs w:val="24"/>
          <w:highlight w:val="none"/>
          <w:lang w:val="en-US" w:eastAsia="zh-CN" w:bidi="ar-SA"/>
        </w:rPr>
        <w:t xml:space="preserve">。</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2.4.5顶空</w:t>
      </w:r>
      <w:r>
        <w:rPr>
          <w:rFonts w:ascii="宋体" w:hAnsi="宋体" w:eastAsia="宋体" w:cs="Times New Roman"/>
          <w:color w:val="auto"/>
          <w:sz w:val="24"/>
          <w:szCs w:val="24"/>
          <w:highlight w:val="none"/>
          <w:lang w:val="en-US" w:eastAsia="en-US" w:bidi="ar-SA"/>
        </w:rPr>
        <w:t xml:space="preserve">注射器使用惰性载气吹扫，全流路无阀设计</w:t>
      </w:r>
      <w:r>
        <w:rPr>
          <w:rFonts w:hint="eastAsia" w:ascii="宋体" w:hAnsi="宋体" w:eastAsia="宋体" w:cs="Times New Roman"/>
          <w:color w:val="auto"/>
          <w:sz w:val="24"/>
          <w:szCs w:val="24"/>
          <w:highlight w:val="none"/>
          <w:lang w:val="en-US" w:eastAsia="zh-CN" w:bidi="ar-SA"/>
        </w:rPr>
        <w:t xml:space="preserve">；进样针进入样品深度1～45mm可调，进样针进入进样口深度10～45mm可调；</w:t>
      </w:r>
      <w:r>
        <w:rPr>
          <w:rFonts w:ascii="宋体" w:hAnsi="宋体" w:eastAsia="宋体" w:cs="Times New Roman"/>
          <w:color w:val="auto"/>
          <w:sz w:val="24"/>
          <w:szCs w:val="24"/>
          <w:highlight w:val="none"/>
          <w:lang w:val="en-US" w:eastAsia="en-US" w:bidi="ar-SA"/>
        </w:rPr>
        <w:t xml:space="preserve">顶空注射器加热温度</w:t>
      </w:r>
      <w:r>
        <w:rPr>
          <w:rFonts w:hint="eastAsia" w:ascii="宋体" w:hAnsi="宋体" w:eastAsia="宋体" w:cs="Times New Roman"/>
          <w:color w:val="auto"/>
          <w:sz w:val="24"/>
          <w:szCs w:val="24"/>
          <w:highlight w:val="none"/>
          <w:lang w:val="en-US" w:eastAsia="zh-CN" w:bidi="ar-SA"/>
        </w:rPr>
        <w:t xml:space="preserve">至少覆盖</w:t>
      </w:r>
      <w:r>
        <w:rPr>
          <w:rFonts w:ascii="宋体" w:hAnsi="宋体" w:eastAsia="宋体" w:cs="Times New Roman"/>
          <w:color w:val="auto"/>
          <w:sz w:val="24"/>
          <w:szCs w:val="24"/>
          <w:highlight w:val="none"/>
          <w:lang w:val="en-US" w:eastAsia="en-US" w:bidi="ar-SA"/>
        </w:rPr>
        <w:t xml:space="preserve">35</w:t>
      </w:r>
      <w:r>
        <w:rPr>
          <w:rFonts w:hint="eastAsia" w:ascii="宋体" w:hAnsi="宋体" w:eastAsia="宋体" w:cs="Times New Roman"/>
          <w:color w:val="auto"/>
          <w:sz w:val="24"/>
          <w:szCs w:val="24"/>
          <w:highlight w:val="none"/>
          <w:lang w:val="en-US" w:eastAsia="zh-CN" w:bidi="ar-SA"/>
        </w:rPr>
        <w:t xml:space="preserve">～</w:t>
      </w:r>
      <w:r>
        <w:rPr>
          <w:rFonts w:ascii="宋体" w:hAnsi="宋体" w:eastAsia="宋体" w:cs="Times New Roman"/>
          <w:color w:val="auto"/>
          <w:sz w:val="24"/>
          <w:szCs w:val="24"/>
          <w:highlight w:val="none"/>
          <w:lang w:val="en-US" w:eastAsia="en-US" w:bidi="ar-SA"/>
        </w:rPr>
        <w:t xml:space="preserve">150℃</w:t>
      </w:r>
      <w:r>
        <w:rPr>
          <w:rFonts w:hint="eastAsia" w:ascii="宋体" w:hAnsi="宋体" w:eastAsia="宋体" w:cs="Times New Roman"/>
          <w:color w:val="auto"/>
          <w:sz w:val="24"/>
          <w:szCs w:val="24"/>
          <w:highlight w:val="none"/>
          <w:lang w:val="en-US" w:eastAsia="zh-CN" w:bidi="ar-SA"/>
        </w:rPr>
        <w:t xml:space="preserve">。</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2.4.6具备6位一体式加热搅拌器，加热温度覆盖35～200℃，1℃温度增量；振荡速度覆盖250～750rpm；具备软件控制的磁力加热搅拌功能。</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2.4.7固相微萃取不少于45位10/20ml样品盘，具备振荡或搅拌双孵化模式，具备专用萃取头老化装置和自动干吹功能。</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2.4.8热脱附进样不少于40位热脱附管，可进行液体、固体、磁力搅拌子直接热脱附。</w:t>
      </w:r>
      <w:r/>
    </w:p>
    <w:p>
      <w:pPr>
        <w:numPr>
          <w:ilvl w:val="0"/>
          <w:numId w:val="0"/>
        </w:numPr>
        <w:contextualSpacing/>
        <w:ind w:lef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2.4.9★热脱附室与冷阱直接连接，无传输线，可直接</w:t>
      </w:r>
      <w:r>
        <w:rPr>
          <w:rFonts w:hint="eastAsia" w:ascii="宋体" w:hAnsi="宋体" w:cs="Times New Roman"/>
          <w:color w:val="auto"/>
          <w:sz w:val="24"/>
          <w:szCs w:val="24"/>
          <w:highlight w:val="none"/>
          <w:lang w:val="en-US" w:eastAsia="zh-CN" w:bidi="ar-SA"/>
        </w:rPr>
        <w:t xml:space="preserve">安装</w:t>
      </w:r>
      <w:r>
        <w:rPr>
          <w:rFonts w:hint="eastAsia" w:ascii="宋体" w:hAnsi="宋体" w:eastAsia="宋体" w:cs="Times New Roman"/>
          <w:color w:val="auto"/>
          <w:sz w:val="24"/>
          <w:szCs w:val="24"/>
          <w:highlight w:val="none"/>
          <w:lang w:val="en-US" w:eastAsia="zh-CN" w:bidi="ar-SA"/>
        </w:rPr>
        <w:t xml:space="preserve">气相色谱仪；脱附室可在低温下预干燥并吹扫消除水分、氧气、溶剂影响，待测脱附管具备密封功能；二级冷阱具有分流/不分流、溶剂排空、大体积进样等功能。（提供产品彩页或正式技术说明书或官网介绍网址等证明材料）</w:t>
      </w:r>
      <w:r/>
    </w:p>
    <w:p>
      <w:pPr>
        <w:numPr>
          <w:ilvl w:val="0"/>
          <w:numId w:val="0"/>
        </w:numPr>
        <w:contextualSpacing/>
        <w:ind w:lef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2.4.10</w:t>
      </w:r>
      <w:bookmarkStart w:id="17" w:name="OLE_LINK1"/>
      <w:r>
        <w:rPr>
          <w:rFonts w:hint="eastAsia" w:ascii="宋体" w:hAnsi="宋体" w:eastAsia="宋体" w:cs="Times New Roman"/>
          <w:color w:val="auto"/>
          <w:sz w:val="24"/>
          <w:szCs w:val="24"/>
          <w:highlight w:val="none"/>
          <w:lang w:val="en-US" w:eastAsia="zh-CN" w:bidi="ar-SA"/>
        </w:rPr>
        <w:t xml:space="preserve">热脱附模块的第一级热脱附温度范围覆盖10℃～350℃，1℃温度增量；二级冷阱捕集温度范围覆盖</w:t>
      </w:r>
      <w:r>
        <w:rPr>
          <w:rFonts w:hint="eastAsia" w:ascii="宋体" w:hAnsi="宋体" w:eastAsia="宋体" w:cs="Times New Roman"/>
          <w:color w:val="auto"/>
          <w:sz w:val="24"/>
          <w:szCs w:val="24"/>
          <w:highlight w:val="none"/>
          <w:lang w:val="en-US" w:eastAsia="zh-CN" w:bidi="ar-SA"/>
        </w:rPr>
        <w:t xml:space="preserve">-150℃～450℃，</w:t>
      </w:r>
      <w:r>
        <w:rPr>
          <w:rFonts w:hint="eastAsia" w:ascii="宋体" w:hAnsi="宋体" w:eastAsia="宋体" w:cs="Times New Roman"/>
          <w:color w:val="auto"/>
          <w:sz w:val="24"/>
          <w:szCs w:val="24"/>
          <w:highlight w:val="none"/>
          <w:lang w:val="en-US" w:eastAsia="zh-CN" w:bidi="ar-SA"/>
        </w:rPr>
        <w:t xml:space="preserve">1℃温度增量</w:t>
      </w:r>
      <w:r>
        <w:rPr>
          <w:rFonts w:hint="eastAsia" w:ascii="宋体" w:hAnsi="宋体" w:eastAsia="宋体" w:cs="Times New Roman"/>
          <w:color w:val="auto"/>
          <w:sz w:val="24"/>
          <w:szCs w:val="24"/>
          <w:highlight w:val="none"/>
          <w:lang w:val="en-US" w:eastAsia="zh-CN" w:bidi="ar-SA"/>
        </w:rPr>
        <w:t xml:space="preserve">。</w:t>
      </w:r>
      <w:bookmarkEnd w:id="17"/>
      <w:r/>
      <w:r/>
    </w:p>
    <w:p>
      <w:pPr>
        <w:numPr>
          <w:ilvl w:val="0"/>
          <w:numId w:val="0"/>
        </w:numPr>
        <w:contextualSpacing/>
        <w:ind w:lef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2.4.11动态顶空进样可连续自动处理40个样品，最多可实现120位样品处理；可实现至少3根吸附管对同一样品中的不同极性有机物进行吸附。（提供产品彩页或正式技术说明书或官网介绍网址等证明材料）</w:t>
      </w:r>
      <w:r/>
    </w:p>
    <w:p>
      <w:pPr>
        <w:numPr>
          <w:ilvl w:val="0"/>
          <w:numId w:val="0"/>
        </w:numPr>
        <w:contextualSpacing/>
        <w:ind w:lef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en-US" w:bidi="ar-SA"/>
        </w:rPr>
      </w:pPr>
      <w:r>
        <w:rPr>
          <w:rFonts w:hint="eastAsia" w:ascii="宋体" w:hAnsi="宋体" w:eastAsia="宋体" w:cs="Times New Roman"/>
          <w:color w:val="auto"/>
          <w:sz w:val="24"/>
          <w:szCs w:val="24"/>
          <w:highlight w:val="none"/>
          <w:lang w:val="en-US" w:eastAsia="zh-CN" w:bidi="ar-SA"/>
        </w:rPr>
        <w:t xml:space="preserve">2.4.12动态顶空采用惰性化处理加热双针管传输样品，传输针温度可达150℃；样品培养温度覆盖30～200℃，捕集温度覆盖20～70℃；吹扫气体可为氦气或氮气，流速覆盖5～100ml/min；震摇速度覆盖250～1500rpm。</w:t>
      </w:r>
      <w:r/>
    </w:p>
    <w:p>
      <w:pPr>
        <w:numPr>
          <w:ilvl w:val="0"/>
          <w:numId w:val="0"/>
        </w:numPr>
        <w:contextualSpacing/>
        <w:ind w:left="0" w:firstLine="482"/>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ascii="宋体" w:hAnsi="宋体" w:eastAsia="宋体" w:cs="Times New Roman"/>
          <w:b/>
          <w:color w:val="auto"/>
          <w:sz w:val="24"/>
          <w:szCs w:val="24"/>
          <w:highlight w:val="none"/>
          <w:lang w:val="en-US" w:eastAsia="en-US" w:bidi="ar-SA"/>
        </w:rPr>
        <w:t xml:space="preserve">2.</w:t>
      </w:r>
      <w:r>
        <w:rPr>
          <w:rFonts w:hint="eastAsia" w:ascii="宋体" w:hAnsi="宋体" w:eastAsia="宋体" w:cs="Times New Roman"/>
          <w:b/>
          <w:color w:val="auto"/>
          <w:sz w:val="24"/>
          <w:szCs w:val="24"/>
          <w:highlight w:val="none"/>
          <w:lang w:val="en-US" w:eastAsia="zh-CN" w:bidi="ar-SA"/>
        </w:rPr>
        <w:t xml:space="preserve">5</w:t>
      </w:r>
      <w:r>
        <w:rPr>
          <w:rFonts w:ascii="宋体" w:hAnsi="宋体" w:eastAsia="宋体" w:cs="Times New Roman"/>
          <w:b/>
          <w:color w:val="auto"/>
          <w:sz w:val="24"/>
          <w:szCs w:val="24"/>
          <w:highlight w:val="none"/>
          <w:lang w:val="en-US" w:eastAsia="en-US" w:bidi="ar-SA"/>
        </w:rPr>
        <w:t xml:space="preserve"> </w:t>
      </w:r>
      <w:r>
        <w:rPr>
          <w:rFonts w:hint="eastAsia" w:ascii="宋体" w:hAnsi="宋体" w:eastAsia="宋体" w:cs="Times New Roman"/>
          <w:color w:val="auto"/>
          <w:sz w:val="24"/>
          <w:szCs w:val="24"/>
          <w:highlight w:val="none"/>
          <w:lang w:val="en-US" w:eastAsia="zh-CN" w:bidi="ar-SA"/>
        </w:rPr>
        <w:t xml:space="preserve">数据处理系统</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2.5.1气相色谱、二维色谱、质谱工作站之间的数据传输全部由内置网卡实现。</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2.5.2具备手动/自动调谐、数据采集、数据检索、分析结果报告、定量分析及谱库检索</w:t>
      </w:r>
      <w:r>
        <w:rPr>
          <w:rFonts w:hint="eastAsia" w:ascii="宋体" w:hAnsi="宋体" w:eastAsia="宋体" w:cs="Times New Roman"/>
          <w:color w:val="auto"/>
          <w:sz w:val="24"/>
          <w:szCs w:val="24"/>
          <w:highlight w:val="none"/>
          <w:lang w:val="en-US" w:eastAsia="en-US" w:bidi="ar-SA"/>
        </w:rPr>
        <w:t xml:space="preserve">功能</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en-US" w:bidi="ar-SA"/>
        </w:rPr>
        <w:t xml:space="preserve">（提供</w:t>
      </w:r>
      <w:r>
        <w:rPr>
          <w:rFonts w:hint="eastAsia" w:ascii="宋体" w:hAnsi="宋体" w:eastAsia="宋体" w:cs="Times New Roman"/>
          <w:color w:val="auto"/>
          <w:sz w:val="24"/>
          <w:szCs w:val="24"/>
          <w:highlight w:val="none"/>
          <w:lang w:val="en-US" w:eastAsia="zh-CN" w:bidi="ar-SA"/>
        </w:rPr>
        <w:t xml:space="preserve">软件截图等</w:t>
      </w:r>
      <w:r>
        <w:rPr>
          <w:rFonts w:hint="eastAsia" w:ascii="宋体" w:hAnsi="宋体" w:eastAsia="宋体" w:cs="Times New Roman"/>
          <w:color w:val="auto"/>
          <w:sz w:val="24"/>
          <w:szCs w:val="24"/>
          <w:highlight w:val="none"/>
          <w:lang w:val="en-US" w:eastAsia="en-US" w:bidi="ar-SA"/>
        </w:rPr>
        <w:t xml:space="preserve">证明</w:t>
      </w:r>
      <w:r>
        <w:rPr>
          <w:rFonts w:hint="eastAsia" w:ascii="宋体" w:hAnsi="宋体" w:eastAsia="宋体" w:cs="Times New Roman"/>
          <w:color w:val="auto"/>
          <w:sz w:val="24"/>
          <w:szCs w:val="24"/>
          <w:highlight w:val="none"/>
          <w:lang w:val="en-US" w:eastAsia="zh-CN" w:bidi="ar-SA"/>
        </w:rPr>
        <w:t xml:space="preserve">材料</w:t>
      </w:r>
      <w:r>
        <w:rPr>
          <w:rFonts w:hint="eastAsia" w:ascii="宋体" w:hAnsi="宋体" w:eastAsia="宋体" w:cs="Times New Roman"/>
          <w:color w:val="auto"/>
          <w:sz w:val="24"/>
          <w:szCs w:val="24"/>
          <w:highlight w:val="none"/>
          <w:lang w:val="en-US" w:eastAsia="en-US" w:bidi="ar-SA"/>
        </w:rPr>
        <w:t xml:space="preserve">）</w:t>
      </w:r>
      <w:r/>
    </w:p>
    <w:p>
      <w:pPr>
        <w:numPr>
          <w:ilvl w:val="0"/>
          <w:numId w:val="0"/>
        </w:numPr>
        <w:contextualSpacing/>
        <w:ind w:lef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2.5.3</w:t>
      </w:r>
      <w:r>
        <w:rPr>
          <w:rFonts w:ascii="宋体" w:hAnsi="宋体" w:eastAsia="宋体" w:cs="Times New Roman"/>
          <w:color w:val="auto"/>
          <w:sz w:val="24"/>
          <w:szCs w:val="24"/>
          <w:highlight w:val="none"/>
          <w:lang w:val="en-US" w:eastAsia="en-US" w:bidi="ar-SA"/>
        </w:rPr>
        <w:t xml:space="preserve">数据分析软件应包括常规数据和符合EPA要求的专用环境数据处理等多种分析模式</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en-US" w:bidi="ar-SA"/>
        </w:rPr>
        <w:t xml:space="preserve">两种模式通过软件配置互相转换，均能独立工作</w:t>
      </w:r>
      <w:r>
        <w:rPr>
          <w:rFonts w:hint="eastAsia" w:ascii="宋体" w:hAnsi="宋体" w:eastAsia="宋体" w:cs="Times New Roman"/>
          <w:color w:val="auto"/>
          <w:sz w:val="24"/>
          <w:szCs w:val="24"/>
          <w:highlight w:val="none"/>
          <w:lang w:val="en-US" w:eastAsia="zh-CN" w:bidi="ar-SA"/>
        </w:rPr>
        <w:t xml:space="preserve">。（提供软件截图等证明材料）</w:t>
      </w:r>
      <w:r/>
    </w:p>
    <w:p>
      <w:pPr>
        <w:numPr>
          <w:ilvl w:val="0"/>
          <w:numId w:val="0"/>
        </w:numPr>
        <w:contextualSpacing/>
        <w:ind w:lef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en-US" w:bidi="ar-SA"/>
        </w:rPr>
      </w:pPr>
      <w:r>
        <w:rPr>
          <w:rFonts w:hint="eastAsia" w:ascii="宋体" w:hAnsi="宋体" w:eastAsia="宋体" w:cs="Times New Roman"/>
          <w:color w:val="auto"/>
          <w:sz w:val="24"/>
          <w:szCs w:val="24"/>
          <w:highlight w:val="none"/>
          <w:lang w:val="en-US" w:eastAsia="zh-CN" w:bidi="ar-SA"/>
        </w:rPr>
        <w:t xml:space="preserve">2.5.4★具备最新版NIST谱库；▲</w:t>
      </w:r>
      <w:r>
        <w:rPr>
          <w:rFonts w:hint="eastAsia" w:ascii="宋体" w:hAnsi="宋体" w:eastAsia="宋体" w:cs="Times New Roman"/>
          <w:color w:val="auto"/>
          <w:sz w:val="24"/>
          <w:szCs w:val="24"/>
          <w:highlight w:val="none"/>
          <w:lang w:val="en-US" w:eastAsia="zh-CN" w:bidi="ar-SA"/>
        </w:rPr>
        <w:t xml:space="preserve">谱库包含900种以上新污染物高分辨库</w:t>
      </w:r>
      <w:r>
        <w:rPr>
          <w:rFonts w:hint="eastAsia" w:ascii="宋体" w:hAnsi="宋体" w:eastAsia="宋体" w:cs="Times New Roman"/>
          <w:color w:val="auto"/>
          <w:sz w:val="24"/>
          <w:szCs w:val="24"/>
          <w:highlight w:val="none"/>
          <w:lang w:val="en-US" w:eastAsia="zh-CN" w:bidi="ar-SA"/>
        </w:rPr>
        <w:t xml:space="preserve">。（提供软件截图等证明材料）</w:t>
      </w:r>
      <w:r/>
    </w:p>
    <w:p>
      <w:pPr>
        <w:numPr>
          <w:ilvl w:val="0"/>
          <w:numId w:val="0"/>
        </w:numPr>
        <w:contextualSpacing/>
        <w:ind w:left="0" w:firstLine="482"/>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ascii="宋体" w:hAnsi="宋体" w:eastAsia="宋体" w:cs="Times New Roman"/>
          <w:b/>
          <w:color w:val="auto"/>
          <w:sz w:val="24"/>
          <w:szCs w:val="24"/>
          <w:highlight w:val="none"/>
          <w:lang w:val="en-US" w:eastAsia="en-US" w:bidi="ar-SA"/>
        </w:rPr>
        <w:t xml:space="preserve">2.</w:t>
      </w:r>
      <w:r>
        <w:rPr>
          <w:rFonts w:hint="eastAsia" w:ascii="宋体" w:hAnsi="宋体" w:eastAsia="宋体" w:cs="Times New Roman"/>
          <w:b/>
          <w:color w:val="auto"/>
          <w:sz w:val="24"/>
          <w:szCs w:val="24"/>
          <w:highlight w:val="none"/>
          <w:lang w:val="en-US" w:eastAsia="zh-CN" w:bidi="ar-SA"/>
        </w:rPr>
        <w:t xml:space="preserve">6</w:t>
      </w:r>
      <w:r>
        <w:rPr>
          <w:rFonts w:ascii="宋体" w:hAnsi="宋体" w:eastAsia="宋体" w:cs="Times New Roman"/>
          <w:b/>
          <w:color w:val="auto"/>
          <w:sz w:val="24"/>
          <w:szCs w:val="24"/>
          <w:highlight w:val="none"/>
          <w:lang w:val="en-US" w:eastAsia="en-US" w:bidi="ar-SA"/>
        </w:rPr>
        <w:t xml:space="preserve"> </w:t>
      </w:r>
      <w:r>
        <w:rPr>
          <w:rFonts w:hint="eastAsia" w:ascii="宋体" w:hAnsi="宋体" w:eastAsia="宋体" w:cs="Times New Roman"/>
          <w:b/>
          <w:color w:val="auto"/>
          <w:sz w:val="24"/>
          <w:szCs w:val="24"/>
          <w:highlight w:val="none"/>
          <w:lang w:val="en-US" w:eastAsia="zh-CN" w:bidi="ar-SA"/>
        </w:rPr>
        <w:t xml:space="preserve">配套设备及耗材</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2.6.1氮气发生器：纯度不低于99.99%，流量不小于30L/min。</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2.6.2不少于10位的磁力搅拌器。</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2.6.3 2套台式工作站，最低配置要求：</w:t>
      </w:r>
      <w:r>
        <w:rPr>
          <w:rFonts w:hint="eastAsia" w:ascii="宋体" w:hAnsi="宋体" w:eastAsia="宋体" w:cs="Times New Roman"/>
          <w:color w:val="auto"/>
          <w:sz w:val="24"/>
          <w:szCs w:val="24"/>
          <w:highlight w:val="none"/>
          <w:lang w:val="en-US" w:eastAsia="zh-CN" w:bidi="ar-SA"/>
        </w:rPr>
        <w:t xml:space="preserve">CPU酷睿双核，单主频不低于1.5G，2G内存或以上，4T固态硬盘（SSD）或以上，DVD-RW，不低于10GbE的以太网连接。</w:t>
      </w:r>
      <w:r/>
    </w:p>
    <w:p>
      <w:pPr>
        <w:numPr>
          <w:ilvl w:val="0"/>
          <w:numId w:val="0"/>
        </w:numPr>
        <w:contextualSpacing/>
        <w:ind w:lef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2.6.4便携式工作站，最低配置要求：CPU酷睿ultra9处理器，LPDDR5X内存芯片，32G-8533MHZ高速内存，2TBPCle Gen5高速固态硬盘。</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2.6.5隔离变压器：负载≥8kW，输出电压220V，降零地电压0.5V以下，纯铜线圈，频率50/60Hz。</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2.6.6应保证配套设备性能与主要设备的适配性。</w:t>
      </w:r>
      <w:r/>
    </w:p>
    <w:p>
      <w:pPr>
        <w:numPr>
          <w:ilvl w:val="0"/>
          <w:numId w:val="0"/>
        </w:numPr>
        <w:contextualSpacing/>
        <w:ind w:lef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2.6.7 </w:t>
      </w:r>
      <w:r>
        <w:rPr>
          <w:rFonts w:hint="eastAsia" w:ascii="宋体" w:hAnsi="宋体" w:eastAsia="宋体" w:cs="宋体"/>
          <w:color w:val="auto"/>
          <w:sz w:val="24"/>
          <w:szCs w:val="24"/>
          <w:highlight w:val="none"/>
          <w:lang w:val="en-US" w:eastAsia="zh-CN" w:bidi="ar-SA"/>
        </w:rPr>
        <w:t xml:space="preserve">耗材配件要求：C7-C40调制柱4个和C5-C30调制柱1个，以及相应耗材包；二维柱包含中极性A（针对多环芳烃和有机氯农药等）4个、中极性B（针对含卤素、含氮、含磷官能团化合物）2个；工具类含安装工具包1套、不卸真空换柱工具套装1套、色谱柱预装配/安装/插入工具各1个、手拧式柱接头2个；进样相关配件包括超高惰性低压降带玻璃毛衬管20根、1</w:t>
      </w:r>
      <w:r>
        <w:rPr>
          <w:rFonts w:hint="eastAsia" w:ascii="宋体" w:hAnsi="宋体" w:eastAsia="宋体" w:cs="宋体"/>
          <w:color w:val="auto"/>
          <w:sz w:val="24"/>
          <w:szCs w:val="24"/>
          <w:highlight w:val="none"/>
          <w:lang w:val="en-US" w:eastAsia="zh-CN" w:bidi="ar-SA"/>
        </w:rPr>
        <w:t xml:space="preserve">0ul尖锥形针尖进样针10支、智能进样针（5ml与10uL各2支）、2.5mL顶空进样针2根、进样瓶2ml装500个、瓶盖及配套隔垫500套、顶空螺纹口样品瓶200个与瓶盖200个；密封件包括0.4mm聚酰亚胺/石墨密封垫圈50个、不粘连进样口隔垫100个、进样口O形圈5个、可塑金属密封垫圈5盒；捕集装置含水氧捕集阱1个、氦气捕集阱1个；色谱柱含弱极性、非极性、中等极性各1根；其他还有三通黄铜接头4个、真空泵油4瓶、灯丝5根、进样口分流平板10个、离子源清洗套装2套、空脱附管40根以及磁力吸附搅拌子10个。</w:t>
      </w:r>
      <w:r/>
    </w:p>
    <w:p>
      <w:pPr>
        <w:ind w:left="0" w:firstLine="482"/>
        <w:jc w:val="left"/>
        <w:keepLines w:val="0"/>
        <w:keepNext w:val="0"/>
        <w:pageBreakBefore w:val="0"/>
        <w:spacing w:line="360" w:lineRule="auto"/>
        <w:widowControl/>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3.售后服务</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en-US" w:bidi="ar-SA"/>
        </w:rPr>
        <w:t xml:space="preserve">.</w:t>
      </w:r>
      <w:r>
        <w:rPr>
          <w:rFonts w:hint="eastAsia" w:ascii="宋体" w:hAnsi="宋体" w:cs="Times New Roman"/>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en-US" w:bidi="ar-SA"/>
        </w:rPr>
        <w:t xml:space="preserve">供应商提供仪器的现场安装调试并达到</w:t>
      </w:r>
      <w:r>
        <w:rPr>
          <w:rFonts w:hint="eastAsia" w:ascii="宋体" w:hAnsi="宋体" w:eastAsia="宋体" w:cs="宋体"/>
          <w:color w:val="auto"/>
          <w:sz w:val="24"/>
          <w:szCs w:val="24"/>
          <w:highlight w:val="none"/>
          <w:lang w:val="en-US" w:eastAsia="zh-CN" w:bidi="ar-SA"/>
        </w:rPr>
        <w:t xml:space="preserve">招标和</w:t>
      </w:r>
      <w:r>
        <w:rPr>
          <w:rFonts w:hint="eastAsia" w:ascii="宋体" w:hAnsi="宋体" w:eastAsia="宋体" w:cs="宋体"/>
          <w:color w:val="auto"/>
          <w:sz w:val="24"/>
          <w:szCs w:val="24"/>
          <w:highlight w:val="none"/>
          <w:lang w:val="en-US" w:eastAsia="en-US" w:bidi="ar-SA"/>
        </w:rPr>
        <w:t xml:space="preserve">投标</w:t>
      </w:r>
      <w:r>
        <w:rPr>
          <w:rFonts w:hint="eastAsia" w:ascii="宋体" w:hAnsi="宋体" w:eastAsia="宋体" w:cs="宋体"/>
          <w:color w:val="auto"/>
          <w:sz w:val="24"/>
          <w:szCs w:val="24"/>
          <w:highlight w:val="none"/>
          <w:lang w:val="en-US" w:eastAsia="zh-CN" w:bidi="ar-SA"/>
        </w:rPr>
        <w:t xml:space="preserve">文件的</w:t>
      </w:r>
      <w:r>
        <w:rPr>
          <w:rFonts w:hint="eastAsia" w:ascii="宋体" w:hAnsi="宋体" w:eastAsia="宋体" w:cs="宋体"/>
          <w:color w:val="auto"/>
          <w:sz w:val="24"/>
          <w:szCs w:val="24"/>
          <w:highlight w:val="none"/>
          <w:lang w:val="en-US" w:eastAsia="en-US" w:bidi="ar-SA"/>
        </w:rPr>
        <w:t xml:space="preserve">技术指标要求</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如果现场安装测试指标未通过，</w:t>
      </w:r>
      <w:r>
        <w:rPr>
          <w:rFonts w:hint="eastAsia" w:ascii="宋体" w:hAnsi="宋体" w:cs="宋体"/>
          <w:color w:val="auto"/>
          <w:sz w:val="24"/>
          <w:highlight w:val="none"/>
        </w:rPr>
        <w:t xml:space="preserve">乙方须无条件按照甲方要求更换为满足技术指标要求的设备</w:t>
      </w:r>
      <w:r>
        <w:rPr>
          <w:rFonts w:hint="eastAsia" w:ascii="宋体" w:hAnsi="宋体" w:eastAsia="宋体" w:cs="宋体"/>
          <w:color w:val="auto"/>
          <w:sz w:val="24"/>
          <w:szCs w:val="24"/>
          <w:highlight w:val="none"/>
          <w:lang w:val="en-US" w:eastAsia="en-US" w:bidi="ar-SA"/>
        </w:rPr>
        <w:t xml:space="preserve">。</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合同完工验收后的准运行期，</w:t>
      </w:r>
      <w:r>
        <w:rPr>
          <w:rFonts w:hint="eastAsia" w:ascii="宋体" w:hAnsi="宋体" w:cs="宋体"/>
          <w:color w:val="auto"/>
          <w:sz w:val="24"/>
          <w:szCs w:val="24"/>
          <w:highlight w:val="none"/>
          <w:lang w:val="en-US" w:eastAsia="zh-CN" w:bidi="ar-SA"/>
        </w:rPr>
        <w:t xml:space="preserve">根据甲方需求</w:t>
      </w:r>
      <w:r>
        <w:rPr>
          <w:rFonts w:hint="eastAsia" w:ascii="宋体" w:hAnsi="宋体" w:eastAsia="宋体" w:cs="宋体"/>
          <w:color w:val="auto"/>
          <w:sz w:val="24"/>
          <w:szCs w:val="24"/>
          <w:highlight w:val="none"/>
          <w:lang w:val="en-US" w:eastAsia="zh-CN" w:bidi="ar-SA"/>
        </w:rPr>
        <w:t xml:space="preserve">提供应用驻场服务，指导客户能够独立完成从方法建立到实际样品测试分析的一个完整非靶向筛查检测流程，指导客户掌握数据分析软件的使用和高分辨数据库应用，指导客户自行添加建立本地谱库。</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仪器相关软件支持免费升级和重装。</w:t>
      </w:r>
      <w:r/>
    </w:p>
    <w:p>
      <w:pPr>
        <w:numPr>
          <w:ilvl w:val="0"/>
          <w:numId w:val="0"/>
        </w:numPr>
        <w:contextualSpacing/>
        <w:ind w:left="0"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提供仪器生产商内部已开发完成测试方法的移植服务。</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配合完成设备试运行及验收等相关技术服务。</w:t>
      </w:r>
      <w:r/>
    </w:p>
    <w:p>
      <w:pPr>
        <w:numPr>
          <w:ilvl w:val="0"/>
          <w:numId w:val="0"/>
        </w:numPr>
        <w:contextualSpacing/>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仪器生产商具备完善的售后服务体系，具备厂家应用实验室和培训中心,有专职的维修工程师及应用工程师，长期协助用户进行方法开发，提供设备安装环境改造支持。</w:t>
      </w:r>
      <w:r/>
    </w:p>
    <w:p>
      <w:pPr>
        <w:pStyle w:val="664"/>
        <w:ind w:left="0" w:firstLine="482"/>
        <w:jc w:val="left"/>
        <w:keepLines w:val="0"/>
        <w:keepNext w:val="0"/>
        <w:pageBreakBefore w:val="0"/>
        <w:spacing w:line="360" w:lineRule="auto"/>
        <w:tabs>
          <w:tab w:val="left" w:pos="567" w:leader="none"/>
        </w:tabs>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四</w:t>
      </w:r>
      <w:r>
        <w:rPr>
          <w:rFonts w:hint="eastAsia" w:asciiTheme="minorEastAsia" w:hAnsiTheme="minorEastAsia" w:eastAsiaTheme="minorEastAsia" w:cstheme="minorEastAsia"/>
          <w:b/>
          <w:bCs/>
          <w:color w:val="auto"/>
          <w:sz w:val="24"/>
          <w:szCs w:val="24"/>
          <w:highlight w:val="none"/>
        </w:rPr>
        <w:t xml:space="preserve">、安装技术要求</w:t>
      </w:r>
      <w:r/>
    </w:p>
    <w:p>
      <w:pPr>
        <w:ind w:left="0" w:firstLine="482"/>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u w:val="single"/>
        </w:rPr>
        <w:t xml:space="preserve">（1）设备安装要求和执行标准，以招标文件及设计交底要求为准；</w:t>
      </w:r>
      <w:r>
        <w:rPr>
          <w:rFonts w:hint="eastAsia" w:asciiTheme="minorEastAsia" w:hAnsiTheme="minorEastAsia" w:eastAsiaTheme="minorEastAsia" w:cstheme="minorEastAsia"/>
          <w:color w:val="auto"/>
          <w:sz w:val="24"/>
          <w:szCs w:val="24"/>
          <w:highlight w:val="none"/>
        </w:rPr>
        <w:t xml:space="preserve">当所需的设备已经配齐，则应进行安装调试。</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（2）安装调试开始前，应按下列要求进行检查：</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1）各种设备出厂前的测试记录及检测合格证明；</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）各项功能检测记录。</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（3）安装工作应满足以下基本要求：</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1）已向采购人提供上述所列文件，并得到采购人的认可；</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2）按照使用手册和相关的国家或行业标准以及合同规定进行安装；</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3）对安装各种设备的主要技术指标和功能进行检查测试。</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（4）安装调试的内容</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1）中标供应商负责系统的安装，并有义务指导采购人指派的人员进行安装；</w:t>
      </w:r>
      <w:r/>
    </w:p>
    <w:p>
      <w:pPr>
        <w:ind w:lef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2）中标供应商负责进行系统的整体运行，并详细记录系统运行情况。</w:t>
      </w:r>
      <w:r/>
    </w:p>
    <w:p>
      <w:pPr>
        <w:ind w:lef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性能验证</w:t>
      </w:r>
      <w:r>
        <w:rPr>
          <w:rFonts w:hint="eastAsia" w:asciiTheme="minorEastAsia" w:hAnsiTheme="minorEastAsia" w:eastAsiaTheme="minorEastAsia" w:cstheme="minorEastAsia"/>
          <w:b/>
          <w:bCs/>
          <w:color w:val="auto"/>
          <w:sz w:val="24"/>
          <w:szCs w:val="24"/>
          <w:highlight w:val="none"/>
        </w:rPr>
        <w:t xml:space="preserve">的内容</w:t>
      </w:r>
      <w:r/>
    </w:p>
    <w:p>
      <w:pPr>
        <w:ind w:lef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全二维气相色谱-飞行时间质谱仪</w:t>
      </w:r>
      <w:r/>
    </w:p>
    <w:p>
      <w:pPr>
        <w:ind w:lef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检出限</w:t>
      </w:r>
      <w:r>
        <w:rPr>
          <w:rFonts w:hint="eastAsia" w:asciiTheme="minorEastAsia" w:hAnsiTheme="minorEastAsia" w:eastAsiaTheme="minorEastAsia" w:cstheme="minorEastAsia"/>
          <w:color w:val="auto"/>
          <w:sz w:val="24"/>
          <w:szCs w:val="24"/>
          <w:highlight w:val="none"/>
        </w:rPr>
        <w:t xml:space="preserve">：小于100 fg，1uL 100fg/uL的OFN（m/z 271.9867 处）八次连续不分流进样所得峰面积RSD&lt;8%</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在99%置信水平下统计得出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w:t>
      </w:r>
      <w:r/>
    </w:p>
    <w:p>
      <w:pPr>
        <w:ind w:lef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质量精度：</w:t>
      </w:r>
      <w:r>
        <w:rPr>
          <w:rFonts w:hint="eastAsia" w:asciiTheme="minorEastAsia" w:hAnsiTheme="minorEastAsia" w:eastAsiaTheme="minorEastAsia" w:cstheme="minorEastAsia"/>
          <w:color w:val="auto"/>
          <w:sz w:val="24"/>
          <w:szCs w:val="24"/>
          <w:highlight w:val="none"/>
          <w:lang w:val="en-US" w:eastAsia="zh-CN"/>
        </w:rPr>
        <w:t xml:space="preserve">对</w:t>
      </w:r>
      <w:r>
        <w:rPr>
          <w:rFonts w:hint="eastAsia" w:asciiTheme="minorEastAsia" w:hAnsiTheme="minorEastAsia" w:eastAsiaTheme="minorEastAsia" w:cstheme="minorEastAsia"/>
          <w:color w:val="auto"/>
          <w:sz w:val="24"/>
          <w:szCs w:val="24"/>
          <w:highlight w:val="none"/>
        </w:rPr>
        <w:t xml:space="preserve">1pg OFN（m/z 271.9867 处）连续八次进样的平均质量数误差</w:t>
      </w:r>
      <w:r>
        <w:rPr>
          <w:rFonts w:hint="eastAsia" w:asciiTheme="minorEastAsia" w:hAnsiTheme="minorEastAsia" w:eastAsiaTheme="minorEastAsia" w:cstheme="minorEastAsia"/>
          <w:color w:val="auto"/>
          <w:sz w:val="24"/>
          <w:szCs w:val="24"/>
          <w:highlight w:val="none"/>
          <w:lang w:val="en-US" w:eastAsia="zh-CN"/>
        </w:rPr>
        <w:t xml:space="preserve">小于</w:t>
      </w:r>
      <w:r>
        <w:rPr>
          <w:rFonts w:hint="eastAsia" w:asciiTheme="minorEastAsia" w:hAnsiTheme="minorEastAsia" w:eastAsiaTheme="minorEastAsia" w:cstheme="minorEastAsia"/>
          <w:color w:val="auto"/>
          <w:sz w:val="24"/>
          <w:szCs w:val="24"/>
          <w:highlight w:val="none"/>
        </w:rPr>
        <w:t xml:space="preserve">5ppm。</w:t>
      </w:r>
      <w:r/>
    </w:p>
    <w:p>
      <w:pPr>
        <w:ind w:lef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分离效果：全二维验证标样，使用正相柱系统，所有组分均能调制无穿透，且在二维色谱图中实现基线分离或达到方法要求的分离度</w:t>
      </w:r>
      <w:r>
        <w:rPr>
          <w:rFonts w:hint="eastAsia" w:asciiTheme="minorEastAsia" w:hAnsiTheme="minorEastAsia" w:eastAsiaTheme="minorEastAsia" w:cstheme="minorEastAsia"/>
          <w:color w:val="auto"/>
          <w:sz w:val="24"/>
          <w:szCs w:val="24"/>
          <w:highlight w:val="none"/>
          <w:lang w:eastAsia="zh-CN"/>
        </w:rPr>
        <w:t xml:space="preserve">。</w:t>
      </w:r>
      <w:r/>
    </w:p>
    <w:p>
      <w:pPr>
        <w:ind w:lef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多功能自动进样</w:t>
      </w:r>
      <w:r>
        <w:rPr>
          <w:rFonts w:hint="eastAsia" w:asciiTheme="minorEastAsia" w:hAnsiTheme="minorEastAsia" w:eastAsiaTheme="minorEastAsia" w:cstheme="minorEastAsia"/>
          <w:color w:val="auto"/>
          <w:sz w:val="24"/>
          <w:szCs w:val="24"/>
          <w:highlight w:val="none"/>
          <w:lang w:val="en-US" w:eastAsia="zh-CN"/>
        </w:rPr>
        <w:t xml:space="preserve">器</w:t>
      </w:r>
      <w:r/>
    </w:p>
    <w:p>
      <w:pPr>
        <w:ind w:lef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使用</w:t>
      </w:r>
      <w:r>
        <w:rPr>
          <w:rFonts w:hint="eastAsia" w:asciiTheme="minorEastAsia" w:hAnsiTheme="minorEastAsia" w:eastAsiaTheme="minorEastAsia" w:cstheme="minorEastAsia"/>
          <w:color w:val="auto"/>
          <w:sz w:val="24"/>
          <w:szCs w:val="24"/>
          <w:highlight w:val="none"/>
          <w:lang w:val="en-US" w:eastAsia="zh-CN"/>
        </w:rPr>
        <w:t xml:space="preserve">2-甲基异莰醇和土臭素混合</w:t>
      </w:r>
      <w:r>
        <w:rPr>
          <w:rFonts w:hint="eastAsia" w:asciiTheme="minorEastAsia" w:hAnsiTheme="minorEastAsia" w:eastAsiaTheme="minorEastAsia" w:cstheme="minorEastAsia"/>
          <w:color w:val="auto"/>
          <w:sz w:val="24"/>
          <w:szCs w:val="24"/>
          <w:highlight w:val="none"/>
        </w:rPr>
        <w:t xml:space="preserve">标准物质配置</w:t>
      </w:r>
      <w:r>
        <w:rPr>
          <w:rFonts w:hint="eastAsia" w:asciiTheme="minorEastAsia" w:hAnsiTheme="minorEastAsia" w:eastAsiaTheme="minorEastAsia" w:cstheme="minorEastAsia"/>
          <w:color w:val="auto"/>
          <w:sz w:val="24"/>
          <w:szCs w:val="24"/>
          <w:highlight w:val="none"/>
          <w:lang w:val="en-US" w:eastAsia="zh-CN"/>
        </w:rPr>
        <w:t xml:space="preserve">标准曲线水样和加标</w:t>
      </w:r>
      <w:r>
        <w:rPr>
          <w:rFonts w:hint="eastAsia" w:asciiTheme="minorEastAsia" w:hAnsiTheme="minorEastAsia" w:eastAsiaTheme="minorEastAsia" w:cstheme="minorEastAsia"/>
          <w:color w:val="auto"/>
          <w:sz w:val="24"/>
          <w:szCs w:val="24"/>
          <w:highlight w:val="none"/>
        </w:rPr>
        <w:t xml:space="preserve">水样，</w:t>
      </w:r>
      <w:r>
        <w:rPr>
          <w:rFonts w:hint="eastAsia" w:asciiTheme="minorEastAsia" w:hAnsiTheme="minorEastAsia" w:eastAsiaTheme="minorEastAsia" w:cstheme="minorEastAsia"/>
          <w:color w:val="auto"/>
          <w:sz w:val="24"/>
          <w:szCs w:val="24"/>
          <w:highlight w:val="none"/>
          <w:lang w:val="en-US" w:eastAsia="zh-CN"/>
        </w:rPr>
        <w:t xml:space="preserve">通过</w:t>
      </w:r>
      <w:r>
        <w:rPr>
          <w:rFonts w:hint="eastAsia" w:asciiTheme="minorEastAsia" w:hAnsiTheme="minorEastAsia" w:eastAsiaTheme="minorEastAsia" w:cstheme="minorEastAsia"/>
          <w:color w:val="auto"/>
          <w:sz w:val="24"/>
          <w:szCs w:val="24"/>
          <w:highlight w:val="none"/>
        </w:rPr>
        <w:t xml:space="preserve">固相微萃取和</w:t>
      </w:r>
      <w:r>
        <w:rPr>
          <w:rFonts w:hint="eastAsia" w:asciiTheme="minorEastAsia" w:hAnsiTheme="minorEastAsia" w:eastAsiaTheme="minorEastAsia" w:cstheme="minorEastAsia"/>
          <w:color w:val="auto"/>
          <w:sz w:val="24"/>
          <w:szCs w:val="24"/>
          <w:highlight w:val="none"/>
          <w:lang w:val="en-US" w:eastAsia="zh-CN"/>
        </w:rPr>
        <w:t xml:space="preserve">搅拌棒吸附萃取</w:t>
      </w:r>
      <w:r>
        <w:rPr>
          <w:rFonts w:hint="eastAsia" w:asciiTheme="minorEastAsia" w:hAnsiTheme="minorEastAsia" w:eastAsiaTheme="minorEastAsia" w:cstheme="minorEastAsia"/>
          <w:color w:val="auto"/>
          <w:sz w:val="24"/>
          <w:szCs w:val="24"/>
          <w:highlight w:val="none"/>
        </w:rPr>
        <w:t xml:space="preserve">热脱附</w:t>
      </w:r>
      <w:r>
        <w:rPr>
          <w:rFonts w:hint="eastAsia" w:asciiTheme="minorEastAsia" w:hAnsiTheme="minorEastAsia" w:eastAsiaTheme="minorEastAsia" w:cstheme="minorEastAsia"/>
          <w:color w:val="auto"/>
          <w:sz w:val="24"/>
          <w:szCs w:val="24"/>
          <w:highlight w:val="none"/>
          <w:lang w:val="en-US" w:eastAsia="zh-CN"/>
        </w:rPr>
        <w:t xml:space="preserve">两种</w:t>
      </w:r>
      <w:r>
        <w:rPr>
          <w:rFonts w:hint="eastAsia" w:asciiTheme="minorEastAsia" w:hAnsiTheme="minorEastAsia" w:eastAsiaTheme="minorEastAsia" w:cstheme="minorEastAsia"/>
          <w:color w:val="auto"/>
          <w:sz w:val="24"/>
          <w:szCs w:val="24"/>
          <w:highlight w:val="none"/>
        </w:rPr>
        <w:t xml:space="preserve">前处理进样，经Q-TOF能够准确定性</w:t>
      </w:r>
      <w:r>
        <w:rPr>
          <w:rFonts w:hint="eastAsia" w:asciiTheme="minorEastAsia" w:hAnsiTheme="minorEastAsia" w:eastAsiaTheme="minorEastAsia" w:cstheme="minorEastAsia"/>
          <w:color w:val="auto"/>
          <w:sz w:val="24"/>
          <w:szCs w:val="24"/>
          <w:highlight w:val="none"/>
          <w:lang w:val="en-US" w:eastAsia="zh-CN"/>
        </w:rPr>
        <w:t xml:space="preserve">定量检测，标准曲线线性和加标回收率达到标准规范要求</w:t>
      </w:r>
      <w:r>
        <w:rPr>
          <w:rFonts w:hint="eastAsia" w:asciiTheme="minorEastAsia" w:hAnsiTheme="minorEastAsia" w:eastAsiaTheme="minorEastAsia" w:cstheme="minorEastAsia"/>
          <w:color w:val="auto"/>
          <w:sz w:val="24"/>
          <w:szCs w:val="24"/>
          <w:highlight w:val="none"/>
          <w:lang w:eastAsia="zh-CN"/>
        </w:rPr>
        <w:t xml:space="preserve">。</w:t>
      </w:r>
      <w:r/>
    </w:p>
    <w:p>
      <w:pPr>
        <w:pStyle w:val="674"/>
        <w:ind w:left="0" w:firstLine="482"/>
        <w:jc w:val="left"/>
        <w:keepLines w:val="0"/>
        <w:keepNext w:val="0"/>
        <w:pageBreakBefore w:val="0"/>
        <w:spacing w:after="0" w:line="360" w:lineRule="auto"/>
        <w:rPr>
          <w:rFonts w:hint="default"/>
          <w:b/>
          <w:bCs w:val="0"/>
          <w:color w:val="auto"/>
          <w:highlight w:val="none"/>
          <w:lang w:val="en-US"/>
        </w:rPr>
      </w:pPr>
      <w:r>
        <w:rPr>
          <w:rFonts w:hint="eastAsia" w:asciiTheme="minorEastAsia" w:hAnsiTheme="minorEastAsia" w:eastAsiaTheme="minorEastAsia" w:cstheme="minorEastAsia"/>
          <w:b/>
          <w:bCs w:val="0"/>
          <w:color w:val="auto"/>
          <w:sz w:val="24"/>
          <w:szCs w:val="24"/>
          <w:highlight w:val="none"/>
          <w:lang w:val="en-US" w:eastAsia="zh-CN"/>
        </w:rPr>
        <w:t xml:space="preserve">注：仪器检出限和质量精度除满足上述要求，还应达到投标文件中的响应要求。</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）安装调试应做好安装记录和调试的过程记录，提供安装调试工作总结。</w:t>
      </w:r>
      <w:r/>
    </w:p>
    <w:p>
      <w:pPr>
        <w:pStyle w:val="664"/>
        <w:ind w:left="0" w:firstLine="482"/>
        <w:jc w:val="left"/>
        <w:keepLines w:val="0"/>
        <w:keepNext w:val="0"/>
        <w:pageBreakBefore w:val="0"/>
        <w:spacing w:line="360" w:lineRule="auto"/>
        <w:tabs>
          <w:tab w:val="left" w:pos="567" w:leader="none"/>
        </w:tabs>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、检验与验收</w:t>
      </w:r>
      <w:r/>
    </w:p>
    <w:p>
      <w:pPr>
        <w:pStyle w:val="665"/>
        <w:ind w:left="0" w:firstLine="480"/>
        <w:jc w:val="left"/>
        <w:keepLines w:val="0"/>
        <w:keepNext w:val="0"/>
        <w:pageBreakBefore w:val="0"/>
        <w:spacing w:line="360" w:lineRule="auto"/>
        <w:tabs>
          <w:tab w:val="left" w:pos="1080"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1、检验与验收依据</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（1）设备安装、调试按本技术条款进行。</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（2）提供的各种设备、备品备件和专用工具按签订合同后的设备清单验收。</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（3）验收中有特殊要求的均在本技术规范有关章节提出。</w:t>
      </w:r>
      <w:r/>
    </w:p>
    <w:p>
      <w:pPr>
        <w:pStyle w:val="665"/>
        <w:ind w:left="0" w:firstLine="480"/>
        <w:jc w:val="left"/>
        <w:keepLines w:val="0"/>
        <w:keepNext w:val="0"/>
        <w:pageBreakBefore w:val="0"/>
        <w:spacing w:line="360" w:lineRule="auto"/>
        <w:tabs>
          <w:tab w:val="left" w:pos="1080"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2、现场开箱检验</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（1）设备到达存放地点后，由中标供应商组织人员进行检验，检验日期应在7天前通知采购人。</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（2）现场检验应按照合同清单详细检查设备的品牌、型号和数量等，并详细记录每件设备的开箱检验情况，报送采购人备案。</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（3）在检验中发现短缺或损坏，中标供应商应迅速采取措施补救，损坏设备必须更换后重新检验。</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（4）开箱检验合格后，中标供应商必须将设备供货商提供的设备相关文档全部移交给采购人。</w:t>
      </w:r>
      <w:r/>
    </w:p>
    <w:p>
      <w:pPr>
        <w:pStyle w:val="665"/>
        <w:ind w:left="0" w:firstLine="480"/>
        <w:jc w:val="left"/>
        <w:keepLines w:val="0"/>
        <w:keepNext w:val="0"/>
        <w:pageBreakBefore w:val="0"/>
        <w:spacing w:line="360" w:lineRule="auto"/>
        <w:tabs>
          <w:tab w:val="left" w:pos="108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试运行验收</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（1）中标供应商严格按照合同条款、设备使用说明书、操作手册的规定和程序进行安装、调试</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除证明已满足本招标文件技术规范要求外，还要提供相应的文件和资料。</w:t>
      </w:r>
      <w:r/>
    </w:p>
    <w:p>
      <w:pPr>
        <w:ind w:lef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验收要求按照安装技术要求执行</w:t>
      </w:r>
      <w:r>
        <w:rPr>
          <w:rFonts w:hint="eastAsia" w:asciiTheme="minorEastAsia" w:hAnsiTheme="minorEastAsia" w:eastAsiaTheme="minorEastAsia" w:cstheme="minorEastAsia"/>
          <w:color w:val="auto"/>
          <w:sz w:val="24"/>
          <w:szCs w:val="24"/>
          <w:highlight w:val="none"/>
        </w:rPr>
        <w:t xml:space="preserve">。</w:t>
      </w:r>
      <w:r/>
    </w:p>
    <w:p>
      <w:pPr>
        <w:ind w:left="0" w:firstLine="480"/>
        <w:jc w:val="left"/>
        <w:keepLines w:val="0"/>
        <w:keepNext w:val="0"/>
        <w:pageBreakBefore w:val="0"/>
        <w:spacing w:line="360" w:lineRule="auto"/>
        <w:rPr>
          <w:rFonts w:hint="default" w:eastAsia="华文细黑"/>
          <w:color w:val="auto"/>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）试运行验收时要认真做好记录。若设备出现质量问题，</w:t>
      </w:r>
      <w:r>
        <w:rPr>
          <w:rFonts w:hint="eastAsia" w:asciiTheme="minorEastAsia" w:hAnsiTheme="minorEastAsia" w:eastAsiaTheme="minorEastAsia" w:cstheme="minorEastAsia"/>
          <w:color w:val="auto"/>
          <w:sz w:val="24"/>
          <w:szCs w:val="24"/>
          <w:highlight w:val="none"/>
        </w:rPr>
        <w:t xml:space="preserve">中标供应商</w:t>
      </w:r>
      <w:r>
        <w:rPr>
          <w:rFonts w:hint="eastAsia" w:asciiTheme="minorEastAsia" w:hAnsiTheme="minorEastAsia" w:eastAsiaTheme="minorEastAsia" w:cstheme="minorEastAsia"/>
          <w:color w:val="auto"/>
          <w:sz w:val="24"/>
          <w:szCs w:val="24"/>
          <w:highlight w:val="none"/>
          <w:lang w:eastAsia="zh-CN"/>
        </w:rPr>
        <w:t xml:space="preserve">应</w:t>
      </w:r>
      <w:r>
        <w:rPr>
          <w:rFonts w:hint="eastAsia" w:asciiTheme="minorEastAsia" w:hAnsiTheme="minorEastAsia" w:eastAsiaTheme="minorEastAsia" w:cstheme="minorEastAsia"/>
          <w:color w:val="auto"/>
          <w:sz w:val="24"/>
          <w:szCs w:val="24"/>
          <w:highlight w:val="none"/>
          <w:lang w:val="en-US" w:eastAsia="zh-CN"/>
        </w:rPr>
        <w:t xml:space="preserve">尽快处置</w:t>
      </w:r>
      <w:r>
        <w:rPr>
          <w:rFonts w:hint="eastAsia" w:asciiTheme="minorEastAsia" w:hAnsiTheme="minorEastAsia" w:eastAsiaTheme="minorEastAsia" w:cstheme="minorEastAsia"/>
          <w:color w:val="auto"/>
          <w:sz w:val="24"/>
          <w:szCs w:val="24"/>
          <w:highlight w:val="none"/>
          <w:lang w:eastAsia="zh-CN"/>
        </w:rPr>
        <w:t xml:space="preserve">。</w:t>
      </w:r>
      <w:r/>
    </w:p>
    <w:p>
      <w:pPr>
        <w:pStyle w:val="665"/>
        <w:ind w:left="0" w:firstLine="480"/>
        <w:jc w:val="left"/>
        <w:keepLines w:val="0"/>
        <w:keepNext w:val="0"/>
        <w:pageBreakBefore w:val="0"/>
        <w:spacing w:line="360" w:lineRule="auto"/>
        <w:tabs>
          <w:tab w:val="left" w:pos="1080"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4、合同完工验收</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（1）中标供应商完成合同所规定的全部建设内容，质量符合要求，中标供应商向采购人提出验收申请，采购人同意后，申请合同完工验收。</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（2）完工验收由采购人组织有关专家、管理单位、设计等单位人员组成验收委员会进行验收，中标供应商协助配合有关工作。</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（3）中标供应商应在验收前7天将施工管理工作报告、系统测试报告、安装调试报告等资料报采购人审核。</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（4）完工验收内容包括：对本工程进行全面检验，评定工程质量；提交合同完工验收报告，签发合同完工鉴定书；进行工程设备、备品备件、仪器仪表、工具、文件资料等交接工作。</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（5）完工验收时如发现问题，由采购人按实际情况分清责任，如需中标供应商处理解决的，应暂停验收，待中标供应商完成整改后，再进行验收。</w:t>
      </w:r>
      <w:r/>
    </w:p>
    <w:p>
      <w:pPr>
        <w:pStyle w:val="665"/>
        <w:ind w:left="0" w:firstLine="480"/>
        <w:jc w:val="left"/>
        <w:keepLines w:val="0"/>
        <w:keepNext w:val="0"/>
        <w:pageBreakBefore w:val="0"/>
        <w:spacing w:line="360" w:lineRule="auto"/>
        <w:tabs>
          <w:tab w:val="left" w:pos="1080"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lang w:val="en-US" w:eastAsia="zh-CN"/>
        </w:rPr>
        <w:t xml:space="preserve">准</w:t>
      </w:r>
      <w:r>
        <w:rPr>
          <w:rFonts w:hint="eastAsia" w:asciiTheme="minorEastAsia" w:hAnsiTheme="minorEastAsia" w:eastAsiaTheme="minorEastAsia" w:cstheme="minorEastAsia"/>
          <w:color w:val="auto"/>
          <w:sz w:val="24"/>
          <w:szCs w:val="24"/>
          <w:highlight w:val="none"/>
        </w:rPr>
        <w:t xml:space="preserve">运行</w:t>
      </w:r>
      <w:r>
        <w:rPr>
          <w:rFonts w:hint="eastAsia" w:asciiTheme="minorEastAsia" w:hAnsiTheme="minorEastAsia" w:eastAsiaTheme="minorEastAsia" w:cstheme="minorEastAsia"/>
          <w:color w:val="auto"/>
          <w:sz w:val="24"/>
          <w:szCs w:val="24"/>
          <w:highlight w:val="none"/>
          <w:lang w:val="en-US" w:eastAsia="zh-CN"/>
        </w:rPr>
        <w:t xml:space="preserve">验收（含30天短期使用验收）</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合同完工验收后，进入为期</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个月的</w:t>
      </w:r>
      <w:r>
        <w:rPr>
          <w:rFonts w:hint="eastAsia" w:asciiTheme="minorEastAsia" w:hAnsiTheme="minorEastAsia" w:eastAsiaTheme="minorEastAsia" w:cstheme="minorEastAsia"/>
          <w:color w:val="auto"/>
          <w:sz w:val="24"/>
          <w:szCs w:val="24"/>
          <w:highlight w:val="none"/>
          <w:lang w:val="en-US" w:eastAsia="zh-CN"/>
        </w:rPr>
        <w:t xml:space="preserve">准</w:t>
      </w:r>
      <w:r>
        <w:rPr>
          <w:rFonts w:hint="eastAsia" w:asciiTheme="minorEastAsia" w:hAnsiTheme="minorEastAsia" w:eastAsiaTheme="minorEastAsia" w:cstheme="minorEastAsia"/>
          <w:color w:val="auto"/>
          <w:sz w:val="24"/>
          <w:szCs w:val="24"/>
          <w:highlight w:val="none"/>
        </w:rPr>
        <w:t xml:space="preserve">运行期（含30天短期使用验收），乙方</w:t>
      </w:r>
      <w:r>
        <w:rPr>
          <w:rFonts w:hint="eastAsia" w:asciiTheme="minorEastAsia" w:hAnsiTheme="minorEastAsia" w:eastAsiaTheme="minorEastAsia" w:cstheme="minorEastAsia"/>
          <w:color w:val="auto"/>
          <w:sz w:val="24"/>
          <w:szCs w:val="24"/>
          <w:highlight w:val="none"/>
          <w:lang w:val="en-US" w:eastAsia="zh-CN"/>
        </w:rPr>
        <w:t xml:space="preserve">根据甲方需求无条件提供技术响应支持和驻场服务</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期间未发现严重质量缺陷且发现的问题均已处置完毕，乙方</w:t>
      </w:r>
      <w:r>
        <w:rPr>
          <w:rFonts w:hint="eastAsia" w:asciiTheme="minorEastAsia" w:hAnsiTheme="minorEastAsia" w:eastAsiaTheme="minorEastAsia" w:cstheme="minorEastAsia"/>
          <w:color w:val="auto"/>
          <w:sz w:val="24"/>
          <w:szCs w:val="24"/>
          <w:highlight w:val="none"/>
        </w:rPr>
        <w:t xml:space="preserve">提交试运行报告</w:t>
      </w:r>
      <w:r>
        <w:rPr>
          <w:rFonts w:hint="eastAsia" w:asciiTheme="minorEastAsia" w:hAnsiTheme="minorEastAsia" w:eastAsiaTheme="minorEastAsia" w:cstheme="minorEastAsia"/>
          <w:color w:val="auto"/>
          <w:sz w:val="24"/>
          <w:szCs w:val="24"/>
          <w:highlight w:val="none"/>
          <w:lang w:val="en-US" w:eastAsia="zh-CN"/>
        </w:rPr>
        <w:t xml:space="preserve">，经建设各方确认后，甲方出具确认文件</w:t>
      </w:r>
      <w:r>
        <w:rPr>
          <w:rFonts w:hint="eastAsia" w:asciiTheme="minorEastAsia" w:hAnsiTheme="minorEastAsia" w:eastAsiaTheme="minorEastAsia" w:cstheme="minorEastAsia"/>
          <w:color w:val="auto"/>
          <w:sz w:val="24"/>
          <w:szCs w:val="24"/>
          <w:highlight w:val="none"/>
        </w:rPr>
        <w:t xml:space="preserve">。</w:t>
      </w:r>
      <w:r/>
    </w:p>
    <w:p>
      <w:pPr>
        <w:pStyle w:val="665"/>
        <w:ind w:left="0" w:firstLine="480"/>
        <w:jc w:val="left"/>
        <w:keepLines w:val="0"/>
        <w:keepNext w:val="0"/>
        <w:pageBreakBefore w:val="0"/>
        <w:spacing w:line="360" w:lineRule="auto"/>
        <w:tabs>
          <w:tab w:val="left" w:pos="1080"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6、工程竣工验收</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由建设主管部门组织采购人、</w:t>
      </w:r>
      <w:r>
        <w:rPr>
          <w:rFonts w:hint="eastAsia" w:asciiTheme="minorEastAsia" w:hAnsiTheme="minorEastAsia" w:eastAsiaTheme="minorEastAsia" w:cstheme="minorEastAsia"/>
          <w:color w:val="auto"/>
          <w:sz w:val="24"/>
          <w:szCs w:val="24"/>
          <w:highlight w:val="none"/>
          <w:lang w:val="en-US" w:eastAsia="zh-CN"/>
        </w:rPr>
        <w:t xml:space="preserve">设计及</w:t>
      </w:r>
      <w:r>
        <w:rPr>
          <w:rFonts w:hint="eastAsia" w:asciiTheme="minorEastAsia" w:hAnsiTheme="minorEastAsia" w:eastAsiaTheme="minorEastAsia" w:cstheme="minorEastAsia"/>
          <w:color w:val="auto"/>
          <w:sz w:val="24"/>
          <w:szCs w:val="24"/>
          <w:highlight w:val="none"/>
        </w:rPr>
        <w:t xml:space="preserve">其他有关人员组成验收组，负责对本项目进行竣工验收，中标供应商按照竣工验收有关要求，协助做好相应工作。</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color w:val="auto"/>
          <w:sz w:val="24"/>
          <w:szCs w:val="24"/>
          <w:highlight w:val="none"/>
          <w:lang w:val="en-US" w:eastAsia="zh-CN" w:bidi="ar"/>
        </w:rPr>
        <w:outlineLvl w:val="1"/>
        <w:suppressLineNumbers w:val="0"/>
      </w:pPr>
      <w:r>
        <w:rPr>
          <w:rFonts w:hint="eastAsia" w:ascii="宋体" w:hAnsi="宋体" w:eastAsia="宋体" w:cs="宋体"/>
          <w:b/>
          <w:bCs/>
          <w:color w:val="auto"/>
          <w:sz w:val="24"/>
          <w:szCs w:val="24"/>
          <w:highlight w:val="none"/>
          <w:lang w:val="en-US" w:eastAsia="zh-CN" w:bidi="ar"/>
        </w:rPr>
        <w:t xml:space="preserve">六、质保期与售后服务</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（1）质量保证期从</w:t>
      </w:r>
      <w:r>
        <w:rPr>
          <w:rFonts w:hint="eastAsia" w:ascii="宋体" w:hAnsi="宋体" w:cs="宋体"/>
          <w:color w:val="auto"/>
          <w:sz w:val="24"/>
          <w:szCs w:val="24"/>
          <w:highlight w:val="none"/>
          <w:lang w:val="en-US" w:eastAsia="zh-CN"/>
        </w:rPr>
        <w:t xml:space="preserve">合同完工验收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以采购人确认为准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之日起，期限为</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个月。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（2）保证期内，中标供应商负责</w:t>
      </w:r>
      <w:r>
        <w:rPr>
          <w:rFonts w:hint="eastAsia" w:ascii="宋体" w:hAnsi="宋体" w:cs="宋体"/>
          <w:color w:val="auto"/>
          <w:sz w:val="24"/>
          <w:szCs w:val="24"/>
          <w:highlight w:val="none"/>
          <w:lang w:val="en-US" w:eastAsia="zh-CN"/>
        </w:rPr>
        <w:t xml:space="preserve">所有采购</w:t>
      </w:r>
      <w:r>
        <w:rPr>
          <w:rFonts w:hint="eastAsia" w:ascii="宋体" w:hAnsi="宋体" w:eastAsia="宋体" w:cs="宋体"/>
          <w:color w:val="auto"/>
          <w:sz w:val="24"/>
          <w:szCs w:val="24"/>
          <w:highlight w:val="none"/>
        </w:rPr>
        <w:t xml:space="preserve">设备的故障维修工作。设备发生非人为因素的故障，皆应由中标供应商负责免费维修。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）如果一个月内设备严重故障时间超过48小时或月累计一般故障时间超过一周，则保证期相应延长一个月。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）保证期内投标供应商因设备维修所发生的一切费用，包括工时费、交通费、住宿费均由中标供应商承担。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）在保证期后，投标供应商有义务在设备的使用维护、备件供应等方面以优惠的价格继续向采购人提供技术支持。</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）中标供应商有义务向用户说明提供系统软件最新版本的方法及优惠条件。</w:t>
      </w:r>
      <w:r/>
    </w:p>
    <w:p>
      <w:pPr>
        <w:pStyle w:val="664"/>
        <w:ind w:left="0" w:firstLine="482"/>
        <w:jc w:val="left"/>
        <w:keepLines w:val="0"/>
        <w:keepNext w:val="0"/>
        <w:pageBreakBefore w:val="0"/>
        <w:spacing w:line="360" w:lineRule="auto"/>
        <w:tabs>
          <w:tab w:val="left" w:pos="567" w:leader="none"/>
        </w:tabs>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七</w:t>
      </w:r>
      <w:r>
        <w:rPr>
          <w:rFonts w:hint="eastAsia" w:asciiTheme="minorEastAsia" w:hAnsiTheme="minorEastAsia" w:eastAsiaTheme="minorEastAsia" w:cstheme="minorEastAsia"/>
          <w:b/>
          <w:bCs/>
          <w:color w:val="auto"/>
          <w:sz w:val="24"/>
          <w:szCs w:val="24"/>
          <w:highlight w:val="none"/>
        </w:rPr>
        <w:t xml:space="preserve">、产权与保密</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中标供应商为采购人提供的并且已被支付的全部产品（包括设备、软件和文档）的所有权均属采购人所有。</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中标供应商应严守采购人的商业秘密，对采购人提供的所有资料和实施各任务过程中接触的资料均予以保密，并承诺为采购人完成开发任务时不抄袭任何他人产品或侵犯他方的知识产权。</w:t>
      </w:r>
      <w:r/>
    </w:p>
    <w:p>
      <w:pPr>
        <w:pStyle w:val="664"/>
        <w:ind w:left="0" w:firstLine="482"/>
        <w:jc w:val="left"/>
        <w:keepLines w:val="0"/>
        <w:keepNext w:val="0"/>
        <w:pageBreakBefore w:val="0"/>
        <w:spacing w:line="360" w:lineRule="auto"/>
        <w:tabs>
          <w:tab w:val="left" w:pos="567" w:leader="none"/>
        </w:tabs>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八</w:t>
      </w:r>
      <w:r>
        <w:rPr>
          <w:rFonts w:hint="eastAsia" w:asciiTheme="minorEastAsia" w:hAnsiTheme="minorEastAsia" w:eastAsiaTheme="minorEastAsia" w:cstheme="minorEastAsia"/>
          <w:b/>
          <w:bCs/>
          <w:color w:val="auto"/>
          <w:sz w:val="24"/>
          <w:szCs w:val="24"/>
          <w:highlight w:val="none"/>
        </w:rPr>
        <w:t xml:space="preserve">、培训</w:t>
      </w:r>
      <w:r/>
    </w:p>
    <w:p>
      <w:pPr>
        <w:ind w:lef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在采购人设备安装现场提供</w:t>
      </w:r>
      <w:r>
        <w:rPr>
          <w:rFonts w:hint="eastAsia" w:cs="宋体" w:asciiTheme="minorEastAsia" w:hAnsiTheme="minorEastAsia" w:eastAsiaTheme="minorEastAsia"/>
          <w:color w:val="auto"/>
          <w:sz w:val="24"/>
          <w:szCs w:val="24"/>
          <w:highlight w:val="none"/>
          <w:lang w:val="en-US" w:eastAsia="zh-CN"/>
        </w:rPr>
        <w:t xml:space="preserve">2次完整全套的仪器基本原理和操作使用培训。（培训具体时间协商确定）</w:t>
      </w:r>
      <w:r/>
    </w:p>
    <w:p>
      <w:pPr>
        <w:ind w:lef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在仪器生产商实验室提供5人次的脱产培训，包括</w:t>
      </w:r>
      <w:r>
        <w:rPr>
          <w:rFonts w:hint="eastAsia" w:asciiTheme="minorEastAsia" w:hAnsiTheme="minorEastAsia" w:eastAsiaTheme="minorEastAsia" w:cstheme="minorEastAsia"/>
          <w:color w:val="auto"/>
          <w:sz w:val="24"/>
          <w:szCs w:val="24"/>
          <w:highlight w:val="none"/>
        </w:rPr>
        <w:t xml:space="preserve">基本原理、</w:t>
      </w:r>
      <w:r>
        <w:rPr>
          <w:rFonts w:hint="eastAsia" w:asciiTheme="minorEastAsia" w:hAnsiTheme="minorEastAsia" w:eastAsiaTheme="minorEastAsia" w:cstheme="minorEastAsia"/>
          <w:color w:val="auto"/>
          <w:sz w:val="24"/>
          <w:szCs w:val="24"/>
          <w:highlight w:val="none"/>
          <w:lang w:val="en-US" w:eastAsia="zh-CN"/>
        </w:rPr>
        <w:t xml:space="preserve">使用</w:t>
      </w:r>
      <w:r>
        <w:rPr>
          <w:rFonts w:hint="eastAsia" w:asciiTheme="minorEastAsia" w:hAnsiTheme="minorEastAsia" w:eastAsiaTheme="minorEastAsia" w:cstheme="minorEastAsia"/>
          <w:color w:val="auto"/>
          <w:sz w:val="24"/>
          <w:szCs w:val="24"/>
          <w:highlight w:val="none"/>
        </w:rPr>
        <w:t xml:space="preserve">、维护</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数据</w:t>
      </w:r>
      <w:r>
        <w:rPr>
          <w:rFonts w:hint="eastAsia" w:asciiTheme="minorEastAsia" w:hAnsiTheme="minorEastAsia" w:eastAsiaTheme="minorEastAsia" w:cstheme="minorEastAsia"/>
          <w:color w:val="auto"/>
          <w:sz w:val="24"/>
          <w:szCs w:val="24"/>
          <w:highlight w:val="none"/>
        </w:rPr>
        <w:t xml:space="preserve">分析</w:t>
      </w:r>
      <w:r>
        <w:rPr>
          <w:rFonts w:hint="eastAsia" w:asciiTheme="minorEastAsia" w:hAnsiTheme="minorEastAsia" w:eastAsiaTheme="minorEastAsia" w:cstheme="minorEastAsia"/>
          <w:color w:val="auto"/>
          <w:sz w:val="24"/>
          <w:szCs w:val="24"/>
          <w:highlight w:val="none"/>
          <w:lang w:val="en-US" w:eastAsia="zh-CN"/>
        </w:rPr>
        <w:t xml:space="preserve">等内容及实操训练</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保证学员能够独立使用和获得正确数据</w:t>
      </w:r>
      <w:r>
        <w:rPr>
          <w:rFonts w:hint="eastAsia" w:asciiTheme="minorEastAsia" w:hAnsiTheme="minorEastAsia" w:eastAsiaTheme="minorEastAsia" w:cstheme="minorEastAsia"/>
          <w:color w:val="auto"/>
          <w:sz w:val="24"/>
          <w:szCs w:val="24"/>
          <w:highlight w:val="none"/>
        </w:rPr>
        <w:t xml:space="preserve">。</w:t>
      </w:r>
      <w:r/>
    </w:p>
    <w:p>
      <w:pPr>
        <w:ind w:left="0" w:firstLine="482"/>
        <w:jc w:val="left"/>
        <w:keepLines w:val="0"/>
        <w:keepNext w:val="0"/>
        <w:pageBreakBefore w:val="0"/>
        <w:spacing w:line="360" w:lineRule="auto"/>
        <w:rPr>
          <w:rFonts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lang w:val="en-US" w:eastAsia="zh-CN"/>
        </w:rPr>
        <w:t xml:space="preserve">九</w:t>
      </w:r>
      <w:r>
        <w:rPr>
          <w:rFonts w:hint="eastAsia" w:asciiTheme="minorEastAsia" w:hAnsiTheme="minorEastAsia" w:eastAsiaTheme="minorEastAsia" w:cstheme="minorEastAsia"/>
          <w:b/>
          <w:bCs/>
          <w:color w:val="auto"/>
          <w:sz w:val="24"/>
          <w:szCs w:val="24"/>
          <w:highlight w:val="none"/>
        </w:rPr>
        <w:t xml:space="preserve">、其他有关说明</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1、项目工期：</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0日历天。</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2、质保及售后要求：保证产品为全新原厂设备，质保期内中标供应商须提供免费上门维修、更换非人为损坏零部件及技术咨询服务。</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服务响应：厂家提供快捷、周到、规范的技术服务，系统出现故障时，供货或服务商维修人员在接到通知后，2小时内作出应答，24小时内到达现场排除故障。终身提供免费的应用咨询以及技术帮助。</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3、服务地点：太湖流域水文水资源监测中心（太湖流域水环境监测中心）指定地点。</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4、付款方式：</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（1）预付款：中标供应商与采购人合同签订后，中标供应商提交合同总金额10%的履约保函并经采购人审核无误后，15个工作日内采购人向中标供应商支付合同总金额的30%作为预付款。</w:t>
      </w:r>
      <w:r/>
    </w:p>
    <w:p>
      <w:pPr>
        <w:ind w:left="0" w:firstLine="480"/>
        <w:jc w:val="left"/>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（2）工程进度款：设备到货，完成开箱验收后，甲方向乙方支付合同总金额的</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完成设备安装调试</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试运行验收</w:t>
      </w:r>
      <w:r>
        <w:rPr>
          <w:rFonts w:hint="eastAsia" w:asciiTheme="minorEastAsia" w:hAnsiTheme="minorEastAsia" w:eastAsiaTheme="minorEastAsia" w:cstheme="minorEastAsia"/>
          <w:color w:val="auto"/>
          <w:sz w:val="24"/>
          <w:szCs w:val="24"/>
          <w:highlight w:val="none"/>
        </w:rPr>
        <w:t xml:space="preserve">合格</w:t>
      </w:r>
      <w:r>
        <w:rPr>
          <w:rFonts w:hint="eastAsia" w:asciiTheme="minorEastAsia" w:hAnsiTheme="minorEastAsia" w:eastAsiaTheme="minorEastAsia" w:cstheme="minorEastAsia"/>
          <w:color w:val="auto"/>
          <w:sz w:val="24"/>
          <w:szCs w:val="24"/>
          <w:highlight w:val="none"/>
          <w:lang w:val="en-US" w:eastAsia="zh-CN"/>
        </w:rPr>
        <w:t xml:space="preserve">并经甲方确认</w:t>
      </w:r>
      <w:r>
        <w:rPr>
          <w:rFonts w:hint="eastAsia" w:asciiTheme="minorEastAsia" w:hAnsiTheme="minorEastAsia" w:eastAsiaTheme="minorEastAsia" w:cstheme="minorEastAsia"/>
          <w:color w:val="auto"/>
          <w:sz w:val="24"/>
          <w:szCs w:val="24"/>
          <w:highlight w:val="none"/>
        </w:rPr>
        <w:t xml:space="preserve">，甲方支付合同总金额</w:t>
      </w:r>
      <w:r>
        <w:rPr>
          <w:rFonts w:hint="eastAsia" w:asciiTheme="minorEastAsia" w:hAnsiTheme="minorEastAsia" w:eastAsiaTheme="minorEastAsia" w:cstheme="minorEastAsia"/>
          <w:color w:val="auto"/>
          <w:sz w:val="24"/>
          <w:szCs w:val="24"/>
          <w:highlight w:val="none"/>
          <w:lang w:val="en-US" w:eastAsia="zh-CN"/>
        </w:rPr>
        <w:t xml:space="preserve">的3</w:t>
      </w:r>
      <w:r>
        <w:rPr>
          <w:rFonts w:hint="eastAsia" w:asciiTheme="minorEastAsia" w:hAnsiTheme="minorEastAsia" w:eastAsiaTheme="minorEastAsia" w:cstheme="minorEastAsia"/>
          <w:color w:val="auto"/>
          <w:sz w:val="24"/>
          <w:szCs w:val="24"/>
          <w:highlight w:val="none"/>
        </w:rPr>
        <w:t xml:space="preserve">0%；</w:t>
      </w:r>
      <w:r>
        <w:rPr>
          <w:rFonts w:hint="eastAsia" w:asciiTheme="minorEastAsia" w:hAnsiTheme="minorEastAsia" w:eastAsiaTheme="minorEastAsia" w:cstheme="minorEastAsia"/>
          <w:color w:val="auto"/>
          <w:sz w:val="24"/>
          <w:szCs w:val="24"/>
          <w:highlight w:val="none"/>
          <w:lang w:val="en-US" w:eastAsia="zh-CN"/>
        </w:rPr>
        <w:t xml:space="preserve">合同</w:t>
      </w:r>
      <w:r>
        <w:rPr>
          <w:rFonts w:hint="eastAsia" w:asciiTheme="minorEastAsia" w:hAnsiTheme="minorEastAsia" w:eastAsiaTheme="minorEastAsia" w:cstheme="minorEastAsia"/>
          <w:color w:val="auto"/>
          <w:sz w:val="24"/>
          <w:szCs w:val="24"/>
          <w:highlight w:val="none"/>
        </w:rPr>
        <w:t xml:space="preserve">完工验收后，</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eastAsia="zh-CN"/>
        </w:rPr>
        <w:t xml:space="preserve">向乙方支付至合同金额的100%。</w:t>
      </w:r>
      <w:r>
        <w:rPr>
          <w:rFonts w:hint="eastAsia" w:asciiTheme="minorEastAsia" w:hAnsiTheme="minorEastAsia" w:eastAsiaTheme="minorEastAsia" w:cstheme="minorEastAsia"/>
          <w:color w:val="auto"/>
          <w:sz w:val="24"/>
          <w:szCs w:val="24"/>
          <w:highlight w:val="none"/>
          <w:lang w:val="en-US" w:eastAsia="zh-CN"/>
        </w:rPr>
        <w:t xml:space="preserve">准运行验收合格后，</w:t>
      </w:r>
      <w:r>
        <w:rPr>
          <w:rFonts w:hint="eastAsia" w:ascii="宋体" w:hAnsi="宋体" w:cs="宋体"/>
          <w:color w:val="auto"/>
          <w:sz w:val="24"/>
          <w:highlight w:val="none"/>
        </w:rPr>
        <w:t xml:space="preserve">乙方向甲方提交合同金额3%的质量保函</w:t>
      </w:r>
      <w:r>
        <w:rPr>
          <w:rFonts w:hint="eastAsia" w:ascii="宋体" w:hAnsi="宋体" w:cs="宋体"/>
          <w:color w:val="auto"/>
          <w:sz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甲方退还乙方履约保函</w:t>
      </w:r>
      <w:r>
        <w:rPr>
          <w:rFonts w:hint="eastAsia" w:asciiTheme="minorEastAsia" w:hAnsiTheme="minorEastAsia" w:eastAsiaTheme="minorEastAsia" w:cstheme="minorEastAsia"/>
          <w:color w:val="auto"/>
          <w:sz w:val="24"/>
          <w:szCs w:val="24"/>
          <w:highlight w:val="none"/>
          <w:lang w:eastAsia="zh-CN"/>
        </w:rPr>
        <w:t xml:space="preserve">。</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工程款支付货币为人民币，所有工程款支付均需中标供应商出具发票。</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因本项目资金来源为中央预算内投资，中标供应商充分理解并承诺若中央预算内投资不能及时到位或到位资金无法满足当前实际需求时，自身的资金能力可以保证该项目的进度和质量，并不能因此影响工期。</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5、报价要求</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（1）本项目最高限价为</w:t>
      </w:r>
      <w:r>
        <w:rPr>
          <w:rFonts w:hint="eastAsia" w:asciiTheme="minorEastAsia" w:hAnsiTheme="minorEastAsia" w:eastAsiaTheme="minorEastAsia" w:cstheme="minorEastAsia"/>
          <w:color w:val="auto"/>
          <w:sz w:val="24"/>
          <w:szCs w:val="24"/>
          <w:highlight w:val="none"/>
          <w:lang w:val="en-US" w:eastAsia="zh-CN"/>
        </w:rPr>
        <w:t xml:space="preserve">475</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（其中，</w:t>
      </w:r>
      <w:r>
        <w:rPr>
          <w:rFonts w:hint="eastAsia" w:asciiTheme="minorEastAsia" w:hAnsiTheme="minorEastAsia" w:eastAsiaTheme="minorEastAsia" w:cstheme="minorEastAsia"/>
          <w:color w:val="auto"/>
          <w:sz w:val="24"/>
          <w:szCs w:val="24"/>
          <w:highlight w:val="none"/>
          <w:lang w:eastAsia="zh-CN"/>
        </w:rPr>
        <w:t xml:space="preserve">全二维气相色谱-高分辨飞行时间质谱联用仪</w:t>
      </w:r>
      <w:r>
        <w:rPr>
          <w:rFonts w:hint="eastAsia" w:asciiTheme="minorEastAsia" w:hAnsiTheme="minorEastAsia" w:eastAsiaTheme="minorEastAsia" w:cstheme="minorEastAsia"/>
          <w:color w:val="auto"/>
          <w:sz w:val="24"/>
          <w:szCs w:val="24"/>
          <w:highlight w:val="none"/>
          <w:lang w:val="en-US" w:eastAsia="zh-CN"/>
        </w:rPr>
        <w:t xml:space="preserve">最高限价320.00万元，多功能自动进样器最高限价155.00万元）</w:t>
      </w:r>
      <w:r>
        <w:rPr>
          <w:rFonts w:hint="eastAsia" w:asciiTheme="minorEastAsia" w:hAnsiTheme="minorEastAsia" w:eastAsiaTheme="minorEastAsia" w:cstheme="minorEastAsia"/>
          <w:color w:val="auto"/>
          <w:sz w:val="24"/>
          <w:szCs w:val="24"/>
          <w:highlight w:val="none"/>
        </w:rPr>
        <w:t xml:space="preserve">，投标报价超出最高限价按无效标书处理。</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报价应包括本次招标范围内全部设备、材料、随设备提供的备品配件及专用工具的价格、全部税、包装费、运杂费（运抵采购人指定地点）、装卸费、保险费、安装费、集成调试费、采购人操作维护人员培训费、准</w:t>
      </w:r>
      <w:r>
        <w:rPr>
          <w:rFonts w:hint="eastAsia" w:asciiTheme="minorEastAsia" w:hAnsiTheme="minorEastAsia" w:eastAsiaTheme="minorEastAsia" w:cstheme="minorEastAsia"/>
          <w:color w:val="auto"/>
          <w:sz w:val="24"/>
          <w:szCs w:val="24"/>
          <w:highlight w:val="none"/>
          <w:lang w:val="en-US" w:eastAsia="zh-CN"/>
        </w:rPr>
        <w:t xml:space="preserve">运行期间乙方人员差旅费、</w:t>
      </w:r>
      <w:r>
        <w:rPr>
          <w:rFonts w:hint="eastAsia" w:asciiTheme="minorEastAsia" w:hAnsiTheme="minorEastAsia" w:eastAsiaTheme="minorEastAsia" w:cstheme="minorEastAsia"/>
          <w:color w:val="auto"/>
          <w:sz w:val="24"/>
          <w:szCs w:val="24"/>
          <w:highlight w:val="none"/>
        </w:rPr>
        <w:t xml:space="preserve">招标代理服务费等为完成该项目所需的全部费用，投标费用自理。</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在项目完成过程中，凡属中标供应商的所有缺陷（包括但不限于制造、安装、调试、验收等环节），中标供应商应无条件整改直至采购人满意为止，所发生的一切费用，视为已包含在中标供应商投标时的投标报价之中，且并不因此而影响合同履行期限。</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（4）在本招标文件第五章 附件“（三）投标报价明细表（格式）”中未列出而投标供应商认为要单独列出的报价项目，投标供应商可增加列出，并计入“价格合计”中。</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（5）投标供应商的报价应为完成该项目建设安装等全部费用。</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（6）投标报价，以人民币万元或元为单位报价。</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经评标委员会认定投标供应商的投标报价明显低于其他通过符合性审查投标供应商的报价，有可能影响产品质量或者不能诚信履约的，投标供应商必须在一小时内提供书面说明或相关证明材料以证明其报价合理性。投标供应商不能证明其报价合理性的，评标委员会应当将其作为无效投标处理。</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7、投标供应商必须在满足招标文件要求的基础上进行报价，如有技术偏离请于技术偏离表中说明。</w:t>
      </w:r>
      <w:r/>
    </w:p>
    <w:p>
      <w:pPr>
        <w:ind w:left="0" w:firstLine="480"/>
        <w:jc w:val="left"/>
        <w:keepLines w:val="0"/>
        <w:keepNext w:val="0"/>
        <w:pageBreakBefore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中标方承担。</w:t>
      </w:r>
      <w:r/>
    </w:p>
    <w:p>
      <w:pPr>
        <w:ind w:left="0" w:firstLine="480"/>
        <w:jc w:val="left"/>
        <w:keepLines w:val="0"/>
        <w:keepNext w:val="0"/>
        <w:pageBreakBefore w:val="0"/>
        <w:spacing w:line="360" w:lineRule="auto"/>
        <w:rPr>
          <w:rFonts w:ascii="宋体" w:hAnsi="宋体" w:cs="宋体"/>
          <w:color w:val="auto"/>
          <w:sz w:val="24"/>
          <w:highlight w:val="none"/>
        </w:rPr>
      </w:pPr>
      <w:r>
        <w:rPr>
          <w:rFonts w:hint="eastAsia" w:asciiTheme="minorEastAsia" w:hAnsiTheme="minorEastAsia" w:eastAsiaTheme="minorEastAsia" w:cstheme="minorEastAsia"/>
          <w:color w:val="auto"/>
          <w:sz w:val="24"/>
          <w:szCs w:val="24"/>
          <w:highlight w:val="none"/>
        </w:rPr>
        <w:t xml:space="preserve">9、涉及招标文件补充说明或修正，均以</w:t>
      </w:r>
      <w:r>
        <w:rPr>
          <w:rFonts w:hint="eastAsia" w:asciiTheme="minorEastAsia" w:hAnsiTheme="minorEastAsia" w:eastAsiaTheme="minorEastAsia" w:cstheme="minorEastAsia"/>
          <w:color w:val="auto"/>
          <w:sz w:val="24"/>
          <w:szCs w:val="24"/>
          <w:highlight w:val="none"/>
          <w:lang w:val="en-US" w:eastAsia="zh-CN"/>
        </w:rPr>
        <w:t xml:space="preserve">更正公告</w:t>
      </w:r>
      <w:r>
        <w:rPr>
          <w:rFonts w:hint="eastAsia" w:asciiTheme="minorEastAsia" w:hAnsiTheme="minorEastAsia" w:eastAsiaTheme="minorEastAsia" w:cstheme="minorEastAsia"/>
          <w:color w:val="auto"/>
          <w:sz w:val="24"/>
          <w:szCs w:val="24"/>
          <w:highlight w:val="none"/>
        </w:rPr>
        <w:t xml:space="preserve">为准。</w:t>
      </w:r>
      <w:r/>
    </w:p>
    <w:p>
      <w:pPr>
        <w:rPr>
          <w:color w:val="auto"/>
          <w:highlight w:val="none"/>
        </w:rPr>
      </w:pPr>
      <w:r>
        <w:rPr>
          <w:color w:val="auto"/>
          <w:highlight w:val="none"/>
        </w:rPr>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r/>
    </w:p>
    <w:p>
      <w:pPr>
        <w:pStyle w:val="674"/>
        <w:ind w:left="0" w:firstLine="0"/>
        <w:jc w:val="center"/>
        <w:rPr>
          <w:rFonts w:ascii="黑体" w:eastAsia="黑体"/>
          <w:bCs/>
          <w:color w:val="auto"/>
          <w:sz w:val="36"/>
          <w:szCs w:val="36"/>
          <w:highlight w:val="none"/>
        </w:rPr>
      </w:pPr>
      <w:r>
        <w:rPr>
          <w:rFonts w:ascii="黑体" w:eastAsia="黑体"/>
          <w:bCs/>
          <w:color w:val="auto"/>
          <w:sz w:val="36"/>
          <w:szCs w:val="36"/>
          <w:highlight w:val="none"/>
        </w:rPr>
      </w:r>
      <w:r/>
    </w:p>
    <w:p>
      <w:pPr>
        <w:pStyle w:val="674"/>
        <w:ind w:left="0" w:firstLine="0"/>
        <w:jc w:val="center"/>
        <w:rPr>
          <w:rFonts w:ascii="宋体" w:hAnsi="宋体"/>
          <w:color w:val="auto"/>
          <w:sz w:val="28"/>
          <w:highlight w:val="none"/>
        </w:rPr>
        <w:outlineLvl w:val="0"/>
      </w:pPr>
      <w:r/>
      <w:bookmarkStart w:id="18" w:name="_Toc30887"/>
      <w:r>
        <w:rPr>
          <w:rFonts w:hint="eastAsia" w:ascii="黑体" w:eastAsia="黑体"/>
          <w:bCs/>
          <w:color w:val="auto"/>
          <w:sz w:val="36"/>
          <w:szCs w:val="36"/>
          <w:highlight w:val="none"/>
        </w:rPr>
        <w:t xml:space="preserve">四、合同书（格式）</w:t>
      </w:r>
      <w:bookmarkEnd w:id="5"/>
      <w:r/>
      <w:bookmarkEnd w:id="18"/>
      <w:r/>
      <w:r/>
    </w:p>
    <w:p>
      <w:pPr>
        <w:jc w:val="center"/>
        <w:spacing w:line="360" w:lineRule="auto"/>
        <w:rPr>
          <w:rFonts w:ascii="宋体" w:hAnsi="宋体" w:cs="宋体"/>
          <w:b/>
          <w:color w:val="auto"/>
          <w:sz w:val="52"/>
          <w:szCs w:val="52"/>
          <w:highlight w:val="none"/>
        </w:rPr>
      </w:pPr>
      <w:r>
        <w:rPr>
          <w:rFonts w:ascii="宋体" w:hAnsi="宋体" w:cs="宋体"/>
          <w:b/>
          <w:color w:val="auto"/>
          <w:sz w:val="52"/>
          <w:szCs w:val="52"/>
          <w:highlight w:val="none"/>
        </w:rPr>
      </w:r>
      <w:r/>
    </w:p>
    <w:p>
      <w:pPr>
        <w:spacing w:before="156" w:line="312" w:lineRule="auto"/>
        <w:rPr>
          <w:rFonts w:ascii="黑体" w:eastAsia="黑体"/>
          <w:color w:val="auto"/>
          <w:highlight w:val="none"/>
        </w:rPr>
      </w:pPr>
      <w:r>
        <w:rPr>
          <w:rFonts w:ascii="黑体" w:eastAsia="黑体"/>
          <w:color w:val="auto"/>
          <w:highlight w:val="none"/>
        </w:rPr>
      </w:r>
      <w:r/>
    </w:p>
    <w:p>
      <w:pPr>
        <w:pStyle w:val="683"/>
        <w:rPr>
          <w:rFonts w:ascii="宋体" w:hAnsi="宋体"/>
          <w:bCs w:val="0"/>
          <w:color w:val="auto"/>
          <w:sz w:val="44"/>
          <w:szCs w:val="44"/>
          <w:highlight w:val="none"/>
        </w:rPr>
      </w:pPr>
      <w:r>
        <w:rPr>
          <w:rFonts w:hint="eastAsia" w:ascii="仿宋_GB2312" w:hAnsi="宋体" w:eastAsia="仿宋_GB2312"/>
          <w:b w:val="0"/>
          <w:color w:val="auto"/>
          <w:sz w:val="44"/>
          <w:szCs w:val="44"/>
          <w:highlight w:val="none"/>
          <w:u w:val="single"/>
        </w:rPr>
        <w:t xml:space="preserve"> </w:t>
      </w:r>
      <w:r>
        <w:rPr>
          <w:rFonts w:ascii="仿宋_GB2312" w:hAnsi="宋体" w:eastAsia="仿宋_GB2312"/>
          <w:b w:val="0"/>
          <w:color w:val="auto"/>
          <w:sz w:val="44"/>
          <w:szCs w:val="44"/>
          <w:highlight w:val="none"/>
          <w:u w:val="single"/>
        </w:rPr>
        <w:t xml:space="preserve">                          </w:t>
      </w:r>
      <w:r>
        <w:rPr>
          <w:rFonts w:hint="eastAsia" w:ascii="仿宋_GB2312" w:hAnsi="宋体" w:eastAsia="仿宋_GB2312"/>
          <w:b w:val="0"/>
          <w:color w:val="auto"/>
          <w:sz w:val="44"/>
          <w:szCs w:val="44"/>
          <w:highlight w:val="none"/>
        </w:rPr>
        <w:t xml:space="preserve">项目</w:t>
      </w:r>
      <w:r/>
    </w:p>
    <w:p>
      <w:pPr>
        <w:pStyle w:val="683"/>
        <w:ind w:left="2940" w:firstLine="880"/>
        <w:rPr>
          <w:rFonts w:ascii="宋体" w:hAnsi="宋体"/>
          <w:bCs w:val="0"/>
          <w:color w:val="auto"/>
          <w:sz w:val="44"/>
          <w:szCs w:val="44"/>
          <w:highlight w:val="none"/>
        </w:rPr>
      </w:pPr>
      <w:r>
        <w:rPr>
          <w:rFonts w:ascii="宋体" w:hAnsi="宋体"/>
          <w:bCs w:val="0"/>
          <w:color w:val="auto"/>
          <w:sz w:val="44"/>
          <w:szCs w:val="44"/>
          <w:highlight w:val="none"/>
        </w:rPr>
      </w:r>
      <w:r/>
    </w:p>
    <w:p>
      <w:pPr>
        <w:pStyle w:val="683"/>
        <w:ind w:left="2940" w:firstLine="880"/>
        <w:rPr>
          <w:rFonts w:ascii="宋体" w:hAnsi="宋体"/>
          <w:bCs w:val="0"/>
          <w:color w:val="auto"/>
          <w:sz w:val="44"/>
          <w:szCs w:val="44"/>
          <w:highlight w:val="none"/>
        </w:rPr>
      </w:pPr>
      <w:r>
        <w:rPr>
          <w:rFonts w:ascii="宋体" w:hAnsi="宋体"/>
          <w:bCs w:val="0"/>
          <w:color w:val="auto"/>
          <w:sz w:val="44"/>
          <w:szCs w:val="44"/>
          <w:highlight w:val="none"/>
        </w:rPr>
      </w:r>
      <w:r/>
    </w:p>
    <w:p>
      <w:pPr>
        <w:pStyle w:val="706"/>
        <w:ind w:right="-11" w:firstLine="182"/>
        <w:jc w:val="center"/>
        <w:spacing w:before="156"/>
        <w:rPr>
          <w:rFonts w:ascii="宋体" w:hAnsi="宋体"/>
          <w:b/>
          <w:color w:val="auto"/>
          <w:spacing w:val="12"/>
          <w:sz w:val="52"/>
          <w:highlight w:val="none"/>
        </w:rPr>
      </w:pPr>
      <w:r>
        <w:rPr>
          <w:rFonts w:hint="eastAsia" w:ascii="黑体" w:hAnsi="宋体"/>
          <w:bCs/>
          <w:color w:val="auto"/>
          <w:sz w:val="52"/>
          <w:szCs w:val="52"/>
          <w:highlight w:val="none"/>
        </w:rPr>
        <w:t xml:space="preserve">项 目 合 同</w:t>
      </w:r>
      <w:r/>
    </w:p>
    <w:p>
      <w:pPr>
        <w:ind w:firstLine="360"/>
        <w:rPr>
          <w:rFonts w:ascii="宋体"/>
          <w:color w:val="auto"/>
          <w:sz w:val="18"/>
          <w:highlight w:val="none"/>
        </w:rPr>
      </w:pPr>
      <w:r>
        <w:rPr>
          <w:rFonts w:ascii="宋体"/>
          <w:color w:val="auto"/>
          <w:sz w:val="18"/>
          <w:highlight w:val="none"/>
        </w:rPr>
      </w:r>
      <w:r/>
    </w:p>
    <w:p>
      <w:pPr>
        <w:ind w:firstLine="360"/>
        <w:rPr>
          <w:rFonts w:ascii="宋体"/>
          <w:color w:val="auto"/>
          <w:sz w:val="18"/>
          <w:highlight w:val="none"/>
        </w:rPr>
      </w:pPr>
      <w:r>
        <w:rPr>
          <w:rFonts w:ascii="宋体"/>
          <w:color w:val="auto"/>
          <w:sz w:val="18"/>
          <w:highlight w:val="none"/>
        </w:rPr>
      </w:r>
      <w:r/>
    </w:p>
    <w:p>
      <w:pPr>
        <w:ind w:firstLine="480"/>
        <w:spacing w:before="156" w:line="312" w:lineRule="auto"/>
        <w:rPr>
          <w:rFonts w:ascii="宋体"/>
          <w:color w:val="auto"/>
          <w:highlight w:val="none"/>
        </w:rPr>
      </w:pPr>
      <w:r>
        <w:rPr>
          <w:rFonts w:ascii="宋体"/>
          <w:color w:val="auto"/>
          <w:highlight w:val="none"/>
        </w:rPr>
      </w:r>
      <w:r/>
    </w:p>
    <w:p>
      <w:pPr>
        <w:ind w:left="945" w:firstLine="643"/>
        <w:rPr>
          <w:rFonts w:ascii="宋体" w:hAnsi="宋体"/>
          <w:b/>
          <w:color w:val="auto"/>
          <w:sz w:val="32"/>
          <w:highlight w:val="none"/>
          <w:u w:val="single"/>
        </w:rPr>
      </w:pPr>
      <w:r>
        <w:rPr>
          <w:rFonts w:hint="eastAsia" w:ascii="宋体"/>
          <w:b/>
          <w:color w:val="auto"/>
          <w:sz w:val="32"/>
          <w:highlight w:val="none"/>
        </w:rPr>
        <w:t xml:space="preserve">委托方： </w:t>
      </w:r>
      <w:r>
        <w:rPr>
          <w:rFonts w:ascii="宋体" w:hAnsi="宋体"/>
          <w:b/>
          <w:color w:val="auto"/>
          <w:sz w:val="32"/>
          <w:highlight w:val="none"/>
          <w:u w:val="single"/>
        </w:rPr>
        <w:t xml:space="preserve">太湖流域水文水资源监测中心</w:t>
      </w:r>
      <w:r/>
    </w:p>
    <w:p>
      <w:pPr>
        <w:ind w:left="945" w:firstLine="1928"/>
        <w:rPr>
          <w:rFonts w:ascii="宋体"/>
          <w:b/>
          <w:color w:val="auto"/>
          <w:sz w:val="32"/>
          <w:highlight w:val="none"/>
        </w:rPr>
      </w:pPr>
      <w:r>
        <w:rPr>
          <w:rFonts w:ascii="宋体" w:hAnsi="宋体"/>
          <w:b/>
          <w:color w:val="auto"/>
          <w:sz w:val="32"/>
          <w:highlight w:val="none"/>
          <w:u w:val="single"/>
        </w:rPr>
        <w:t xml:space="preserve">（太湖流域水环境监测中心）</w:t>
      </w:r>
      <w:r/>
    </w:p>
    <w:p>
      <w:pPr>
        <w:ind w:left="945" w:firstLine="643"/>
        <w:spacing w:line="360" w:lineRule="exact"/>
        <w:rPr>
          <w:rFonts w:ascii="宋体"/>
          <w:b/>
          <w:color w:val="auto"/>
          <w:sz w:val="32"/>
          <w:highlight w:val="none"/>
        </w:rPr>
      </w:pPr>
      <w:r>
        <w:rPr>
          <w:rFonts w:hint="eastAsia" w:ascii="宋体"/>
          <w:b/>
          <w:color w:val="auto"/>
          <w:sz w:val="32"/>
          <w:highlight w:val="none"/>
        </w:rPr>
        <w:t xml:space="preserve">（甲方）</w:t>
      </w:r>
      <w:r/>
    </w:p>
    <w:p>
      <w:pPr>
        <w:ind w:left="945" w:firstLine="643"/>
        <w:spacing w:before="312"/>
        <w:rPr>
          <w:rFonts w:ascii="宋体"/>
          <w:bCs/>
          <w:color w:val="auto"/>
          <w:sz w:val="32"/>
          <w:highlight w:val="none"/>
          <w:u w:val="single"/>
        </w:rPr>
      </w:pPr>
      <w:r>
        <w:rPr>
          <w:rFonts w:hint="eastAsia" w:ascii="宋体"/>
          <w:b/>
          <w:color w:val="auto"/>
          <w:sz w:val="32"/>
          <w:highlight w:val="none"/>
        </w:rPr>
        <w:t xml:space="preserve">承包方：</w:t>
      </w:r>
      <w:r>
        <w:rPr>
          <w:rFonts w:hint="eastAsia" w:ascii="宋体"/>
          <w:b/>
          <w:color w:val="auto"/>
          <w:sz w:val="32"/>
          <w:highlight w:val="none"/>
          <w:u w:val="single"/>
        </w:rPr>
        <w:t xml:space="preserve">   </w:t>
      </w:r>
      <w:r>
        <w:rPr>
          <w:rFonts w:ascii="宋体"/>
          <w:b/>
          <w:color w:val="auto"/>
          <w:sz w:val="32"/>
          <w:highlight w:val="none"/>
          <w:u w:val="single"/>
        </w:rPr>
        <w:t xml:space="preserve">                  </w:t>
      </w:r>
      <w:r>
        <w:rPr>
          <w:rFonts w:hint="eastAsia" w:ascii="宋体"/>
          <w:b/>
          <w:bCs/>
          <w:color w:val="auto"/>
          <w:sz w:val="32"/>
          <w:highlight w:val="none"/>
          <w:u w:val="single"/>
        </w:rPr>
        <w:t xml:space="preserve">          </w:t>
      </w:r>
      <w:r>
        <w:rPr>
          <w:rFonts w:hint="eastAsia" w:ascii="宋体"/>
          <w:bCs/>
          <w:color w:val="auto"/>
          <w:sz w:val="32"/>
          <w:highlight w:val="none"/>
          <w:u w:val="single"/>
        </w:rPr>
        <w:t xml:space="preserve"> </w:t>
      </w:r>
      <w:r/>
    </w:p>
    <w:p>
      <w:pPr>
        <w:ind w:left="945" w:firstLine="643"/>
        <w:spacing w:line="360" w:lineRule="exact"/>
        <w:rPr>
          <w:rFonts w:ascii="宋体"/>
          <w:b/>
          <w:color w:val="auto"/>
          <w:sz w:val="32"/>
          <w:highlight w:val="none"/>
        </w:rPr>
      </w:pPr>
      <w:r>
        <w:rPr>
          <w:rFonts w:hint="eastAsia" w:ascii="宋体"/>
          <w:b/>
          <w:color w:val="auto"/>
          <w:sz w:val="32"/>
          <w:highlight w:val="none"/>
        </w:rPr>
        <w:t xml:space="preserve">（乙方）</w:t>
      </w:r>
      <w:r/>
    </w:p>
    <w:p>
      <w:pPr>
        <w:ind w:firstLine="904"/>
        <w:spacing w:line="700" w:lineRule="exact"/>
        <w:rPr>
          <w:b/>
          <w:bCs/>
          <w:color w:val="auto"/>
          <w:sz w:val="30"/>
          <w:highlight w:val="none"/>
        </w:rPr>
      </w:pPr>
      <w:r>
        <w:rPr>
          <w:b/>
          <w:bCs/>
          <w:color w:val="auto"/>
          <w:sz w:val="30"/>
          <w:highlight w:val="none"/>
        </w:rPr>
      </w:r>
      <w:r/>
    </w:p>
    <w:p>
      <w:pPr>
        <w:ind w:firstLine="360"/>
        <w:jc w:val="center"/>
        <w:rPr>
          <w:rFonts w:ascii="宋体"/>
          <w:color w:val="auto"/>
          <w:sz w:val="18"/>
          <w:highlight w:val="none"/>
        </w:rPr>
      </w:pPr>
      <w:r>
        <w:rPr>
          <w:rFonts w:ascii="宋体"/>
          <w:color w:val="auto"/>
          <w:sz w:val="18"/>
          <w:highlight w:val="none"/>
        </w:rPr>
      </w:r>
      <w:r/>
    </w:p>
    <w:p>
      <w:pPr>
        <w:ind w:firstLine="1506"/>
        <w:spacing w:line="700" w:lineRule="exact"/>
        <w:rPr>
          <w:rFonts w:eastAsia="楷体_GB2312"/>
          <w:color w:val="auto"/>
          <w:sz w:val="30"/>
          <w:highlight w:val="none"/>
        </w:rPr>
      </w:pPr>
      <w:r>
        <w:rPr>
          <w:rFonts w:hint="eastAsia"/>
          <w:b/>
          <w:bCs/>
          <w:color w:val="auto"/>
          <w:sz w:val="30"/>
          <w:highlight w:val="none"/>
        </w:rPr>
        <w:t xml:space="preserve">签订地点</w:t>
      </w:r>
      <w:r>
        <w:rPr>
          <w:rFonts w:hint="eastAsia" w:eastAsia="黑体"/>
          <w:color w:val="auto"/>
          <w:sz w:val="30"/>
          <w:highlight w:val="none"/>
        </w:rPr>
        <w:t xml:space="preserve">：</w:t>
      </w:r>
      <w:r>
        <w:rPr>
          <w:rFonts w:hint="eastAsia"/>
          <w:color w:val="auto"/>
          <w:sz w:val="30"/>
          <w:highlight w:val="none"/>
          <w:u w:val="single"/>
        </w:rPr>
        <w:t xml:space="preserve">          </w:t>
      </w:r>
      <w:r>
        <w:rPr>
          <w:rFonts w:hint="eastAsia"/>
          <w:color w:val="auto"/>
          <w:sz w:val="30"/>
          <w:highlight w:val="none"/>
        </w:rPr>
        <w:t xml:space="preserve"> 省 </w:t>
      </w:r>
      <w:r>
        <w:rPr>
          <w:rFonts w:hint="eastAsia"/>
          <w:color w:val="auto"/>
          <w:sz w:val="30"/>
          <w:highlight w:val="none"/>
          <w:u w:val="single"/>
        </w:rPr>
        <w:t xml:space="preserve">   </w:t>
      </w:r>
      <w:r>
        <w:rPr>
          <w:color w:val="auto"/>
          <w:sz w:val="30"/>
          <w:highlight w:val="none"/>
          <w:u w:val="single"/>
        </w:rPr>
        <w:t xml:space="preserve">  </w:t>
      </w:r>
      <w:r>
        <w:rPr>
          <w:rFonts w:hint="eastAsia"/>
          <w:color w:val="auto"/>
          <w:sz w:val="30"/>
          <w:highlight w:val="none"/>
          <w:u w:val="single"/>
        </w:rPr>
        <w:t xml:space="preserve">   </w:t>
      </w:r>
      <w:r>
        <w:rPr>
          <w:rFonts w:hint="eastAsia"/>
          <w:color w:val="auto"/>
          <w:sz w:val="30"/>
          <w:highlight w:val="none"/>
        </w:rPr>
        <w:t xml:space="preserve">市（县）</w:t>
      </w:r>
      <w:r/>
    </w:p>
    <w:p>
      <w:pPr>
        <w:ind w:firstLine="1506"/>
        <w:rPr>
          <w:rFonts w:ascii="宋体" w:hAnsi="宋体"/>
          <w:color w:val="auto"/>
          <w:sz w:val="30"/>
          <w:highlight w:val="none"/>
        </w:rPr>
      </w:pPr>
      <w:r>
        <w:rPr>
          <w:rFonts w:hint="eastAsia"/>
          <w:b/>
          <w:bCs/>
          <w:color w:val="auto"/>
          <w:sz w:val="30"/>
          <w:highlight w:val="none"/>
        </w:rPr>
        <w:t xml:space="preserve">签订日期：</w:t>
      </w:r>
      <w:r>
        <w:rPr>
          <w:rFonts w:hint="eastAsia" w:ascii="宋体" w:hAnsi="宋体"/>
          <w:color w:val="auto"/>
          <w:sz w:val="30"/>
          <w:highlight w:val="none"/>
          <w:u w:val="single"/>
        </w:rPr>
        <w:t xml:space="preserve">  </w:t>
      </w:r>
      <w:r>
        <w:rPr>
          <w:rFonts w:ascii="宋体" w:hAnsi="宋体"/>
          <w:color w:val="auto"/>
          <w:sz w:val="30"/>
          <w:highlight w:val="none"/>
          <w:u w:val="single"/>
        </w:rPr>
        <w:t xml:space="preserve">    </w:t>
      </w:r>
      <w:r>
        <w:rPr>
          <w:rFonts w:hint="eastAsia" w:ascii="宋体" w:hAnsi="宋体"/>
          <w:color w:val="auto"/>
          <w:sz w:val="30"/>
          <w:highlight w:val="none"/>
          <w:u w:val="single"/>
        </w:rPr>
        <w:t xml:space="preserve"> </w:t>
      </w:r>
      <w:r>
        <w:rPr>
          <w:rFonts w:hint="eastAsia" w:ascii="宋体" w:hAnsi="宋体"/>
          <w:color w:val="auto"/>
          <w:sz w:val="30"/>
          <w:highlight w:val="none"/>
        </w:rPr>
        <w:t xml:space="preserve"> 年 </w:t>
      </w:r>
      <w:r>
        <w:rPr>
          <w:rFonts w:hint="eastAsia" w:ascii="宋体" w:hAnsi="宋体"/>
          <w:color w:val="auto"/>
          <w:sz w:val="30"/>
          <w:highlight w:val="none"/>
          <w:u w:val="single"/>
        </w:rPr>
        <w:t xml:space="preserve">  </w:t>
      </w:r>
      <w:r>
        <w:rPr>
          <w:rFonts w:ascii="宋体" w:hAnsi="宋体"/>
          <w:color w:val="auto"/>
          <w:sz w:val="30"/>
          <w:highlight w:val="none"/>
          <w:u w:val="single"/>
        </w:rPr>
        <w:t xml:space="preserve">    </w:t>
      </w:r>
      <w:r>
        <w:rPr>
          <w:rFonts w:hint="eastAsia" w:ascii="宋体" w:hAnsi="宋体"/>
          <w:color w:val="auto"/>
          <w:sz w:val="30"/>
          <w:highlight w:val="none"/>
          <w:u w:val="single"/>
        </w:rPr>
        <w:t xml:space="preserve">  </w:t>
      </w:r>
      <w:r>
        <w:rPr>
          <w:rFonts w:hint="eastAsia" w:ascii="宋体" w:hAnsi="宋体"/>
          <w:color w:val="auto"/>
          <w:sz w:val="30"/>
          <w:highlight w:val="none"/>
        </w:rPr>
        <w:t xml:space="preserve">月</w:t>
      </w:r>
      <w:r>
        <w:rPr>
          <w:rFonts w:hint="eastAsia" w:ascii="宋体" w:hAnsi="宋体"/>
          <w:color w:val="auto"/>
          <w:sz w:val="30"/>
          <w:highlight w:val="none"/>
          <w:u w:val="single"/>
        </w:rPr>
        <w:t xml:space="preserve"> </w:t>
      </w:r>
      <w:r>
        <w:rPr>
          <w:rFonts w:ascii="宋体" w:hAnsi="宋体"/>
          <w:color w:val="auto"/>
          <w:sz w:val="30"/>
          <w:highlight w:val="none"/>
          <w:u w:val="single"/>
        </w:rPr>
        <w:t xml:space="preserve">  </w:t>
      </w:r>
      <w:r>
        <w:rPr>
          <w:rFonts w:hint="eastAsia" w:ascii="宋体" w:hAnsi="宋体"/>
          <w:color w:val="auto"/>
          <w:sz w:val="30"/>
          <w:highlight w:val="none"/>
          <w:u w:val="single"/>
        </w:rPr>
        <w:t xml:space="preserve"> </w:t>
      </w:r>
      <w:r>
        <w:rPr>
          <w:rFonts w:hint="eastAsia" w:ascii="宋体" w:hAnsi="宋体"/>
          <w:color w:val="auto"/>
          <w:sz w:val="30"/>
          <w:highlight w:val="none"/>
        </w:rPr>
        <w:t xml:space="preserve">日</w:t>
      </w:r>
      <w:r/>
    </w:p>
    <w:p>
      <w:pPr>
        <w:jc w:val="center"/>
        <w:rPr>
          <w:rFonts w:ascii="黑体" w:hAnsi="黑体" w:eastAsia="黑体"/>
          <w:b/>
          <w:color w:val="auto"/>
          <w:sz w:val="36"/>
          <w:szCs w:val="36"/>
          <w:highlight w:val="none"/>
        </w:rPr>
      </w:pPr>
      <w:r>
        <w:rPr>
          <w:rFonts w:ascii="黑体" w:hAnsi="黑体" w:eastAsia="黑体"/>
          <w:b/>
          <w:color w:val="auto"/>
          <w:sz w:val="36"/>
          <w:szCs w:val="36"/>
          <w:highlight w:val="none"/>
        </w:rPr>
      </w:r>
      <w:r/>
    </w:p>
    <w:p>
      <w:pPr>
        <w:jc w:val="center"/>
        <w:rPr>
          <w:rFonts w:ascii="黑体" w:hAnsi="黑体" w:eastAsia="黑体"/>
          <w:b/>
          <w:color w:val="auto"/>
          <w:sz w:val="36"/>
          <w:szCs w:val="36"/>
          <w:highlight w:val="none"/>
        </w:rPr>
      </w:pPr>
      <w:r>
        <w:rPr>
          <w:rFonts w:ascii="黑体" w:hAnsi="黑体" w:eastAsia="黑体"/>
          <w:b/>
          <w:color w:val="auto"/>
          <w:sz w:val="36"/>
          <w:szCs w:val="36"/>
          <w:highlight w:val="none"/>
        </w:rPr>
      </w:r>
      <w:r/>
    </w:p>
    <w:p>
      <w:pPr>
        <w:jc w:val="center"/>
        <w:rPr>
          <w:rFonts w:ascii="黑体" w:hAnsi="黑体" w:eastAsia="黑体"/>
          <w:b/>
          <w:color w:val="auto"/>
          <w:sz w:val="36"/>
          <w:szCs w:val="36"/>
          <w:highlight w:val="none"/>
        </w:rPr>
      </w:pPr>
      <w:r>
        <w:rPr>
          <w:rFonts w:ascii="黑体" w:hAnsi="黑体" w:eastAsia="黑体"/>
          <w:b/>
          <w:color w:val="auto"/>
          <w:sz w:val="36"/>
          <w:szCs w:val="36"/>
          <w:highlight w:val="none"/>
        </w:rPr>
      </w:r>
      <w:r/>
    </w:p>
    <w:p>
      <w:pPr>
        <w:rPr>
          <w:rFonts w:ascii="黑体" w:hAnsi="黑体" w:eastAsia="黑体"/>
          <w:b/>
          <w:color w:val="auto"/>
          <w:sz w:val="36"/>
          <w:szCs w:val="36"/>
          <w:highlight w:val="none"/>
        </w:rPr>
      </w:pPr>
      <w:r>
        <w:rPr>
          <w:rFonts w:hint="eastAsia" w:ascii="黑体" w:hAnsi="黑体" w:eastAsia="黑体"/>
          <w:b/>
          <w:color w:val="auto"/>
          <w:sz w:val="36"/>
          <w:szCs w:val="36"/>
          <w:highlight w:val="none"/>
        </w:rPr>
        <w:br w:type="page" w:clear="all"/>
      </w:r>
      <w:r/>
    </w:p>
    <w:p>
      <w:pPr>
        <w:jc w:val="center"/>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合 同 条 款</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委托方：</w:t>
      </w:r>
      <w:r>
        <w:rPr>
          <w:color w:val="auto"/>
          <w:sz w:val="24"/>
          <w:highlight w:val="none"/>
          <w:u w:val="single"/>
        </w:rPr>
        <w:t xml:space="preserve">太湖流域水文水资源监测中心（太湖流域水环境监测中心）</w:t>
      </w:r>
      <w:r>
        <w:rPr>
          <w:color w:val="auto"/>
          <w:sz w:val="24"/>
          <w:highlight w:val="none"/>
        </w:rPr>
        <w:t xml:space="preserve">（以下简称“甲方”）</w:t>
      </w:r>
      <w:r/>
    </w:p>
    <w:p>
      <w:pPr>
        <w:spacing w:line="360" w:lineRule="auto"/>
        <w:rPr>
          <w:color w:val="auto"/>
          <w:sz w:val="24"/>
          <w:highlight w:val="none"/>
        </w:rPr>
      </w:pPr>
      <w:r>
        <w:rPr>
          <w:color w:val="auto"/>
          <w:sz w:val="24"/>
          <w:highlight w:val="none"/>
        </w:rPr>
        <w:t xml:space="preserve">承包方：</w:t>
      </w:r>
      <w:r>
        <w:rPr>
          <w:rFonts w:hint="eastAsia"/>
          <w:color w:val="auto"/>
          <w:sz w:val="24"/>
          <w:highlight w:val="none"/>
          <w:u w:val="single"/>
        </w:rPr>
        <w:t xml:space="preserve"> </w:t>
      </w:r>
      <w:r>
        <w:rPr>
          <w:color w:val="auto"/>
          <w:sz w:val="24"/>
          <w:highlight w:val="none"/>
          <w:u w:val="single"/>
        </w:rPr>
        <w:t xml:space="preserve">                                </w:t>
      </w:r>
      <w:r>
        <w:rPr>
          <w:color w:val="auto"/>
          <w:sz w:val="24"/>
          <w:highlight w:val="none"/>
        </w:rPr>
        <w:t xml:space="preserve">（以下简称“乙方”）</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为了明确甲乙双方的权利义务关系，根据《中华人民共和国民法典》，结合本项目的实际情况，经双方友好协商，就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达成如下合同条款，并共同遵照执行。</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一、共同适用的语言、法律标准</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（一）共同语言：汉语。</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（二）适用法律法规：国家、地方政府有关部门颁发的现行法律法规。</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（三）适用的技术标准规范：设计标准、现行国家、行业、地方标准、规范、规程。</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（四）其他技术要求：甲方根据实际需要提出的技术要求。</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二、项目概况</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（一）项目名称：（以下简称“本项目”）。</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（二）项目现场：</w:t>
      </w:r>
      <w:r>
        <w:rPr>
          <w:rFonts w:hint="eastAsia" w:ascii="宋体" w:hAnsi="宋体" w:eastAsia="宋体" w:cs="宋体"/>
          <w:color w:val="auto"/>
          <w:sz w:val="24"/>
          <w:highlight w:val="none"/>
          <w:u w:val="single"/>
        </w:rPr>
        <w:t xml:space="preserve">                    </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（三）建设内容： </w:t>
      </w:r>
      <w:r/>
    </w:p>
    <w:p>
      <w:pPr>
        <w:ind w:left="0" w:firstLine="480"/>
        <w:jc w:val="left"/>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w:t>
      </w:r>
      <w:r/>
    </w:p>
    <w:p>
      <w:pPr>
        <w:pStyle w:val="742"/>
        <w:ind w:left="0"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p>
    <w:p>
      <w:pPr>
        <w:ind w:left="0" w:firstLine="480"/>
        <w:jc w:val="left"/>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p>
    <w:p>
      <w:pPr>
        <w:pStyle w:val="742"/>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（四）建设单位：</w:t>
      </w:r>
      <w:r>
        <w:rPr>
          <w:rFonts w:hint="eastAsia" w:ascii="宋体" w:hAnsi="宋体" w:eastAsia="宋体" w:cs="宋体"/>
          <w:color w:val="auto"/>
          <w:sz w:val="24"/>
          <w:szCs w:val="24"/>
          <w:highlight w:val="none"/>
          <w:u w:val="single"/>
        </w:rPr>
        <w:t xml:space="preserve">太湖流域水文水资源监测中心（太湖流域水环境监测中心）</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（五）承包方式：</w:t>
      </w:r>
      <w:r>
        <w:rPr>
          <w:rFonts w:hint="eastAsia" w:ascii="宋体" w:hAnsi="宋体" w:eastAsia="宋体" w:cs="宋体"/>
          <w:color w:val="auto"/>
          <w:sz w:val="24"/>
          <w:highlight w:val="none"/>
          <w:u w:val="single"/>
        </w:rPr>
        <w:t xml:space="preserve">总价包干</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（六）合同工期：</w:t>
      </w:r>
      <w:r>
        <w:rPr>
          <w:rFonts w:hint="eastAsia" w:ascii="宋体" w:hAnsi="宋体" w:eastAsia="宋体" w:cs="宋体"/>
          <w:color w:val="auto"/>
          <w:sz w:val="24"/>
          <w:highlight w:val="none"/>
          <w:u w:val="single"/>
          <w:lang w:val="en-US" w:eastAsia="zh-CN"/>
        </w:rPr>
        <w:t xml:space="preserve">90</w:t>
      </w:r>
      <w:r>
        <w:rPr>
          <w:rFonts w:hint="eastAsia" w:ascii="宋体" w:hAnsi="宋体" w:eastAsia="宋体" w:cs="宋体"/>
          <w:color w:val="auto"/>
          <w:sz w:val="24"/>
          <w:highlight w:val="none"/>
          <w:u w:val="single"/>
        </w:rPr>
        <w:t xml:space="preserve">个日历天</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三、承包范围</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完成本项目包含的仪器设备购置、</w:t>
      </w:r>
      <w:r>
        <w:rPr>
          <w:rFonts w:hint="eastAsia" w:ascii="宋体" w:hAnsi="宋体" w:eastAsia="宋体" w:cs="宋体"/>
          <w:color w:val="auto"/>
          <w:sz w:val="24"/>
          <w:highlight w:val="none"/>
        </w:rPr>
        <w:t xml:space="preserve">安装</w:t>
      </w:r>
      <w:r>
        <w:rPr>
          <w:rFonts w:hint="eastAsia" w:ascii="宋体" w:hAnsi="宋体" w:eastAsia="宋体" w:cs="宋体"/>
          <w:color w:val="auto"/>
          <w:sz w:val="24"/>
          <w:highlight w:val="none"/>
          <w:lang w:val="en-US" w:eastAsia="zh-CN"/>
        </w:rPr>
        <w:t xml:space="preserve">调试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性能验证</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val="zh-CN"/>
        </w:rPr>
        <w:t xml:space="preserve">相关工作；</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个月的质保期故障维修服务。</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四、合同工期</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（一）工期要求：</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90</w:t>
      </w:r>
      <w:r>
        <w:rPr>
          <w:rFonts w:hint="eastAsia" w:ascii="宋体" w:hAnsi="宋体" w:eastAsia="宋体" w:cs="宋体"/>
          <w:color w:val="auto"/>
          <w:sz w:val="24"/>
          <w:highlight w:val="none"/>
        </w:rPr>
        <w:t xml:space="preserve">个日历天；</w:t>
      </w:r>
      <w:r>
        <w:rPr>
          <w:rFonts w:hint="eastAsia" w:ascii="宋体" w:hAnsi="宋体" w:eastAsia="宋体" w:cs="宋体"/>
          <w:color w:val="auto"/>
          <w:sz w:val="24"/>
          <w:highlight w:val="none"/>
        </w:rPr>
        <w:t xml:space="preserve">质量保证期为</w:t>
      </w:r>
      <w:r>
        <w:rPr>
          <w:rFonts w:hint="eastAsia" w:ascii="宋体" w:hAnsi="宋体" w:eastAsia="宋体" w:cs="宋体"/>
          <w:color w:val="auto"/>
          <w:sz w:val="24"/>
          <w:highlight w:val="none"/>
          <w:lang w:val="en-US" w:eastAsia="zh-CN"/>
        </w:rPr>
        <w:t xml:space="preserve">合同完工验收</w:t>
      </w:r>
      <w:r>
        <w:rPr>
          <w:rFonts w:hint="eastAsia" w:ascii="宋体" w:hAnsi="宋体" w:eastAsia="宋体" w:cs="宋体"/>
          <w:color w:val="auto"/>
          <w:sz w:val="24"/>
          <w:highlight w:val="none"/>
        </w:rPr>
        <w:t xml:space="preserve">之日起</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个月。</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（二）对以下造成终验日期推迟的延误，经甲方代表确认，工期相应顺延。</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1、重大工程量变化和设计变更。</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2、不可抗力。</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3、合同中约定或甲方同意给予顺延的其他情况。</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乙方在以上情况发生后3天内，就延误的内容向甲方提出报告，甲方代表在收到报告后7天内予以确认、答复，逾期不予答复，乙方即可视为延期要求已被确认。</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因乙方的原因造成工期延误的，每延误5天的赔偿费按合同总价的百分之零点五（0.5%）计收，但违约金的总数不超过合同总价的10%。如延期时间超过100天，甲方有权终止合同，除前款所约定的违约金外，乙方还需支付合同总价的10%。</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五、合同价款及调整</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（一）合同价款组成</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本合同形式为固定总价合同。</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合同总价为：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合同价款中已包含设备费用、软件费用及以下附加费用：安装调试、培训、系统集成、保修期内的保修服务及售后服务及工程一切险等费用；价款组成详</w:t>
      </w:r>
      <w:r>
        <w:rPr>
          <w:rFonts w:hint="eastAsia" w:ascii="宋体" w:hAnsi="宋体" w:eastAsia="宋体" w:cs="宋体"/>
          <w:color w:val="auto"/>
          <w:sz w:val="24"/>
          <w:highlight w:val="none"/>
        </w:rPr>
        <w:t xml:space="preserve">见附件《工程明细表》。</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（二）合同价款调整</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在项目开工之前，甲方有权对项目进行调整，包括更改品牌、型号以及数量等，甲乙双方根据实际调整情况签订补充协议或以工作联系单的方式作为调整依据。</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乙方须保证所投设备各项指标的真实性，甲方在设备到货后对设备的关键技术指标进行核验，一经发现技术指标存在负偏离，乙方须无条件按照甲方要求更换为满足技术指标要求的设备，合同价款不作调增。</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在项目开工之后，除下列情况外甲乙方不得擅自改变合同价款。发生下列情况之一的可做调整：</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1、甲方确认的工程量增减。</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2、甲方确认的设计变更。</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应在上述情况发生后14天内，将调整的原因、金额以书面形式通知甲方，经甲方14天内批准后通知乙方，逾期未作答复，视为同意。如因甲方的原因调整范围涉及乙方已经施工或订货的部分，确实给乙方带来损失，经友好协商甲方应酌情支付乙方损失费用。</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（三）下列情况，甲方不计量（计价），不支付乙方工程款：</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1、与招标文件、合同、设备清单不一致的设备（品牌、型号、性能等）；</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2、未经开箱验收，或无法证明是保修齐全的正版、正品行货（含商用软件）的仪器设备；</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3、经测试性能低于招标要求或不符合标准（含企业承诺标准）要求的设备；</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六、合同文件的组成及解释顺序</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合同文件应能互相解释，互为说明。除合同另有约定外，其组成和解释顺序如下：</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（一）本合同条款；</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（二）补充协议；</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（三）招标文件；</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（四）投标文件；</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（五）标准、规范及有关技术文件；</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）有关项目的洽商、变更等书面协议或文件视为本合同的组成部分。</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当合同文件出现含糊不清或不相一致时，在不影响项目进度的情况下，由双方协商解决。当上述文件出现前后不一致时，按文件签发的时间顺序，以最晚发生的文件为准。</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七、甲方责任与义务</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督促乙方全面履行本合同，指导、监督、检查乙方项目质量、工期、安全、文明施工等方面工作，乙方应给予积极配合和支持。对达不到规定要求的，甲方提出限期整改，并督促完善为止。若乙方整改措施不力，甲方将依据整改情况予以处罚。</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（二）根据乙方制定的设计要求和施工计划，甲方负责落实各项管理协调工作。</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（三）甲方负责联系乙方安装工程可能需要的临时工作间，以便存放必要的设备材料和仪器工具，费用由乙方自理。</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（四）甲方应按合同规定支付工程款。</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本项目安装</w:t>
      </w:r>
      <w:r>
        <w:rPr>
          <w:rFonts w:hint="eastAsia" w:ascii="宋体" w:hAnsi="宋体" w:eastAsia="宋体" w:cs="宋体"/>
          <w:color w:val="auto"/>
          <w:sz w:val="24"/>
          <w:highlight w:val="none"/>
          <w:lang w:val="en-US" w:eastAsia="zh-CN"/>
        </w:rPr>
        <w:t xml:space="preserve">及试运行</w:t>
      </w:r>
      <w:r>
        <w:rPr>
          <w:rFonts w:hint="eastAsia" w:ascii="宋体" w:hAnsi="宋体" w:eastAsia="宋体" w:cs="宋体"/>
          <w:color w:val="auto"/>
          <w:sz w:val="24"/>
          <w:highlight w:val="none"/>
        </w:rPr>
        <w:t xml:space="preserve">过程中产生的其他费用由乙方自己承担。</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八、甲方代表</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甲方任命</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为驻施工现场代表，按照以下要求，行使合同约定的权利，履行合同约定的职责：</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（一）甲方的指令、通知经甲方代表签字确认后，以书面形式交给乙方代表，乙方在回执上签署姓名和收到时间后生效。确有必要时，甲方代表可发出口头指令，并在四十八（48）小时</w:t>
      </w:r>
      <w:r>
        <w:rPr>
          <w:rFonts w:hint="eastAsia" w:ascii="宋体" w:hAnsi="宋体" w:eastAsia="宋体" w:cs="宋体"/>
          <w:color w:val="auto"/>
          <w:sz w:val="24"/>
          <w:highlight w:val="none"/>
        </w:rPr>
        <w:t xml:space="preserve">内给予书面确认，乙方对甲方代表发出口头指令后七（7）日内提出书面确认要求，甲方在乙方提出确认要求后四十八（48）小时内不予答复，应视为乙方要求已被确认。乙方认为甲方代表指令不合理，应在收到指令后二十四（24）小时内提出书面报告，甲方在收到乙方报告后二十四（24）小时内做出修改指令或继续执行原指令的决定，经确认后，以书面形式通知乙方。紧急情况下，甲方代表要求乙方立即执行的指令或乙方虽有异议，但甲方决定仍继续执行的指令，乙方应予执行。因指令错误发生的追加合同价款和给乙方造成的损失由甲方承担，延误的工期相应顺延。</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甲方应按合同约定及时向乙方提供所需指令、批准及图纸等资料，并履行其他约定的义务，否则，乙方在事件发生后二十四（24）小时内将具体要求、需要的理由和迟误的后果通知甲方代表，甲方收到通知后四十八（48）小时内不予答复，顺延因此延误的工期。</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（三）甲方代表人应提前七（7）日通知乙方，后任继续承担前任应负的责任（合同文件约定的义务和其职权内的承诺）。</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九、乙方责任与义务</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（一）乙方负责完成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项目的总体方案设计、施工组织设计、设备购置、安装调试、检验验收、售后服务及为甲方提供相应的技术培训等。</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（二）与本项目相关的一切手续由乙方负责办理。</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（三）乙方如确实要将部分工程分包给其他单位的，必须遵循国家有关规定并事先征得甲方的同意，且由乙方承担总包责任，及时协调、密切配合，直至全部工程竣工。</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（四）乙方必须服从监理单位依据监理法规及监理合同赋予的权利对项目实施的管理，按规定向监理工程师以书面形式提交施工月报、进度报告、支付申请等。</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（五）乙方负责按三方核准确认的进度计划精心组织施工，接受甲方及项目监理对进度和质量等的监督、检查，确保项目按期保质保量完工和交付。</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（六）乙方必须及时按照甲方的要求与其他有关单位进行配合，提供与其他系统之间的通讯接口，且上述费用已含在合同总价之中。</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（七）乙方应承担本合同内非甲方提供、为完成承包范围内项目所需的一切费用。</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（八）没有甲方书面同意，乙方不得将甲方或代表甲方提供的有关合同或文件、图纸等资料提供给乙方雇佣于履行本合同以外的任何其他人。乙方应在完成本合同后将上述资料（全部拷贝）还给甲方。</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（九）乙方应保证，甲方在中华人民共和国境内使用乙方提供的设备或设备的任何一部分时，免受第三方提出的侵犯其版权、专利权、商标权或工业设计权的起诉。</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（十）乙方负责所有材料和设备的包装、装运、检验、保管和场内搬运。由此发生的一切费用应已包含在合同总价中。</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1、包装应采取防潮、防晒、防锈、防腐蚀、防震动及防止其他损坏的必要保护措施，乙方应承担由于其包装或其防护措施不当而引起设备锈蚀、损坏和丢失的任何损失的责任或费用。</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2、乙方应将本合同下的全部设备运至现场，负责办理设备运至现场，包括合同规定的保险储存在内的一些事项，有关费用应包括在合同总价中。</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3、乙方应在设备到项目现场一周前通知甲方和监理工程师。乙方将现场设备运离工地，必须得到监理工程师的批准。</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（十一）乙方应做好项目的施工日志等。 </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二）乙方应认真遵守各种规章制度，做到遵纪守法、安全生产、文明施工、工完场清。按文明施工、安全施工及治安、环保等有关规定做好各项工作。若因乙方失责，引致有关管理部门处罚，乙方应负全部责任。如乙方人员在工地出现死亡事故，乙方应承担全部责任，甲方不承担任何相关责任。</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（十三）乙方负责场内属乙方操作的机械、用具的调试、保养、维修及妥善保管等。</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上述是乙方为完成合同内工作所必须履行的义务和责任。乙方不履行上述各项义务造成工期延误和项目损失的，应对甲方的损失给予赔偿。</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十、乙方代表</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乙方任命</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为驻施工现场负责人，按以下要求行使合同约定的权利，履行合同约定的职责：</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（一）乙方的要求、请求和通知，以书面形式由乙方代表签字后送交甲方，甲方在回执上签署姓名和收到时间后生效。</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乙方代表按甲方批准的施工组织设计（或施工方案）和依据合同发出的指令、要求组织施工。在情况紧急且无法与甲方联系的情况下，可采取保证系统和人员生命、财产安全的紧急措施，并在采取措施后24小时内向甲方报告。</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（三）乙方代表人应提前7天通知甲方，并经甲方同意后，后任继续承担前任应负的责任（合同文件约定的义务和其职权内的承诺）。</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bookmarkStart w:id="19" w:name="_Toc60437610"/>
      <w:r/>
      <w:bookmarkStart w:id="20" w:name="_Toc61236978"/>
      <w:r/>
      <w:bookmarkStart w:id="21" w:name="_Toc60518197"/>
      <w:r/>
      <w:bookmarkStart w:id="22" w:name="_Toc60437502"/>
      <w:r/>
      <w:bookmarkStart w:id="23" w:name="_Toc60407589"/>
      <w:r>
        <w:rPr>
          <w:rFonts w:hint="eastAsia" w:ascii="宋体" w:hAnsi="宋体" w:eastAsia="宋体" w:cs="宋体"/>
          <w:color w:val="auto"/>
          <w:highlight w:val="none"/>
        </w:rPr>
        <w:t xml:space="preserve">十一、履约保证金</w:t>
      </w:r>
      <w:bookmarkEnd w:id="19"/>
      <w:r/>
      <w:bookmarkEnd w:id="20"/>
      <w:r/>
      <w:bookmarkEnd w:id="21"/>
      <w:r/>
      <w:bookmarkEnd w:id="22"/>
      <w:r/>
      <w:bookmarkEnd w:id="23"/>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（一）乙方应在与甲方签订合同后15个工作日内，以银行保函方式向甲方提交履约保证金，履约保证金的金额为合同总价的10％。</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（二）履约保证金用于补偿甲方因乙方不能完成其合同义务而蒙受的损失。</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（三）项目经</w:t>
      </w:r>
      <w:r>
        <w:rPr>
          <w:rFonts w:hint="eastAsia" w:ascii="宋体" w:hAnsi="宋体" w:eastAsia="宋体" w:cs="宋体"/>
          <w:color w:val="auto"/>
          <w:sz w:val="24"/>
          <w:highlight w:val="none"/>
          <w:lang w:val="en-US" w:eastAsia="zh-CN"/>
        </w:rPr>
        <w:t xml:space="preserve">准运行</w:t>
      </w:r>
      <w:r>
        <w:rPr>
          <w:rFonts w:hint="eastAsia" w:ascii="宋体" w:hAnsi="宋体" w:eastAsia="宋体" w:cs="宋体"/>
          <w:color w:val="auto"/>
          <w:sz w:val="24"/>
          <w:highlight w:val="none"/>
        </w:rPr>
        <w:t xml:space="preserve">验收合格，乙方提交质量保函</w:t>
      </w:r>
      <w:r>
        <w:rPr>
          <w:rFonts w:hint="eastAsia" w:ascii="宋体" w:hAnsi="宋体" w:eastAsia="宋体" w:cs="宋体"/>
          <w:color w:val="auto"/>
          <w:sz w:val="24"/>
          <w:highlight w:val="none"/>
          <w:lang w:val="en-US" w:eastAsia="zh-CN"/>
        </w:rPr>
        <w:t xml:space="preserve">后，甲方</w:t>
      </w:r>
      <w:r>
        <w:rPr>
          <w:rFonts w:hint="eastAsia" w:ascii="宋体" w:hAnsi="宋体" w:eastAsia="宋体" w:cs="宋体"/>
          <w:color w:val="auto"/>
          <w:sz w:val="24"/>
          <w:highlight w:val="none"/>
        </w:rPr>
        <w:t xml:space="preserve">退还乙方履约保函。</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（四）履约保证金货币：人民币。</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十二、工程款支付及结算方式</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（一）工程款支付</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（1）预付款：乙方与甲方合同签订后，乙方提交合同总金额10%的履约保函并经采购人审核无误后，甲方向乙方支付合同总金额的30%作为预付款。</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（2）工程进度款：</w:t>
      </w:r>
      <w:r>
        <w:rPr>
          <w:rFonts w:hint="eastAsia" w:ascii="宋体" w:hAnsi="宋体" w:eastAsia="宋体" w:cs="宋体"/>
          <w:color w:val="auto"/>
          <w:sz w:val="24"/>
          <w:szCs w:val="24"/>
          <w:highlight w:val="none"/>
        </w:rPr>
        <w:t xml:space="preserve">设备到货，完成开箱验收后，甲方向乙方支付合同总金额的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完成设备安装调试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试运行验收</w:t>
      </w:r>
      <w:r>
        <w:rPr>
          <w:rFonts w:hint="eastAsia" w:ascii="宋体" w:hAnsi="宋体" w:eastAsia="宋体" w:cs="宋体"/>
          <w:color w:val="auto"/>
          <w:sz w:val="24"/>
          <w:szCs w:val="24"/>
          <w:highlight w:val="none"/>
        </w:rPr>
        <w:t xml:space="preserve">合格</w:t>
      </w:r>
      <w:r>
        <w:rPr>
          <w:rFonts w:hint="eastAsia" w:ascii="宋体" w:hAnsi="宋体" w:eastAsia="宋体" w:cs="宋体"/>
          <w:color w:val="auto"/>
          <w:sz w:val="24"/>
          <w:szCs w:val="24"/>
          <w:highlight w:val="none"/>
          <w:lang w:val="en-US" w:eastAsia="zh-CN"/>
        </w:rPr>
        <w:t xml:space="preserve">并经甲方确认</w:t>
      </w:r>
      <w:r>
        <w:rPr>
          <w:rFonts w:hint="eastAsia" w:ascii="宋体" w:hAnsi="宋体" w:eastAsia="宋体" w:cs="宋体"/>
          <w:color w:val="auto"/>
          <w:sz w:val="24"/>
          <w:szCs w:val="24"/>
          <w:highlight w:val="none"/>
        </w:rPr>
        <w:t xml:space="preserve">，甲方支付合同总金额</w:t>
      </w:r>
      <w:r>
        <w:rPr>
          <w:rFonts w:hint="eastAsia" w:ascii="宋体" w:hAnsi="宋体" w:eastAsia="宋体" w:cs="宋体"/>
          <w:color w:val="auto"/>
          <w:sz w:val="24"/>
          <w:szCs w:val="24"/>
          <w:highlight w:val="none"/>
          <w:lang w:val="en-US" w:eastAsia="zh-CN"/>
        </w:rPr>
        <w:t xml:space="preserve">的3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完工验收后，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向乙方支付至合同金额的100%。准运行验收合格后，乙方向甲方提交合同金额3%的质量保函，甲方退还乙方履约保函。</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工程款支付货币为人民币，所有工程款支付均需乙方出具发票。</w:t>
      </w:r>
      <w:r/>
    </w:p>
    <w:p>
      <w:pPr>
        <w:ind w:left="0" w:firstLine="480"/>
        <w:jc w:val="left"/>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因本项目资金来源为中央预算内投资，乙方充分理解并承诺若中央预算内投资不能及时到位或到位资金无法满足当前实际需求时，自身的资金能力可以保证该项目的进度和质量，并不能因此影响工期。</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（二）乙方不得拖欠工人或供货单位的结算和支付工作，对由此产生的一切责任和后果，甲方均不承担任何相关责任。</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（三）乙方在每次领取工程款的同时，应当按甲方财务部门要求开具正式发票，否则甲方有权不予支付。</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（四）工程款的支付货币为人民币。</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十三、施工组织设计</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（一）乙方应在合同签订后七（7）个日历天内完成</w:t>
      </w:r>
      <w:r>
        <w:rPr>
          <w:rFonts w:hint="eastAsia" w:ascii="宋体" w:hAnsi="宋体" w:eastAsia="宋体" w:cs="宋体"/>
          <w:color w:val="auto"/>
          <w:highlight w:val="none"/>
          <w:u w:val="single"/>
        </w:rPr>
        <w:t xml:space="preserve">                     项目</w:t>
      </w:r>
      <w:r>
        <w:rPr>
          <w:rFonts w:hint="eastAsia" w:ascii="宋体" w:hAnsi="宋体" w:eastAsia="宋体" w:cs="宋体"/>
          <w:color w:val="auto"/>
          <w:highlight w:val="none"/>
        </w:rPr>
        <w:t xml:space="preserve">的施工组织设计及施工方案，报甲方审批通过后正式实施。施工组织设计应按照程序由乙方单位技术负责人审核，并按甲方要求增补修改，并通过甲方组织的专家评审。如有必要，甲方将组织其他平行单位对方案进行质询。</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（二）合同签订后</w:t>
      </w:r>
      <w:r>
        <w:rPr>
          <w:rFonts w:hint="eastAsia" w:ascii="宋体" w:hAnsi="宋体" w:eastAsia="宋体" w:cs="宋体"/>
          <w:color w:val="auto"/>
          <w:highlight w:val="none"/>
          <w:lang w:val="en-US" w:eastAsia="zh-CN"/>
        </w:rPr>
        <w:t xml:space="preserve">90</w:t>
      </w:r>
      <w:r>
        <w:rPr>
          <w:rFonts w:hint="eastAsia" w:ascii="宋体" w:hAnsi="宋体" w:eastAsia="宋体" w:cs="宋体"/>
          <w:color w:val="auto"/>
          <w:highlight w:val="none"/>
        </w:rPr>
        <w:t xml:space="preserve">个日历天内完成安装调试及</w:t>
      </w:r>
      <w:r>
        <w:rPr>
          <w:rFonts w:hint="eastAsia" w:ascii="宋体" w:hAnsi="宋体" w:eastAsia="宋体" w:cs="宋体"/>
          <w:color w:val="auto"/>
          <w:highlight w:val="none"/>
          <w:lang w:val="en-US" w:eastAsia="zh-CN"/>
        </w:rPr>
        <w:t xml:space="preserve">试运行验收</w:t>
      </w:r>
      <w:r>
        <w:rPr>
          <w:rFonts w:hint="eastAsia" w:ascii="宋体" w:hAnsi="宋体" w:eastAsia="宋体" w:cs="宋体"/>
          <w:color w:val="auto"/>
          <w:highlight w:val="none"/>
        </w:rPr>
        <w:t xml:space="preserve">；完成合同完工验收。</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（三）乙方必须按批准的进度计划组织施工，接受甲方对进度的检查、监督。项目实际进展与进度计划不符时，乙方应按甲方的要求提出改进措施，报甲方批准后执行。</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十四、联络会</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（一）在项目建设过程中，若发生重要事情需有关方面进行研究和讨论，可召开联络会解决。</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（二）每次联络会的会议纪要由甲方起草，经参会各方签字后遵照执行。</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（三）联络会由甲方组织，乙方承办。有关联络会准备、组织、安排的所有费用由乙方支付，该费用应已包含在合同总价中。会议所需的技术文件及工作设施由乙方提供。</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十五、合同执行进度</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（一）合同进度计划</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乙方应根据甲方的要求，编制施工进度计划，并报批。</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（二）工程开工和完工</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（1）开工：合同生效后乙方完成施工组织设计和施工方案，报甲方审批通过后即为开工之日。乙方开工后按工程进度计划进行工作。</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（2）甲方延误开工：甲方未能按合同规定向乙方提供开工的必要条件，乙方有权提出延长工期的要求。甲方应在收到乙方的要求后立即与乙方协商补救办法，且不因此而增加费用。</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延误工期：由于乙方的原因，导致工期延误，应按甲方的要求，编制详细的赶工期措施报甲方审批。赶工期措施报告应详细说明不能及时组织施工的原因和赶工期的办法，由此增加的费用和工期延误责任由乙方承担。</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（4）暂停施工</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乙方暂停施工的责任：属于下列任何一种情况引起的暂停施工，乙方不能提出增加费用和延长工期的要求：</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1）由于乙方违约引起的暂停施工。</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2）由于现场非异常恶劣气候条件引起的正常停工。</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3）为工程的合理施工和保证安全所必须的暂停施工。</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4）未得到甲方许可乙方擅自停工。</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5）其他由于乙方原因引起的暂停施工。</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甲方暂停施工的责任：由于甲方原因引起的暂停施工，属于甲方责任，由此造成的工期延误，经双方协商后顺延。</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（5）暂停施工后的复工</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暂停施工后，甲方和乙方协商采取有效措施积极消除停工因素的影响。当工程具备复工条件时，甲方应及时向乙方发出复工通知，乙方收到复工通知后，应在甲方指定的期限内复工。若乙方无故拖延或拒绝复工，由此增加的费用和工期延误责任由乙方承担。</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（6）合同工期：合同签订后</w:t>
      </w:r>
      <w:r>
        <w:rPr>
          <w:rFonts w:hint="eastAsia" w:ascii="宋体" w:hAnsi="宋体" w:eastAsia="宋体" w:cs="宋体"/>
          <w:color w:val="auto"/>
          <w:sz w:val="24"/>
          <w:highlight w:val="none"/>
          <w:lang w:val="en-US" w:eastAsia="zh-CN"/>
        </w:rPr>
        <w:t xml:space="preserve">90</w:t>
      </w:r>
      <w:r>
        <w:rPr>
          <w:rFonts w:hint="eastAsia" w:ascii="宋体" w:hAnsi="宋体" w:eastAsia="宋体" w:cs="宋体"/>
          <w:color w:val="auto"/>
          <w:sz w:val="24"/>
          <w:highlight w:val="none"/>
        </w:rPr>
        <w:t xml:space="preserve">个日历天完成建设任务。</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（三）乙方应每月向甲方</w:t>
      </w:r>
      <w:r>
        <w:rPr>
          <w:rFonts w:hint="eastAsia" w:ascii="宋体" w:hAnsi="宋体" w:eastAsia="宋体" w:cs="宋体"/>
          <w:color w:val="auto"/>
          <w:sz w:val="24"/>
          <w:highlight w:val="none"/>
        </w:rPr>
        <w:t xml:space="preserve">提供月报，内容包括但不限于：项目进度和计划执行情况，已完成的项目，有无遇到困难和障碍，本项目的预期效果，人员配置情况，有无项目变更及变更情况或其他与本项目有关的甲方应该知道或甲方要求知道的情况。提交甲方确认。如有重大的问题或重要的变更发生，乙方应当在变更发生之日起五（5）日内向甲方作出书面报告。乙方也应当在五（5）日内回复甲方在其他时间内提出的与本项目相关的询问。如乙方违反本条的规定，应该承担由此而引起的项目迟延和甲方不能及时付款或配合项目进行的后果。甲方在收到乙方的书面报告后，应当在五（5）日内回复乙方。</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十六、项目质量与验收</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w:t>
      </w:r>
      <w:r>
        <w:rPr>
          <w:rFonts w:hint="eastAsia" w:ascii="宋体" w:hAnsi="宋体" w:eastAsia="宋体" w:cs="宋体"/>
          <w:color w:val="auto"/>
          <w:sz w:val="24"/>
          <w:highlight w:val="none"/>
        </w:rPr>
        <w:t xml:space="preserve">以国家制定的施工及验收规范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招标文件中的安装技术要求</w:t>
      </w:r>
      <w:r>
        <w:rPr>
          <w:rFonts w:hint="eastAsia" w:ascii="宋体" w:hAnsi="宋体" w:eastAsia="宋体" w:cs="宋体"/>
          <w:color w:val="auto"/>
          <w:sz w:val="24"/>
          <w:highlight w:val="none"/>
        </w:rPr>
        <w:t xml:space="preserve">为质量</w:t>
      </w:r>
      <w:r>
        <w:rPr>
          <w:rFonts w:hint="eastAsia" w:ascii="宋体" w:hAnsi="宋体" w:eastAsia="宋体" w:cs="宋体"/>
          <w:color w:val="auto"/>
          <w:sz w:val="24"/>
          <w:highlight w:val="none"/>
        </w:rPr>
        <w:t xml:space="preserve">评定标准。</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须严格按照国家颁布的施工操作规范进行施工，并应接受甲方的监督，承担本项目的一切质量事故或缺陷责任。乙方完工后，履行乙方自验、甲方抽验及终验程序，若验收不合格，由此产生的整改费用由乙方负担。</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（三）乙方应认真按照国家有关的标准、施工验收规范、规程和设计方案的要求以及甲方依据合同发出的指令施工，随时接受甲方的检查，为检查检验提供便利条件，并按甲方要求整改，承担整改费用。</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（四）本项目的质量监督由甲方按国家和现行的有关建设项目质量监督条例和规定执行。</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（五）验收不合格，甲方每次处以乙方20000元的罚款，并在下次结算时扣除。</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（六）质量验收及最终验收应遵照国家及招标文件的规定，由甲方组织验收。</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十七、设计变更</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bookmarkStart w:id="24" w:name="_Toc453148728"/>
      <w:r>
        <w:rPr>
          <w:rFonts w:hint="eastAsia" w:ascii="宋体" w:hAnsi="宋体" w:eastAsia="宋体" w:cs="宋体"/>
          <w:color w:val="auto"/>
          <w:sz w:val="24"/>
          <w:highlight w:val="none"/>
        </w:rPr>
        <w:t xml:space="preserve">（一）变更内容确定</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1、在施工中甲方如需对设计进行变更，应向乙方发出变更通知，乙方必须按通知进行变更。变更内容满足如下要求：</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（1）增减合同中约定的项目数量；</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（2）更改有关项目的性质、质量、规格；</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（3）增加项目需要的附加工作；</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（4）改变有关项目的施工时间顺序。</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2、施工中乙方不得对原工程设计进行变更。因乙方擅自变更设计发生的费用和由此导致甲方的直接损失，由乙方承担，工期不予顺延。</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乙方在施工中提出的合理化建议涉及对施工组织设计的更改及对材料、设备的换用，须经甲方同意。未经同意擅自更改或换用时，乙方承担由此发生的费用，并赔偿甲方的有关损失，工期不予顺延。</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3、其他变更</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合同履行中甲方要求变更工程质量标准及发生其他实质性变更，由双方协商解决。</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（二）变更价款确定</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乙方在工程变更确定后15日内，提出变更工程价款的报告，经审价机构审核及甲方、乙方确认后相应调整合同价款。变更合同价款按下列方法进行：</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1、合同中已有适用于变更工程的价格，按合同已有的价格变更合同价款，并按报价时的优惠幅度调整；</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2、合同中只有类似变更工程的价格，可参照类似价格变更合同价款，并按报价时的优惠幅度调整；</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3、合同中没有适用或类似的变更工程的价格，由乙方根据当地同期价格信息提出适当的变更价格，并按报价时的优惠幅度进行调整。</w:t>
      </w:r>
      <w:r/>
    </w:p>
    <w:p>
      <w:pPr>
        <w:pStyle w:val="742"/>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4、招标暂估价对应建设内容根据实际建设情况以审价机构审定价予以结算。</w:t>
      </w:r>
      <w:r/>
    </w:p>
    <w:p>
      <w:pPr>
        <w:pStyle w:val="742"/>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5、变更工程量按实结算。</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十八、文档资料</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（一）乙方项目部应配备资料员。乙方的资料，应符合工程项目要求。具体标准和要求由监理制定。</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项目完工前，乙方应向甲方提交的资料至少包括：施工组织设计、施工方案、软件设计报告、进度计划、项目部人员报审、设备材料进场报审（含开箱）、已安装设备设施一览表、随机资料台账、设备账户密码台账、设备保修资料、各类测试报告、设备安装调试报告、用户手册等。</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（三）乙方应向甲方提交准确、清楚、完整的文档资料，满足系统安装、调试、运行、维护的需要，并与移交时的系统一致。</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（四）提交的文档应包括（不限于）供施工用的图纸和资料、设备资料以及其他说明书等。</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1）提供施工用的图纸和资料。主要包括装置外形图、接线图等。</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2）设备资料。主要包括为本系统而购置的设备维护使用说明书、合格证，本系统的技术特性、维护使用说明书以及系统的内部接线图等。</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3）其他说明书。主要包括在设备到场时提供的每台设备详细的使用、维护说明以及在现场验收之前提供的系统的使用维护说明书等。</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4）提供的所有文档资料如为英文版本，需提供相应的中文翻译版本。</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十九、技术培训</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（一）乙方应根据甲方的要求及乙方认为应予补充的内容制订一个详细的培训计划，并于培训开始前十五（15）天交给甲方征求意见，以确保培训工作的顺利进行，达到预期的目的。</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培训期间，乙方应向甲方技术人员免费提供有关的仪器仪表、技术资料、其他必需品以及适当的办公室。相关的培训费、资料费以及甲方人员从到达至离开培训地点期间的旅行、食宿和当地交通等费用已计入投标总价中。</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二十、</w:t>
      </w:r>
      <w:bookmarkEnd w:id="24"/>
      <w:r>
        <w:rPr>
          <w:rFonts w:hint="eastAsia" w:ascii="宋体" w:hAnsi="宋体" w:eastAsia="宋体" w:cs="宋体"/>
          <w:color w:val="auto"/>
          <w:highlight w:val="none"/>
        </w:rPr>
        <w:t xml:space="preserve">检验与验收</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bookmarkStart w:id="25" w:name="_Toc453148730"/>
      <w:r>
        <w:rPr>
          <w:rFonts w:hint="eastAsia" w:ascii="宋体" w:hAnsi="宋体" w:eastAsia="宋体" w:cs="宋体"/>
          <w:color w:val="auto"/>
          <w:highlight w:val="none"/>
        </w:rPr>
        <w:t xml:space="preserve">检验与验收分为采购管理、出厂检验、开箱检验、试运行验收、合同完工验收</w:t>
      </w:r>
      <w:r>
        <w:rPr>
          <w:rFonts w:hint="eastAsia" w:ascii="宋体" w:hAnsi="宋体" w:eastAsia="宋体" w:cs="宋体"/>
          <w:color w:val="auto"/>
          <w:highlight w:val="none"/>
        </w:rPr>
        <w:t xml:space="preserve">、准运行</w:t>
      </w:r>
      <w:r>
        <w:rPr>
          <w:rFonts w:hint="eastAsia" w:ascii="宋体" w:hAnsi="宋体" w:eastAsia="宋体" w:cs="宋体"/>
          <w:color w:val="auto"/>
          <w:highlight w:val="none"/>
        </w:rPr>
        <w:t xml:space="preserve">验收</w:t>
      </w:r>
      <w:r>
        <w:rPr>
          <w:rFonts w:hint="eastAsia" w:ascii="宋体" w:hAnsi="宋体" w:eastAsia="宋体" w:cs="宋体"/>
          <w:color w:val="auto"/>
          <w:highlight w:val="none"/>
          <w:lang w:val="en-US" w:eastAsia="zh-CN"/>
        </w:rPr>
        <w:t xml:space="preserve">和竣工验收</w:t>
      </w:r>
      <w:r>
        <w:rPr>
          <w:rFonts w:hint="eastAsia" w:ascii="宋体" w:hAnsi="宋体" w:eastAsia="宋体" w:cs="宋体"/>
          <w:color w:val="auto"/>
          <w:highlight w:val="none"/>
        </w:rPr>
        <w:t xml:space="preserve">。</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（一）采购管理</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设备清单已明确品牌、型号（含配置型号）的，在设备采购前将采购清单提交甲方复核。乙方不得擅自变更已经确认的设备品牌、型号、规格等。</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因不可控因素导致的设备品牌、型号、规格等变更，乙方应提供至少2套替换方案，并提供生产厂家或代理经销商报价，经甲方同意后，方可采购变更。</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（二）出厂检验 </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所有设备均需提供原供货厂家开具的出厂检验报告或检验合格证。 </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（三）开箱检验 </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1、设备到货后3日内，乙方提出开箱检验申请，甲方组织进行开箱检验，形成开箱检验记录。</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2、在检验中发现不合格设备，乙方应按甲方要求无偿更换，并承担相应费用。</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开箱检验合格的设备，由乙方、甲方代表共同在设备检验合格表上签字，同时，乙方须将设备供货商提供的设备相关文档资料、合格证、产品说明书、检定报告、质量保证书、保修手续凭证等随机资料及随机光盘、随机配件备品等全部移交给甲方。 </w:t>
      </w:r>
      <w:r/>
    </w:p>
    <w:p>
      <w:pPr>
        <w:pStyle w:val="744"/>
        <w:ind w:left="0" w:firstLine="480"/>
        <w:jc w:val="left"/>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试运行验收</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1、试运行由乙方负责，</w:t>
      </w:r>
      <w:r>
        <w:rPr>
          <w:rFonts w:hint="eastAsia" w:ascii="宋体" w:hAnsi="宋体" w:eastAsia="宋体" w:cs="宋体"/>
          <w:color w:val="auto"/>
          <w:highlight w:val="none"/>
          <w:lang w:val="en-US" w:eastAsia="zh-CN"/>
        </w:rPr>
        <w:t xml:space="preserve">乙方应</w:t>
      </w:r>
      <w:r>
        <w:rPr>
          <w:rFonts w:hint="eastAsia" w:ascii="宋体" w:hAnsi="宋体" w:eastAsia="宋体" w:cs="宋体"/>
          <w:color w:val="auto"/>
          <w:highlight w:val="none"/>
        </w:rPr>
        <w:t xml:space="preserve">严格按照合同条款、设备使用说明书、操作手册的规定和程序进行安装、调试，除证明已满足本招标文件技术规范要求外，还要提供相应的文件和资料</w:t>
      </w:r>
      <w:r>
        <w:rPr>
          <w:rFonts w:hint="eastAsia" w:ascii="宋体" w:hAnsi="宋体" w:eastAsia="宋体" w:cs="宋体"/>
          <w:color w:val="auto"/>
          <w:sz w:val="24"/>
          <w:szCs w:val="24"/>
          <w:highlight w:val="none"/>
          <w:lang w:val="en-US" w:eastAsia="zh-CN" w:bidi="ar-SA"/>
        </w:rPr>
        <w:t xml:space="preserve">。</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z w:val="24"/>
          <w:szCs w:val="24"/>
          <w:highlight w:val="none"/>
          <w:lang w:val="en-US" w:eastAsia="zh-CN"/>
        </w:rPr>
        <w:t xml:space="preserve">验收要求按照安装技术要求执行</w:t>
      </w:r>
      <w:r>
        <w:rPr>
          <w:rFonts w:hint="eastAsia" w:ascii="宋体" w:hAnsi="宋体" w:eastAsia="宋体" w:cs="宋体"/>
          <w:color w:val="auto"/>
          <w:sz w:val="24"/>
          <w:szCs w:val="24"/>
          <w:highlight w:val="none"/>
        </w:rPr>
        <w:t xml:space="preserve">。</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、安装调试检验时发现问题，在征得甲方同意后应及时处理，处理后应补充检验。</w:t>
      </w:r>
      <w:r/>
    </w:p>
    <w:p>
      <w:pPr>
        <w:pStyle w:val="744"/>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w:t>
      </w:r>
      <w:r>
        <w:rPr>
          <w:rFonts w:hint="eastAsia" w:ascii="宋体" w:hAnsi="宋体" w:eastAsia="宋体" w:cs="宋体"/>
          <w:color w:val="auto"/>
          <w:sz w:val="24"/>
          <w:szCs w:val="24"/>
          <w:highlight w:val="none"/>
          <w:lang w:eastAsia="zh-CN"/>
        </w:rPr>
        <w:t xml:space="preserve">试运行验收时要认真做好记录。若设备出现质量问题，中标供应商应</w:t>
      </w:r>
      <w:r>
        <w:rPr>
          <w:rFonts w:hint="eastAsia" w:ascii="宋体" w:hAnsi="宋体" w:eastAsia="宋体" w:cs="宋体"/>
          <w:color w:val="auto"/>
          <w:sz w:val="24"/>
          <w:szCs w:val="24"/>
          <w:highlight w:val="none"/>
          <w:lang w:val="en-US" w:eastAsia="zh-CN"/>
        </w:rPr>
        <w:t xml:space="preserve">尽快处置</w:t>
      </w:r>
      <w:r>
        <w:rPr>
          <w:rFonts w:hint="eastAsia" w:ascii="宋体" w:hAnsi="宋体" w:eastAsia="宋体" w:cs="宋体"/>
          <w:color w:val="auto"/>
          <w:sz w:val="24"/>
          <w:szCs w:val="24"/>
          <w:highlight w:val="none"/>
          <w:lang w:eastAsia="zh-CN"/>
        </w:rPr>
        <w:t xml:space="preserve">。</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）合同完工验收</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合同所规定的内容全部完成且安装调试检验合格，质量符合要求，经乙方申请，甲方同意后，才能进行合同完工验收。合同完工验收由甲方主持，组织有关参建单位人员参加，进行验收。 </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合同完工验收</w:t>
      </w:r>
      <w:r>
        <w:rPr>
          <w:rFonts w:hint="eastAsia" w:ascii="宋体" w:hAnsi="宋体" w:eastAsia="宋体" w:cs="宋体"/>
          <w:color w:val="auto"/>
          <w:highlight w:val="none"/>
        </w:rPr>
        <w:t xml:space="preserve">前，乙方应将</w:t>
      </w:r>
      <w:r>
        <w:rPr>
          <w:rFonts w:hint="eastAsia" w:ascii="宋体" w:hAnsi="宋体" w:eastAsia="宋体" w:cs="宋体"/>
          <w:color w:val="auto"/>
          <w:sz w:val="24"/>
          <w:szCs w:val="24"/>
          <w:highlight w:val="none"/>
          <w:lang w:val="en-US" w:eastAsia="zh-CN" w:bidi="ar-SA"/>
        </w:rPr>
        <w:t xml:space="preserve">施工管理工作总结报告、</w:t>
      </w:r>
      <w:r>
        <w:rPr>
          <w:rFonts w:hint="eastAsia" w:ascii="宋体" w:hAnsi="宋体" w:eastAsia="宋体" w:cs="宋体"/>
          <w:color w:val="auto"/>
          <w:highlight w:val="none"/>
        </w:rPr>
        <w:t xml:space="preserve">测试报告等有关资料报甲方。</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合同完工验收</w:t>
      </w:r>
      <w:r>
        <w:rPr>
          <w:rFonts w:hint="eastAsia" w:ascii="宋体" w:hAnsi="宋体" w:eastAsia="宋体" w:cs="宋体"/>
          <w:color w:val="auto"/>
          <w:highlight w:val="none"/>
        </w:rPr>
        <w:t xml:space="preserve">内容包括：检查合同范围内</w:t>
      </w:r>
      <w:r>
        <w:rPr>
          <w:rFonts w:hint="eastAsia" w:ascii="宋体" w:hAnsi="宋体" w:eastAsia="宋体" w:cs="宋体"/>
          <w:color w:val="auto"/>
          <w:highlight w:val="none"/>
          <w:lang w:val="en-US" w:eastAsia="zh-CN"/>
        </w:rPr>
        <w:t xml:space="preserve">的全部建设内容</w:t>
      </w:r>
      <w:r>
        <w:rPr>
          <w:rFonts w:hint="eastAsia" w:ascii="宋体" w:hAnsi="宋体" w:eastAsia="宋体" w:cs="宋体"/>
          <w:color w:val="auto"/>
          <w:highlight w:val="none"/>
        </w:rPr>
        <w:t xml:space="preserve">完成情况；检查施工现场清理情况</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设备</w:t>
      </w:r>
      <w:r>
        <w:rPr>
          <w:rFonts w:hint="eastAsia" w:ascii="宋体" w:hAnsi="宋体" w:eastAsia="宋体" w:cs="宋体"/>
          <w:color w:val="auto"/>
          <w:highlight w:val="none"/>
        </w:rPr>
        <w:t xml:space="preserve">运行情况、</w:t>
      </w:r>
      <w:r>
        <w:rPr>
          <w:rFonts w:hint="eastAsia" w:ascii="宋体" w:hAnsi="宋体" w:eastAsia="宋体" w:cs="宋体"/>
          <w:color w:val="auto"/>
          <w:highlight w:val="none"/>
          <w:lang w:val="en-US" w:eastAsia="zh-CN"/>
        </w:rPr>
        <w:t xml:space="preserve">档案整理情况</w:t>
      </w:r>
      <w:r>
        <w:rPr>
          <w:rFonts w:hint="eastAsia" w:ascii="宋体" w:hAnsi="宋体" w:eastAsia="宋体" w:cs="宋体"/>
          <w:color w:val="auto"/>
          <w:highlight w:val="none"/>
        </w:rPr>
        <w:t xml:space="preserve">以及完工结算情况等；鉴定工程质量，对验收中发现的问题提出处理意见；确定合同完工日期；讨论并通过合同完工验收鉴定书。</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合同完工验收</w:t>
      </w:r>
      <w:r>
        <w:rPr>
          <w:rFonts w:hint="eastAsia" w:ascii="宋体" w:hAnsi="宋体" w:eastAsia="宋体" w:cs="宋体"/>
          <w:color w:val="auto"/>
          <w:highlight w:val="none"/>
        </w:rPr>
        <w:t xml:space="preserve">如发现有影响正常运行的问题，由甲方按实际情况分清责任，责成乙方解决的，暂停验收，待乙方整改后再进行全面验收。</w:t>
      </w:r>
      <w:r/>
    </w:p>
    <w:p>
      <w:pPr>
        <w:pStyle w:val="744"/>
        <w:numPr>
          <w:ilvl w:val="-1"/>
          <w:numId w:val="0"/>
        </w:numPr>
        <w:ind w:left="0" w:firstLine="480"/>
        <w:jc w:val="left"/>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准</w:t>
      </w:r>
      <w:r>
        <w:rPr>
          <w:rFonts w:hint="eastAsia" w:ascii="宋体" w:hAnsi="宋体" w:eastAsia="宋体" w:cs="宋体"/>
          <w:color w:val="auto"/>
          <w:highlight w:val="none"/>
        </w:rPr>
        <w:t xml:space="preserve">运行</w:t>
      </w:r>
      <w:r>
        <w:rPr>
          <w:rFonts w:hint="eastAsia" w:ascii="宋体" w:hAnsi="宋体" w:eastAsia="宋体" w:cs="宋体"/>
          <w:color w:val="auto"/>
          <w:highlight w:val="none"/>
          <w:lang w:val="en-US" w:eastAsia="zh-CN"/>
        </w:rPr>
        <w:t xml:space="preserve">验收（</w:t>
      </w:r>
      <w:r>
        <w:rPr>
          <w:rFonts w:hint="eastAsia" w:ascii="宋体" w:hAnsi="宋体" w:eastAsia="宋体" w:cs="宋体"/>
          <w:color w:val="auto"/>
          <w:highlight w:val="none"/>
          <w:lang w:eastAsia="zh-CN"/>
        </w:rPr>
        <w:t xml:space="preserve">含30天短期使用验收</w:t>
      </w:r>
      <w:r>
        <w:rPr>
          <w:rFonts w:hint="eastAsia" w:ascii="宋体" w:hAnsi="宋体" w:eastAsia="宋体" w:cs="宋体"/>
          <w:color w:val="auto"/>
          <w:highlight w:val="none"/>
          <w:lang w:val="en-US" w:eastAsia="zh-CN"/>
        </w:rPr>
        <w:t xml:space="preserve">）</w:t>
      </w:r>
      <w:r/>
    </w:p>
    <w:p>
      <w:pPr>
        <w:pStyle w:val="744"/>
        <w:ind w:left="0" w:firstLine="480"/>
        <w:jc w:val="left"/>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合同完工验收后，进入为期</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个月的</w:t>
      </w:r>
      <w:r>
        <w:rPr>
          <w:rFonts w:hint="eastAsia" w:ascii="宋体" w:hAnsi="宋体" w:eastAsia="宋体" w:cs="宋体"/>
          <w:color w:val="auto"/>
          <w:highlight w:val="none"/>
          <w:lang w:val="en-US" w:eastAsia="zh-CN"/>
        </w:rPr>
        <w:t xml:space="preserve">准</w:t>
      </w:r>
      <w:r>
        <w:rPr>
          <w:rFonts w:hint="eastAsia" w:ascii="宋体" w:hAnsi="宋体" w:eastAsia="宋体" w:cs="宋体"/>
          <w:color w:val="auto"/>
          <w:highlight w:val="none"/>
          <w:lang w:eastAsia="zh-CN"/>
        </w:rPr>
        <w:t xml:space="preserve">运行期（含30天短期使用验收），乙方</w:t>
      </w:r>
      <w:r>
        <w:rPr>
          <w:rFonts w:hint="eastAsia" w:ascii="宋体" w:hAnsi="宋体" w:eastAsia="宋体" w:cs="宋体"/>
          <w:color w:val="auto"/>
          <w:highlight w:val="none"/>
          <w:lang w:val="en-US" w:eastAsia="zh-CN"/>
        </w:rPr>
        <w:t xml:space="preserve">根据甲方需求无条件提供技术响应支持和驻场服务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期间未发现严重质量缺陷且发现的问题均已处置完毕，乙方</w:t>
      </w:r>
      <w:r>
        <w:rPr>
          <w:rFonts w:hint="eastAsia" w:ascii="宋体" w:hAnsi="宋体" w:eastAsia="宋体" w:cs="宋体"/>
          <w:color w:val="auto"/>
          <w:highlight w:val="none"/>
          <w:lang w:eastAsia="zh-CN"/>
        </w:rPr>
        <w:t xml:space="preserve">提交运行报告</w:t>
      </w:r>
      <w:r>
        <w:rPr>
          <w:rFonts w:hint="eastAsia" w:ascii="宋体" w:hAnsi="宋体" w:eastAsia="宋体" w:cs="宋体"/>
          <w:color w:val="auto"/>
          <w:highlight w:val="none"/>
          <w:lang w:val="en-US" w:eastAsia="zh-CN"/>
        </w:rPr>
        <w:t xml:space="preserve">，经建设各方确认后，甲方出具确认文件</w:t>
      </w:r>
      <w:r>
        <w:rPr>
          <w:rFonts w:hint="eastAsia" w:ascii="宋体" w:hAnsi="宋体" w:eastAsia="宋体" w:cs="宋体"/>
          <w:color w:val="auto"/>
          <w:highlight w:val="none"/>
          <w:lang w:eastAsia="zh-CN"/>
        </w:rPr>
        <w:t xml:space="preserve">。</w:t>
      </w:r>
      <w:bookmarkEnd w:id="25"/>
      <w:r>
        <w:rPr>
          <w:rFonts w:hint="eastAsia" w:ascii="宋体" w:hAnsi="宋体" w:eastAsia="宋体" w:cs="宋体"/>
          <w:color w:val="auto"/>
          <w:highlight w:val="none"/>
          <w:lang w:eastAsia="zh-CN"/>
        </w:rPr>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二十一、知识产权和使用</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拥有开发软件的知识产权。乙方非经甲方同意，不得以任何方式向第三方披露、转让和许可有关的技术成果、计算机软件、技术诀窍、秘密信息、技术资料和文件。若项目知识产权用于奖项申报等用途，需经甲方同意。除本研发工作需要之外，未得到甲方的书面许可，乙方不得以任何方式商业性地利用上述资料和技术。如乙方违反本条的规定，除立即停止违约行为外，还应按本合同总价的10%支付违约金，并赔偿由此造成的甲方损失。</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本项目知识产权的有形形式包括但不限于：软件产品、数据标准（管理员后台必备模块）、软件技术文件等。</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二十二、售后服务</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乙方应充分考虑站点的现场环境，禁止将设备暴露或布置在高温、高湿、雨淋、水淹位置。在项目合同完工验收合格之日起，即进入售后服务期。</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（一）项目的质保期为从</w:t>
      </w:r>
      <w:r>
        <w:rPr>
          <w:rFonts w:hint="eastAsia" w:ascii="宋体" w:hAnsi="宋体" w:eastAsia="宋体" w:cs="宋体"/>
          <w:color w:val="auto"/>
          <w:highlight w:val="none"/>
          <w:lang w:val="en-US" w:eastAsia="zh-CN"/>
        </w:rPr>
        <w:t xml:space="preserve">合同完工验收</w:t>
      </w:r>
      <w:r>
        <w:rPr>
          <w:rFonts w:hint="eastAsia" w:ascii="宋体" w:hAnsi="宋体" w:eastAsia="宋体" w:cs="宋体"/>
          <w:color w:val="auto"/>
          <w:highlight w:val="none"/>
        </w:rPr>
        <w:t xml:space="preserve">（以采购人确认为准）之日起，期限为</w:t>
      </w:r>
      <w:r>
        <w:rPr>
          <w:rFonts w:hint="eastAsia" w:ascii="宋体" w:hAnsi="宋体" w:eastAsia="宋体" w:cs="宋体"/>
          <w:color w:val="auto"/>
          <w:highlight w:val="none"/>
          <w:lang w:val="en-US" w:eastAsia="zh-CN"/>
        </w:rPr>
        <w:t xml:space="preserve">24</w:t>
      </w:r>
      <w:r>
        <w:rPr>
          <w:rFonts w:hint="eastAsia" w:ascii="宋体" w:hAnsi="宋体" w:eastAsia="宋体" w:cs="宋体"/>
          <w:color w:val="auto"/>
          <w:highlight w:val="none"/>
        </w:rPr>
        <w:t xml:space="preserve">个月。质保期内，乙方负责对系统运行中出现的故障进行处理，负责免费更换故障部件。</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（二）在质量保证期满后，乙方有义务在本系统的使用维护方面继续提供技术支持，提供本系统软件的升级及备品备件。 </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二十三、信用</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（一）本合同任何一方可以要求对方提供其信用报告。</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（二）如合同双方在履行本合同过程中发生争议，并进入司法等争端解决程序，任何一方可以将生效判决提交给本市的联合征信机构。</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bookmarkStart w:id="26" w:name="_Toc453148731"/>
      <w:r>
        <w:rPr>
          <w:rFonts w:hint="eastAsia" w:ascii="宋体" w:hAnsi="宋体" w:eastAsia="宋体" w:cs="宋体"/>
          <w:color w:val="auto"/>
          <w:highlight w:val="none"/>
        </w:rPr>
        <w:t xml:space="preserve">二十四、争议</w:t>
      </w:r>
      <w:bookmarkEnd w:id="26"/>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bookmarkStart w:id="27" w:name="_Toc453148732"/>
      <w:r>
        <w:rPr>
          <w:rFonts w:hint="eastAsia" w:ascii="宋体" w:hAnsi="宋体" w:eastAsia="宋体" w:cs="宋体"/>
          <w:color w:val="auto"/>
          <w:sz w:val="24"/>
          <w:highlight w:val="none"/>
        </w:rPr>
        <w:t xml:space="preserve">（一）因执行本合同所发生的或与本合同有关的一切争议，双方应通过友好协商解决。如果协商开始后六十（60）日还不能解决，任何一方均可按中华人民共和国有关法律的规定提交仲裁。</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（二）仲裁裁决应为最终裁决，对双方均具有约束力。</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（三）仲裁费除仲裁机关另有裁决外均应由败诉方负担。</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（四）在仲裁期间，除正在进行仲裁的部分外，本合同其他部分应继续执行。</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二十五、违约</w:t>
      </w:r>
      <w:bookmarkEnd w:id="27"/>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bookmarkStart w:id="28" w:name="_Toc453148736"/>
      <w:r>
        <w:rPr>
          <w:rFonts w:hint="eastAsia" w:ascii="宋体" w:hAnsi="宋体" w:eastAsia="宋体" w:cs="宋体"/>
          <w:color w:val="auto"/>
          <w:sz w:val="24"/>
          <w:highlight w:val="none"/>
        </w:rPr>
        <w:t xml:space="preserve">（一）甲方不能及时给出必要指令确认和批准，不按合同约定履行自己的各项义务，支付款项及发生其他使合同无法履行的行为，应承担违约责任（包括支付因其违约导致乙方增加的经济支出和从应支付之日起计算应支付款项的利息等），相应顺延工期，按协议条款约定支付违约金和赔偿因其违约给乙方造成的损失。</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（二）乙方按合同工期完工，施工质量达不到设计、规范和本合同的要求，或发生其他使合同无法履行的行为，应承担违约责任，甲方可通知乙方，按协议条款约定支付违约金。</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（三）双方签字生效后，若单方毁约，使合同无法履行，则由违约方以合同总价的百分之三十（30%）作为违约金赔偿给对方。</w:t>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二十六、不可抗力</w:t>
      </w:r>
      <w:bookmarkEnd w:id="28"/>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（一）不可抗力以有关部门发布为准。</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（二）发生后，乙方应迅速采取措施，尽力减少损失，并及时向甲方报告。</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（三）灾害发生的费用遵照以下约定：</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1、项目本身的损失由甲方承担；</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2、人员伤亡由其所属单位负责，并承担相应费用；</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3、造成乙方设备、机械的损坏及停工损失，由乙方承担。</w:t>
      </w:r>
      <w:bookmarkStart w:id="29" w:name="_Toc453148737"/>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二十七、保险</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（一）乙方应为本项目购买工程一切险，相关费用包含在合同总价中。</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（二）乙方应对本合同下提供的设备的制造、购置、运输、存放、安装及交货过程中的丢失或损坏进行全面的保险。</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乙方需对其雇员及其分包人的雇员的意外或伤亡负全责。甲方对任何雇员的意外或伤亡，不论该人是受雇于乙方或其分包人，不负任何法律上的赔偿责任，乙方须保障甲方免负任何有关的索赔、诉讼等责任和费用。</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（四）乙方须办理涉及本项目人员、财产和机械设备的保险。 </w:t>
      </w:r>
      <w:bookmarkEnd w:id="29"/>
      <w:r/>
      <w:r/>
    </w:p>
    <w:p>
      <w:pPr>
        <w:pStyle w:val="698"/>
        <w:ind w:left="0"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二十八、合同的生效、终止及其他</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（一）本合同在双方签字、盖章后生效。 </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（二）本合同未尽事宜另立补充协议，补充协议与本合同具有同等法律效力。</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本合同项下双方的任何权利和义务不因合同双方发生收购、兼并、重组、分立而发生变化。如发生上述情形之一，则本合同项下的权利和义务随之转移至收购、兼并、重组或分立之单位。如甲、乙双方在本合同项下的各项权利和义务由甲、乙双方之分立单位分别承受的，则甲、乙双方与甲、乙双方之分立单位分别享有和承担相关权利和义务。</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（四）合同的终止 </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1、在项目结算，甲方付款完毕，乙方将系统交付甲方后，除有关质量保证条款仍然生效外，其他条款即告终止，质量保证期满后，有关质量保证条款终止。</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2、如果乙方破产或无清偿能力，甲方可在任何时候以书面形式通知乙方，提出终止合同而不给乙方补偿。该终止合同将不损害或影响甲方已经采取或将要采取的任何行动或补救措施的权力。</w:t>
      </w:r>
      <w:r/>
    </w:p>
    <w:p>
      <w:pPr>
        <w:pStyle w:val="744"/>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3、甲方可在任何时候出于自身的便利向乙方发出书面通知，全部或部分终止合同，终止通知应明确该终止合同是出于甲方的便利，合同终止的程度以及终止的生效日期。</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（五）本合同一式六份，甲乙双方各执三份。</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甲方名称（公章）：</w:t>
      </w:r>
      <w:r>
        <w:rPr>
          <w:rFonts w:hint="eastAsia" w:ascii="宋体" w:hAnsi="宋体" w:eastAsia="宋体" w:cs="宋体"/>
          <w:color w:val="auto"/>
          <w:sz w:val="24"/>
          <w:highlight w:val="none"/>
          <w:u w:val="single"/>
        </w:rPr>
        <w:t xml:space="preserve">太湖流域水文水资源监测中心（太湖流域水环境监测中心）</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法定代表人／委托代理人（签名）：</w:t>
      </w:r>
      <w:r>
        <w:rPr>
          <w:rFonts w:hint="eastAsia" w:ascii="宋体" w:hAnsi="宋体" w:eastAsia="宋体" w:cs="宋体"/>
          <w:color w:val="auto"/>
          <w:sz w:val="24"/>
          <w:highlight w:val="none"/>
          <w:u w:val="single"/>
        </w:rPr>
        <w:t xml:space="preserve">                  </w:t>
      </w:r>
      <w:r/>
    </w:p>
    <w:p>
      <w:pPr>
        <w:ind w:left="0" w:firstLine="480"/>
        <w:jc w:val="left"/>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甲方地址：</w:t>
      </w:r>
      <w:r>
        <w:rPr>
          <w:rFonts w:hint="eastAsia" w:ascii="宋体" w:hAnsi="宋体" w:eastAsia="宋体" w:cs="宋体"/>
          <w:color w:val="auto"/>
          <w:sz w:val="24"/>
          <w:highlight w:val="none"/>
          <w:u w:val="single"/>
        </w:rPr>
        <w:t xml:space="preserve">无锡市金城路835号</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rPr>
          <w:rFonts w:hint="eastAsia" w:ascii="宋体" w:hAnsi="宋体" w:eastAsia="宋体" w:cs="宋体"/>
          <w:color w:val="auto"/>
          <w:sz w:val="24"/>
          <w:highlight w:val="none"/>
          <w:u w:val="single"/>
        </w:rPr>
        <w:t xml:space="preserve">                             </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u w:val="single"/>
        </w:rPr>
        <w:t xml:space="preserve">                             </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u w:val="single"/>
        </w:rPr>
        <w:t xml:space="preserve">                             </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乙方名称（公章）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法定代表人／委托代理人（签名）：</w:t>
      </w:r>
      <w:r>
        <w:rPr>
          <w:rFonts w:hint="eastAsia" w:ascii="宋体" w:hAnsi="宋体" w:eastAsia="宋体" w:cs="宋体"/>
          <w:color w:val="auto"/>
          <w:sz w:val="24"/>
          <w:highlight w:val="none"/>
          <w:u w:val="single"/>
        </w:rPr>
        <w:t xml:space="preserve">                          </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left="0" w:firstLine="480"/>
        <w:jc w:val="left"/>
        <w:keepLines w:val="0"/>
        <w:keepNext w:val="0"/>
        <w:pageBreakBefore w:val="0"/>
        <w:spacing w:line="360" w:lineRule="auto"/>
        <w:rPr>
          <w:color w:val="auto"/>
          <w:highlight w:val="none"/>
        </w:rPr>
      </w:pP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黑体" w:hAnsi="Cambria" w:eastAsia="黑体"/>
          <w:b/>
          <w:bCs/>
          <w:color w:val="auto"/>
          <w:sz w:val="36"/>
          <w:szCs w:val="36"/>
          <w:highlight w:val="none"/>
        </w:rPr>
        <w:br w:type="page" w:clear="all"/>
      </w:r>
      <w:r/>
    </w:p>
    <w:p>
      <w:pPr>
        <w:jc w:val="center"/>
        <w:rPr>
          <w:rFonts w:ascii="黑体" w:hAnsi="Cambria" w:eastAsia="黑体"/>
          <w:b/>
          <w:bCs/>
          <w:color w:val="auto"/>
          <w:sz w:val="36"/>
          <w:szCs w:val="36"/>
          <w:highlight w:val="none"/>
        </w:rPr>
        <w:outlineLvl w:val="0"/>
      </w:pPr>
      <w:r/>
      <w:bookmarkStart w:id="30" w:name="_Toc19942"/>
      <w:r>
        <w:rPr>
          <w:rFonts w:hint="eastAsia" w:ascii="黑体" w:hAnsi="Cambria" w:eastAsia="黑体"/>
          <w:b/>
          <w:bCs/>
          <w:color w:val="auto"/>
          <w:sz w:val="36"/>
          <w:szCs w:val="36"/>
          <w:highlight w:val="none"/>
        </w:rPr>
        <w:t xml:space="preserve">五、附件</w:t>
      </w:r>
      <w:bookmarkEnd w:id="30"/>
      <w:r/>
      <w:r/>
    </w:p>
    <w:p>
      <w:pPr>
        <w:ind w:firstLine="480"/>
        <w:jc w:val="left"/>
        <w:spacing w:line="360" w:lineRule="auto"/>
        <w:rPr>
          <w:rFonts w:ascii="黑体" w:eastAsia="黑体"/>
          <w:bCs/>
          <w:color w:val="auto"/>
          <w:sz w:val="24"/>
          <w:szCs w:val="24"/>
          <w:highlight w:val="none"/>
        </w:rPr>
        <w:outlineLvl w:val="1"/>
      </w:pPr>
      <w:r>
        <w:rPr>
          <w:rFonts w:hint="eastAsia" w:ascii="黑体" w:eastAsia="黑体"/>
          <w:bCs/>
          <w:color w:val="auto"/>
          <w:sz w:val="24"/>
          <w:szCs w:val="24"/>
          <w:highlight w:val="none"/>
        </w:rPr>
        <w:t xml:space="preserve">附件一：评分标准</w:t>
      </w:r>
      <w:r/>
    </w:p>
    <w:p>
      <w:pPr>
        <w:ind w:firstLine="480"/>
        <w:spacing w:line="360" w:lineRule="auto"/>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特别注意：本项目采用暗标形式，投标人须对商务部分和技术部分分别进行制作。其中技术文件部分属于暗标，投标人在制作技术文件部分相关内容时不得有体现投标人身份的内容，否则投标无效。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（一）评分项目及分值（总分100分）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                                     3</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2.投标供应商评价                               </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3.技术指标                                     </w:t>
      </w:r>
      <w:r>
        <w:rPr>
          <w:rFonts w:hint="eastAsia" w:ascii="宋体" w:hAnsi="宋体" w:cs="宋体"/>
          <w:b/>
          <w:color w:val="auto"/>
          <w:sz w:val="24"/>
          <w:highlight w:val="none"/>
          <w:lang w:val="en-US" w:eastAsia="zh-CN"/>
        </w:rPr>
        <w:t xml:space="preserve">28</w:t>
      </w:r>
      <w:r>
        <w:rPr>
          <w:rFonts w:hint="eastAsia" w:ascii="宋体" w:hAnsi="宋体" w:cs="宋体"/>
          <w:b/>
          <w:color w:val="auto"/>
          <w:sz w:val="24"/>
          <w:highlight w:val="none"/>
        </w:rPr>
        <w:t xml:space="preserve">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4.技术文件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暗标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30</w:t>
      </w:r>
      <w:r>
        <w:rPr>
          <w:rFonts w:hint="eastAsia" w:ascii="宋体" w:hAnsi="宋体" w:cs="宋体"/>
          <w:b/>
          <w:color w:val="auto"/>
          <w:sz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（二）各项目评分标准</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1.投标报价（3</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分）</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投标报价得分=（评标基准价／投标报价）×价格权值×100。</w:t>
      </w:r>
      <w:r/>
    </w:p>
    <w:p>
      <w:pPr>
        <w:ind w:firstLine="480"/>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（1）价格扣除：</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对小型和微型企业产品的报价给予10%的扣除，用扣除后的价格参与评审，残疾人福利性单位、监狱企业视同小型、微型企业，除按属于小、微型企业产品细目报价表认真填写外，还应提供以下有效证明文件（如未按要求填写和提供有效证明或相关内容表述不清的，不得享受价格扣除）。</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①参加投标的中小企业，应当按照《政府采购促进中小企业发展</w:t>
      </w:r>
      <w:r>
        <w:rPr>
          <w:rFonts w:hint="eastAsia" w:ascii="宋体" w:hAnsi="宋体" w:cs="宋体"/>
          <w:bCs/>
          <w:color w:val="auto"/>
          <w:sz w:val="24"/>
          <w:szCs w:val="24"/>
          <w:highlight w:val="none"/>
          <w:lang w:val="en-US" w:eastAsia="zh-CN"/>
        </w:rPr>
        <w:t xml:space="preserve">管理</w:t>
      </w:r>
      <w:r>
        <w:rPr>
          <w:rFonts w:hint="eastAsia" w:ascii="宋体" w:hAnsi="宋体" w:cs="宋体"/>
          <w:bCs/>
          <w:color w:val="auto"/>
          <w:sz w:val="24"/>
          <w:szCs w:val="24"/>
          <w:highlight w:val="none"/>
        </w:rPr>
        <w:t xml:space="preserve">办法》的规定提供《中小企业声明函》格式见附件。（中小企业划型标准详见《关于印发中小企业划型标准规定的通知》工信部联企业〔2011〕300号）。</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注：同一投标供应商，上述三项价格扣除优惠不得重复享受。</w:t>
      </w:r>
      <w:r/>
    </w:p>
    <w:p>
      <w:pPr>
        <w:ind w:firstLine="482"/>
        <w:jc w:val="left"/>
        <w:spacing w:line="500" w:lineRule="exact"/>
        <w:rPr>
          <w:rFonts w:ascii="宋体" w:hAnsi="宋体"/>
          <w:b/>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b/>
          <w:bCs/>
          <w:color w:val="auto"/>
          <w:sz w:val="24"/>
          <w:szCs w:val="24"/>
          <w:highlight w:val="none"/>
        </w:rPr>
        <w:t xml:space="preserve">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①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none"/>
        </w:rPr>
        <w:t xml:space="preserve">对于仅有本国产品参与竞争的政府采购项目或采购包，本国产品不享受价格扣除评审优惠。</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2）注意事项</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①提供本国产品进行投标（报价）的供应商需在其投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②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③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1000000×[1-（10%+20%）]=700000元</w:t>
      </w:r>
      <w:r/>
    </w:p>
    <w:p>
      <w:pPr>
        <w:numPr>
          <w:ilvl w:val="0"/>
          <w:numId w:val="15"/>
        </w:numPr>
        <w:ind w:firstLine="482"/>
        <w:spacing w:line="360" w:lineRule="auto"/>
        <w:tabs>
          <w:tab w:val="left" w:pos="420" w:leader="none"/>
          <w:tab w:val="left" w:pos="945" w:leader="none"/>
          <w:tab w:val="left" w:pos="1155" w:leader="none"/>
        </w:tabs>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投标供应商评价（7分）</w:t>
      </w:r>
      <w:r/>
    </w:p>
    <w:tbl>
      <w:tblPr>
        <w:tblStyle w:val="67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1"/>
        <w:gridCol w:w="6891"/>
        <w:gridCol w:w="954"/>
      </w:tblGrid>
      <w:tr>
        <w:trPr>
          <w:jc w:val="center"/>
          <w:trHeight w:val="452"/>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b/>
                <w:bCs/>
                <w:color w:val="auto"/>
                <w:sz w:val="24"/>
                <w:szCs w:val="24"/>
                <w:highlight w:val="none"/>
                <w:lang w:val="en-US" w:eastAsia="zh-CN" w:bidi="ar-SA"/>
              </w:rPr>
              <w:suppressLineNumbers w:val="0"/>
            </w:pPr>
            <w:r>
              <w:rPr>
                <w:rFonts w:hint="eastAsia" w:asciiTheme="minorEastAsia" w:hAnsiTheme="minorEastAsia" w:eastAsiaTheme="minorEastAsia" w:cstheme="minorEastAsia"/>
                <w:b/>
                <w:bCs/>
                <w:color w:val="auto"/>
                <w:sz w:val="24"/>
                <w:szCs w:val="24"/>
                <w:highlight w:val="none"/>
                <w:lang w:val="en-US" w:eastAsia="zh-CN" w:bidi="ar-SA"/>
              </w:rPr>
              <w:t xml:space="preserve">评分内容</w:t>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b/>
                <w:bCs/>
                <w:color w:val="auto"/>
                <w:sz w:val="24"/>
                <w:szCs w:val="24"/>
                <w:highlight w:val="none"/>
                <w:lang w:val="en-US" w:eastAsia="zh-CN" w:bidi="ar-SA"/>
              </w:rPr>
              <w:suppressLineNumbers w:val="0"/>
            </w:pPr>
            <w:r>
              <w:rPr>
                <w:rFonts w:hint="eastAsia" w:asciiTheme="minorEastAsia" w:hAnsiTheme="minorEastAsia" w:eastAsiaTheme="minorEastAsia" w:cstheme="minorEastAsia"/>
                <w:b/>
                <w:bCs/>
                <w:color w:val="auto"/>
                <w:sz w:val="24"/>
                <w:szCs w:val="24"/>
                <w:highlight w:val="none"/>
                <w:lang w:val="en-US" w:eastAsia="zh-CN" w:bidi="ar-SA"/>
              </w:rPr>
              <w:t xml:space="preserve">评分标准</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b/>
                <w:bCs/>
                <w:color w:val="auto"/>
                <w:sz w:val="24"/>
                <w:szCs w:val="24"/>
                <w:highlight w:val="none"/>
                <w:lang w:val="en-US" w:eastAsia="zh-CN" w:bidi="ar-SA"/>
              </w:rPr>
              <w:suppressLineNumbers w:val="0"/>
            </w:pPr>
            <w:r>
              <w:rPr>
                <w:rFonts w:hint="eastAsia" w:asciiTheme="minorEastAsia" w:hAnsiTheme="minorEastAsia" w:eastAsiaTheme="minorEastAsia" w:cstheme="minorEastAsia"/>
                <w:b/>
                <w:bCs/>
                <w:color w:val="auto"/>
                <w:sz w:val="24"/>
                <w:szCs w:val="24"/>
                <w:highlight w:val="none"/>
                <w:lang w:val="en-US" w:eastAsia="zh-CN" w:bidi="ar-SA"/>
              </w:rPr>
              <w:t xml:space="preserve">分值</w:t>
            </w:r>
            <w:r/>
          </w:p>
        </w:tc>
      </w:tr>
      <w:tr>
        <w:trPr>
          <w:jc w:val="center"/>
          <w:trHeight w:val="461"/>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投标供应商管理体系认证</w:t>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numPr>
                <w:ilvl w:val="0"/>
                <w:numId w:val="0"/>
              </w:numPr>
              <w:ind w:left="0" w:right="0"/>
              <w:keepLines w:val="0"/>
              <w:keepNext w:val="0"/>
              <w:spacing w:before="0" w:beforeAutospacing="0" w:after="0" w:afterAutospacing="0" w:line="400" w:lineRule="exact"/>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投标供应商具有经中国国家认证认可监督管理委员会认证机构颁发的质量管理体系证书、环境管理体系认证证书、职业健康安全管理体系证书，每具备1个证书得1分，最高得3分，没有不得分。</w:t>
            </w:r>
            <w:r/>
          </w:p>
          <w:p>
            <w:pPr>
              <w:ind w:left="0" w:right="0"/>
              <w:keepLines w:val="0"/>
              <w:keepNext w:val="0"/>
              <w:spacing w:before="0" w:beforeAutospacing="0" w:after="0" w:afterAutospacing="0" w:line="400" w:lineRule="exact"/>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b/>
                <w:bCs w:val="0"/>
                <w:color w:val="auto"/>
                <w:sz w:val="24"/>
                <w:szCs w:val="24"/>
                <w:highlight w:val="none"/>
                <w:lang w:val="en-US" w:eastAsia="zh-CN" w:bidi="ar-SA"/>
              </w:rPr>
              <w:t xml:space="preserve">注：提供证书扫描件</w:t>
            </w:r>
            <w:r>
              <w:rPr>
                <w:rFonts w:hint="eastAsia" w:asciiTheme="minorEastAsia" w:hAnsiTheme="minorEastAsia" w:eastAsiaTheme="minorEastAsia" w:cstheme="minorEastAsia"/>
                <w:b/>
                <w:bCs w:val="0"/>
                <w:color w:val="auto"/>
                <w:sz w:val="24"/>
                <w:szCs w:val="24"/>
                <w:highlight w:val="none"/>
                <w:lang w:val="en-US" w:eastAsia="zh-CN" w:bidi="ar-SA"/>
              </w:rPr>
              <w:t xml:space="preserve">上传至电子投标文件，未按要求提供不得分</w:t>
            </w:r>
            <w:r>
              <w:rPr>
                <w:rFonts w:hint="eastAsia" w:asciiTheme="minorEastAsia" w:hAnsiTheme="minorEastAsia" w:eastAsiaTheme="minorEastAsia" w:cstheme="minorEastAsia"/>
                <w:b/>
                <w:bCs w:val="0"/>
                <w:color w:val="auto"/>
                <w:sz w:val="24"/>
                <w:szCs w:val="24"/>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3分</w:t>
            </w:r>
            <w:r/>
          </w:p>
        </w:tc>
      </w:tr>
      <w:tr>
        <w:trPr>
          <w:jc w:val="center"/>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投标供应商业绩</w:t>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keepLines w:val="0"/>
              <w:keepNext w:val="0"/>
              <w:spacing w:before="0" w:beforeAutospacing="0" w:after="0" w:afterAutospacing="0" w:line="400" w:lineRule="exact"/>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投标供应商自2023年1月1日至本项目投标截标时间止（日期以合同签订时间为准），完成同类项目业绩的（气相色谱质谱仪），有1个得0.5分，最高得2分，没有不得分。</w:t>
            </w:r>
            <w:r/>
          </w:p>
          <w:p>
            <w:pPr>
              <w:ind w:left="0" w:right="0"/>
              <w:keepLines w:val="0"/>
              <w:keepNext w:val="0"/>
              <w:spacing w:before="0" w:beforeAutospacing="0" w:after="0" w:afterAutospacing="0" w:line="400" w:lineRule="exact"/>
              <w:rPr>
                <w:rFonts w:hint="eastAsia" w:asciiTheme="minorEastAsia" w:hAnsiTheme="minorEastAsia" w:eastAsiaTheme="minorEastAsia" w:cstheme="minorEastAsia"/>
                <w:b/>
                <w:color w:val="auto"/>
                <w:sz w:val="24"/>
                <w:szCs w:val="24"/>
                <w:highlight w:val="none"/>
                <w:lang w:val="en-US" w:eastAsia="zh-CN" w:bidi="ar-SA"/>
              </w:rPr>
              <w:suppressLineNumbers w:val="0"/>
            </w:pPr>
            <w:r>
              <w:rPr>
                <w:rFonts w:hint="eastAsia" w:asciiTheme="minorEastAsia" w:hAnsiTheme="minorEastAsia" w:eastAsiaTheme="minorEastAsia" w:cstheme="minorEastAsia"/>
                <w:b/>
                <w:color w:val="auto"/>
                <w:sz w:val="24"/>
                <w:szCs w:val="24"/>
                <w:highlight w:val="none"/>
                <w:lang w:val="en-US" w:eastAsia="zh-CN" w:bidi="ar-SA"/>
              </w:rPr>
              <w:t xml:space="preserve">注：提供中标通知书、合同、验收文件</w:t>
            </w:r>
            <w:r>
              <w:rPr>
                <w:rFonts w:hint="eastAsia" w:asciiTheme="minorEastAsia" w:hAnsiTheme="minorEastAsia" w:eastAsiaTheme="minorEastAsia" w:cstheme="minorEastAsia"/>
                <w:b/>
                <w:bCs w:val="0"/>
                <w:color w:val="auto"/>
                <w:sz w:val="24"/>
                <w:szCs w:val="24"/>
                <w:highlight w:val="none"/>
                <w:lang w:val="en-US" w:eastAsia="zh-CN" w:bidi="ar-SA"/>
              </w:rPr>
              <w:t xml:space="preserve">扫描件</w:t>
            </w:r>
            <w:r>
              <w:rPr>
                <w:rFonts w:hint="eastAsia" w:asciiTheme="minorEastAsia" w:hAnsiTheme="minorEastAsia" w:eastAsiaTheme="minorEastAsia" w:cstheme="minorEastAsia"/>
                <w:b/>
                <w:bCs w:val="0"/>
                <w:color w:val="auto"/>
                <w:sz w:val="24"/>
                <w:szCs w:val="24"/>
                <w:highlight w:val="none"/>
                <w:lang w:val="en-US" w:eastAsia="zh-CN" w:bidi="ar-SA"/>
              </w:rPr>
              <w:t xml:space="preserve">上传至电子投标文件，未按要求提供不得分</w:t>
            </w:r>
            <w:r>
              <w:rPr>
                <w:rFonts w:hint="eastAsia" w:asciiTheme="minorEastAsia" w:hAnsiTheme="minorEastAsia" w:eastAsiaTheme="minorEastAsia" w:cstheme="minorEastAsia"/>
                <w:b/>
                <w:bCs w:val="0"/>
                <w:color w:val="auto"/>
                <w:sz w:val="24"/>
                <w:szCs w:val="24"/>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right="0" w:firstLine="240"/>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2分</w:t>
            </w:r>
            <w:r/>
          </w:p>
        </w:tc>
      </w:tr>
      <w:tr>
        <w:trPr>
          <w:jc w:val="center"/>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b/>
                <w:color w:val="auto"/>
                <w:sz w:val="24"/>
                <w:szCs w:val="24"/>
                <w:highlight w:val="none"/>
                <w:lang w:val="en-US" w:eastAsia="zh-CN" w:bidi="ar-SA"/>
              </w:rPr>
              <w:t xml:space="preserve">加分因素</w:t>
            </w:r>
            <w:r/>
          </w:p>
        </w:tc>
        <w:tc>
          <w:tcPr>
            <w:tcBorders>
              <w:top w:val="single" w:color="auto" w:sz="4" w:space="0"/>
              <w:left w:val="single" w:color="auto" w:sz="4" w:space="0"/>
              <w:bottom w:val="single" w:color="auto" w:sz="4" w:space="0"/>
              <w:right w:val="single" w:color="auto" w:sz="4" w:space="0"/>
            </w:tcBorders>
            <w:tcW w:w="6891" w:type="dxa"/>
            <w:vAlign w:val="center"/>
            <w:textDirection w:val="lrTb"/>
            <w:noWrap w:val="false"/>
          </w:tcPr>
          <w:p>
            <w:pPr>
              <w:ind w:left="0" w:right="0"/>
              <w:keepLines w:val="0"/>
              <w:keepNext w:val="0"/>
              <w:spacing w:before="0" w:beforeAutospacing="0" w:after="0" w:afterAutospacing="0" w:line="240" w:lineRule="auto"/>
              <w:rPr>
                <w:rFonts w:hint="eastAsia" w:asciiTheme="minorEastAsia" w:hAnsiTheme="minorEastAsia" w:eastAsiaTheme="minorEastAsia" w:cstheme="minorEastAsia"/>
                <w:b/>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所</w:t>
            </w:r>
            <w:r>
              <w:rPr>
                <w:rFonts w:hint="eastAsia" w:asciiTheme="minorEastAsia" w:hAnsiTheme="minorEastAsia" w:eastAsiaTheme="minorEastAsia" w:cstheme="minorEastAsia"/>
                <w:color w:val="auto"/>
                <w:sz w:val="24"/>
                <w:szCs w:val="24"/>
                <w:highlight w:val="none"/>
                <w:lang w:val="en-US" w:eastAsia="zh-CN" w:bidi="ar-SA"/>
              </w:rPr>
              <w:t xml:space="preserve">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有1项，予以加1分，最多加2分。（节能产品、环境标志产品认证证书为同一产品的，不重复加分；投标时提供证书扫描件上传至电子投标文件，未按要求提供不得分）</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right="0" w:firstLine="240"/>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b w:val="0"/>
                <w:bCs/>
                <w:color w:val="auto"/>
                <w:sz w:val="24"/>
                <w:szCs w:val="24"/>
                <w:highlight w:val="none"/>
                <w:lang w:val="en-US" w:eastAsia="zh-CN" w:bidi="ar-SA"/>
              </w:rPr>
              <w:t xml:space="preserve">2分</w:t>
            </w:r>
            <w:r/>
          </w:p>
        </w:tc>
      </w:tr>
    </w:tbl>
    <w:p>
      <w:pPr>
        <w:ind w:firstLine="480"/>
        <w:jc w:val="left"/>
        <w:spacing w:line="360" w:lineRule="auto"/>
        <w:rPr>
          <w:rFonts w:hint="eastAsia" w:asciiTheme="minorEastAsia" w:hAnsiTheme="minorEastAsia" w:eastAsiaTheme="minorEastAsia" w:cstheme="minorEastAsia"/>
          <w:b/>
          <w:bCs w:val="0"/>
          <w:color w:val="auto"/>
          <w:sz w:val="24"/>
          <w:szCs w:val="24"/>
          <w:highlight w:val="none"/>
          <w:lang w:val="en-US" w:eastAsia="zh-CN" w:bidi="ar-SA"/>
        </w:rPr>
      </w:pPr>
      <w:r>
        <w:rPr>
          <w:rFonts w:hint="eastAsia" w:asciiTheme="minorEastAsia" w:hAnsiTheme="minorEastAsia" w:eastAsiaTheme="minorEastAsia" w:cstheme="minorEastAsia"/>
          <w:b/>
          <w:bCs w:val="0"/>
          <w:color w:val="auto"/>
          <w:sz w:val="24"/>
          <w:szCs w:val="24"/>
          <w:highlight w:val="none"/>
          <w:lang w:val="en-US" w:eastAsia="zh-CN" w:bidi="ar-SA"/>
        </w:rPr>
        <w:t xml:space="preserve">3、技术指标（28分）</w:t>
      </w:r>
      <w:r/>
    </w:p>
    <w:tbl>
      <w:tblPr>
        <w:tblStyle w:val="6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6909"/>
        <w:gridCol w:w="981"/>
      </w:tblGrid>
      <w:tr>
        <w:trPr>
          <w:jc w:val="center"/>
          <w:trHeight w:val="23"/>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b/>
                <w:bCs/>
                <w:color w:val="auto"/>
                <w:sz w:val="24"/>
                <w:szCs w:val="24"/>
                <w:highlight w:val="none"/>
                <w:lang w:val="en-US" w:eastAsia="zh-CN" w:bidi="ar-SA"/>
              </w:rPr>
              <w:suppressLineNumbers w:val="0"/>
            </w:pPr>
            <w:r>
              <w:rPr>
                <w:rFonts w:hint="eastAsia" w:asciiTheme="minorEastAsia" w:hAnsiTheme="minorEastAsia" w:eastAsiaTheme="minorEastAsia" w:cstheme="minorEastAsia"/>
                <w:b/>
                <w:bCs/>
                <w:color w:val="auto"/>
                <w:sz w:val="24"/>
                <w:szCs w:val="24"/>
                <w:highlight w:val="none"/>
                <w:lang w:val="en-US" w:eastAsia="zh-CN" w:bidi="ar-SA"/>
              </w:rPr>
              <w:t xml:space="preserve">评分内容</w:t>
            </w:r>
            <w:r/>
          </w:p>
        </w:tc>
        <w:tc>
          <w:tcPr>
            <w:tcBorders>
              <w:top w:val="single" w:color="auto" w:sz="4" w:space="0"/>
              <w:left w:val="single" w:color="auto" w:sz="4" w:space="0"/>
              <w:bottom w:val="single" w:color="auto" w:sz="4" w:space="0"/>
              <w:right w:val="single" w:color="auto" w:sz="4" w:space="0"/>
            </w:tcBorders>
            <w:tcW w:w="69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b/>
                <w:bCs/>
                <w:color w:val="auto"/>
                <w:sz w:val="24"/>
                <w:szCs w:val="24"/>
                <w:highlight w:val="none"/>
                <w:lang w:val="en-US" w:eastAsia="zh-CN" w:bidi="ar-SA"/>
              </w:rPr>
              <w:suppressLineNumbers w:val="0"/>
            </w:pPr>
            <w:r>
              <w:rPr>
                <w:rFonts w:hint="eastAsia" w:asciiTheme="minorEastAsia" w:hAnsiTheme="minorEastAsia" w:eastAsiaTheme="minorEastAsia" w:cstheme="minorEastAsia"/>
                <w:b/>
                <w:bCs/>
                <w:color w:val="auto"/>
                <w:sz w:val="24"/>
                <w:szCs w:val="24"/>
                <w:highlight w:val="none"/>
                <w:lang w:val="en-US" w:eastAsia="zh-CN" w:bidi="ar-SA"/>
              </w:rPr>
              <w:t xml:space="preserve">评分标准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b/>
                <w:bCs/>
                <w:color w:val="auto"/>
                <w:sz w:val="24"/>
                <w:szCs w:val="24"/>
                <w:highlight w:val="none"/>
                <w:lang w:val="en-US" w:eastAsia="zh-CN" w:bidi="ar-SA"/>
              </w:rPr>
              <w:suppressLineNumbers w:val="0"/>
            </w:pPr>
            <w:r>
              <w:rPr>
                <w:rFonts w:hint="eastAsia" w:asciiTheme="minorEastAsia" w:hAnsiTheme="minorEastAsia" w:eastAsiaTheme="minorEastAsia" w:cstheme="minorEastAsia"/>
                <w:b/>
                <w:bCs/>
                <w:color w:val="auto"/>
                <w:sz w:val="24"/>
                <w:szCs w:val="24"/>
                <w:highlight w:val="none"/>
                <w:lang w:val="en-US" w:eastAsia="zh-CN" w:bidi="ar-SA"/>
              </w:rPr>
              <w:t xml:space="preserve">分值</w:t>
            </w:r>
            <w:r/>
          </w:p>
        </w:tc>
      </w:tr>
      <w:tr>
        <w:trPr>
          <w:jc w:val="center"/>
          <w:trHeight w:val="23"/>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bCs/>
                <w:color w:val="auto"/>
                <w:sz w:val="24"/>
                <w:szCs w:val="24"/>
                <w:highlight w:val="none"/>
                <w:lang w:val="en-US" w:eastAsia="zh-CN" w:bidi="ar-SA"/>
              </w:rPr>
              <w:t xml:space="preserve">所投产品</w:t>
            </w:r>
            <w:r>
              <w:rPr>
                <w:rFonts w:hint="eastAsia" w:asciiTheme="minorEastAsia" w:hAnsiTheme="minorEastAsia" w:eastAsiaTheme="minorEastAsia" w:cstheme="minorEastAsia"/>
                <w:color w:val="auto"/>
                <w:sz w:val="24"/>
                <w:szCs w:val="24"/>
                <w:highlight w:val="none"/>
                <w:lang w:val="en-US" w:eastAsia="zh-CN" w:bidi="ar-SA"/>
              </w:rPr>
              <w:t xml:space="preserve">技术参数响应情况</w:t>
            </w:r>
            <w:r/>
          </w:p>
        </w:tc>
        <w:tc>
          <w:tcPr>
            <w:tcBorders>
              <w:top w:val="single" w:color="auto" w:sz="4" w:space="0"/>
              <w:left w:val="single" w:color="auto" w:sz="4" w:space="0"/>
              <w:bottom w:val="single" w:color="auto" w:sz="4" w:space="0"/>
              <w:right w:val="single" w:color="auto" w:sz="4" w:space="0"/>
            </w:tcBorders>
            <w:tcW w:w="6909"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（1）标“★”为重要参数指标，</w:t>
            </w:r>
            <w:r>
              <w:rPr>
                <w:rFonts w:hint="eastAsia" w:asciiTheme="minorEastAsia" w:hAnsiTheme="minorEastAsia" w:eastAsiaTheme="minorEastAsia" w:cstheme="minorEastAsia"/>
                <w:color w:val="auto"/>
                <w:sz w:val="24"/>
                <w:szCs w:val="24"/>
                <w:highlight w:val="none"/>
                <w:lang w:val="en-US" w:eastAsia="zh-CN" w:bidi="ar"/>
              </w:rPr>
              <w:t xml:space="preserve">不满足此招标文件规定的相应指标、参数的</w:t>
            </w:r>
            <w:r>
              <w:rPr>
                <w:rFonts w:hint="eastAsia" w:asciiTheme="minorEastAsia" w:hAnsiTheme="minorEastAsia" w:eastAsiaTheme="minorEastAsia" w:cstheme="minorEastAsia"/>
                <w:color w:val="auto"/>
                <w:sz w:val="24"/>
                <w:szCs w:val="24"/>
                <w:highlight w:val="none"/>
                <w:lang w:val="en-US" w:eastAsia="zh-CN" w:bidi="ar"/>
              </w:rPr>
              <w:t xml:space="preserve">，按无效标书处理。</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供应商所投产品参数全部满足招标文件技术条款且无偏离得基本分20分。</w:t>
            </w:r>
            <w:r>
              <w:rPr>
                <w:rFonts w:hint="eastAsia" w:asciiTheme="minorEastAsia" w:hAnsiTheme="minorEastAsia" w:eastAsiaTheme="minorEastAsia" w:cstheme="minorEastAsia"/>
                <w:color w:val="auto"/>
                <w:sz w:val="24"/>
                <w:szCs w:val="24"/>
                <w:highlight w:val="none"/>
                <w:lang w:val="en-US" w:eastAsia="zh-CN" w:bidi="ar-SA"/>
              </w:rPr>
              <w:t xml:space="preserve">任一项技术参数出现负偏离的，则该项基础分得0分。</w:t>
            </w:r>
            <w:r/>
          </w:p>
          <w:p>
            <w:pPr>
              <w:ind w:left="0" w:right="0"/>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（2）根据所投产品技术参数及要求的响应情况进行综合打分，所</w:t>
            </w:r>
            <w:r>
              <w:rPr>
                <w:rFonts w:hint="eastAsia" w:asciiTheme="minorEastAsia" w:hAnsiTheme="minorEastAsia" w:eastAsiaTheme="minorEastAsia" w:cstheme="minorEastAsia"/>
                <w:color w:val="auto"/>
                <w:sz w:val="24"/>
                <w:szCs w:val="24"/>
                <w:highlight w:val="none"/>
                <w:lang w:val="en-US" w:eastAsia="zh-CN" w:bidi="ar"/>
              </w:rPr>
              <w:t xml:space="preserve">投产品标注“▲”技术条款正偏离的，有一项正偏离得1分，本项最高得8分。（上述标注“▲”的条款须提供产品彩页或正式技术说明书或官网介绍网址或实物照片等证明材料。未提供相关证明材料的视为该项“▲”的条款不满足招标文件正偏离要求）</w:t>
            </w:r>
            <w:r/>
          </w:p>
          <w:p>
            <w:pPr>
              <w:ind w:left="0" w:right="0" w:firstLine="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b/>
                <w:bCs/>
                <w:color w:val="auto"/>
                <w:sz w:val="24"/>
                <w:szCs w:val="24"/>
                <w:highlight w:val="none"/>
                <w:lang w:val="en-US" w:eastAsia="zh-CN" w:bidi="ar-SA"/>
              </w:rPr>
              <w:t xml:space="preserve">注：标注“▲”的条款，投标人须在提供的证明材料中相应标识，未标识的视为该项条款不满足招标文件要求。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28分</w:t>
            </w:r>
            <w:r/>
          </w:p>
        </w:tc>
      </w:tr>
    </w:tbl>
    <w:p>
      <w:pPr>
        <w:ind w:firstLine="569"/>
        <w:spacing w:line="360" w:lineRule="auto"/>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val="0"/>
          <w:color w:val="auto"/>
          <w:sz w:val="24"/>
          <w:szCs w:val="24"/>
          <w:highlight w:val="none"/>
          <w:lang w:val="en-US" w:eastAsia="zh-CN" w:bidi="ar-SA"/>
        </w:rPr>
        <w:t xml:space="preserve">4、技术</w:t>
      </w:r>
      <w:r>
        <w:rPr>
          <w:rFonts w:hint="eastAsia" w:asciiTheme="minorEastAsia" w:hAnsiTheme="minorEastAsia" w:eastAsiaTheme="minorEastAsia" w:cstheme="minorEastAsia"/>
          <w:b/>
          <w:bCs/>
          <w:color w:val="auto"/>
          <w:sz w:val="24"/>
          <w:szCs w:val="24"/>
          <w:highlight w:val="none"/>
          <w:lang w:val="en-US" w:eastAsia="zh-CN" w:bidi="ar-SA"/>
        </w:rPr>
        <w:t xml:space="preserve">文件</w:t>
      </w:r>
      <w:r>
        <w:rPr>
          <w:rFonts w:hint="eastAsia" w:asciiTheme="minorEastAsia" w:hAnsiTheme="minorEastAsia" w:eastAsiaTheme="minorEastAsia" w:cstheme="minorEastAsia"/>
          <w:b/>
          <w:bCs/>
          <w:color w:val="auto"/>
          <w:sz w:val="24"/>
          <w:szCs w:val="24"/>
          <w:highlight w:val="none"/>
          <w:lang w:val="en-US" w:eastAsia="zh-CN" w:bidi="ar"/>
        </w:rPr>
        <w:t xml:space="preserve">（暗标）</w:t>
      </w:r>
      <w:r>
        <w:rPr>
          <w:rFonts w:hint="eastAsia" w:asciiTheme="minorEastAsia" w:hAnsiTheme="minorEastAsia" w:eastAsiaTheme="minorEastAsia" w:cstheme="minorEastAsia"/>
          <w:b/>
          <w:bCs/>
          <w:color w:val="auto"/>
          <w:sz w:val="24"/>
          <w:szCs w:val="24"/>
          <w:highlight w:val="none"/>
          <w:lang w:val="en-US" w:eastAsia="zh-CN" w:bidi="ar-SA"/>
        </w:rPr>
        <w:t xml:space="preserve">（30分）</w:t>
      </w:r>
      <w:r/>
    </w:p>
    <w:p>
      <w:pPr>
        <w:ind w:firstLine="569"/>
        <w:spacing w:line="360" w:lineRule="auto"/>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注：技术文件部分属于暗标，投标人在制作技术文件部分相关内容时不得有体现投标人身份的内容，否则投标无效。</w:t>
      </w:r>
      <w:r/>
    </w:p>
    <w:tbl>
      <w:tblPr>
        <w:tblStyle w:val="6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8"/>
        <w:gridCol w:w="6907"/>
        <w:gridCol w:w="981"/>
      </w:tblGrid>
      <w:tr>
        <w:trPr>
          <w:jc w:val="center"/>
          <w:trHeight w:val="90"/>
        </w:trPr>
        <w:tc>
          <w:tcPr>
            <w:tcBorders>
              <w:top w:val="single" w:color="auto" w:sz="4" w:space="0"/>
              <w:left w:val="single" w:color="auto" w:sz="4" w:space="0"/>
              <w:right w:val="single" w:color="auto" w:sz="4" w:space="0"/>
            </w:tcBorders>
            <w:tcW w:w="1398"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项目建设技术方案</w:t>
            </w:r>
            <w:r/>
          </w:p>
        </w:tc>
        <w:tc>
          <w:tcPr>
            <w:tcBorders>
              <w:top w:val="single" w:color="auto" w:sz="4" w:space="0"/>
              <w:left w:val="single" w:color="auto" w:sz="4" w:space="0"/>
              <w:bottom w:val="single" w:color="auto" w:sz="4" w:space="0"/>
              <w:right w:val="single" w:color="auto" w:sz="4" w:space="0"/>
            </w:tcBorders>
            <w:tcW w:w="6907" w:type="dxa"/>
            <w:vAlign w:val="center"/>
            <w:textDirection w:val="lrTb"/>
            <w:noWrap w:val="false"/>
          </w:tcPr>
          <w:p>
            <w:pPr>
              <w:ind w:left="0" w:right="0"/>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根据投标供应商建设方案的合理性由评标委员会进行综合评分，主要内容应包括：</w:t>
            </w:r>
            <w:r/>
          </w:p>
          <w:p>
            <w:pPr>
              <w:ind w:left="0" w:right="0"/>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1）投标供应商对本项目设备采购，设备安装调试方案，工期计划安排，质量控制措施，合同履行关键节点控制以及不符合项应对方案。方案内容应细化项目实施步骤和合同履行的关键时间节点，对应技术要求中确定，公司在人力、物力上的投入保障措施，实施过程中的质量保障和进度控制措施，以及对出现无法按约定提供货物、无法按期供货、设备指标无法满足验收要求等不符合事项的应对处置方案。合理、可行、具体得5分；合理、可行、较具体得3分；合理、较可行、较具体得1分；较差的或未提供的本项不得分。</w:t>
            </w:r>
            <w:r/>
          </w:p>
          <w:p>
            <w:pPr>
              <w:ind w:left="0" w:right="0"/>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（2）所投标产品及配套设施设备的先进性、完备性描述，合理、可行、具体得5分；合理、可行、较具体得3分；合理、较可行、较具体得1分；较差的或未提供的本项不得分。</w:t>
            </w:r>
            <w:r/>
          </w:p>
          <w:p>
            <w:pPr>
              <w:ind w:left="0" w:right="0"/>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（3）所采购主要设备功能与招标人业务应用场景、需求的适用性分析，</w:t>
            </w:r>
            <w:r>
              <w:rPr>
                <w:rFonts w:hint="eastAsia" w:asciiTheme="minorEastAsia" w:hAnsiTheme="minorEastAsia" w:eastAsiaTheme="minorEastAsia" w:cstheme="minorEastAsia"/>
                <w:color w:val="auto"/>
                <w:sz w:val="24"/>
                <w:szCs w:val="24"/>
                <w:highlight w:val="none"/>
                <w:lang w:val="en-US" w:eastAsia="zh-CN" w:bidi="ar-SA"/>
              </w:rPr>
              <w:t xml:space="preserve">合理、可行、具体得5分；合理、可行、较具体得3分；合理、较可行、较具体得1分；较差的或未提供的本项不得分。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15分</w:t>
            </w:r>
            <w:r/>
          </w:p>
        </w:tc>
      </w:tr>
      <w:tr>
        <w:trPr>
          <w:jc w:val="center"/>
          <w:trHeight w:val="1774"/>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技术培训</w:t>
            </w:r>
            <w:r/>
          </w:p>
        </w:tc>
        <w:tc>
          <w:tcPr>
            <w:tcBorders>
              <w:top w:val="single" w:color="auto" w:sz="4" w:space="0"/>
              <w:left w:val="single" w:color="auto" w:sz="4" w:space="0"/>
              <w:bottom w:val="single" w:color="auto" w:sz="4" w:space="0"/>
              <w:right w:val="single" w:color="auto" w:sz="4" w:space="0"/>
            </w:tcBorders>
            <w:tcW w:w="6907"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根据投标文件中操作培训和维护培训及其他形式培训（至少包括培训方式、培训内容、培训时间、培训人数、培训地点）是否完整合理，由评标委员会进行综合评分，合理、可行、具体得5分；合理、可行、较具体得3分；合理、较可行、较具体得1分。较差的或未提供的本项不得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5分</w:t>
            </w:r>
            <w:r/>
          </w:p>
        </w:tc>
      </w:tr>
      <w:tr>
        <w:trPr>
          <w:jc w:val="center"/>
          <w:trHeight w:val="419"/>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售后服务</w:t>
            </w:r>
            <w:r/>
          </w:p>
        </w:tc>
        <w:tc>
          <w:tcPr>
            <w:tcBorders>
              <w:top w:val="single" w:color="auto" w:sz="4" w:space="0"/>
              <w:left w:val="single" w:color="auto" w:sz="4" w:space="0"/>
              <w:bottom w:val="single" w:color="auto" w:sz="4" w:space="0"/>
              <w:right w:val="single" w:color="auto" w:sz="4" w:space="0"/>
            </w:tcBorders>
            <w:tcW w:w="6907" w:type="dxa"/>
            <w:vAlign w:val="center"/>
            <w:textDirection w:val="lrTb"/>
            <w:noWrap w:val="false"/>
          </w:tcPr>
          <w:p>
            <w:pPr>
              <w:ind w:left="0" w:right="0"/>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根据投标文件中提供的售后服务方案是否具体、合理和可行性情况，以及故障响应及时性，故障处理能力情况，由评标委员会进行综合评分，合理、可行、具体得10分；合理、可行、较具体得7分；合理、较可行、较具体得5分；较合理、较可行、较具体得3分。较差的或未提供的本项不得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10分</w:t>
            </w:r>
            <w:r/>
          </w:p>
        </w:tc>
      </w:tr>
    </w:tbl>
    <w:p>
      <w:pPr>
        <w:ind w:firstLine="569"/>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未列入本评分细则的其他条件不作为评分内容。</w:t>
      </w:r>
      <w:r/>
    </w:p>
    <w:p>
      <w:pP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br w:type="page" w:clear="all"/>
      </w:r>
      <w:r/>
    </w:p>
    <w:p>
      <w:pPr>
        <w:ind w:firstLine="482"/>
        <w:jc w:val="left"/>
        <w:spacing w:line="360" w:lineRule="auto"/>
        <w:tabs>
          <w:tab w:val="left" w:pos="1401" w:leader="none"/>
        </w:tabs>
        <w:rPr>
          <w:rFonts w:ascii="黑体" w:eastAsia="黑体"/>
          <w:bCs/>
          <w:color w:val="auto"/>
          <w:sz w:val="24"/>
          <w:szCs w:val="24"/>
          <w:highlight w:val="none"/>
        </w:rPr>
        <w:outlineLvl w:val="1"/>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751"/>
        <w:rPr>
          <w:rFonts w:ascii="黑体" w:eastAsia="黑体"/>
          <w:color w:val="auto"/>
          <w:sz w:val="32"/>
          <w:highlight w:val="none"/>
        </w:rPr>
      </w:pPr>
      <w:r>
        <w:rPr>
          <w:rFonts w:ascii="黑体" w:eastAsia="黑体"/>
          <w:color w:val="auto"/>
          <w:sz w:val="32"/>
          <w:highlight w:val="none"/>
        </w:rPr>
      </w:r>
      <w:r/>
    </w:p>
    <w:p>
      <w:pPr>
        <w:pStyle w:val="751"/>
        <w:rPr>
          <w:rFonts w:ascii="黑体" w:eastAsia="黑体"/>
          <w:color w:val="auto"/>
          <w:sz w:val="32"/>
          <w:highlight w:val="none"/>
        </w:rPr>
      </w:pPr>
      <w:r>
        <w:rPr>
          <w:rFonts w:ascii="黑体" w:eastAsia="黑体"/>
          <w:color w:val="auto"/>
          <w:sz w:val="32"/>
          <w:highlight w:val="none"/>
        </w:rPr>
      </w:r>
      <w:r/>
    </w:p>
    <w:p>
      <w:pPr>
        <w:pStyle w:val="751"/>
        <w:rPr>
          <w:rFonts w:ascii="黑体" w:eastAsia="黑体"/>
          <w:color w:val="auto"/>
          <w:sz w:val="32"/>
          <w:highlight w:val="none"/>
        </w:rPr>
      </w:pPr>
      <w:r>
        <w:rPr>
          <w:rFonts w:ascii="黑体" w:eastAsia="黑体"/>
          <w:color w:val="auto"/>
          <w:sz w:val="32"/>
          <w:highlight w:val="none"/>
        </w:rPr>
      </w:r>
      <w:r/>
    </w:p>
    <w:p>
      <w:pPr>
        <w:pStyle w:val="751"/>
        <w:rPr>
          <w:rFonts w:ascii="黑体" w:eastAsia="黑体"/>
          <w:color w:val="auto"/>
          <w:sz w:val="32"/>
          <w:highlight w:val="none"/>
        </w:rPr>
      </w:pPr>
      <w:r>
        <w:rPr>
          <w:rFonts w:ascii="黑体" w:eastAsia="黑体"/>
          <w:color w:val="auto"/>
          <w:sz w:val="32"/>
          <w:highlight w:val="none"/>
        </w:rPr>
      </w:r>
      <w:r/>
    </w:p>
    <w:p>
      <w:pPr>
        <w:pStyle w:val="751"/>
        <w:rPr>
          <w:rFonts w:ascii="黑体" w:eastAsia="黑体"/>
          <w:color w:val="auto"/>
          <w:sz w:val="32"/>
          <w:highlight w:val="none"/>
        </w:rPr>
      </w:pPr>
      <w:r>
        <w:rPr>
          <w:rFonts w:ascii="黑体" w:eastAsia="黑体"/>
          <w:color w:val="auto"/>
          <w:sz w:val="32"/>
          <w:highlight w:val="none"/>
        </w:rPr>
      </w:r>
      <w:r/>
    </w:p>
    <w:p>
      <w:pPr>
        <w:pStyle w:val="751"/>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JSZC-320200-JSZH-G2026-0067</w:t>
      </w:r>
      <w:r/>
    </w:p>
    <w:p>
      <w:pPr>
        <w:ind w:firstLine="560"/>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太湖野外站保障湖泊水源地安全挥发性新污染物筛查能力建设项目</w:t>
      </w:r>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二〇二六年  月  日</w:t>
      </w:r>
      <w:r/>
    </w:p>
    <w:p>
      <w:pPr>
        <w:rPr>
          <w:rFonts w:ascii="黑体" w:hAnsi="宋体" w:eastAsia="黑体"/>
          <w:bCs/>
          <w:color w:val="auto"/>
          <w:sz w:val="24"/>
          <w:szCs w:val="24"/>
          <w:highlight w:val="none"/>
        </w:rPr>
      </w:pPr>
      <w:r/>
      <w:bookmarkStart w:id="31" w:name="一．报价函（格式）"/>
      <w:r/>
      <w:bookmarkEnd w:id="31"/>
      <w:r>
        <w:rPr>
          <w:rFonts w:hint="eastAsia"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致太湖流域水文水资源监测中心（太湖流域水环境监测中心）：</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JSZC-320200-JSZH-G2026-0067</w:t>
      </w:r>
      <w:r>
        <w:rPr>
          <w:rFonts w:hint="eastAsia" w:ascii="宋体" w:hAnsi="宋体"/>
          <w:bCs/>
          <w:color w:val="auto"/>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16"/>
          <w:bCs/>
          <w:color w:val="auto"/>
          <w:highlight w:val="none"/>
        </w:rPr>
      </w:pP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w:t>
      </w:r>
      <w:r>
        <w:rPr>
          <w:rFonts w:hint="eastAsia" w:ascii="宋体" w:hAnsi="宋体"/>
          <w:bCs/>
          <w:color w:val="auto"/>
          <w:sz w:val="24"/>
          <w:szCs w:val="24"/>
          <w:highlight w:val="none"/>
          <w:lang w:val="en-US" w:eastAsia="zh-CN"/>
        </w:rPr>
        <w:t xml:space="preserve">单位</w:t>
      </w:r>
      <w:r>
        <w:rPr>
          <w:rFonts w:hint="eastAsia" w:ascii="宋体" w:hAnsi="宋体"/>
          <w:bCs/>
          <w:color w:val="auto"/>
          <w:sz w:val="24"/>
          <w:szCs w:val="24"/>
          <w:highlight w:val="none"/>
        </w:rPr>
        <w:t xml:space="preserve">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32" w:name="报价方关于资格的声明函（格式）"/>
      <w:r/>
      <w:bookmarkEnd w:id="32"/>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太湖流域水文水资源监测中心（太湖流域水环境监测中心）：</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JSZC-320200-JSZH-G2026-0067</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JSZC-320200-JSZH-G2026-0067</w:t>
      </w:r>
      <w:r>
        <w:rPr>
          <w:rFonts w:hint="eastAsia" w:ascii="宋体" w:hAnsi="宋体"/>
          <w:bCs/>
          <w:color w:val="auto"/>
          <w:sz w:val="24"/>
          <w:szCs w:val="24"/>
          <w:highlight w:val="none"/>
        </w:rPr>
        <w:t xml:space="preserve">0035）进行投标，投标文件中所有关于投标资格的文件、证明、陈述均是真实的、准确的。若有违背，我公司（单位）愿意承担由此而产生的一切后果。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太湖流域水文水资源监测中心（太湖流域水环境监测中心）：</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JSZC-320200-JSZH-G2026-0067</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ind w:firstLine="244"/>
        <w:jc w:val="center"/>
        <w:rPr>
          <w:rFonts w:ascii="宋体" w:hAnsi="宋体"/>
          <w:color w:val="auto"/>
          <w:highlight w:val="none"/>
        </w:rPr>
      </w:pPr>
      <w:r>
        <w:rPr>
          <w:rFonts w:hint="eastAsia" w:ascii="宋体" w:hAnsi="宋体"/>
          <w:b/>
          <w:color w:val="auto"/>
          <w:sz w:val="30"/>
          <w:szCs w:val="30"/>
          <w:highlight w:val="none"/>
        </w:rPr>
        <w:t xml:space="preserve">中小企业声明函（货物）</w:t>
      </w:r>
      <w:r/>
    </w:p>
    <w:p>
      <w:pPr>
        <w:ind w:firstLine="434"/>
        <w:spacing w:line="580" w:lineRule="exact"/>
        <w:rPr>
          <w:rFonts w:ascii="宋体" w:hAnsi="宋体"/>
          <w:bCs/>
          <w:color w:val="auto"/>
          <w:sz w:val="24"/>
          <w:highlight w:val="none"/>
        </w:rPr>
      </w:pPr>
      <w:r>
        <w:rPr>
          <w:rFonts w:hint="eastAsia" w:ascii="宋体" w:hAnsi="宋体"/>
          <w:bCs/>
          <w:color w:val="auto"/>
          <w:sz w:val="24"/>
          <w:highlight w:val="none"/>
        </w:rPr>
        <w:t xml:space="preserve">本公司郑重声明，根据《政府采购促进中小企业发展管理办法》（财库〔2020〕46号）的规定，本公司参加</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（单位名称） </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numPr>
          <w:ilvl w:val="3"/>
          <w:numId w:val="17"/>
        </w:numPr>
        <w:ind w:left="0" w:firstLine="709"/>
        <w:spacing w:line="580" w:lineRule="exact"/>
        <w:rPr>
          <w:rFonts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（招标文件中明确的所属行业）行业</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numPr>
          <w:ilvl w:val="3"/>
          <w:numId w:val="17"/>
        </w:numPr>
        <w:ind w:left="0" w:firstLine="709"/>
        <w:spacing w:line="580" w:lineRule="exact"/>
        <w:rPr>
          <w:rFonts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（招标文件中明确的所属行业）行业</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567"/>
        <w:spacing w:line="580" w:lineRule="exact"/>
        <w:rPr>
          <w:rFonts w:ascii="宋体" w:hAnsi="宋体"/>
          <w:bCs/>
          <w:color w:val="auto"/>
          <w:sz w:val="24"/>
          <w:highlight w:val="none"/>
        </w:rPr>
      </w:pPr>
      <w:r>
        <w:rPr>
          <w:rFonts w:hint="eastAsia" w:ascii="宋体" w:hAnsi="宋体"/>
          <w:bCs/>
          <w:color w:val="auto"/>
          <w:sz w:val="24"/>
          <w:highlight w:val="none"/>
        </w:rPr>
        <w:t xml:space="preserve">……</w:t>
      </w:r>
      <w:r/>
    </w:p>
    <w:p>
      <w:pPr>
        <w:ind w:firstLine="567"/>
        <w:spacing w:line="580" w:lineRule="exact"/>
        <w:rPr>
          <w:rFonts w:ascii="宋体" w:hAnsi="宋体"/>
          <w:bCs/>
          <w:color w:val="auto"/>
          <w:sz w:val="24"/>
          <w:highlight w:val="none"/>
        </w:rPr>
      </w:pPr>
      <w:r>
        <w:rPr>
          <w:rFonts w:hint="eastAsia" w:ascii="宋体" w:hAnsi="宋体"/>
          <w:bCs/>
          <w:color w:val="auto"/>
          <w:sz w:val="24"/>
          <w:highlight w:val="none"/>
        </w:rPr>
        <w:t xml:space="preserve">以上企业，不属于大企业的分支机构，不存在控股股东为大企业的情形，也不存在与大企业的负责人为同一人的情形。</w:t>
      </w:r>
      <w:r/>
    </w:p>
    <w:p>
      <w:pPr>
        <w:ind w:firstLine="567"/>
        <w:spacing w:line="580" w:lineRule="exact"/>
        <w:rPr>
          <w:rFonts w:ascii="宋体" w:hAnsi="宋体"/>
          <w:bCs/>
          <w:color w:val="auto"/>
          <w:sz w:val="24"/>
          <w:highlight w:val="none"/>
        </w:rPr>
      </w:pPr>
      <w:r>
        <w:rPr>
          <w:rFonts w:hint="eastAsia" w:ascii="宋体" w:hAnsi="宋体"/>
          <w:bCs/>
          <w:color w:val="auto"/>
          <w:sz w:val="24"/>
          <w:highlight w:val="none"/>
        </w:rPr>
        <w:t xml:space="preserve">本企业对上述声明内容的真实性负责，如有虚假，将依法承担相应责任。</w:t>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right="960" w:firstLine="194"/>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ascii="宋体" w:hAnsi="宋体"/>
          <w:bCs/>
          <w:color w:val="auto"/>
          <w:sz w:val="24"/>
          <w:highlight w:val="none"/>
        </w:rPr>
      </w:pPr>
      <w:r>
        <w:rPr>
          <w:rFonts w:ascii="宋体" w:hAnsi="宋体"/>
          <w:bCs/>
          <w:color w:val="auto"/>
          <w:sz w:val="24"/>
          <w:highlight w:val="none"/>
        </w:rPr>
      </w:r>
      <w:r/>
    </w:p>
    <w:p>
      <w:pPr>
        <w:ind w:right="960" w:firstLine="5280"/>
        <w:spacing w:line="360" w:lineRule="auto"/>
        <w:rPr>
          <w:rFonts w:ascii="宋体" w:hAnsi="宋体"/>
          <w:bCs/>
          <w:color w:val="auto"/>
          <w:sz w:val="24"/>
          <w:highlight w:val="none"/>
        </w:rPr>
      </w:pPr>
      <w:r>
        <w:rPr>
          <w:rFonts w:hint="eastAsia" w:ascii="宋体" w:hAnsi="宋体"/>
          <w:bCs/>
          <w:color w:val="auto"/>
          <w:sz w:val="24"/>
          <w:highlight w:val="none"/>
        </w:rPr>
        <w:t xml:space="preserve">日期：</w:t>
      </w:r>
      <w:r/>
    </w:p>
    <w:p>
      <w:pPr>
        <w:rPr>
          <w:color w:val="auto"/>
          <w:sz w:val="24"/>
          <w:highlight w:val="none"/>
        </w:rPr>
      </w:pPr>
      <w:r>
        <w:rPr>
          <w:color w:val="auto"/>
          <w:sz w:val="24"/>
          <w:highlight w:val="none"/>
        </w:rPr>
      </w:r>
      <w:r/>
    </w:p>
    <w:p>
      <w:pPr>
        <w:pStyle w:val="940"/>
        <w:rPr>
          <w:rFonts w:ascii="宋体" w:hAnsi="宋体" w:cs="@楷体_GB2312"/>
          <w:bCs/>
          <w:color w:val="auto"/>
          <w:highlight w:val="none"/>
        </w:rPr>
      </w:pPr>
      <w:r>
        <w:rPr>
          <w:rFonts w:hint="eastAsia" w:ascii="宋体" w:hAnsi="宋体" w:cs="@楷体_GB2312"/>
          <w:bCs/>
          <w:color w:val="auto"/>
          <w:highlight w:val="none"/>
        </w:rPr>
        <w:t xml:space="preserve">1.</w:t>
      </w:r>
      <w:r>
        <w:rPr>
          <w:rFonts w:ascii="宋体" w:hAnsi="宋体" w:cs="@楷体_GB2312"/>
          <w:bCs/>
          <w:color w:val="auto"/>
          <w:highlight w:val="none"/>
        </w:rPr>
        <w:t xml:space="preserve">从业人员、营业收入、资产总额填报上一年度数据，无上一年度数据的新成立企业</w:t>
      </w:r>
      <w:r>
        <w:rPr>
          <w:rFonts w:hint="eastAsia" w:ascii="宋体" w:hAnsi="宋体" w:cs="@楷体_GB2312"/>
          <w:bCs/>
          <w:color w:val="auto"/>
          <w:highlight w:val="none"/>
        </w:rPr>
        <w:t xml:space="preserve">可不填报。</w:t>
      </w:r>
      <w:r/>
    </w:p>
    <w:p>
      <w:pPr>
        <w:pStyle w:val="940"/>
        <w:rPr>
          <w:rFonts w:ascii="宋体" w:hAnsi="宋体" w:cs="@楷体_GB2312"/>
          <w:bCs/>
          <w:color w:val="auto"/>
          <w:highlight w:val="none"/>
        </w:rPr>
      </w:pPr>
      <w:r>
        <w:rPr>
          <w:rFonts w:hint="eastAsia" w:ascii="宋体" w:hAnsi="宋体" w:cs="@楷体_GB2312"/>
          <w:bCs/>
          <w:color w:val="auto"/>
          <w:highlight w:val="none"/>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ind w:firstLine="420"/>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JSZC-320200-JSZH-G2026-0067</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JSZC-320200-JSZH-G2026-0067</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717"/>
          <w:rFonts w:hint="eastAsia" w:ascii="宋体" w:hAnsi="宋体"/>
          <w:bCs/>
          <w:color w:val="auto"/>
          <w:sz w:val="24"/>
          <w:szCs w:val="24"/>
          <w:highlight w:val="none"/>
        </w:rPr>
        <w:t xml:space="preserve">www.creditchina.gov.cn</w:t>
      </w:r>
      <w:r>
        <w:rPr>
          <w:rStyle w:val="717"/>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hint="eastAsia" w:ascii="黑体" w:eastAsia="黑体"/>
          <w:b w:val="0"/>
          <w:bCs/>
          <w:color w:val="auto"/>
          <w:sz w:val="24"/>
          <w:szCs w:val="24"/>
          <w:highlight w:val="none"/>
        </w:rPr>
      </w:pPr>
      <w:r>
        <w:rPr>
          <w:rFonts w:hint="eastAsia" w:ascii="黑体" w:eastAsia="黑体"/>
          <w:b w:val="0"/>
          <w:bCs/>
          <w:color w:val="auto"/>
          <w:sz w:val="24"/>
          <w:szCs w:val="24"/>
          <w:highlight w:val="none"/>
        </w:rPr>
        <w:t xml:space="preserve">开标一览表</w:t>
      </w:r>
      <w:r/>
    </w:p>
    <w:p>
      <w:pPr>
        <w:pStyle w:val="674"/>
        <w:ind w:left="0" w:firstLine="0"/>
        <w:rPr>
          <w:b w:val="0"/>
          <w:bCs/>
          <w:color w:val="auto"/>
          <w:sz w:val="24"/>
          <w:szCs w:val="24"/>
          <w:highlight w:val="none"/>
        </w:rPr>
      </w:pPr>
      <w:r>
        <w:rPr>
          <w:rFonts w:hint="eastAsia" w:ascii="黑体" w:eastAsia="黑体"/>
          <w:b w:val="0"/>
          <w:bCs/>
          <w:color w:val="auto"/>
          <w:sz w:val="24"/>
          <w:szCs w:val="24"/>
          <w:highlight w:val="none"/>
        </w:rPr>
        <w:t xml:space="preserve">投标人名称（盖章）                   采购项目编号：</w:t>
      </w:r>
      <w:r>
        <w:rPr>
          <w:rFonts w:hint="eastAsia" w:ascii="黑体" w:eastAsia="黑体"/>
          <w:b w:val="0"/>
          <w:bCs/>
          <w:color w:val="auto"/>
          <w:sz w:val="24"/>
          <w:szCs w:val="24"/>
          <w:highlight w:val="none"/>
          <w:lang w:eastAsia="zh-CN"/>
        </w:rPr>
        <w:t xml:space="preserve">JSZC-320200-JSZH-G2026-0067</w:t>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798"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5282" w:type="dxa"/>
            <w:vAlign w:val="center"/>
            <w:textDirection w:val="lrTb"/>
            <w:noWrap/>
          </w:tcPr>
          <w:p>
            <w:pPr>
              <w:pStyle w:val="941"/>
              <w:jc w:val="center"/>
              <w:spacing w:line="400" w:lineRule="exact"/>
              <w:rPr>
                <w:rFonts w:hint="eastAsia" w:hAnsi="宋体" w:eastAsia="宋体"/>
                <w:bCs/>
                <w:color w:val="auto"/>
                <w:szCs w:val="24"/>
                <w:highlight w:val="none"/>
                <w:lang w:eastAsia="zh-CN"/>
              </w:rPr>
            </w:pPr>
            <w:r>
              <w:rPr>
                <w:rFonts w:hint="eastAsia" w:ascii="Segoe UI" w:hAnsi="Segoe UI" w:cs="Segoe UI"/>
                <w:color w:val="auto"/>
                <w:highlight w:val="none"/>
                <w:shd w:val="clear" w:color="auto" w:fill="ffffff"/>
                <w:lang w:eastAsia="zh-CN"/>
              </w:rPr>
              <w:t xml:space="preserve">太湖野外站保障湖泊水源地安全挥发性新污染物筛查能力建设项目</w:t>
            </w:r>
            <w:r/>
          </w:p>
        </w:tc>
        <w:tc>
          <w:tcPr>
            <w:tcW w:w="4798" w:type="dxa"/>
            <w:vAlign w:val="center"/>
            <w:textDirection w:val="lrTb"/>
            <w:noWrap/>
          </w:tcPr>
          <w:p>
            <w:pPr>
              <w:pStyle w:val="941"/>
              <w:spacing w:line="360" w:lineRule="auto"/>
              <w:rPr>
                <w:rFonts w:hAnsi="宋体"/>
                <w:bCs/>
                <w:color w:val="auto"/>
                <w:szCs w:val="24"/>
                <w:highlight w:val="none"/>
              </w:rPr>
            </w:pPr>
            <w:r>
              <w:rPr>
                <w:rFonts w:hint="eastAsia" w:hAnsi="宋体"/>
                <w:bCs/>
                <w:color w:val="auto"/>
                <w:szCs w:val="24"/>
                <w:highlight w:val="none"/>
              </w:rPr>
              <w:t xml:space="preserve">投标报价（小写）：</w:t>
            </w:r>
            <w:r>
              <w:rPr>
                <w:rFonts w:hint="eastAsia" w:hAnsi="宋体"/>
                <w:bCs/>
                <w:color w:val="auto"/>
                <w:szCs w:val="24"/>
                <w:highlight w:val="none"/>
                <w:u w:val="single"/>
              </w:rPr>
              <w:t xml:space="preserve">             </w:t>
            </w:r>
            <w:r>
              <w:rPr>
                <w:rFonts w:hint="eastAsia" w:hAnsi="宋体"/>
                <w:bCs/>
                <w:color w:val="auto"/>
                <w:szCs w:val="24"/>
                <w:highlight w:val="none"/>
              </w:rPr>
              <w:t xml:space="preserve">元　　　        </w:t>
            </w:r>
            <w:r/>
          </w:p>
          <w:p>
            <w:pPr>
              <w:pStyle w:val="941"/>
              <w:spacing w:line="360" w:lineRule="auto"/>
              <w:rPr>
                <w:bCs/>
                <w:color w:val="auto"/>
                <w:highlight w:val="none"/>
              </w:rPr>
            </w:pPr>
            <w:r>
              <w:rPr>
                <w:rFonts w:hint="eastAsia" w:hAnsi="宋体"/>
                <w:bCs/>
                <w:color w:val="auto"/>
                <w:szCs w:val="24"/>
                <w:highlight w:val="none"/>
              </w:rPr>
              <w:t xml:space="preserve">投标报价（大写）：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合同履行期限</w:t>
            </w:r>
            <w:r>
              <w:rPr>
                <w:rFonts w:hint="eastAsia" w:ascii="宋体" w:hAnsi="宋体"/>
                <w:color w:val="auto"/>
                <w:sz w:val="24"/>
                <w:highlight w:val="none"/>
              </w:rPr>
              <w:t xml:space="preserve">：</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质量标准：</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质保期：</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Theme="minorEastAsia" w:hAnsiTheme="minorEastAsia" w:eastAsiaTheme="minorEastAsia" w:cstheme="minorEastAsia"/>
                <w:color w:val="auto"/>
                <w:sz w:val="24"/>
                <w:szCs w:val="24"/>
                <w:highlight w:val="none"/>
              </w:rPr>
              <w:t xml:space="preserve">服务响应</w:t>
            </w:r>
            <w:r>
              <w:rPr>
                <w:rFonts w:hint="eastAsia" w:ascii="宋体" w:hAnsi="宋体" w:cs="宋体"/>
                <w:color w:val="auto"/>
                <w:sz w:val="24"/>
                <w:highlight w:val="none"/>
              </w:rPr>
              <w:t xml:space="preserve">：</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rPr>
          <w:rFonts w:ascii="宋体" w:hAnsi="宋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00" w:lineRule="exact"/>
        <w:rPr>
          <w:rFonts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投标供应商名称（盖章）                      采购项目编号：</w:t>
      </w:r>
      <w:r/>
    </w:p>
    <w:p>
      <w:pPr>
        <w:pStyle w:val="968"/>
        <w:ind w:firstLine="0"/>
        <w:jc w:val="center"/>
        <w:rPr>
          <w:rFonts w:ascii="宋体" w:hAnsi="宋体"/>
          <w:b/>
          <w:color w:val="auto"/>
          <w:szCs w:val="24"/>
          <w:highlight w:val="none"/>
        </w:rPr>
      </w:pPr>
      <w:r>
        <w:rPr>
          <w:rFonts w:ascii="宋体" w:hAnsi="宋体"/>
          <w:b/>
          <w:color w:val="auto"/>
          <w:szCs w:val="24"/>
          <w:highlight w:val="none"/>
        </w:rPr>
      </w:r>
      <w:r/>
    </w:p>
    <w:tbl>
      <w:tblPr>
        <w:tblStyle w:val="673"/>
        <w:tblW w:w="45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59"/>
        <w:gridCol w:w="4576"/>
      </w:tblGrid>
      <w:tr>
        <w:trPr>
          <w:jc w:val="center"/>
          <w:trHeight w:val="1400"/>
          <w:tblHeader/>
        </w:trPr>
        <w:tc>
          <w:tcPr>
            <w:tcW w:w="2495" w:type="pct"/>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建设</w:t>
            </w:r>
            <w:r>
              <w:rPr>
                <w:rFonts w:ascii="宋体" w:hAnsi="宋体"/>
                <w:b/>
                <w:bCs/>
                <w:color w:val="auto"/>
                <w:szCs w:val="21"/>
                <w:highlight w:val="none"/>
              </w:rPr>
              <w:t xml:space="preserve">内容</w:t>
            </w:r>
            <w:r/>
          </w:p>
        </w:tc>
        <w:tc>
          <w:tcPr>
            <w:tcW w:w="2504" w:type="pct"/>
            <w:vAlign w:val="center"/>
            <w:textDirection w:val="lrTb"/>
            <w:noWrap w:val="false"/>
          </w:tcPr>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投标报价（元）</w:t>
            </w:r>
            <w:r/>
          </w:p>
        </w:tc>
      </w:tr>
      <w:tr>
        <w:trPr>
          <w:jc w:val="center"/>
          <w:trHeight w:val="1452"/>
        </w:trPr>
        <w:tc>
          <w:tcPr>
            <w:tcW w:w="2495" w:type="pct"/>
            <w:vAlign w:val="center"/>
            <w:textDirection w:val="lrTb"/>
            <w:noWrap w:val="false"/>
          </w:tcPr>
          <w:p>
            <w:pPr>
              <w:jc w:val="center"/>
              <w:spacing w:line="360" w:lineRule="auto"/>
              <w:rPr>
                <w:rFonts w:hint="eastAsia" w:ascii="宋体" w:hAnsi="宋体" w:eastAsia="宋体"/>
                <w:b/>
                <w:color w:val="auto"/>
                <w:highlight w:val="none"/>
                <w:lang w:eastAsia="zh-CN"/>
              </w:rPr>
            </w:pPr>
            <w:r>
              <w:rPr>
                <w:rFonts w:hint="eastAsia" w:ascii="Segoe UI" w:hAnsi="Segoe UI" w:cs="Segoe UI"/>
                <w:color w:val="auto"/>
                <w:highlight w:val="none"/>
                <w:shd w:val="clear" w:color="auto" w:fill="ffffff"/>
                <w:lang w:eastAsia="zh-CN"/>
              </w:rPr>
              <w:t xml:space="preserve">太湖野外站保障湖泊水源地安全挥发性新污染物筛查能力建设项目</w:t>
            </w:r>
            <w:r/>
          </w:p>
        </w:tc>
        <w:tc>
          <w:tcPr>
            <w:tcW w:w="25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1458"/>
        </w:trPr>
        <w:tc>
          <w:tcPr>
            <w:tcW w:w="2495" w:type="pct"/>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总计</w:t>
            </w:r>
            <w:r/>
          </w:p>
        </w:tc>
        <w:tc>
          <w:tcPr>
            <w:tcW w:w="2504"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pStyle w:val="968"/>
        <w:ind w:firstLine="0"/>
        <w:jc w:val="center"/>
        <w:rPr>
          <w:rFonts w:ascii="宋体" w:hAnsi="宋体"/>
          <w:b/>
          <w:color w:val="auto"/>
          <w:szCs w:val="24"/>
          <w:highlight w:val="none"/>
        </w:rPr>
      </w:pPr>
      <w:r>
        <w:rPr>
          <w:rFonts w:ascii="宋体" w:hAnsi="宋体"/>
          <w:b/>
          <w:color w:val="auto"/>
          <w:szCs w:val="24"/>
          <w:highlight w:val="none"/>
        </w:rPr>
      </w:r>
      <w:r/>
    </w:p>
    <w:p>
      <w:pPr>
        <w:jc w:val="center"/>
        <w:rPr>
          <w:rFonts w:ascii="宋体" w:hAnsi="宋体" w:cs="宋体"/>
          <w:b/>
          <w:bCs/>
          <w:color w:val="auto"/>
          <w:sz w:val="24"/>
          <w:szCs w:val="22"/>
          <w:highlight w:val="none"/>
        </w:rPr>
      </w:pPr>
      <w:r>
        <w:rPr>
          <w:rFonts w:hint="eastAsia" w:ascii="宋体" w:hAnsi="宋体" w:cs="宋体"/>
          <w:b/>
          <w:bCs/>
          <w:color w:val="auto"/>
          <w:sz w:val="24"/>
          <w:szCs w:val="22"/>
          <w:highlight w:val="none"/>
          <w:lang w:eastAsia="zh-CN"/>
        </w:rPr>
        <w:t xml:space="preserve">太湖野外站保障湖泊水源地安全挥发性新污染物筛查能力建设项目</w:t>
      </w:r>
      <w:r>
        <w:rPr>
          <w:rFonts w:hint="eastAsia" w:ascii="宋体" w:hAnsi="宋体" w:cs="宋体"/>
          <w:b/>
          <w:bCs/>
          <w:color w:val="auto"/>
          <w:sz w:val="24"/>
          <w:szCs w:val="22"/>
          <w:highlight w:val="none"/>
        </w:rPr>
        <w:t xml:space="preserve">清单报价表</w:t>
      </w:r>
      <w:r/>
    </w:p>
    <w:tbl>
      <w:tblPr>
        <w:tblStyle w:val="673"/>
        <w:tblW w:w="10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94"/>
        <w:gridCol w:w="105"/>
        <w:gridCol w:w="1215"/>
        <w:gridCol w:w="1111"/>
        <w:gridCol w:w="2535"/>
        <w:gridCol w:w="599"/>
        <w:gridCol w:w="599"/>
        <w:gridCol w:w="1276"/>
        <w:gridCol w:w="992"/>
        <w:gridCol w:w="709"/>
        <w:gridCol w:w="939"/>
      </w:tblGrid>
      <w:tr>
        <w:trPr>
          <w:cantSplit/>
          <w:jc w:val="center"/>
          <w:trHeight w:val="495"/>
        </w:trPr>
        <w:tc>
          <w:tcPr>
            <w:tcMar>
              <w:left w:w="15" w:type="dxa"/>
              <w:top w:w="15" w:type="dxa"/>
              <w:right w:w="15" w:type="dxa"/>
              <w:bottom w:w="0" w:type="dxa"/>
            </w:tcMar>
            <w:tcW w:w="494"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序号</w:t>
            </w:r>
            <w:r/>
          </w:p>
        </w:tc>
        <w:tc>
          <w:tcPr>
            <w:gridSpan w:val="2"/>
            <w:tcMar>
              <w:left w:w="15" w:type="dxa"/>
              <w:top w:w="15" w:type="dxa"/>
              <w:right w:w="15" w:type="dxa"/>
              <w:bottom w:w="0" w:type="dxa"/>
            </w:tcMar>
            <w:tcW w:w="1320"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名称</w:t>
            </w:r>
            <w:r/>
          </w:p>
        </w:tc>
        <w:tc>
          <w:tcPr>
            <w:tcMar>
              <w:left w:w="15" w:type="dxa"/>
              <w:top w:w="15" w:type="dxa"/>
              <w:right w:w="15" w:type="dxa"/>
              <w:bottom w:w="0" w:type="dxa"/>
            </w:tcMar>
            <w:tcW w:w="1111"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品牌型号</w:t>
            </w:r>
            <w:r/>
          </w:p>
        </w:tc>
        <w:tc>
          <w:tcPr>
            <w:tcMar>
              <w:left w:w="15" w:type="dxa"/>
              <w:top w:w="15" w:type="dxa"/>
              <w:right w:w="15" w:type="dxa"/>
              <w:bottom w:w="0" w:type="dxa"/>
            </w:tcMar>
            <w:tcW w:w="2535"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单位</w:t>
            </w:r>
            <w:r/>
          </w:p>
        </w:tc>
        <w:tc>
          <w:tcPr>
            <w:tcMar>
              <w:left w:w="15" w:type="dxa"/>
              <w:top w:w="15" w:type="dxa"/>
              <w:right w:w="15" w:type="dxa"/>
              <w:bottom w:w="0" w:type="dxa"/>
            </w:tcMar>
            <w:tcW w:w="599"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数量</w:t>
            </w:r>
            <w:r/>
          </w:p>
        </w:tc>
        <w:tc>
          <w:tcPr>
            <w:tcW w:w="1276"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产地</w:t>
            </w:r>
            <w:r/>
          </w:p>
        </w:tc>
        <w:tc>
          <w:tcPr>
            <w:tcMar>
              <w:left w:w="15" w:type="dxa"/>
              <w:top w:w="15" w:type="dxa"/>
              <w:right w:w="15" w:type="dxa"/>
              <w:bottom w:w="0" w:type="dxa"/>
            </w:tcMar>
            <w:tcW w:w="992"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质保期</w:t>
            </w:r>
            <w:r/>
          </w:p>
        </w:tc>
        <w:tc>
          <w:tcPr>
            <w:tcW w:w="709"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单报价</w:t>
            </w:r>
            <w:r/>
          </w:p>
        </w:tc>
        <w:tc>
          <w:tcPr>
            <w:tcW w:w="939" w:type="dxa"/>
            <w:vAlign w:val="center"/>
            <w:textDirection w:val="lrTb"/>
            <w:noWrap w:val="false"/>
          </w:tcPr>
          <w:p>
            <w:pPr>
              <w:jc w:val="center"/>
              <w:spacing w:before="5"/>
              <w:rPr>
                <w:rFonts w:ascii="宋体" w:hAnsi="宋体" w:cs="宋体"/>
                <w:color w:val="auto"/>
                <w:sz w:val="18"/>
                <w:highlight w:val="none"/>
              </w:rPr>
            </w:pPr>
            <w:r>
              <w:rPr>
                <w:rFonts w:hint="eastAsia" w:ascii="宋体" w:hAnsi="宋体" w:cs="宋体"/>
                <w:color w:val="auto"/>
                <w:sz w:val="18"/>
                <w:highlight w:val="none"/>
              </w:rPr>
              <w:t xml:space="preserve">分项总报价</w:t>
            </w:r>
            <w:r/>
          </w:p>
        </w:tc>
      </w:tr>
      <w:tr>
        <w:trPr>
          <w:cantSplit/>
          <w:jc w:val="center"/>
          <w:trHeight w:val="717"/>
        </w:trPr>
        <w:tc>
          <w:tcPr>
            <w:shd w:val="clear" w:color="auto" w:fill="auto"/>
            <w:tcMar>
              <w:left w:w="15" w:type="dxa"/>
              <w:top w:w="15" w:type="dxa"/>
              <w:right w:w="15" w:type="dxa"/>
              <w:bottom w:w="0" w:type="dxa"/>
            </w:tcMar>
            <w:tcW w:w="494" w:type="dxa"/>
            <w:vAlign w:val="center"/>
            <w:textDirection w:val="lrTb"/>
            <w:noWrap w:val="false"/>
          </w:tcPr>
          <w:p>
            <w:pPr>
              <w:jc w:val="center"/>
              <w:widowControl/>
              <w:rPr>
                <w:rFonts w:hint="eastAsia" w:eastAsia="宋体"/>
                <w:color w:val="auto"/>
                <w:szCs w:val="21"/>
                <w:highlight w:val="none"/>
                <w:lang w:val="en-US" w:eastAsia="zh-CN"/>
              </w:rPr>
            </w:pPr>
            <w:r>
              <w:rPr>
                <w:rFonts w:hint="eastAsia"/>
                <w:color w:val="auto"/>
                <w:szCs w:val="21"/>
                <w:highlight w:val="none"/>
                <w:lang w:val="en-US" w:eastAsia="zh-CN"/>
              </w:rPr>
              <w:t xml:space="preserve">1</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auto"/>
                <w:szCs w:val="21"/>
                <w:highlight w:val="none"/>
              </w:rPr>
            </w:pPr>
            <w:r>
              <w:rPr>
                <w:rFonts w:hint="eastAsia" w:ascii="Segoe UI" w:hAnsi="Segoe UI" w:cs="Segoe UI"/>
                <w:color w:val="auto"/>
                <w:highlight w:val="none"/>
                <w:shd w:val="clear" w:color="auto" w:fill="ffffff"/>
                <w:lang w:eastAsia="zh-CN"/>
              </w:rPr>
              <w:t xml:space="preserve">全二维气相色谱</w:t>
            </w:r>
            <w:r>
              <w:rPr>
                <w:rFonts w:hint="eastAsia" w:ascii="Segoe UI" w:hAnsi="Segoe UI" w:cs="Segoe UI"/>
                <w:color w:val="auto"/>
                <w:highlight w:val="none"/>
                <w:shd w:val="clear" w:color="auto" w:fill="ffffff"/>
                <w:lang w:val="en-US" w:eastAsia="zh-CN"/>
              </w:rPr>
              <w:t xml:space="preserve">-高分辨</w:t>
            </w:r>
            <w:r>
              <w:rPr>
                <w:rFonts w:hint="eastAsia" w:ascii="Segoe UI" w:hAnsi="Segoe UI" w:cs="Segoe UI"/>
                <w:color w:val="auto"/>
                <w:highlight w:val="none"/>
                <w:shd w:val="clear" w:color="auto" w:fill="ffffff"/>
                <w:lang w:eastAsia="zh-CN"/>
              </w:rPr>
              <w:t xml:space="preserve">飞行时间质谱联用仪</w:t>
            </w:r>
            <w:r/>
          </w:p>
        </w:tc>
        <w:tc>
          <w:tcPr>
            <w:tcMar>
              <w:left w:w="15" w:type="dxa"/>
              <w:top w:w="15" w:type="dxa"/>
              <w:right w:w="15" w:type="dxa"/>
              <w:bottom w:w="0" w:type="dxa"/>
            </w:tcMar>
            <w:tcW w:w="1111" w:type="dxa"/>
            <w:vAlign w:val="center"/>
            <w:textDirection w:val="lrTb"/>
            <w:noWrap w:val="false"/>
          </w:tcPr>
          <w:p>
            <w:pPr>
              <w:pStyle w:val="777"/>
              <w:tabs>
                <w:tab w:val="clear" w:pos="7143" w:leader="none"/>
                <w:tab w:val="clear" w:pos="14287" w:leader="none"/>
              </w:tabs>
              <w:rPr>
                <w:rFonts w:ascii="宋体" w:hAnsi="宋体" w:cs="宋体"/>
                <w:bCs/>
                <w:color w:val="auto"/>
                <w:highlight w:val="none"/>
              </w:rPr>
              <w:pBdr>
                <w:bottom w:val="none" w:color="000000" w:sz="0" w:space="0"/>
              </w:pBdr>
            </w:pPr>
            <w:r>
              <w:rPr>
                <w:rFonts w:ascii="宋体" w:hAnsi="宋体" w:cs="宋体"/>
                <w:bCs/>
                <w:color w:val="auto"/>
                <w:highlight w:val="none"/>
              </w:rPr>
            </w:r>
            <w:r/>
          </w:p>
        </w:tc>
        <w:tc>
          <w:tcPr>
            <w:tcMar>
              <w:left w:w="15" w:type="dxa"/>
              <w:top w:w="15" w:type="dxa"/>
              <w:right w:w="15" w:type="dxa"/>
              <w:bottom w:w="0" w:type="dxa"/>
            </w:tcMar>
            <w:tcW w:w="2535" w:type="dxa"/>
            <w:textDirection w:val="lrTb"/>
            <w:noWrap w:val="false"/>
          </w:tcPr>
          <w:p>
            <w:pPr>
              <w:jc w:val="center"/>
              <w:rPr>
                <w:rFonts w:ascii="宋体" w:hAnsi="宋体" w:cs="宋体"/>
                <w:bCs/>
                <w:color w:val="auto"/>
                <w:sz w:val="18"/>
                <w:highlight w:val="none"/>
              </w:rPr>
            </w:pPr>
            <w:r>
              <w:rPr>
                <w:rFonts w:ascii="宋体" w:hAnsi="宋体" w:cs="宋体"/>
                <w:bCs/>
                <w:color w:val="auto"/>
                <w:sz w:val="18"/>
                <w:highlight w:val="none"/>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auto"/>
                <w:szCs w:val="21"/>
                <w:highlight w:val="none"/>
              </w:rPr>
            </w:pPr>
            <w:r>
              <w:rPr>
                <w:color w:val="auto"/>
                <w:szCs w:val="21"/>
                <w:highlight w:val="none"/>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auto"/>
                <w:szCs w:val="21"/>
                <w:highlight w:val="none"/>
              </w:rPr>
            </w:pPr>
            <w:r>
              <w:rPr>
                <w:color w:val="auto"/>
                <w:szCs w:val="21"/>
                <w:highlight w:val="none"/>
              </w:rPr>
            </w:r>
            <w:r/>
          </w:p>
        </w:tc>
        <w:tc>
          <w:tcPr>
            <w:tcW w:w="1276"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auto"/>
                <w:highlight w:val="none"/>
              </w:rPr>
            </w:pPr>
            <w:r>
              <w:rPr>
                <w:rFonts w:ascii="宋体" w:hAnsi="宋体" w:cs="宋体"/>
                <w:b/>
                <w:bCs/>
                <w:color w:val="auto"/>
                <w:highlight w:val="none"/>
              </w:rPr>
            </w:r>
            <w:r/>
          </w:p>
        </w:tc>
        <w:tc>
          <w:tcPr>
            <w:tcW w:w="70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93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cantSplit/>
          <w:jc w:val="center"/>
          <w:trHeight w:val="717"/>
        </w:trPr>
        <w:tc>
          <w:tcPr>
            <w:shd w:val="clear" w:color="auto" w:fill="auto"/>
            <w:tcMar>
              <w:left w:w="15" w:type="dxa"/>
              <w:top w:w="15" w:type="dxa"/>
              <w:right w:w="15" w:type="dxa"/>
              <w:bottom w:w="0" w:type="dxa"/>
            </w:tcMar>
            <w:tcW w:w="494" w:type="dxa"/>
            <w:vAlign w:val="center"/>
            <w:textDirection w:val="lrTb"/>
            <w:noWrap w:val="false"/>
          </w:tcPr>
          <w:p>
            <w:pPr>
              <w:jc w:val="center"/>
              <w:widowControl/>
              <w:rPr>
                <w:rFonts w:hint="eastAsia" w:eastAsia="宋体"/>
                <w:color w:val="auto"/>
                <w:szCs w:val="21"/>
                <w:highlight w:val="none"/>
                <w:lang w:val="en-US" w:eastAsia="zh-CN"/>
              </w:rPr>
            </w:pPr>
            <w:r>
              <w:rPr>
                <w:rFonts w:hint="eastAsia"/>
                <w:color w:val="auto"/>
                <w:szCs w:val="21"/>
                <w:highlight w:val="none"/>
                <w:lang w:val="en-US" w:eastAsia="zh-CN"/>
              </w:rPr>
              <w:t xml:space="preserve">2</w:t>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auto"/>
                <w:szCs w:val="21"/>
                <w:highlight w:val="none"/>
              </w:rPr>
            </w:pPr>
            <w:r>
              <w:rPr>
                <w:rFonts w:hint="eastAsia" w:ascii="Segoe UI" w:hAnsi="Segoe UI" w:eastAsia="宋体" w:cs="Segoe UI"/>
                <w:color w:val="auto"/>
                <w:sz w:val="21"/>
                <w:szCs w:val="20"/>
                <w:highlight w:val="none"/>
                <w:shd w:val="clear" w:color="auto" w:fill="ffffff"/>
                <w:lang w:val="en-US" w:eastAsia="zh-CN" w:bidi="ar"/>
              </w:rPr>
              <w:t xml:space="preserve">多功能自动进样器</w:t>
            </w:r>
            <w:r/>
          </w:p>
        </w:tc>
        <w:tc>
          <w:tcPr>
            <w:tcMar>
              <w:left w:w="15" w:type="dxa"/>
              <w:top w:w="15" w:type="dxa"/>
              <w:right w:w="15" w:type="dxa"/>
              <w:bottom w:w="0" w:type="dxa"/>
            </w:tcMar>
            <w:tcW w:w="1111" w:type="dxa"/>
            <w:vAlign w:val="center"/>
            <w:textDirection w:val="lrTb"/>
            <w:noWrap w:val="false"/>
          </w:tcPr>
          <w:p>
            <w:pPr>
              <w:pStyle w:val="777"/>
              <w:tabs>
                <w:tab w:val="clear" w:pos="7143" w:leader="none"/>
                <w:tab w:val="clear" w:pos="14287" w:leader="none"/>
              </w:tabs>
              <w:rPr>
                <w:rFonts w:ascii="宋体" w:hAnsi="宋体" w:cs="宋体"/>
                <w:bCs/>
                <w:color w:val="auto"/>
                <w:highlight w:val="none"/>
              </w:rPr>
              <w:pBdr>
                <w:bottom w:val="none" w:color="000000" w:sz="0" w:space="0"/>
              </w:pBdr>
            </w:pPr>
            <w:r>
              <w:rPr>
                <w:rFonts w:ascii="宋体" w:hAnsi="宋体" w:cs="宋体"/>
                <w:bCs/>
                <w:color w:val="auto"/>
                <w:highlight w:val="none"/>
              </w:rPr>
            </w:r>
            <w:r/>
          </w:p>
        </w:tc>
        <w:tc>
          <w:tcPr>
            <w:tcMar>
              <w:left w:w="15" w:type="dxa"/>
              <w:top w:w="15" w:type="dxa"/>
              <w:right w:w="15" w:type="dxa"/>
              <w:bottom w:w="0" w:type="dxa"/>
            </w:tcMar>
            <w:tcW w:w="2535" w:type="dxa"/>
            <w:textDirection w:val="lrTb"/>
            <w:noWrap w:val="false"/>
          </w:tcPr>
          <w:p>
            <w:pPr>
              <w:jc w:val="center"/>
              <w:rPr>
                <w:rFonts w:ascii="宋体" w:hAnsi="宋体" w:cs="宋体"/>
                <w:bCs/>
                <w:color w:val="auto"/>
                <w:sz w:val="18"/>
                <w:highlight w:val="none"/>
              </w:rPr>
            </w:pPr>
            <w:r>
              <w:rPr>
                <w:rFonts w:ascii="宋体" w:hAnsi="宋体" w:cs="宋体"/>
                <w:bCs/>
                <w:color w:val="auto"/>
                <w:sz w:val="18"/>
                <w:highlight w:val="none"/>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auto"/>
                <w:szCs w:val="21"/>
                <w:highlight w:val="none"/>
              </w:rPr>
            </w:pPr>
            <w:r>
              <w:rPr>
                <w:color w:val="auto"/>
                <w:szCs w:val="21"/>
                <w:highlight w:val="none"/>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auto"/>
                <w:szCs w:val="21"/>
                <w:highlight w:val="none"/>
              </w:rPr>
            </w:pPr>
            <w:r>
              <w:rPr>
                <w:color w:val="auto"/>
                <w:szCs w:val="21"/>
                <w:highlight w:val="none"/>
              </w:rPr>
            </w:r>
            <w:r/>
          </w:p>
        </w:tc>
        <w:tc>
          <w:tcPr>
            <w:tcW w:w="1276"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auto"/>
                <w:highlight w:val="none"/>
              </w:rPr>
            </w:pPr>
            <w:r>
              <w:rPr>
                <w:rFonts w:ascii="宋体" w:hAnsi="宋体" w:cs="宋体"/>
                <w:b/>
                <w:bCs/>
                <w:color w:val="auto"/>
                <w:highlight w:val="none"/>
              </w:rPr>
            </w:r>
            <w:r/>
          </w:p>
        </w:tc>
        <w:tc>
          <w:tcPr>
            <w:tcW w:w="70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93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cantSplit/>
          <w:jc w:val="center"/>
          <w:trHeight w:val="717"/>
        </w:trPr>
        <w:tc>
          <w:tcPr>
            <w:shd w:val="clear" w:color="auto" w:fill="auto"/>
            <w:tcMar>
              <w:left w:w="15" w:type="dxa"/>
              <w:top w:w="15" w:type="dxa"/>
              <w:right w:w="15" w:type="dxa"/>
              <w:bottom w:w="0" w:type="dxa"/>
            </w:tcMar>
            <w:tcW w:w="494" w:type="dxa"/>
            <w:vAlign w:val="center"/>
            <w:textDirection w:val="lrTb"/>
            <w:noWrap w:val="false"/>
          </w:tcPr>
          <w:p>
            <w:pPr>
              <w:jc w:val="center"/>
              <w:widowControl/>
              <w:rPr>
                <w:color w:val="auto"/>
                <w:szCs w:val="21"/>
                <w:highlight w:val="none"/>
              </w:rPr>
            </w:pPr>
            <w:r>
              <w:rPr>
                <w:color w:val="auto"/>
                <w:szCs w:val="21"/>
                <w:highlight w:val="none"/>
              </w:rPr>
            </w:r>
            <w:r/>
          </w:p>
        </w:tc>
        <w:tc>
          <w:tcPr>
            <w:gridSpan w:val="2"/>
            <w:shd w:val="clear" w:color="auto" w:fill="auto"/>
            <w:tcMar>
              <w:left w:w="15" w:type="dxa"/>
              <w:top w:w="15" w:type="dxa"/>
              <w:right w:w="15" w:type="dxa"/>
              <w:bottom w:w="0" w:type="dxa"/>
            </w:tcMar>
            <w:tcW w:w="1320" w:type="dxa"/>
            <w:vAlign w:val="center"/>
            <w:textDirection w:val="lrTb"/>
            <w:noWrap w:val="false"/>
          </w:tcPr>
          <w:p>
            <w:pPr>
              <w:jc w:val="center"/>
              <w:widowControl/>
              <w:rPr>
                <w:color w:val="auto"/>
                <w:szCs w:val="21"/>
                <w:highlight w:val="none"/>
              </w:rPr>
            </w:pPr>
            <w:r>
              <w:rPr>
                <w:color w:val="auto"/>
                <w:szCs w:val="21"/>
                <w:highlight w:val="none"/>
              </w:rPr>
            </w:r>
            <w:r/>
          </w:p>
        </w:tc>
        <w:tc>
          <w:tcPr>
            <w:tcMar>
              <w:left w:w="15" w:type="dxa"/>
              <w:top w:w="15" w:type="dxa"/>
              <w:right w:w="15" w:type="dxa"/>
              <w:bottom w:w="0" w:type="dxa"/>
            </w:tcMar>
            <w:tcW w:w="1111" w:type="dxa"/>
            <w:vAlign w:val="center"/>
            <w:textDirection w:val="lrTb"/>
            <w:noWrap w:val="false"/>
          </w:tcPr>
          <w:p>
            <w:pPr>
              <w:pStyle w:val="777"/>
              <w:tabs>
                <w:tab w:val="clear" w:pos="7143" w:leader="none"/>
                <w:tab w:val="clear" w:pos="14287" w:leader="none"/>
              </w:tabs>
              <w:rPr>
                <w:rFonts w:ascii="宋体" w:hAnsi="宋体" w:cs="宋体"/>
                <w:bCs/>
                <w:color w:val="auto"/>
                <w:highlight w:val="none"/>
              </w:rPr>
              <w:pBdr>
                <w:bottom w:val="none" w:color="000000" w:sz="0" w:space="0"/>
              </w:pBdr>
            </w:pPr>
            <w:r>
              <w:rPr>
                <w:rFonts w:ascii="宋体" w:hAnsi="宋体" w:cs="宋体"/>
                <w:bCs/>
                <w:color w:val="auto"/>
                <w:highlight w:val="none"/>
              </w:rPr>
            </w:r>
            <w:r/>
          </w:p>
        </w:tc>
        <w:tc>
          <w:tcPr>
            <w:tcMar>
              <w:left w:w="15" w:type="dxa"/>
              <w:top w:w="15" w:type="dxa"/>
              <w:right w:w="15" w:type="dxa"/>
              <w:bottom w:w="0" w:type="dxa"/>
            </w:tcMar>
            <w:tcW w:w="2535" w:type="dxa"/>
            <w:textDirection w:val="lrTb"/>
            <w:noWrap w:val="false"/>
          </w:tcPr>
          <w:p>
            <w:pPr>
              <w:jc w:val="center"/>
              <w:rPr>
                <w:rFonts w:ascii="宋体" w:hAnsi="宋体" w:cs="宋体"/>
                <w:bCs/>
                <w:color w:val="auto"/>
                <w:sz w:val="18"/>
                <w:highlight w:val="none"/>
              </w:rPr>
            </w:pPr>
            <w:r>
              <w:rPr>
                <w:rFonts w:ascii="宋体" w:hAnsi="宋体" w:cs="宋体"/>
                <w:bCs/>
                <w:color w:val="auto"/>
                <w:sz w:val="18"/>
                <w:highlight w:val="none"/>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auto"/>
                <w:szCs w:val="21"/>
                <w:highlight w:val="none"/>
              </w:rPr>
            </w:pPr>
            <w:r>
              <w:rPr>
                <w:color w:val="auto"/>
                <w:szCs w:val="21"/>
                <w:highlight w:val="none"/>
              </w:rPr>
            </w:r>
            <w:r/>
          </w:p>
        </w:tc>
        <w:tc>
          <w:tcPr>
            <w:shd w:val="clear" w:color="auto" w:fill="auto"/>
            <w:tcMar>
              <w:left w:w="15" w:type="dxa"/>
              <w:top w:w="15" w:type="dxa"/>
              <w:right w:w="15" w:type="dxa"/>
              <w:bottom w:w="0" w:type="dxa"/>
            </w:tcMar>
            <w:tcW w:w="599" w:type="dxa"/>
            <w:vAlign w:val="center"/>
            <w:textDirection w:val="lrTb"/>
            <w:noWrap w:val="false"/>
          </w:tcPr>
          <w:p>
            <w:pPr>
              <w:jc w:val="center"/>
              <w:widowControl/>
              <w:rPr>
                <w:color w:val="auto"/>
                <w:szCs w:val="21"/>
                <w:highlight w:val="none"/>
              </w:rPr>
            </w:pPr>
            <w:r>
              <w:rPr>
                <w:color w:val="auto"/>
                <w:szCs w:val="21"/>
                <w:highlight w:val="none"/>
              </w:rPr>
            </w:r>
            <w:r/>
          </w:p>
        </w:tc>
        <w:tc>
          <w:tcPr>
            <w:tcW w:w="1276"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ascii="宋体" w:hAnsi="宋体" w:cs="宋体"/>
                <w:b/>
                <w:bCs/>
                <w:color w:val="auto"/>
                <w:highlight w:val="none"/>
              </w:rPr>
            </w:pPr>
            <w:r>
              <w:rPr>
                <w:rFonts w:ascii="宋体" w:hAnsi="宋体" w:cs="宋体"/>
                <w:b/>
                <w:bCs/>
                <w:color w:val="auto"/>
                <w:highlight w:val="none"/>
              </w:rPr>
            </w:r>
            <w:r/>
          </w:p>
        </w:tc>
        <w:tc>
          <w:tcPr>
            <w:tcW w:w="70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939"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cantSplit/>
          <w:jc w:val="center"/>
          <w:trHeight w:val="834"/>
        </w:trPr>
        <w:tc>
          <w:tcPr>
            <w:gridSpan w:val="2"/>
            <w:tcMar>
              <w:left w:w="15" w:type="dxa"/>
              <w:top w:w="15" w:type="dxa"/>
              <w:right w:w="15" w:type="dxa"/>
              <w:bottom w:w="0" w:type="dxa"/>
            </w:tcMar>
            <w:tcW w:w="599" w:type="dxa"/>
            <w:vAlign w:val="center"/>
            <w:textDirection w:val="lrTb"/>
            <w:noWrap w:val="false"/>
          </w:tcPr>
          <w:p>
            <w:pPr>
              <w:jc w:val="left"/>
              <w:spacing w:before="5"/>
              <w:rPr>
                <w:rFonts w:ascii="宋体" w:hAnsi="宋体" w:cs="宋体"/>
                <w:color w:val="auto"/>
                <w:szCs w:val="24"/>
                <w:highlight w:val="none"/>
              </w:rPr>
            </w:pPr>
            <w:r>
              <w:rPr>
                <w:rFonts w:ascii="宋体" w:hAnsi="宋体" w:cs="宋体"/>
                <w:color w:val="auto"/>
                <w:szCs w:val="24"/>
                <w:highlight w:val="none"/>
              </w:rPr>
            </w:r>
            <w:r/>
          </w:p>
        </w:tc>
        <w:tc>
          <w:tcPr>
            <w:gridSpan w:val="9"/>
            <w:tcMar>
              <w:left w:w="15" w:type="dxa"/>
              <w:top w:w="15" w:type="dxa"/>
              <w:right w:w="15" w:type="dxa"/>
              <w:bottom w:w="0" w:type="dxa"/>
            </w:tcMar>
            <w:tcW w:w="9975" w:type="dxa"/>
            <w:vAlign w:val="center"/>
            <w:textDirection w:val="lrTb"/>
            <w:noWrap w:val="false"/>
          </w:tcPr>
          <w:p>
            <w:pPr>
              <w:jc w:val="left"/>
              <w:spacing w:before="5"/>
              <w:rPr>
                <w:rFonts w:ascii="宋体" w:hAnsi="宋体" w:cs="宋体"/>
                <w:color w:val="auto"/>
                <w:szCs w:val="24"/>
                <w:highlight w:val="none"/>
              </w:rPr>
            </w:pPr>
            <w:r>
              <w:rPr>
                <w:rFonts w:hint="eastAsia" w:ascii="宋体" w:hAnsi="宋体" w:cs="宋体"/>
                <w:color w:val="auto"/>
                <w:szCs w:val="24"/>
                <w:highlight w:val="none"/>
              </w:rPr>
              <w:t xml:space="preserve">投标人承诺：</w:t>
            </w:r>
            <w:r/>
          </w:p>
          <w:p>
            <w:pPr>
              <w:jc w:val="left"/>
              <w:spacing w:before="5"/>
              <w:rPr>
                <w:rFonts w:ascii="宋体" w:hAnsi="宋体" w:cs="宋体"/>
                <w:b/>
                <w:bCs/>
                <w:color w:val="auto"/>
                <w:sz w:val="24"/>
                <w:szCs w:val="24"/>
                <w:highlight w:val="none"/>
              </w:rPr>
            </w:pPr>
            <w:r>
              <w:rPr>
                <w:rFonts w:hint="eastAsia" w:ascii="宋体" w:hAnsi="宋体" w:cs="宋体"/>
                <w:color w:val="auto"/>
                <w:szCs w:val="24"/>
                <w:highlight w:val="none"/>
              </w:rPr>
              <w:t xml:space="preserve">本采购项目或采购包中提供的符合本国产品标准的产品成本之和占提供的全部产品成本之和的比例为</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w:t>
            </w:r>
            <w:r/>
          </w:p>
        </w:tc>
      </w:tr>
    </w:tbl>
    <w:p>
      <w:pPr>
        <w:pStyle w:val="742"/>
        <w:rPr>
          <w:b/>
          <w:bCs/>
          <w:color w:val="auto"/>
          <w:sz w:val="24"/>
          <w:szCs w:val="32"/>
          <w:highlight w:val="none"/>
        </w:rPr>
      </w:pPr>
      <w:r>
        <w:rPr>
          <w:b/>
          <w:bCs/>
          <w:color w:val="auto"/>
          <w:sz w:val="24"/>
          <w:szCs w:val="32"/>
          <w:highlight w:val="none"/>
        </w:rPr>
      </w:r>
      <w:r/>
    </w:p>
    <w:p>
      <w:pPr>
        <w:pStyle w:val="742"/>
        <w:rPr>
          <w:b/>
          <w:bCs/>
          <w:color w:val="auto"/>
          <w:sz w:val="24"/>
          <w:szCs w:val="32"/>
          <w:highlight w:val="none"/>
        </w:rPr>
      </w:pPr>
      <w:r>
        <w:rPr>
          <w:b/>
          <w:bCs/>
          <w:color w:val="auto"/>
          <w:sz w:val="24"/>
          <w:szCs w:val="32"/>
          <w:highlight w:val="none"/>
        </w:rPr>
      </w:r>
      <w:r/>
    </w:p>
    <w:p>
      <w:pPr>
        <w:spacing w:before="5" w:line="560" w:lineRule="atLeast"/>
        <w:rPr>
          <w:rFonts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pStyle w:val="674"/>
        <w:ind w:firstLine="448"/>
        <w:rPr>
          <w:rFonts w:ascii="宋体" w:eastAsia="宋体" w:cs="宋体"/>
          <w:color w:val="auto"/>
          <w:sz w:val="24"/>
          <w:szCs w:val="24"/>
          <w:highlight w:val="none"/>
        </w:rPr>
      </w:pPr>
      <w:r>
        <w:rPr>
          <w:rFonts w:ascii="宋体" w:eastAsia="宋体" w:cs="宋体"/>
          <w:color w:val="auto"/>
          <w:sz w:val="24"/>
          <w:szCs w:val="24"/>
          <w:highlight w:val="none"/>
        </w:rPr>
      </w:r>
      <w:r/>
    </w:p>
    <w:p>
      <w:pPr>
        <w:spacing w:line="400" w:lineRule="exact"/>
        <w:rPr>
          <w:rFonts w:ascii="宋体" w:hAnsi="宋体" w:cs="宋体"/>
          <w:bCs/>
          <w:color w:val="auto"/>
          <w:highlight w:val="none"/>
        </w:rPr>
      </w:pPr>
      <w:r>
        <w:rPr>
          <w:rFonts w:hint="eastAsia" w:ascii="宋体" w:hAnsi="宋体" w:cs="宋体"/>
          <w:color w:val="auto"/>
          <w:sz w:val="24"/>
          <w:highlight w:val="none"/>
        </w:rPr>
        <w:t xml:space="preserve">注：</w:t>
      </w:r>
      <w:r>
        <w:rPr>
          <w:rFonts w:hint="eastAsia" w:ascii="宋体" w:hAnsi="宋体" w:cs="宋体"/>
          <w:bCs/>
          <w:color w:val="auto"/>
          <w:highlight w:val="none"/>
        </w:rPr>
        <w:t xml:space="preserve">（1）投标人为本项目提供的货物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相关内容将进行公示；</w:t>
      </w:r>
      <w:r/>
    </w:p>
    <w:p>
      <w:pPr>
        <w:ind w:firstLine="315"/>
        <w:spacing w:line="400" w:lineRule="exact"/>
        <w:rPr>
          <w:rFonts w:ascii="宋体" w:hAnsi="宋体" w:cs="宋体"/>
          <w:bCs/>
          <w:color w:val="auto"/>
          <w:highlight w:val="none"/>
        </w:rPr>
      </w:pPr>
      <w:r>
        <w:rPr>
          <w:rFonts w:hint="eastAsia" w:ascii="宋体" w:hAnsi="宋体" w:cs="宋体"/>
          <w:bCs/>
          <w:color w:val="auto"/>
          <w:highlight w:val="none"/>
        </w:rPr>
        <w:t xml:space="preserve">（2）投标人应当根据“采购需求”的内容在上表中详细填写；</w:t>
      </w:r>
      <w:r/>
    </w:p>
    <w:p>
      <w:pPr>
        <w:ind w:firstLine="315"/>
        <w:spacing w:line="400" w:lineRule="exact"/>
        <w:rPr>
          <w:rFonts w:ascii="宋体" w:hAnsi="宋体" w:cs="宋体"/>
          <w:bCs/>
          <w:color w:val="auto"/>
          <w:highlight w:val="none"/>
        </w:rPr>
      </w:pPr>
      <w:r>
        <w:rPr>
          <w:rFonts w:hint="eastAsia" w:ascii="宋体" w:hAnsi="宋体" w:cs="宋体"/>
          <w:bCs/>
          <w:color w:val="auto"/>
          <w:highlight w:val="none"/>
        </w:rPr>
        <w:t xml:space="preserve">（3）表格不够可自行延长。</w:t>
      </w:r>
      <w:r/>
    </w:p>
    <w:p>
      <w:pPr>
        <w:ind w:firstLine="315"/>
        <w:spacing w:line="400" w:lineRule="exact"/>
        <w:rPr>
          <w:rFonts w:ascii="宋体" w:hAnsi="宋体" w:cs="宋体"/>
          <w:bCs/>
          <w:color w:val="auto"/>
          <w:highlight w:val="none"/>
        </w:rPr>
      </w:pPr>
      <w:r>
        <w:rPr>
          <w:rFonts w:hint="eastAsia" w:ascii="宋体" w:hAnsi="宋体" w:cs="宋体"/>
          <w:bCs/>
          <w:color w:val="auto"/>
          <w:highlight w:val="none"/>
        </w:rPr>
        <w:t xml:space="preserve">（4）</w:t>
      </w:r>
      <w:r>
        <w:rPr>
          <w:rFonts w:hint="eastAsia" w:ascii="宋体" w:hAnsi="宋体" w:cs="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四章第三部分“对本国产品的支持政策”）</w:t>
      </w:r>
      <w:r/>
    </w:p>
    <w:p>
      <w:pPr>
        <w:ind w:firstLine="315"/>
        <w:spacing w:line="400" w:lineRule="exact"/>
        <w:rPr>
          <w:rFonts w:ascii="宋体" w:hAnsi="宋体" w:cs="宋体"/>
          <w:bCs/>
          <w:color w:val="auto"/>
          <w:highlight w:val="none"/>
        </w:rPr>
      </w:pPr>
      <w:r>
        <w:rPr>
          <w:rFonts w:hint="eastAsia" w:ascii="宋体" w:hAnsi="宋体" w:cs="宋体"/>
          <w:bCs/>
          <w:color w:val="auto"/>
          <w:highlight w:val="non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spacing w:line="48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（九）项目人员配置清单（格式）</w:t>
      </w:r>
      <w:r/>
    </w:p>
    <w:p>
      <w:pPr>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项目人员配置清单</w:t>
      </w:r>
      <w:r/>
    </w:p>
    <w:p>
      <w:pPr>
        <w:jc w:val="center"/>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项目编号：</w:t>
      </w:r>
      <w:r/>
    </w:p>
    <w:tbl>
      <w:tblPr>
        <w:tblStyle w:val="673"/>
        <w:tblW w:w="8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476"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姓名</w:t>
            </w:r>
            <w:r/>
          </w:p>
        </w:tc>
        <w:tc>
          <w:tcPr>
            <w:tcW w:w="720"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年龄</w:t>
            </w:r>
            <w:r/>
          </w:p>
        </w:tc>
        <w:tc>
          <w:tcPr>
            <w:tcW w:w="2520"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本项目职责</w:t>
            </w:r>
            <w:r/>
          </w:p>
        </w:tc>
        <w:tc>
          <w:tcPr>
            <w:tcW w:w="3274"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人员证书名称</w:t>
            </w:r>
            <w:r/>
          </w:p>
        </w:tc>
      </w:tr>
      <w:tr>
        <w:trPr>
          <w:jc w:val="center"/>
          <w:trHeight w:val="680"/>
        </w:trPr>
        <w:tc>
          <w:tcPr>
            <w:tcW w:w="70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1476"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7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25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327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r>
      <w:tr>
        <w:trPr>
          <w:jc w:val="center"/>
          <w:trHeight w:val="680"/>
        </w:trPr>
        <w:tc>
          <w:tcPr>
            <w:tcW w:w="70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1476"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7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25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327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r>
      <w:tr>
        <w:trPr>
          <w:jc w:val="center"/>
          <w:trHeight w:val="680"/>
        </w:trPr>
        <w:tc>
          <w:tcPr>
            <w:tcW w:w="70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1476"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7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25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327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r>
      <w:tr>
        <w:trPr>
          <w:jc w:val="center"/>
          <w:trHeight w:val="680"/>
        </w:trPr>
        <w:tc>
          <w:tcPr>
            <w:tcW w:w="70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1476"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7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25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327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r>
      <w:tr>
        <w:trPr>
          <w:jc w:val="center"/>
          <w:trHeight w:val="680"/>
        </w:trPr>
        <w:tc>
          <w:tcPr>
            <w:tcW w:w="70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1476"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7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2520"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c>
          <w:tcPr>
            <w:tcW w:w="3274" w:type="dxa"/>
            <w:textDirection w:val="lrTb"/>
            <w:noWrap w:val="false"/>
          </w:tcPr>
          <w:p>
            <w:pPr>
              <w:rPr>
                <w:rFonts w:ascii="宋体" w:hAnsi="宋体" w:cs="宋体"/>
                <w:bCs/>
                <w:color w:val="auto"/>
                <w:sz w:val="24"/>
                <w:szCs w:val="24"/>
                <w:highlight w:val="none"/>
              </w:rPr>
              <w:outlineLvl w:val="0"/>
            </w:pPr>
            <w:r>
              <w:rPr>
                <w:rFonts w:ascii="宋体" w:hAnsi="宋体" w:cs="宋体"/>
                <w:bCs/>
                <w:color w:val="auto"/>
                <w:sz w:val="24"/>
                <w:szCs w:val="24"/>
                <w:highlight w:val="none"/>
              </w:rPr>
            </w:r>
            <w:r/>
          </w:p>
        </w:tc>
      </w:tr>
    </w:tbl>
    <w:p>
      <w:pPr>
        <w:rPr>
          <w:rFonts w:ascii="宋体" w:hAnsi="宋体" w:cs="宋体"/>
          <w:bCs/>
          <w:color w:val="auto"/>
          <w:sz w:val="24"/>
          <w:szCs w:val="24"/>
          <w:highlight w:val="none"/>
        </w:rPr>
      </w:pPr>
      <w:r>
        <w:rPr>
          <w:rFonts w:ascii="宋体" w:hAnsi="宋体" w:cs="宋体"/>
          <w:bCs/>
          <w:color w:val="auto"/>
          <w:sz w:val="24"/>
          <w:szCs w:val="24"/>
          <w:highlight w:val="none"/>
        </w:rPr>
      </w:r>
      <w:r/>
    </w:p>
    <w:p>
      <w:pPr>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投标人名称（盖章）</w:t>
      </w:r>
      <w:r/>
    </w:p>
    <w:p>
      <w:pP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hint="eastAsia" w:ascii="宋体" w:hAnsi="宋体" w:cs="宋体"/>
          <w:bCs/>
          <w:color w:val="auto"/>
          <w:highlight w:val="none"/>
        </w:rPr>
        <w:t xml:space="preserve">注：1. 本表对应评分标准中的项目人员配置情况，表格不够可自行延长。</w:t>
      </w:r>
      <w:r/>
    </w:p>
    <w:p>
      <w:pPr>
        <w:ind w:firstLine="420"/>
        <w:rPr>
          <w:rFonts w:ascii="宋体" w:hAnsi="宋体"/>
          <w:bCs/>
          <w:color w:val="auto"/>
          <w:highlight w:val="none"/>
        </w:rPr>
      </w:pPr>
      <w:r>
        <w:rPr>
          <w:rFonts w:hint="eastAsia" w:ascii="宋体" w:hAnsi="宋体" w:cs="宋体"/>
          <w:bCs/>
          <w:color w:val="auto"/>
          <w:highlight w:val="none"/>
        </w:rPr>
        <w:t xml:space="preserve">2.</w:t>
      </w:r>
      <w:r>
        <w:rPr>
          <w:rFonts w:hint="eastAsia" w:ascii="宋体" w:hAnsi="宋体"/>
          <w:bCs/>
          <w:color w:val="auto"/>
          <w:highlight w:val="none"/>
        </w:rPr>
        <w:t xml:space="preserve">上表内容须按评分标准中的相关要求提供相应证明材料。</w:t>
      </w:r>
      <w:r/>
    </w:p>
    <w:p>
      <w:pPr>
        <w:ind w:firstLine="420"/>
        <w:rPr>
          <w:rFonts w:ascii="宋体" w:hAnsi="宋体"/>
          <w:bCs/>
          <w:color w:val="auto"/>
          <w:highlight w:val="none"/>
        </w:rPr>
      </w:pPr>
      <w:r>
        <w:rPr>
          <w:rFonts w:hint="eastAsia" w:ascii="宋体" w:hAnsi="宋体"/>
          <w:bCs/>
          <w:color w:val="auto"/>
          <w:highlight w:val="none"/>
        </w:rPr>
        <w:t xml:space="preserve">3.证明材料均请附在本表之后。</w:t>
      </w:r>
      <w:r/>
    </w:p>
    <w:p>
      <w:pPr>
        <w:spacing w:line="48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spacing w:line="480" w:lineRule="auto"/>
        <w:rPr>
          <w:rFonts w:ascii="黑体" w:eastAsia="黑体"/>
          <w:color w:val="auto"/>
          <w:sz w:val="28"/>
          <w:szCs w:val="28"/>
          <w:highlight w:val="none"/>
        </w:rPr>
      </w:pPr>
      <w:r>
        <w:rPr>
          <w:rFonts w:hint="eastAsia" w:ascii="黑体" w:hAnsi="宋体" w:eastAsia="黑体"/>
          <w:bCs/>
          <w:color w:val="auto"/>
          <w:sz w:val="24"/>
          <w:szCs w:val="24"/>
          <w:highlight w:val="none"/>
        </w:rPr>
        <w:t xml:space="preserve">（十）投标偏离表（格式）：</w:t>
      </w:r>
      <w:r/>
    </w:p>
    <w:p>
      <w:pPr>
        <w:ind w:firstLine="490"/>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ind w:firstLine="490"/>
        <w:jc w:val="center"/>
        <w:rPr>
          <w:rFonts w:hint="eastAsia" w:ascii="黑体" w:eastAsia="黑体"/>
          <w:bCs/>
          <w:color w:val="auto"/>
          <w:sz w:val="28"/>
          <w:szCs w:val="28"/>
          <w:highlight w:val="none"/>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JSZC-320200-JSZH-G2026-0067</w:t>
      </w:r>
      <w:r/>
    </w:p>
    <w:tbl>
      <w:tblPr>
        <w:tblStyle w:val="673"/>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（十一）售后服务承诺（格式）</w:t>
      </w:r>
      <w:r/>
    </w:p>
    <w:p>
      <w:pPr>
        <w:jc w:val="center"/>
        <w:rPr>
          <w:rFonts w:ascii="宋体" w:hAnsi="宋体"/>
          <w:bCs/>
          <w:color w:val="auto"/>
          <w:sz w:val="24"/>
          <w:szCs w:val="24"/>
          <w:highlight w:val="none"/>
        </w:rPr>
      </w:pPr>
      <w:r>
        <w:rPr>
          <w:rFonts w:ascii="宋体" w:hAns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售后服务承诺（由投标供应商根据采购文件要求自行编制）；</w:t>
      </w:r>
      <w:r/>
    </w:p>
    <w:p>
      <w:pPr>
        <w:jc w:val="center"/>
        <w:spacing w:line="400" w:lineRule="exact"/>
        <w:rPr>
          <w:color w:val="auto"/>
          <w:highlight w:val="none"/>
        </w:rPr>
      </w:pPr>
      <w:r>
        <w:rPr>
          <w:rFonts w:hint="eastAsia" w:ascii="宋体" w:hAnsi="宋体"/>
          <w:b/>
          <w:bCs/>
          <w:color w:val="auto"/>
          <w:sz w:val="30"/>
          <w:szCs w:val="30"/>
          <w:highlight w:val="none"/>
        </w:rPr>
        <w:t xml:space="preserve"> </w:t>
      </w:r>
      <w:r/>
    </w:p>
    <w:p>
      <w:pPr>
        <w:spacing w:line="320" w:lineRule="exact"/>
        <w:rPr>
          <w:color w:val="auto"/>
          <w:highlight w:val="none"/>
        </w:rPr>
      </w:pPr>
      <w:r>
        <w:rPr>
          <w:rFonts w:hint="eastAsia"/>
          <w:color w:val="auto"/>
          <w:highlight w:val="none"/>
        </w:rPr>
        <w:t xml:space="preserve">    投标供应商应提供至少以下内容：</w:t>
      </w:r>
      <w:r/>
    </w:p>
    <w:p>
      <w:pPr>
        <w:spacing w:line="320" w:lineRule="exact"/>
        <w:rPr>
          <w:color w:val="auto"/>
          <w:highlight w:val="none"/>
        </w:rPr>
      </w:pPr>
      <w:r>
        <w:rPr>
          <w:color w:val="auto"/>
          <w:highlight w:val="none"/>
        </w:rPr>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color w:val="auto"/>
                <w:highlight w:val="none"/>
              </w:rPr>
            </w:pPr>
            <w:r>
              <w:rPr>
                <w:rFonts w:hint="eastAsia"/>
                <w:color w:val="auto"/>
                <w:highlight w:val="none"/>
              </w:rPr>
              <w:t xml:space="preserve">地址</w:t>
            </w:r>
            <w:r/>
          </w:p>
        </w:tc>
        <w:tc>
          <w:tcPr>
            <w:tcW w:w="2020" w:type="dxa"/>
            <w:vAlign w:val="center"/>
            <w:textDirection w:val="lrTb"/>
            <w:noWrap w:val="false"/>
          </w:tcPr>
          <w:p>
            <w:pPr>
              <w:jc w:val="center"/>
              <w:rPr>
                <w:color w:val="auto"/>
                <w:highlight w:val="none"/>
              </w:rPr>
            </w:pPr>
            <w:r>
              <w:rPr>
                <w:rFonts w:hint="eastAsia"/>
                <w:color w:val="auto"/>
                <w:highlight w:val="none"/>
              </w:rPr>
              <w:t xml:space="preserve">联系人</w:t>
            </w:r>
            <w:r/>
          </w:p>
        </w:tc>
        <w:tc>
          <w:tcPr>
            <w:tcW w:w="2020" w:type="dxa"/>
            <w:vAlign w:val="center"/>
            <w:textDirection w:val="lrTb"/>
            <w:noWrap w:val="false"/>
          </w:tcPr>
          <w:p>
            <w:pPr>
              <w:jc w:val="center"/>
              <w:rPr>
                <w:color w:val="auto"/>
                <w:highlight w:val="none"/>
              </w:rPr>
            </w:pPr>
            <w:r>
              <w:rPr>
                <w:rFonts w:hint="eastAsia"/>
                <w:color w:val="auto"/>
                <w:highlight w:val="none"/>
              </w:rPr>
              <w:t xml:space="preserve">联系电话</w:t>
            </w:r>
            <w:r/>
          </w:p>
        </w:tc>
        <w:tc>
          <w:tcPr>
            <w:tcW w:w="2020" w:type="dxa"/>
            <w:vAlign w:val="center"/>
            <w:textDirection w:val="lrTb"/>
            <w:noWrap w:val="false"/>
          </w:tcPr>
          <w:p>
            <w:pPr>
              <w:jc w:val="center"/>
              <w:rPr>
                <w:color w:val="auto"/>
                <w:highlight w:val="none"/>
              </w:rPr>
            </w:pPr>
            <w:r>
              <w:rPr>
                <w:rFonts w:hint="eastAsia"/>
                <w:color w:val="auto"/>
                <w:highlight w:val="none"/>
              </w:rPr>
              <w:t xml:space="preserve">备注</w:t>
            </w:r>
            <w:r/>
          </w:p>
        </w:tc>
      </w:tr>
      <w:tr>
        <w:trPr>
          <w:jc w:val="center"/>
          <w:trHeight w:val="379"/>
        </w:trPr>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r>
      <w:tr>
        <w:trPr>
          <w:jc w:val="center"/>
          <w:trHeight w:val="379"/>
        </w:trPr>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r>
      <w:tr>
        <w:trPr>
          <w:jc w:val="center"/>
          <w:trHeight w:val="379"/>
        </w:trPr>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r>
      <w:tr>
        <w:trPr>
          <w:jc w:val="center"/>
          <w:trHeight w:val="379"/>
        </w:trPr>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r>
      <w:tr>
        <w:trPr>
          <w:jc w:val="center"/>
          <w:trHeight w:val="379"/>
        </w:trPr>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r>
      <w:tr>
        <w:trPr>
          <w:jc w:val="center"/>
          <w:trHeight w:val="379"/>
        </w:trPr>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r>
      <w:tr>
        <w:trPr>
          <w:jc w:val="center"/>
          <w:trHeight w:val="379"/>
        </w:trPr>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c>
          <w:tcPr>
            <w:tcW w:w="2020" w:type="dxa"/>
            <w:vAlign w:val="center"/>
            <w:textDirection w:val="lrTb"/>
            <w:noWrap w:val="false"/>
          </w:tcPr>
          <w:p>
            <w:pPr>
              <w:jc w:val="center"/>
              <w:rPr>
                <w:color w:val="auto"/>
                <w:highlight w:val="none"/>
              </w:rPr>
            </w:pPr>
            <w:r>
              <w:rPr>
                <w:color w:val="auto"/>
                <w:highlight w:val="none"/>
              </w:rPr>
            </w:r>
            <w:r/>
          </w:p>
        </w:tc>
      </w:tr>
    </w:tbl>
    <w:p>
      <w:pPr>
        <w:rPr>
          <w:color w:val="auto"/>
          <w:highlight w:val="none"/>
        </w:rPr>
      </w:pPr>
      <w:r>
        <w:rPr>
          <w:rFonts w:hint="eastAsia"/>
          <w:color w:val="auto"/>
          <w:highlight w:val="none"/>
        </w:rPr>
        <w:t xml:space="preserve"> </w:t>
      </w:r>
      <w:r/>
    </w:p>
    <w:p>
      <w:pPr>
        <w:ind w:firstLine="480"/>
        <w:spacing w:line="480" w:lineRule="auto"/>
        <w:rPr>
          <w:rFonts w:ascii="宋体" w:hAnsi="宋体"/>
          <w:color w:val="auto"/>
          <w:highlight w:val="none"/>
        </w:rPr>
      </w:pPr>
      <w:r>
        <w:rPr>
          <w:rFonts w:hint="eastAsia" w:ascii="宋体" w:hAnsi="宋体"/>
          <w:color w:val="auto"/>
          <w:highlight w:val="none"/>
        </w:rPr>
        <w:t xml:space="preserve">投标供应商（公章）：</w:t>
      </w:r>
      <w:r/>
    </w:p>
    <w:p>
      <w:pPr>
        <w:ind w:firstLine="480"/>
        <w:spacing w:line="480" w:lineRule="auto"/>
        <w:rPr>
          <w:rFonts w:ascii="宋体" w:hAnsi="宋体"/>
          <w:bCs/>
          <w:color w:val="auto"/>
          <w:szCs w:val="21"/>
          <w:highlight w:val="none"/>
        </w:rPr>
      </w:pPr>
      <w:r>
        <w:rPr>
          <w:rFonts w:hint="eastAsia" w:ascii="宋体" w:hAnsi="宋体"/>
          <w:color w:val="auto"/>
          <w:highlight w:val="none"/>
        </w:rPr>
        <w:t xml:space="preserve">法定代表人或法定代表人授权代表签字或盖章：</w:t>
      </w:r>
      <w:r/>
    </w:p>
    <w:p>
      <w:pPr>
        <w:ind w:firstLine="240"/>
        <w:spacing w:line="360" w:lineRule="auto"/>
        <w:rPr>
          <w:rFonts w:ascii="黑体" w:hAnsi="宋体" w:eastAsia="黑体"/>
          <w:bCs/>
          <w:color w:val="auto"/>
          <w:sz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（十二）投标人基本情况声明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678"/>
        <w:ind w:firstLine="48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投标人基本情况声明</w:t>
      </w:r>
      <w:r/>
    </w:p>
    <w:p>
      <w:pPr>
        <w:pStyle w:val="678"/>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6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W w:w="2259"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W w:w="2259"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W w:w="6617"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W w:w="2110"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c>
          <w:tcPr>
            <w:gridSpan w:val="3"/>
            <w:tcW w:w="4507"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p>
            <w:pPr>
              <w:pStyle w:val="678"/>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中级职称人数、</w:t>
            </w:r>
            <w:r/>
          </w:p>
          <w:p>
            <w:pPr>
              <w:pStyle w:val="678"/>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高级职称人数</w:t>
            </w:r>
            <w:r/>
          </w:p>
        </w:tc>
      </w:tr>
      <w:tr>
        <w:trPr>
          <w:trHeight w:val="566"/>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2025年12月资产总额</w:t>
            </w:r>
            <w:r/>
          </w:p>
        </w:tc>
        <w:tc>
          <w:tcPr>
            <w:tcW w:w="21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2025年12月股东权益</w:t>
            </w:r>
            <w:r/>
          </w:p>
        </w:tc>
        <w:tc>
          <w:tcPr>
            <w:tcW w:w="21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2025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2025年实现利润</w:t>
            </w:r>
            <w:r/>
          </w:p>
        </w:tc>
        <w:tc>
          <w:tcPr>
            <w:tcW w:w="21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c>
          <w:tcPr>
            <w:tcW w:w="2601"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c>
          <w:tcPr>
            <w:tcW w:w="21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W w:w="4620" w:type="dxa"/>
            <w:vAlign w:val="center"/>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595"/>
        </w:trPr>
        <w:tc>
          <w:tcPr>
            <w:gridSpan w:val="2"/>
            <w:tcW w:w="4620" w:type="dxa"/>
            <w:vAlign w:val="center"/>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678"/>
              <w:ind w:firstLine="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965"/>
        </w:trPr>
        <w:tc>
          <w:tcPr>
            <w:gridSpan w:val="2"/>
            <w:tcW w:w="4620" w:type="dxa"/>
            <w:vAlign w:val="center"/>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W w:w="4620" w:type="dxa"/>
            <w:vAlign w:val="center"/>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747"/>
        </w:trPr>
        <w:tc>
          <w:tcPr>
            <w:gridSpan w:val="2"/>
            <w:tcW w:w="4620" w:type="dxa"/>
            <w:vAlign w:val="center"/>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bl>
    <w:p>
      <w:pPr>
        <w:pStyle w:val="678"/>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法定代表人或授权代表签字或盖章：</w:t>
      </w:r>
      <w:r/>
    </w:p>
    <w:p>
      <w:pPr>
        <w:ind w:firstLine="480"/>
        <w:spacing w:line="360" w:lineRule="auto"/>
        <w:rPr>
          <w:rFonts w:ascii="宋体" w:hAnsi="宋体"/>
          <w:bCs/>
          <w:color w:val="auto"/>
          <w:szCs w:val="21"/>
          <w:highlight w:val="none"/>
        </w:rPr>
      </w:pPr>
      <w:r>
        <w:rPr>
          <w:rFonts w:ascii="宋体" w:hAnsi="宋体"/>
          <w:bCs/>
          <w:color w:val="auto"/>
          <w:szCs w:val="21"/>
          <w:highlight w:val="none"/>
        </w:rPr>
        <w:br w:type="page" w:clear="all"/>
      </w:r>
      <w:r/>
    </w:p>
    <w:p>
      <w:pPr>
        <w:spacing w:line="360" w:lineRule="auto"/>
        <w:rPr>
          <w:rFonts w:ascii="宋体" w:hAnsi="宋体" w:cs="宋体"/>
          <w:b/>
          <w:color w:val="auto"/>
          <w:sz w:val="30"/>
          <w:szCs w:val="30"/>
          <w:highlight w:val="none"/>
        </w:rPr>
      </w:pPr>
      <w:r>
        <w:rPr>
          <w:rFonts w:hint="eastAsia" w:ascii="黑体" w:hAnsi="宋体" w:eastAsia="黑体"/>
          <w:bCs/>
          <w:color w:val="auto"/>
          <w:sz w:val="24"/>
          <w:szCs w:val="24"/>
          <w:highlight w:val="none"/>
        </w:rPr>
        <w:t xml:space="preserve">（十三）关于符合本国产品标准的声明函（格式）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560"/>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auto"/>
          <w:sz w:val="24"/>
          <w:szCs w:val="24"/>
          <w:highlight w:val="none"/>
        </w:rPr>
      </w:pPr>
      <w:r>
        <w:rPr>
          <w:rFonts w:hint="eastAsia" w:ascii="宋体" w:hAnsi="宋体" w:cs="宋体"/>
          <w:b/>
          <w:color w:val="auto"/>
          <w:sz w:val="18"/>
          <w:szCs w:val="18"/>
          <w:highlight w:val="none"/>
        </w:rPr>
        <w:t xml:space="preserve">注：划删除线的地方无需填写。</w:t>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ind w:firstLine="480"/>
        <w:spacing w:line="360" w:lineRule="auto"/>
        <w:rPr>
          <w:rFonts w:ascii="黑体" w:hAnsi="宋体" w:eastAsia="黑体"/>
          <w:color w:val="auto"/>
          <w:sz w:val="24"/>
          <w:szCs w:val="24"/>
          <w:highlight w:val="none"/>
        </w:rPr>
      </w:pPr>
      <w:r>
        <w:rPr>
          <w:rFonts w:hint="eastAsia" w:ascii="黑体" w:hAnsi="宋体" w:eastAsia="黑体"/>
          <w:bCs/>
          <w:color w:val="auto"/>
          <w:sz w:val="24"/>
          <w:szCs w:val="24"/>
          <w:highlight w:val="none"/>
        </w:rPr>
        <w:t xml:space="preserve">（十四）技术方案（格式自拟）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940"/>
        <w:ind w:firstLine="48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940"/>
        <w:ind w:firstLine="480"/>
        <w:rPr>
          <w:color w:val="auto"/>
          <w:sz w:val="24"/>
          <w:highlight w:val="none"/>
        </w:rPr>
      </w:pPr>
      <w:r>
        <w:rPr>
          <w:color w:val="auto"/>
          <w:sz w:val="24"/>
          <w:highlight w:val="none"/>
        </w:rPr>
      </w:r>
      <w:r/>
    </w:p>
    <w:p>
      <w:pPr>
        <w:ind w:firstLine="482"/>
        <w:spacing w:line="360" w:lineRule="auto"/>
        <w:rPr>
          <w:rFonts w:hint="default" w:ascii="宋体" w:hAnsi="宋体" w:eastAsia="宋体" w:cs="Times New Roman"/>
          <w:b/>
          <w:color w:val="auto"/>
          <w:sz w:val="24"/>
          <w:szCs w:val="21"/>
          <w:highlight w:val="none"/>
          <w:u w:val="single"/>
          <w:lang w:val="en-US" w:eastAsia="zh-CN" w:bidi="ar-SA"/>
        </w:rPr>
      </w:pPr>
      <w:r>
        <w:rPr>
          <w:rFonts w:hint="eastAsia" w:ascii="宋体" w:hAnsi="宋体" w:eastAsia="宋体" w:cs="Times New Roman"/>
          <w:b/>
          <w:color w:val="auto"/>
          <w:sz w:val="24"/>
          <w:szCs w:val="21"/>
          <w:highlight w:val="none"/>
          <w:u w:val="single"/>
          <w:lang w:val="en-US" w:eastAsia="zh-CN" w:bidi="ar-SA"/>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hint="default" w:ascii="宋体" w:hAnsi="宋体" w:eastAsia="宋体" w:cs="Times New Roman"/>
          <w:b/>
          <w:color w:val="auto"/>
          <w:sz w:val="24"/>
          <w:szCs w:val="21"/>
          <w:highlight w:val="none"/>
          <w:u w:val="single"/>
          <w:lang w:val="en-US" w:eastAsia="zh-CN" w:bidi="ar-SA"/>
        </w:rPr>
      </w:pPr>
      <w:r>
        <w:rPr>
          <w:rFonts w:hint="eastAsia" w:ascii="宋体" w:hAnsi="宋体" w:eastAsia="宋体" w:cs="Times New Roman"/>
          <w:b/>
          <w:color w:val="auto"/>
          <w:sz w:val="24"/>
          <w:szCs w:val="21"/>
          <w:highlight w:val="none"/>
          <w:lang w:val="en-US" w:eastAsia="zh-CN" w:bidi="ar-SA"/>
        </w:rPr>
        <w:t xml:space="preserve">不得有体现投标人身份的内容是指：</w:t>
      </w:r>
      <w:r/>
    </w:p>
    <w:p>
      <w:pPr>
        <w:ind w:firstLine="482"/>
        <w:spacing w:line="360" w:lineRule="auto"/>
        <w:rPr>
          <w:rFonts w:hint="default" w:ascii="宋体" w:hAnsi="宋体" w:eastAsia="宋体" w:cs="Times New Roman"/>
          <w:b/>
          <w:color w:val="auto"/>
          <w:sz w:val="24"/>
          <w:szCs w:val="21"/>
          <w:highlight w:val="none"/>
          <w:lang w:val="en-US" w:eastAsia="zh-CN" w:bidi="ar-SA"/>
        </w:rPr>
      </w:pPr>
      <w:r>
        <w:rPr>
          <w:rFonts w:hint="eastAsia" w:ascii="宋体" w:hAnsi="宋体" w:eastAsia="宋体" w:cs="Times New Roman"/>
          <w:b/>
          <w:color w:val="auto"/>
          <w:sz w:val="24"/>
          <w:szCs w:val="21"/>
          <w:highlight w:val="none"/>
          <w:lang w:val="en-US" w:eastAsia="zh-CN" w:bidi="ar-SA"/>
        </w:rPr>
        <w:t xml:space="preserve">①技术部分不得出现能够体现投标人身份、名称的相关描述、材料、文件等内容；</w:t>
      </w:r>
      <w:r/>
    </w:p>
    <w:p>
      <w:pPr>
        <w:ind w:firstLine="482"/>
        <w:spacing w:line="360" w:lineRule="auto"/>
        <w:rPr>
          <w:rFonts w:hint="default" w:ascii="宋体" w:hAnsi="宋体" w:eastAsia="宋体" w:cs="Times New Roman"/>
          <w:b/>
          <w:color w:val="auto"/>
          <w:sz w:val="24"/>
          <w:szCs w:val="21"/>
          <w:highlight w:val="none"/>
          <w:lang w:val="en-US" w:eastAsia="zh-CN" w:bidi="ar-SA"/>
        </w:rPr>
      </w:pPr>
      <w:r>
        <w:rPr>
          <w:rFonts w:hint="eastAsia" w:ascii="宋体" w:hAnsi="宋体" w:eastAsia="宋体" w:cs="Times New Roman"/>
          <w:b/>
          <w:color w:val="auto"/>
          <w:sz w:val="24"/>
          <w:szCs w:val="21"/>
          <w:highlight w:val="none"/>
          <w:lang w:val="en-US" w:eastAsia="zh-CN" w:bidi="ar-SA"/>
        </w:rPr>
        <w:t xml:space="preserve">②技术部分不得更改，不得在其中涂改、标注或做任何可以辨认投标人及所属人员身份的名称、印章、商标等标记；</w:t>
      </w:r>
      <w:r/>
    </w:p>
    <w:p>
      <w:pPr>
        <w:ind w:firstLine="482"/>
        <w:spacing w:line="360" w:lineRule="auto"/>
        <w:rPr>
          <w:rFonts w:hint="default" w:ascii="宋体" w:hAnsi="宋体" w:eastAsia="宋体" w:cs="Times New Roman"/>
          <w:b/>
          <w:color w:val="auto"/>
          <w:sz w:val="24"/>
          <w:szCs w:val="21"/>
          <w:highlight w:val="none"/>
          <w:lang w:val="en-US" w:eastAsia="zh-CN" w:bidi="ar-SA"/>
        </w:rPr>
      </w:pPr>
      <w:r>
        <w:rPr>
          <w:rFonts w:hint="eastAsia" w:ascii="宋体" w:hAnsi="宋体" w:eastAsia="宋体" w:cs="Times New Roman"/>
          <w:b/>
          <w:color w:val="auto"/>
          <w:sz w:val="24"/>
          <w:szCs w:val="21"/>
          <w:highlight w:val="none"/>
          <w:lang w:val="en-US" w:eastAsia="zh-CN" w:bidi="ar-SA"/>
        </w:rPr>
        <w:t xml:space="preserve">③技术部分应当版面整洁、字迹清楚、不许批注或进行底纹、阴影、水印等特殊设置，不得采用任何不符合常规、有别于其他投标人的特殊做法；</w:t>
      </w:r>
      <w:r/>
    </w:p>
    <w:p>
      <w:pPr>
        <w:ind w:firstLine="482"/>
        <w:jc w:val="both"/>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1"/>
          <w:highlight w:val="none"/>
          <w:lang w:val="en-US" w:eastAsia="zh-CN" w:bidi="ar-SA"/>
        </w:rPr>
        <w:t xml:space="preserve">④不得有其他体现投标人身份的内容。</w:t>
      </w:r>
      <w:r/>
    </w:p>
    <w:p>
      <w:pPr>
        <w:pStyle w:val="940"/>
        <w:ind w:firstLine="480"/>
        <w:rPr>
          <w:color w:val="auto"/>
          <w:sz w:val="24"/>
          <w:highlight w:val="none"/>
        </w:rPr>
      </w:pPr>
      <w:r>
        <w:rPr>
          <w:color w:val="auto"/>
          <w:sz w:val="24"/>
          <w:highlight w:val="none"/>
        </w:rPr>
      </w:r>
      <w:r/>
    </w:p>
    <w:sectPr>
      <w:headerReference w:type="default" r:id="rId9"/>
      <w:footerReference w:type="default" r:id="rId10"/>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华文中宋">
    <w:panose1 w:val="02010600040101010101"/>
  </w:font>
  <w:font w:name="仿宋_GB2312">
    <w:panose1 w:val="02010609060101010101"/>
  </w:font>
  <w:font w:name="黑体">
    <w:panose1 w:val="02010609060101010101"/>
  </w:font>
  <w:font w:name="Calibri">
    <w:panose1 w:val="020F0502020204030204"/>
  </w:font>
  <w:font w:name="微软雅黑">
    <w:panose1 w:val="020B0503020204020204"/>
  </w:font>
  <w:font w:name="Courier New">
    <w:panose1 w:val="02070309020205020404"/>
  </w:font>
  <w:font w:name="Segoe UI">
    <w:panose1 w:val="020B0502040204020203"/>
  </w:font>
  <w:font w:name="华文细黑">
    <w:panose1 w:val="02010600040101010101"/>
  </w:font>
  <w:font w:name="Cambria">
    <w:panose1 w:val="02040503050406030204"/>
  </w:font>
  <w:font w:name="inherit">
    <w:panose1 w:val="020B0503020202020204"/>
  </w:font>
  <w:font w:name="Arial">
    <w:panose1 w:val="020B0604020202020204"/>
  </w:font>
  <w:font w:name="楷体_GB2312">
    <w:panose1 w:val="02010609060101010101"/>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20</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Pr>
    <w:r>
      <w:rPr>
        <w:rFonts w:hint="eastAsia" w:ascii="宋体" w:hAnsi="宋体"/>
        <w:lang w:eastAsia="zh-CN"/>
      </w:rPr>
      <w:t xml:space="preserve">JSZC-320200-JSZH-G2026-0067</w:t>
    </w:r>
    <w:r>
      <w:rPr>
        <w:rFonts w:hint="eastAsia" w:ascii="宋体" w:hAnsi="宋体"/>
        <w:lang w:val="en-US" w:eastAsia="zh-CN"/>
      </w:rPr>
      <w:t xml:space="preserve"> </w:t>
    </w:r>
    <w:r>
      <w:rPr>
        <w:rFonts w:hint="eastAsia" w:ascii="宋体" w:hAnsi="宋体"/>
      </w:rPr>
      <w:t xml:space="preserve">     </w:t>
    </w:r>
    <w:r>
      <w:rPr>
        <w:rFonts w:hint="eastAsia" w:ascii="宋体" w:hAnsi="宋体"/>
        <w:lang w:eastAsia="zh-CN"/>
      </w:rPr>
      <w:t xml:space="preserve">太湖野外站保障湖泊水源地安全挥发性新污染物筛查能力建设项目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69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upperLetter"/>
      <w:pStyle w:val="66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6">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0"/>
  </w:num>
  <w:num w:numId="8">
    <w:abstractNumId w:val="16"/>
  </w:num>
  <w:num w:numId="9">
    <w:abstractNumId w:val="8"/>
  </w:num>
  <w:num w:numId="10">
    <w:abstractNumId w:val="0"/>
  </w:num>
  <w:num w:numId="11">
    <w:abstractNumId w:val="11"/>
  </w:num>
  <w:num w:numId="12">
    <w:abstractNumId w:val="15"/>
  </w:num>
  <w:num w:numId="13">
    <w:abstractNumId w:val="3"/>
  </w:num>
  <w:num w:numId="14">
    <w:abstractNumId w:val="13"/>
  </w:num>
  <w:num w:numId="15">
    <w:abstractNumId w:val="12"/>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next w:val="674"/>
    <w:uiPriority w:val="0"/>
    <w:qFormat/>
    <w:pPr>
      <w:jc w:val="both"/>
      <w:widowControl w:val="off"/>
    </w:pPr>
    <w:rPr>
      <w:rFonts w:hint="default" w:ascii="Times New Roman" w:hAnsi="Times New Roman" w:eastAsia="宋体" w:cs="Times New Roman"/>
      <w:sz w:val="21"/>
    </w:rPr>
  </w:style>
  <w:style w:type="paragraph" w:styleId="663">
    <w:name w:val="Heading 1"/>
    <w:basedOn w:val="662"/>
    <w:next w:val="662"/>
    <w:link w:val="740"/>
    <w:uiPriority w:val="99"/>
    <w:qFormat/>
    <w:pPr>
      <w:jc w:val="center"/>
      <w:keepNext/>
      <w:outlineLvl w:val="0"/>
    </w:pPr>
    <w:rPr>
      <w:rFonts w:ascii="楷体_GB2312" w:eastAsia="楷体_GB2312"/>
      <w:b/>
      <w:sz w:val="28"/>
    </w:rPr>
  </w:style>
  <w:style w:type="paragraph" w:styleId="664">
    <w:name w:val="Heading 2"/>
    <w:basedOn w:val="662"/>
    <w:next w:val="662"/>
    <w:link w:val="911"/>
    <w:uiPriority w:val="99"/>
    <w:qFormat/>
    <w:pPr>
      <w:outlineLvl w:val="1"/>
    </w:pPr>
    <w:rPr>
      <w:rFonts w:ascii="楷体_GB2312"/>
      <w:sz w:val="18"/>
    </w:rPr>
  </w:style>
  <w:style w:type="paragraph" w:styleId="665">
    <w:name w:val="Heading 3"/>
    <w:basedOn w:val="662"/>
    <w:next w:val="662"/>
    <w:link w:val="912"/>
    <w:uiPriority w:val="99"/>
    <w:qFormat/>
    <w:pPr>
      <w:outlineLvl w:val="2"/>
    </w:pPr>
    <w:rPr>
      <w:sz w:val="15"/>
    </w:rPr>
  </w:style>
  <w:style w:type="paragraph" w:styleId="666">
    <w:name w:val="Heading 4"/>
    <w:basedOn w:val="662"/>
    <w:next w:val="662"/>
    <w:link w:val="913"/>
    <w:uiPriority w:val="99"/>
    <w:qFormat/>
    <w:pPr>
      <w:jc w:val="center"/>
      <w:keepNext/>
      <w:outlineLvl w:val="3"/>
    </w:pPr>
    <w:rPr>
      <w:rFonts w:eastAsia="楷体_GB2312"/>
      <w:b/>
      <w:bCs/>
      <w:sz w:val="13"/>
    </w:rPr>
  </w:style>
  <w:style w:type="paragraph" w:styleId="667">
    <w:name w:val="Heading 5"/>
    <w:basedOn w:val="662"/>
    <w:next w:val="662"/>
    <w:link w:val="914"/>
    <w:uiPriority w:val="99"/>
    <w:qFormat/>
    <w:pPr>
      <w:numPr>
        <w:ilvl w:val="0"/>
        <w:numId w:val="1"/>
      </w:numPr>
      <w:keepNext/>
      <w:outlineLvl w:val="4"/>
    </w:pPr>
    <w:rPr>
      <w:rFonts w:ascii="楷体_GB2312" w:eastAsia="楷体_GB2312"/>
      <w:bCs/>
      <w:sz w:val="28"/>
    </w:rPr>
  </w:style>
  <w:style w:type="paragraph" w:styleId="668">
    <w:name w:val="Heading 6"/>
    <w:basedOn w:val="662"/>
    <w:next w:val="662"/>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uiPriority w:val="9"/>
    <w:unhideWhenUsed/>
    <w:qFormat/>
    <w:pPr>
      <w:keepLines/>
      <w:keepNext/>
      <w:spacing w:before="320" w:after="200"/>
      <w:outlineLvl w:val="8"/>
    </w:pPr>
    <w:rPr>
      <w:rFonts w:ascii="Arial" w:hAnsi="Arial" w:eastAsia="Arial" w:cs="Arial"/>
      <w:i/>
      <w:iCs/>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Body Text First Indent 2"/>
    <w:basedOn w:val="675"/>
    <w:next w:val="662"/>
    <w:uiPriority w:val="0"/>
    <w:qFormat/>
    <w:pPr>
      <w:ind w:left="420" w:firstLine="420"/>
      <w:spacing w:after="120"/>
    </w:pPr>
    <w:rPr>
      <w:rFonts w:ascii="Cambria" w:hAnsi="Cambria" w:eastAsia="华文细黑"/>
      <w:sz w:val="21"/>
    </w:rPr>
  </w:style>
  <w:style w:type="paragraph" w:styleId="675">
    <w:name w:val="Body Text Indent"/>
    <w:basedOn w:val="662"/>
    <w:next w:val="676"/>
    <w:link w:val="919"/>
    <w:uiPriority w:val="0"/>
    <w:qFormat/>
    <w:pPr>
      <w:ind w:firstLine="576"/>
    </w:pPr>
    <w:rPr>
      <w:b/>
      <w:sz w:val="30"/>
    </w:rPr>
  </w:style>
  <w:style w:type="paragraph" w:styleId="676" w:customStyle="1">
    <w:name w:val="正文文本首行缩进 21"/>
    <w:basedOn w:val="675"/>
    <w:uiPriority w:val="99"/>
    <w:qFormat/>
    <w:pPr>
      <w:ind w:firstLine="420"/>
      <w:spacing w:line="200" w:lineRule="atLeast"/>
    </w:pPr>
    <w:rPr>
      <w:rFonts w:ascii="宋体" w:hAnsi="Courier New"/>
      <w:spacing w:val="-4"/>
      <w:sz w:val="18"/>
    </w:rPr>
  </w:style>
  <w:style w:type="paragraph" w:styleId="677">
    <w:name w:val="toc 7"/>
    <w:basedOn w:val="662"/>
    <w:next w:val="662"/>
    <w:uiPriority w:val="39"/>
    <w:unhideWhenUsed/>
    <w:qFormat/>
    <w:pPr>
      <w:ind w:left="1701"/>
      <w:spacing w:after="57"/>
    </w:pPr>
  </w:style>
  <w:style w:type="paragraph" w:styleId="678">
    <w:name w:val="Normal Indent"/>
    <w:basedOn w:val="662"/>
    <w:link w:val="915"/>
    <w:uiPriority w:val="0"/>
    <w:unhideWhenUsed/>
    <w:qFormat/>
    <w:pPr>
      <w:ind w:firstLine="420"/>
    </w:pPr>
    <w:rPr>
      <w:szCs w:val="24"/>
    </w:rPr>
  </w:style>
  <w:style w:type="paragraph" w:styleId="679">
    <w:name w:val="Caption"/>
    <w:basedOn w:val="662"/>
    <w:next w:val="662"/>
    <w:uiPriority w:val="35"/>
    <w:qFormat/>
    <w:pPr>
      <w:jc w:val="center"/>
    </w:pPr>
    <w:rPr>
      <w:rFonts w:ascii="Calibri" w:hAnsi="Calibri" w:eastAsia="黑体"/>
      <w:b/>
      <w:szCs w:val="21"/>
    </w:rPr>
  </w:style>
  <w:style w:type="paragraph" w:styleId="680">
    <w:name w:val="index 5"/>
    <w:basedOn w:val="662"/>
    <w:next w:val="662"/>
    <w:uiPriority w:val="99"/>
    <w:unhideWhenUsed/>
    <w:qFormat/>
    <w:pPr>
      <w:ind w:left="800"/>
    </w:pPr>
  </w:style>
  <w:style w:type="paragraph" w:styleId="681">
    <w:name w:val="Document Map"/>
    <w:basedOn w:val="662"/>
    <w:next w:val="662"/>
    <w:link w:val="916"/>
    <w:uiPriority w:val="99"/>
    <w:semiHidden/>
    <w:qFormat/>
    <w:pPr>
      <w:shd w:val="clear" w:color="auto" w:fill="000080"/>
    </w:pPr>
    <w:rPr>
      <w:sz w:val="20"/>
    </w:rPr>
  </w:style>
  <w:style w:type="paragraph" w:styleId="682">
    <w:name w:val="annotation text"/>
    <w:basedOn w:val="662"/>
    <w:link w:val="917"/>
    <w:uiPriority w:val="0"/>
    <w:semiHidden/>
    <w:qFormat/>
    <w:pPr>
      <w:jc w:val="left"/>
    </w:pPr>
    <w:rPr>
      <w:sz w:val="20"/>
      <w:szCs w:val="24"/>
    </w:rPr>
  </w:style>
  <w:style w:type="paragraph" w:styleId="683">
    <w:name w:val="Body Text 3"/>
    <w:basedOn w:val="662"/>
    <w:uiPriority w:val="0"/>
    <w:qFormat/>
    <w:pPr>
      <w:jc w:val="center"/>
      <w:spacing w:after="20" w:line="288" w:lineRule="auto"/>
    </w:pPr>
    <w:rPr>
      <w:b/>
      <w:bCs/>
      <w:sz w:val="24"/>
    </w:rPr>
  </w:style>
  <w:style w:type="paragraph" w:styleId="684">
    <w:name w:val="Body Text"/>
    <w:basedOn w:val="662"/>
    <w:link w:val="918"/>
    <w:uiPriority w:val="99"/>
    <w:qFormat/>
    <w:rPr>
      <w:rFonts w:ascii="华文中宋" w:eastAsia="华文中宋"/>
      <w:bCs/>
      <w:sz w:val="28"/>
    </w:rPr>
  </w:style>
  <w:style w:type="paragraph" w:styleId="685">
    <w:name w:val="toc 5"/>
    <w:basedOn w:val="662"/>
    <w:next w:val="662"/>
    <w:uiPriority w:val="39"/>
    <w:unhideWhenUsed/>
    <w:qFormat/>
    <w:pPr>
      <w:ind w:left="1134"/>
      <w:spacing w:after="57"/>
    </w:pPr>
  </w:style>
  <w:style w:type="paragraph" w:styleId="686">
    <w:name w:val="toc 3"/>
    <w:basedOn w:val="662"/>
    <w:next w:val="662"/>
    <w:uiPriority w:val="39"/>
    <w:unhideWhenUsed/>
    <w:qFormat/>
    <w:pPr>
      <w:ind w:left="567"/>
      <w:spacing w:after="57"/>
    </w:pPr>
  </w:style>
  <w:style w:type="paragraph" w:styleId="687">
    <w:name w:val="Plain Text"/>
    <w:basedOn w:val="662"/>
    <w:link w:val="920"/>
    <w:uiPriority w:val="0"/>
    <w:qFormat/>
    <w:rPr>
      <w:rFonts w:ascii="宋体" w:hAnsi="Courier New"/>
      <w:szCs w:val="21"/>
    </w:rPr>
  </w:style>
  <w:style w:type="paragraph" w:styleId="688">
    <w:name w:val="toc 8"/>
    <w:basedOn w:val="662"/>
    <w:next w:val="662"/>
    <w:uiPriority w:val="39"/>
    <w:unhideWhenUsed/>
    <w:qFormat/>
    <w:pPr>
      <w:ind w:left="1984"/>
      <w:spacing w:after="57"/>
    </w:pPr>
  </w:style>
  <w:style w:type="paragraph" w:styleId="689">
    <w:name w:val="Date"/>
    <w:basedOn w:val="662"/>
    <w:next w:val="662"/>
    <w:link w:val="921"/>
    <w:uiPriority w:val="99"/>
    <w:qFormat/>
    <w:rPr>
      <w:rFonts w:eastAsia="黑体"/>
      <w:b/>
      <w:sz w:val="36"/>
    </w:rPr>
  </w:style>
  <w:style w:type="paragraph" w:styleId="690">
    <w:name w:val="Body Text Indent 2"/>
    <w:basedOn w:val="662"/>
    <w:link w:val="922"/>
    <w:uiPriority w:val="99"/>
    <w:qFormat/>
    <w:pPr>
      <w:ind w:left="900"/>
    </w:pPr>
    <w:rPr>
      <w:rFonts w:ascii="楷体_GB2312" w:eastAsia="楷体_GB2312"/>
      <w:b/>
      <w:sz w:val="28"/>
    </w:rPr>
  </w:style>
  <w:style w:type="paragraph" w:styleId="691">
    <w:name w:val="endnote text"/>
    <w:basedOn w:val="662"/>
    <w:link w:val="909"/>
    <w:uiPriority w:val="99"/>
    <w:semiHidden/>
    <w:unhideWhenUsed/>
    <w:qFormat/>
    <w:rPr>
      <w:sz w:val="20"/>
    </w:rPr>
  </w:style>
  <w:style w:type="paragraph" w:styleId="692">
    <w:name w:val="Balloon Text"/>
    <w:basedOn w:val="662"/>
    <w:link w:val="923"/>
    <w:uiPriority w:val="99"/>
    <w:unhideWhenUsed/>
    <w:qFormat/>
    <w:rPr>
      <w:sz w:val="18"/>
      <w:szCs w:val="18"/>
    </w:rPr>
  </w:style>
  <w:style w:type="paragraph" w:styleId="693">
    <w:name w:val="Footer"/>
    <w:basedOn w:val="662"/>
    <w:link w:val="924"/>
    <w:uiPriority w:val="99"/>
    <w:unhideWhenUsed/>
    <w:qFormat/>
    <w:pPr>
      <w:jc w:val="left"/>
      <w:tabs>
        <w:tab w:val="center" w:pos="4153" w:leader="none"/>
        <w:tab w:val="right" w:pos="8306" w:leader="none"/>
      </w:tabs>
    </w:pPr>
    <w:rPr>
      <w:sz w:val="18"/>
      <w:szCs w:val="18"/>
    </w:rPr>
  </w:style>
  <w:style w:type="paragraph" w:styleId="694">
    <w:name w:val="envelope return"/>
    <w:basedOn w:val="662"/>
    <w:uiPriority w:val="0"/>
    <w:qFormat/>
    <w:rPr>
      <w:rFonts w:ascii="Arial" w:hAnsi="Arial"/>
    </w:rPr>
  </w:style>
  <w:style w:type="paragraph" w:styleId="695">
    <w:name w:val="Header"/>
    <w:basedOn w:val="662"/>
    <w:link w:val="925"/>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696">
    <w:name w:val="toc 1"/>
    <w:basedOn w:val="662"/>
    <w:next w:val="662"/>
    <w:uiPriority w:val="39"/>
    <w:unhideWhenUsed/>
    <w:qFormat/>
    <w:pPr>
      <w:spacing w:after="57"/>
    </w:pPr>
  </w:style>
  <w:style w:type="paragraph" w:styleId="697">
    <w:name w:val="toc 4"/>
    <w:basedOn w:val="662"/>
    <w:next w:val="662"/>
    <w:uiPriority w:val="39"/>
    <w:unhideWhenUsed/>
    <w:qFormat/>
    <w:pPr>
      <w:ind w:left="850"/>
      <w:spacing w:after="57"/>
    </w:pPr>
  </w:style>
  <w:style w:type="paragraph" w:styleId="698">
    <w:name w:val="Subtitle"/>
    <w:basedOn w:val="662"/>
    <w:next w:val="662"/>
    <w:link w:val="772"/>
    <w:uiPriority w:val="11"/>
    <w:qFormat/>
    <w:pPr>
      <w:spacing w:before="200" w:after="200"/>
    </w:pPr>
    <w:rPr>
      <w:sz w:val="24"/>
      <w:szCs w:val="24"/>
    </w:rPr>
  </w:style>
  <w:style w:type="paragraph" w:styleId="699">
    <w:name w:val="List"/>
    <w:basedOn w:val="662"/>
    <w:uiPriority w:val="0"/>
    <w:qFormat/>
    <w:pPr>
      <w:numPr>
        <w:ilvl w:val="0"/>
        <w:numId w:val="2"/>
      </w:numPr>
      <w:spacing w:after="20" w:line="288" w:lineRule="auto"/>
    </w:pPr>
    <w:rPr>
      <w:lang w:val="en-GB"/>
    </w:rPr>
  </w:style>
  <w:style w:type="paragraph" w:styleId="700">
    <w:name w:val="footnote text"/>
    <w:basedOn w:val="662"/>
    <w:next w:val="680"/>
    <w:link w:val="926"/>
    <w:uiPriority w:val="0"/>
    <w:qFormat/>
    <w:pPr>
      <w:ind w:firstLine="425"/>
      <w:jc w:val="left"/>
      <w:spacing w:before="120" w:line="360" w:lineRule="auto"/>
    </w:pPr>
    <w:rPr>
      <w:sz w:val="18"/>
    </w:rPr>
  </w:style>
  <w:style w:type="paragraph" w:styleId="701">
    <w:name w:val="toc 6"/>
    <w:basedOn w:val="662"/>
    <w:next w:val="662"/>
    <w:uiPriority w:val="39"/>
    <w:unhideWhenUsed/>
    <w:qFormat/>
    <w:pPr>
      <w:ind w:left="1417"/>
      <w:spacing w:after="57"/>
    </w:pPr>
  </w:style>
  <w:style w:type="paragraph" w:styleId="702">
    <w:name w:val="Body Text Indent 3"/>
    <w:basedOn w:val="662"/>
    <w:link w:val="927"/>
    <w:uiPriority w:val="99"/>
    <w:qFormat/>
    <w:pPr>
      <w:ind w:left="359" w:firstLine="359"/>
    </w:pPr>
    <w:rPr>
      <w:sz w:val="20"/>
    </w:rPr>
  </w:style>
  <w:style w:type="paragraph" w:styleId="703">
    <w:name w:val="table of figures"/>
    <w:basedOn w:val="662"/>
    <w:next w:val="662"/>
    <w:uiPriority w:val="99"/>
    <w:unhideWhenUsed/>
    <w:qFormat/>
  </w:style>
  <w:style w:type="paragraph" w:styleId="704">
    <w:name w:val="toc 2"/>
    <w:basedOn w:val="662"/>
    <w:next w:val="662"/>
    <w:uiPriority w:val="39"/>
    <w:unhideWhenUsed/>
    <w:qFormat/>
    <w:pPr>
      <w:ind w:left="283"/>
      <w:spacing w:after="57"/>
    </w:pPr>
  </w:style>
  <w:style w:type="paragraph" w:styleId="705">
    <w:name w:val="toc 9"/>
    <w:basedOn w:val="662"/>
    <w:next w:val="662"/>
    <w:uiPriority w:val="39"/>
    <w:unhideWhenUsed/>
    <w:qFormat/>
    <w:pPr>
      <w:ind w:left="2268"/>
      <w:spacing w:after="57"/>
    </w:pPr>
  </w:style>
  <w:style w:type="paragraph" w:styleId="706">
    <w:name w:val="Body Text 2"/>
    <w:basedOn w:val="662"/>
    <w:link w:val="928"/>
    <w:uiPriority w:val="99"/>
    <w:qFormat/>
    <w:pPr>
      <w:spacing w:after="120" w:line="480" w:lineRule="auto"/>
    </w:pPr>
    <w:rPr>
      <w:sz w:val="20"/>
    </w:rPr>
  </w:style>
  <w:style w:type="paragraph" w:styleId="707">
    <w:name w:val="Normal (Web)"/>
    <w:basedOn w:val="662"/>
    <w:link w:val="929"/>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08">
    <w:name w:val="Title"/>
    <w:basedOn w:val="662"/>
    <w:next w:val="662"/>
    <w:link w:val="771"/>
    <w:uiPriority w:val="10"/>
    <w:qFormat/>
    <w:pPr>
      <w:contextualSpacing/>
      <w:spacing w:before="300" w:after="200"/>
    </w:pPr>
    <w:rPr>
      <w:sz w:val="48"/>
      <w:szCs w:val="48"/>
    </w:rPr>
  </w:style>
  <w:style w:type="paragraph" w:styleId="709">
    <w:name w:val="annotation subject"/>
    <w:basedOn w:val="682"/>
    <w:next w:val="682"/>
    <w:link w:val="930"/>
    <w:uiPriority w:val="0"/>
    <w:semiHidden/>
    <w:qFormat/>
    <w:rPr>
      <w:b/>
      <w:bCs/>
    </w:rPr>
  </w:style>
  <w:style w:type="paragraph" w:styleId="710">
    <w:name w:val="Body Text First Indent"/>
    <w:basedOn w:val="684"/>
    <w:link w:val="931"/>
    <w:uiPriority w:val="99"/>
    <w:unhideWhenUsed/>
    <w:qFormat/>
    <w:pPr>
      <w:ind w:firstLine="420"/>
      <w:spacing w:after="120"/>
    </w:pPr>
  </w:style>
  <w:style w:type="table" w:styleId="7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Strong"/>
    <w:uiPriority w:val="99"/>
    <w:qFormat/>
    <w:rPr>
      <w:rFonts w:cs="Times New Roman"/>
      <w:b/>
      <w:bCs/>
    </w:rPr>
  </w:style>
  <w:style w:type="character" w:styleId="713">
    <w:name w:val="endnote reference"/>
    <w:uiPriority w:val="99"/>
    <w:semiHidden/>
    <w:unhideWhenUsed/>
    <w:qFormat/>
    <w:rPr>
      <w:vertAlign w:val="superscript"/>
    </w:rPr>
  </w:style>
  <w:style w:type="character" w:styleId="714">
    <w:name w:val="page number"/>
    <w:uiPriority w:val="0"/>
    <w:qFormat/>
    <w:rPr>
      <w:rFonts w:cs="Times New Roman"/>
    </w:rPr>
  </w:style>
  <w:style w:type="character" w:styleId="715">
    <w:name w:val="FollowedHyperlink"/>
    <w:uiPriority w:val="99"/>
    <w:qFormat/>
    <w:rPr>
      <w:rFonts w:cs="Times New Roman"/>
      <w:color w:val="000000"/>
      <w:u w:val="none"/>
    </w:rPr>
  </w:style>
  <w:style w:type="character" w:styleId="716">
    <w:name w:val="HTML Typewriter"/>
    <w:uiPriority w:val="99"/>
    <w:qFormat/>
    <w:rPr>
      <w:rFonts w:ascii="宋体" w:hAnsi="宋体" w:eastAsia="宋体" w:cs="宋体"/>
      <w:sz w:val="24"/>
      <w:szCs w:val="24"/>
    </w:rPr>
  </w:style>
  <w:style w:type="character" w:styleId="717">
    <w:name w:val="Hyperlink"/>
    <w:uiPriority w:val="0"/>
    <w:qFormat/>
    <w:rPr>
      <w:color w:val="000000"/>
      <w:u w:val="none"/>
    </w:rPr>
  </w:style>
  <w:style w:type="character" w:styleId="718">
    <w:name w:val="annotation reference"/>
    <w:uiPriority w:val="0"/>
    <w:unhideWhenUsed/>
    <w:qFormat/>
    <w:rPr>
      <w:sz w:val="21"/>
      <w:szCs w:val="21"/>
    </w:rPr>
  </w:style>
  <w:style w:type="character" w:styleId="719">
    <w:name w:val="footnote reference"/>
    <w:uiPriority w:val="99"/>
    <w:unhideWhenUsed/>
    <w:qFormat/>
    <w:rPr>
      <w:vertAlign w:val="superscript"/>
    </w:rPr>
  </w:style>
  <w:style w:type="table" w:styleId="720" w:customStyle="1">
    <w:name w:val="Plain Table 1"/>
    <w:basedOn w:val="6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basedOn w:val="6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basedOn w:val="6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2"/>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3"/>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basedOn w:val="6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5 Dark"/>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6 Colorful"/>
    <w:basedOn w:val="6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1" w:customStyle="1">
    <w:name w:val="Grid Table 7 Colorful"/>
    <w:basedOn w:val="6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2" w:customStyle="1">
    <w:name w:val="List Table 1 Light"/>
    <w:basedOn w:val="6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customStyle="1">
    <w:name w:val="List Table 2"/>
    <w:basedOn w:val="6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4" w:customStyle="1">
    <w:name w:val="List Table 3"/>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5" w:customStyle="1">
    <w:name w:val="List Table 4"/>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customStyle="1">
    <w:name w:val="List Table 5 Dark"/>
    <w:basedOn w:val="6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7" w:customStyle="1">
    <w:name w:val="List Table 6 Colorful"/>
    <w:basedOn w:val="6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8" w:customStyle="1">
    <w:name w:val="List Table 7 Colorful"/>
    <w:basedOn w:val="6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9" w:customStyle="1">
    <w:name w:val="TOC Heading"/>
    <w:uiPriority w:val="39"/>
    <w:unhideWhenUsed/>
    <w:qFormat/>
    <w:rPr>
      <w:rFonts w:hint="default" w:ascii="Times New Roman" w:hAnsi="Times New Roman" w:eastAsia="宋体" w:cs="Times New Roman"/>
    </w:rPr>
  </w:style>
  <w:style w:type="character" w:styleId="740" w:customStyle="1">
    <w:name w:val="标题 1 Char"/>
    <w:link w:val="663"/>
    <w:uiPriority w:val="99"/>
    <w:qFormat/>
    <w:rPr>
      <w:rFonts w:ascii="楷体_GB2312" w:hAnsi="Times New Roman" w:eastAsia="楷体_GB2312" w:cs="Times New Roman"/>
      <w:b/>
      <w:sz w:val="28"/>
      <w:szCs w:val="20"/>
    </w:rPr>
  </w:style>
  <w:style w:type="paragraph" w:styleId="741" w:customStyle="1">
    <w:name w:val="TOC 标题1"/>
    <w:uiPriority w:val="39"/>
    <w:unhideWhenUsed/>
    <w:qFormat/>
    <w:rPr>
      <w:rFonts w:hint="default" w:ascii="Times New Roman" w:hAnsi="Times New Roman" w:eastAsia="宋体" w:cs="Times New Roman"/>
    </w:rPr>
  </w:style>
  <w:style w:type="paragraph" w:styleId="742" w:customStyle="1">
    <w:name w:val="段"/>
    <w:next w:val="662"/>
    <w:uiPriority w:val="0"/>
    <w:qFormat/>
    <w:pPr>
      <w:ind w:firstLine="200"/>
      <w:jc w:val="both"/>
    </w:pPr>
    <w:rPr>
      <w:rFonts w:hint="default" w:ascii="宋体" w:hAnsi="Times New Roman" w:eastAsia="宋体" w:cs="Times New Roman"/>
      <w:sz w:val="21"/>
    </w:rPr>
  </w:style>
  <w:style w:type="paragraph" w:styleId="743" w:customStyle="1">
    <w:name w:val="列出段落1"/>
    <w:basedOn w:val="662"/>
    <w:uiPriority w:val="0"/>
    <w:qFormat/>
    <w:pPr>
      <w:ind w:firstLine="420"/>
    </w:pPr>
    <w:rPr>
      <w:szCs w:val="24"/>
    </w:rPr>
  </w:style>
  <w:style w:type="paragraph" w:styleId="744" w:customStyle="1">
    <w:name w:val="Default"/>
    <w:uiPriority w:val="0"/>
    <w:qFormat/>
    <w:pPr>
      <w:widowControl w:val="off"/>
    </w:pPr>
    <w:rPr>
      <w:rFonts w:hint="default" w:ascii="Times New Roman" w:hAnsi="Times New Roman" w:eastAsia="宋体" w:cs="Times New Roman"/>
      <w:color w:val="000000"/>
      <w:sz w:val="24"/>
      <w:szCs w:val="24"/>
    </w:rPr>
  </w:style>
  <w:style w:type="character" w:styleId="745" w:customStyle="1">
    <w:name w:val="Title Char"/>
    <w:basedOn w:val="672"/>
    <w:uiPriority w:val="10"/>
    <w:qFormat/>
    <w:rPr>
      <w:sz w:val="48"/>
      <w:szCs w:val="48"/>
    </w:rPr>
  </w:style>
  <w:style w:type="character" w:styleId="746" w:customStyle="1">
    <w:name w:val="Subtitle Char"/>
    <w:basedOn w:val="672"/>
    <w:uiPriority w:val="11"/>
    <w:qFormat/>
    <w:rPr>
      <w:sz w:val="24"/>
      <w:szCs w:val="24"/>
    </w:rPr>
  </w:style>
  <w:style w:type="character" w:styleId="747" w:customStyle="1">
    <w:name w:val="Quote Char"/>
    <w:uiPriority w:val="29"/>
    <w:qFormat/>
    <w:rPr>
      <w:i/>
    </w:rPr>
  </w:style>
  <w:style w:type="character" w:styleId="748" w:customStyle="1">
    <w:name w:val="Intense Quote Char"/>
    <w:uiPriority w:val="30"/>
    <w:qFormat/>
    <w:rPr>
      <w:i/>
    </w:rPr>
  </w:style>
  <w:style w:type="character" w:styleId="749" w:customStyle="1">
    <w:name w:val="Endnote Text Char"/>
    <w:uiPriority w:val="99"/>
    <w:qFormat/>
    <w:rPr>
      <w:sz w:val="20"/>
    </w:rPr>
  </w:style>
  <w:style w:type="paragraph" w:styleId="750" w:customStyle="1">
    <w:name w:val="TOC 标题111"/>
    <w:uiPriority w:val="39"/>
    <w:unhideWhenUsed/>
    <w:qFormat/>
    <w:rPr>
      <w:rFonts w:hint="default" w:ascii="Times New Roman" w:hAnsi="Times New Roman" w:eastAsia="宋体" w:cs="Times New Roman"/>
    </w:rPr>
  </w:style>
  <w:style w:type="paragraph" w:styleId="751" w:customStyle="1">
    <w:name w:val="正文文本1"/>
    <w:basedOn w:val="662"/>
    <w:uiPriority w:val="0"/>
    <w:qFormat/>
    <w:rPr>
      <w:rFonts w:ascii="华文中宋" w:eastAsia="华文中宋"/>
      <w:bCs/>
      <w:sz w:val="28"/>
    </w:rPr>
  </w:style>
  <w:style w:type="paragraph" w:styleId="752" w:customStyle="1">
    <w:name w:val="标题 11"/>
    <w:basedOn w:val="662"/>
    <w:next w:val="662"/>
    <w:link w:val="753"/>
    <w:uiPriority w:val="9"/>
    <w:qFormat/>
    <w:pPr>
      <w:keepLines/>
      <w:keepNext/>
      <w:spacing w:before="480" w:after="200"/>
      <w:outlineLvl w:val="0"/>
    </w:pPr>
    <w:rPr>
      <w:rFonts w:ascii="Arial" w:hAnsi="Arial" w:eastAsia="Arial" w:cs="Arial"/>
      <w:sz w:val="40"/>
      <w:szCs w:val="40"/>
    </w:rPr>
  </w:style>
  <w:style w:type="character" w:styleId="753" w:customStyle="1">
    <w:name w:val="Heading 1 Char"/>
    <w:link w:val="752"/>
    <w:uiPriority w:val="9"/>
    <w:qFormat/>
    <w:rPr>
      <w:rFonts w:ascii="Arial" w:hAnsi="Arial" w:eastAsia="Arial" w:cs="Arial"/>
      <w:sz w:val="40"/>
      <w:szCs w:val="40"/>
    </w:rPr>
  </w:style>
  <w:style w:type="paragraph" w:styleId="754" w:customStyle="1">
    <w:name w:val="标题 21"/>
    <w:basedOn w:val="662"/>
    <w:next w:val="662"/>
    <w:link w:val="755"/>
    <w:uiPriority w:val="9"/>
    <w:unhideWhenUsed/>
    <w:qFormat/>
    <w:pPr>
      <w:keepLines/>
      <w:keepNext/>
      <w:spacing w:before="360" w:after="200"/>
      <w:outlineLvl w:val="1"/>
    </w:pPr>
    <w:rPr>
      <w:rFonts w:ascii="Arial" w:hAnsi="Arial" w:eastAsia="Arial" w:cs="Arial"/>
      <w:sz w:val="34"/>
    </w:rPr>
  </w:style>
  <w:style w:type="character" w:styleId="755" w:customStyle="1">
    <w:name w:val="Heading 2 Char"/>
    <w:link w:val="754"/>
    <w:uiPriority w:val="9"/>
    <w:qFormat/>
    <w:rPr>
      <w:rFonts w:ascii="Arial" w:hAnsi="Arial" w:eastAsia="Arial" w:cs="Arial"/>
      <w:sz w:val="34"/>
    </w:rPr>
  </w:style>
  <w:style w:type="paragraph" w:styleId="756" w:customStyle="1">
    <w:name w:val="标题 31"/>
    <w:basedOn w:val="662"/>
    <w:next w:val="662"/>
    <w:link w:val="757"/>
    <w:uiPriority w:val="9"/>
    <w:unhideWhenUsed/>
    <w:qFormat/>
    <w:pPr>
      <w:keepLines/>
      <w:keepNext/>
      <w:spacing w:before="320" w:after="200"/>
      <w:outlineLvl w:val="2"/>
    </w:pPr>
    <w:rPr>
      <w:rFonts w:ascii="Arial" w:hAnsi="Arial" w:eastAsia="Arial" w:cs="Arial"/>
      <w:sz w:val="30"/>
      <w:szCs w:val="30"/>
    </w:rPr>
  </w:style>
  <w:style w:type="character" w:styleId="757" w:customStyle="1">
    <w:name w:val="Heading 3 Char"/>
    <w:link w:val="756"/>
    <w:uiPriority w:val="9"/>
    <w:qFormat/>
    <w:rPr>
      <w:rFonts w:ascii="Arial" w:hAnsi="Arial" w:eastAsia="Arial" w:cs="Arial"/>
      <w:sz w:val="30"/>
      <w:szCs w:val="30"/>
    </w:rPr>
  </w:style>
  <w:style w:type="paragraph" w:styleId="758" w:customStyle="1">
    <w:name w:val="标题 41"/>
    <w:basedOn w:val="662"/>
    <w:next w:val="662"/>
    <w:link w:val="759"/>
    <w:uiPriority w:val="9"/>
    <w:unhideWhenUsed/>
    <w:qFormat/>
    <w:pPr>
      <w:keepLines/>
      <w:keepNext/>
      <w:spacing w:before="320" w:after="200"/>
      <w:outlineLvl w:val="3"/>
    </w:pPr>
    <w:rPr>
      <w:rFonts w:ascii="Arial" w:hAnsi="Arial" w:eastAsia="Arial" w:cs="Arial"/>
      <w:b/>
      <w:bCs/>
      <w:sz w:val="26"/>
      <w:szCs w:val="26"/>
    </w:rPr>
  </w:style>
  <w:style w:type="character" w:styleId="759" w:customStyle="1">
    <w:name w:val="Heading 4 Char"/>
    <w:link w:val="758"/>
    <w:uiPriority w:val="9"/>
    <w:qFormat/>
    <w:rPr>
      <w:rFonts w:ascii="Arial" w:hAnsi="Arial" w:eastAsia="Arial" w:cs="Arial"/>
      <w:b/>
      <w:bCs/>
      <w:sz w:val="26"/>
      <w:szCs w:val="26"/>
    </w:rPr>
  </w:style>
  <w:style w:type="paragraph" w:styleId="760" w:customStyle="1">
    <w:name w:val="标题 51"/>
    <w:basedOn w:val="662"/>
    <w:next w:val="662"/>
    <w:link w:val="761"/>
    <w:uiPriority w:val="9"/>
    <w:unhideWhenUsed/>
    <w:qFormat/>
    <w:pPr>
      <w:keepLines/>
      <w:keepNext/>
      <w:spacing w:before="320" w:after="200"/>
      <w:outlineLvl w:val="4"/>
    </w:pPr>
    <w:rPr>
      <w:rFonts w:ascii="Arial" w:hAnsi="Arial" w:eastAsia="Arial" w:cs="Arial"/>
      <w:b/>
      <w:bCs/>
      <w:sz w:val="24"/>
      <w:szCs w:val="24"/>
    </w:rPr>
  </w:style>
  <w:style w:type="character" w:styleId="761" w:customStyle="1">
    <w:name w:val="Heading 5 Char"/>
    <w:link w:val="760"/>
    <w:uiPriority w:val="9"/>
    <w:qFormat/>
    <w:rPr>
      <w:rFonts w:ascii="Arial" w:hAnsi="Arial" w:eastAsia="Arial" w:cs="Arial"/>
      <w:b/>
      <w:bCs/>
      <w:sz w:val="24"/>
      <w:szCs w:val="24"/>
    </w:rPr>
  </w:style>
  <w:style w:type="paragraph" w:styleId="762" w:customStyle="1">
    <w:name w:val="标题 61"/>
    <w:basedOn w:val="662"/>
    <w:next w:val="662"/>
    <w:link w:val="763"/>
    <w:uiPriority w:val="9"/>
    <w:unhideWhenUsed/>
    <w:qFormat/>
    <w:pPr>
      <w:keepLines/>
      <w:keepNext/>
      <w:spacing w:before="320" w:after="200"/>
      <w:outlineLvl w:val="5"/>
    </w:pPr>
    <w:rPr>
      <w:rFonts w:ascii="Arial" w:hAnsi="Arial" w:eastAsia="Arial" w:cs="Arial"/>
      <w:b/>
      <w:bCs/>
      <w:sz w:val="22"/>
      <w:szCs w:val="22"/>
    </w:rPr>
  </w:style>
  <w:style w:type="character" w:styleId="763" w:customStyle="1">
    <w:name w:val="Heading 6 Char"/>
    <w:link w:val="762"/>
    <w:uiPriority w:val="9"/>
    <w:qFormat/>
    <w:rPr>
      <w:rFonts w:ascii="Arial" w:hAnsi="Arial" w:eastAsia="Arial" w:cs="Arial"/>
      <w:b/>
      <w:bCs/>
      <w:sz w:val="22"/>
      <w:szCs w:val="22"/>
    </w:rPr>
  </w:style>
  <w:style w:type="paragraph" w:styleId="764" w:customStyle="1">
    <w:name w:val="标题 71"/>
    <w:basedOn w:val="662"/>
    <w:next w:val="662"/>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customStyle="1">
    <w:name w:val="Heading 7 Char"/>
    <w:link w:val="764"/>
    <w:uiPriority w:val="9"/>
    <w:qFormat/>
    <w:rPr>
      <w:rFonts w:ascii="Arial" w:hAnsi="Arial" w:eastAsia="Arial" w:cs="Arial"/>
      <w:b/>
      <w:bCs/>
      <w:i/>
      <w:iCs/>
      <w:sz w:val="22"/>
      <w:szCs w:val="22"/>
    </w:rPr>
  </w:style>
  <w:style w:type="paragraph" w:styleId="766" w:customStyle="1">
    <w:name w:val="标题 81"/>
    <w:basedOn w:val="662"/>
    <w:next w:val="662"/>
    <w:link w:val="767"/>
    <w:uiPriority w:val="9"/>
    <w:unhideWhenUsed/>
    <w:qFormat/>
    <w:pPr>
      <w:keepLines/>
      <w:keepNext/>
      <w:spacing w:before="320" w:after="200"/>
      <w:outlineLvl w:val="7"/>
    </w:pPr>
    <w:rPr>
      <w:rFonts w:ascii="Arial" w:hAnsi="Arial" w:eastAsia="Arial" w:cs="Arial"/>
      <w:i/>
      <w:iCs/>
      <w:sz w:val="22"/>
      <w:szCs w:val="22"/>
    </w:rPr>
  </w:style>
  <w:style w:type="character" w:styleId="767" w:customStyle="1">
    <w:name w:val="Heading 8 Char"/>
    <w:link w:val="766"/>
    <w:uiPriority w:val="9"/>
    <w:qFormat/>
    <w:rPr>
      <w:rFonts w:ascii="Arial" w:hAnsi="Arial" w:eastAsia="Arial" w:cs="Arial"/>
      <w:i/>
      <w:iCs/>
      <w:sz w:val="22"/>
      <w:szCs w:val="22"/>
    </w:rPr>
  </w:style>
  <w:style w:type="paragraph" w:styleId="768" w:customStyle="1">
    <w:name w:val="标题 91"/>
    <w:basedOn w:val="662"/>
    <w:next w:val="662"/>
    <w:link w:val="769"/>
    <w:uiPriority w:val="9"/>
    <w:unhideWhenUsed/>
    <w:qFormat/>
    <w:pPr>
      <w:keepLines/>
      <w:keepNext/>
      <w:spacing w:before="320" w:after="200"/>
      <w:outlineLvl w:val="8"/>
    </w:pPr>
    <w:rPr>
      <w:rFonts w:ascii="Arial" w:hAnsi="Arial" w:eastAsia="Arial" w:cs="Arial"/>
      <w:i/>
      <w:iCs/>
      <w:szCs w:val="21"/>
    </w:rPr>
  </w:style>
  <w:style w:type="character" w:styleId="769" w:customStyle="1">
    <w:name w:val="Heading 9 Char"/>
    <w:link w:val="768"/>
    <w:uiPriority w:val="9"/>
    <w:qFormat/>
    <w:rPr>
      <w:rFonts w:ascii="Arial" w:hAnsi="Arial" w:eastAsia="Arial" w:cs="Arial"/>
      <w:i/>
      <w:iCs/>
      <w:sz w:val="21"/>
      <w:szCs w:val="21"/>
    </w:rPr>
  </w:style>
  <w:style w:type="paragraph" w:styleId="770">
    <w:name w:val="No Spacing"/>
    <w:uiPriority w:val="1"/>
    <w:qFormat/>
    <w:rPr>
      <w:rFonts w:hint="default" w:ascii="Times New Roman" w:hAnsi="Times New Roman" w:eastAsia="宋体" w:cs="Times New Roman"/>
    </w:rPr>
  </w:style>
  <w:style w:type="character" w:styleId="771" w:customStyle="1">
    <w:name w:val="标题 Char"/>
    <w:link w:val="708"/>
    <w:uiPriority w:val="10"/>
    <w:qFormat/>
    <w:rPr>
      <w:sz w:val="48"/>
      <w:szCs w:val="48"/>
    </w:rPr>
  </w:style>
  <w:style w:type="character" w:styleId="772" w:customStyle="1">
    <w:name w:val="副标题 Char"/>
    <w:link w:val="698"/>
    <w:uiPriority w:val="11"/>
    <w:qFormat/>
    <w:rPr>
      <w:sz w:val="24"/>
      <w:szCs w:val="24"/>
    </w:rPr>
  </w:style>
  <w:style w:type="paragraph" w:styleId="773">
    <w:name w:val="Quote"/>
    <w:basedOn w:val="662"/>
    <w:next w:val="662"/>
    <w:link w:val="774"/>
    <w:uiPriority w:val="29"/>
    <w:qFormat/>
    <w:pPr>
      <w:ind w:left="720" w:right="720"/>
    </w:pPr>
    <w:rPr>
      <w:i/>
    </w:rPr>
  </w:style>
  <w:style w:type="character" w:styleId="774" w:customStyle="1">
    <w:name w:val="引用 Char"/>
    <w:link w:val="773"/>
    <w:uiPriority w:val="29"/>
    <w:qFormat/>
    <w:rPr>
      <w:i/>
    </w:rPr>
  </w:style>
  <w:style w:type="paragraph" w:styleId="775">
    <w:name w:val="Intense Quote"/>
    <w:basedOn w:val="662"/>
    <w:next w:val="662"/>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qFormat/>
    <w:rPr>
      <w:i/>
    </w:rPr>
  </w:style>
  <w:style w:type="paragraph" w:styleId="777" w:customStyle="1">
    <w:name w:val="页眉1"/>
    <w:basedOn w:val="662"/>
    <w:link w:val="778"/>
    <w:uiPriority w:val="99"/>
    <w:unhideWhenUsed/>
    <w:qFormat/>
    <w:pPr>
      <w:tabs>
        <w:tab w:val="center" w:pos="7143" w:leader="none"/>
        <w:tab w:val="right" w:pos="14287" w:leader="none"/>
      </w:tabs>
    </w:pPr>
  </w:style>
  <w:style w:type="character" w:styleId="778" w:customStyle="1">
    <w:name w:val="Header Char"/>
    <w:link w:val="777"/>
    <w:uiPriority w:val="99"/>
    <w:qFormat/>
  </w:style>
  <w:style w:type="paragraph" w:styleId="779" w:customStyle="1">
    <w:name w:val="页脚1"/>
    <w:basedOn w:val="662"/>
    <w:link w:val="782"/>
    <w:uiPriority w:val="99"/>
    <w:unhideWhenUsed/>
    <w:qFormat/>
    <w:pPr>
      <w:tabs>
        <w:tab w:val="center" w:pos="7143" w:leader="none"/>
        <w:tab w:val="right" w:pos="14287" w:leader="none"/>
      </w:tabs>
    </w:pPr>
  </w:style>
  <w:style w:type="character" w:styleId="780" w:customStyle="1">
    <w:name w:val="Footer Char"/>
    <w:uiPriority w:val="99"/>
    <w:qFormat/>
  </w:style>
  <w:style w:type="paragraph" w:styleId="781" w:customStyle="1">
    <w:name w:val="题注1"/>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82" w:customStyle="1">
    <w:name w:val="Caption Char"/>
    <w:link w:val="779"/>
    <w:uiPriority w:val="99"/>
    <w:qFormat/>
  </w:style>
  <w:style w:type="table" w:styleId="7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Footnote Text Char"/>
    <w:uiPriority w:val="99"/>
    <w:qFormat/>
    <w:rPr>
      <w:sz w:val="18"/>
    </w:rPr>
  </w:style>
  <w:style w:type="character" w:styleId="909" w:customStyle="1">
    <w:name w:val="尾注文本 Char"/>
    <w:link w:val="691"/>
    <w:uiPriority w:val="99"/>
    <w:qFormat/>
    <w:rPr>
      <w:sz w:val="20"/>
    </w:rPr>
  </w:style>
  <w:style w:type="paragraph" w:styleId="910" w:customStyle="1">
    <w:name w:val="TOC 标题11"/>
    <w:uiPriority w:val="39"/>
    <w:unhideWhenUsed/>
    <w:qFormat/>
    <w:rPr>
      <w:rFonts w:hint="default" w:ascii="Times New Roman" w:hAnsi="Times New Roman" w:eastAsia="宋体" w:cs="Times New Roman"/>
    </w:rPr>
  </w:style>
  <w:style w:type="character" w:styleId="911" w:customStyle="1">
    <w:name w:val="标题 2 Char"/>
    <w:link w:val="664"/>
    <w:uiPriority w:val="99"/>
    <w:qFormat/>
    <w:rPr>
      <w:rFonts w:ascii="楷体_GB2312" w:hAnsi="Times New Roman" w:eastAsia="楷体_GB2312" w:cs="Times New Roman"/>
      <w:b/>
      <w:bCs/>
      <w:sz w:val="18"/>
      <w:szCs w:val="20"/>
    </w:rPr>
  </w:style>
  <w:style w:type="character" w:styleId="912" w:customStyle="1">
    <w:name w:val="标题 3 Char"/>
    <w:link w:val="665"/>
    <w:uiPriority w:val="99"/>
    <w:qFormat/>
    <w:rPr>
      <w:rFonts w:ascii="Times New Roman" w:hAnsi="Times New Roman" w:eastAsia="楷体_GB2312" w:cs="Times New Roman"/>
      <w:b/>
      <w:bCs/>
      <w:sz w:val="15"/>
      <w:szCs w:val="20"/>
    </w:rPr>
  </w:style>
  <w:style w:type="character" w:styleId="913" w:customStyle="1">
    <w:name w:val="标题 4 Char"/>
    <w:link w:val="666"/>
    <w:uiPriority w:val="99"/>
    <w:qFormat/>
    <w:rPr>
      <w:rFonts w:ascii="Times New Roman" w:hAnsi="Times New Roman" w:eastAsia="楷体_GB2312" w:cs="Times New Roman"/>
      <w:b/>
      <w:bCs/>
      <w:sz w:val="13"/>
      <w:szCs w:val="20"/>
    </w:rPr>
  </w:style>
  <w:style w:type="character" w:styleId="914" w:customStyle="1">
    <w:name w:val="标题 5 Char"/>
    <w:link w:val="667"/>
    <w:uiPriority w:val="99"/>
    <w:qFormat/>
    <w:rPr>
      <w:rFonts w:ascii="楷体_GB2312" w:hAnsi="Times New Roman" w:eastAsia="楷体_GB2312" w:cs="Times New Roman"/>
      <w:bCs/>
      <w:sz w:val="28"/>
      <w:szCs w:val="20"/>
    </w:rPr>
  </w:style>
  <w:style w:type="character" w:styleId="915" w:customStyle="1">
    <w:name w:val="正文缩进 Char"/>
    <w:link w:val="678"/>
    <w:uiPriority w:val="0"/>
    <w:qFormat/>
    <w:rPr>
      <w:rFonts w:ascii="Times New Roman" w:hAnsi="Times New Roman"/>
      <w:sz w:val="21"/>
      <w:szCs w:val="24"/>
    </w:rPr>
  </w:style>
  <w:style w:type="character" w:styleId="916" w:customStyle="1">
    <w:name w:val="文档结构图 Char"/>
    <w:link w:val="681"/>
    <w:uiPriority w:val="99"/>
    <w:semiHidden/>
    <w:qFormat/>
    <w:rPr>
      <w:rFonts w:ascii="Times New Roman" w:hAnsi="Times New Roman" w:eastAsia="宋体" w:cs="Times New Roman"/>
      <w:szCs w:val="20"/>
      <w:shd w:val="clear" w:color="auto" w:fill="000080"/>
    </w:rPr>
  </w:style>
  <w:style w:type="character" w:styleId="917" w:customStyle="1">
    <w:name w:val="批注文字 Char"/>
    <w:link w:val="682"/>
    <w:uiPriority w:val="0"/>
    <w:semiHidden/>
    <w:qFormat/>
    <w:rPr>
      <w:rFonts w:ascii="Times New Roman" w:hAnsi="Times New Roman" w:eastAsia="宋体" w:cs="Times New Roman"/>
      <w:szCs w:val="24"/>
    </w:rPr>
  </w:style>
  <w:style w:type="character" w:styleId="918" w:customStyle="1">
    <w:name w:val="正文文本 Char"/>
    <w:link w:val="684"/>
    <w:uiPriority w:val="99"/>
    <w:qFormat/>
    <w:rPr>
      <w:rFonts w:ascii="华文中宋" w:hAnsi="Times New Roman" w:eastAsia="华文中宋" w:cs="Times New Roman"/>
      <w:bCs/>
      <w:sz w:val="28"/>
      <w:szCs w:val="20"/>
    </w:rPr>
  </w:style>
  <w:style w:type="character" w:styleId="919" w:customStyle="1">
    <w:name w:val="正文文本缩进 Char"/>
    <w:link w:val="675"/>
    <w:uiPriority w:val="0"/>
    <w:qFormat/>
    <w:rPr>
      <w:rFonts w:ascii="Times New Roman" w:hAnsi="Times New Roman" w:eastAsia="宋体" w:cs="Times New Roman"/>
      <w:b/>
      <w:sz w:val="30"/>
      <w:szCs w:val="20"/>
    </w:rPr>
  </w:style>
  <w:style w:type="character" w:styleId="920" w:customStyle="1">
    <w:name w:val="纯文本 Char"/>
    <w:link w:val="687"/>
    <w:uiPriority w:val="0"/>
    <w:qFormat/>
    <w:rPr>
      <w:rFonts w:ascii="宋体" w:hAnsi="Courier New"/>
      <w:sz w:val="21"/>
      <w:szCs w:val="21"/>
    </w:rPr>
  </w:style>
  <w:style w:type="character" w:styleId="921" w:customStyle="1">
    <w:name w:val="日期 Char"/>
    <w:link w:val="689"/>
    <w:uiPriority w:val="99"/>
    <w:qFormat/>
    <w:rPr>
      <w:rFonts w:ascii="Times New Roman" w:hAnsi="Times New Roman" w:eastAsia="黑体" w:cs="Times New Roman"/>
      <w:b/>
      <w:sz w:val="36"/>
      <w:szCs w:val="20"/>
    </w:rPr>
  </w:style>
  <w:style w:type="character" w:styleId="922" w:customStyle="1">
    <w:name w:val="正文文本缩进 2 Char"/>
    <w:link w:val="690"/>
    <w:uiPriority w:val="99"/>
    <w:qFormat/>
    <w:rPr>
      <w:rFonts w:ascii="楷体_GB2312" w:hAnsi="Times New Roman" w:eastAsia="楷体_GB2312" w:cs="Times New Roman"/>
      <w:b/>
      <w:sz w:val="28"/>
      <w:szCs w:val="20"/>
    </w:rPr>
  </w:style>
  <w:style w:type="character" w:styleId="923" w:customStyle="1">
    <w:name w:val="批注框文本 Char"/>
    <w:link w:val="692"/>
    <w:uiPriority w:val="99"/>
    <w:semiHidden/>
    <w:qFormat/>
    <w:rPr>
      <w:rFonts w:ascii="Times New Roman" w:hAnsi="Times New Roman" w:eastAsia="宋体" w:cs="Times New Roman"/>
      <w:sz w:val="18"/>
      <w:szCs w:val="18"/>
    </w:rPr>
  </w:style>
  <w:style w:type="character" w:styleId="924" w:customStyle="1">
    <w:name w:val="页脚 Char"/>
    <w:link w:val="693"/>
    <w:uiPriority w:val="99"/>
    <w:qFormat/>
    <w:rPr>
      <w:sz w:val="18"/>
      <w:szCs w:val="18"/>
    </w:rPr>
  </w:style>
  <w:style w:type="character" w:styleId="925" w:customStyle="1">
    <w:name w:val="页眉 Char"/>
    <w:link w:val="695"/>
    <w:uiPriority w:val="0"/>
    <w:qFormat/>
    <w:rPr>
      <w:sz w:val="18"/>
      <w:szCs w:val="18"/>
    </w:rPr>
  </w:style>
  <w:style w:type="character" w:styleId="926" w:customStyle="1">
    <w:name w:val="脚注文本 Char"/>
    <w:link w:val="700"/>
    <w:uiPriority w:val="0"/>
    <w:qFormat/>
    <w:rPr>
      <w:rFonts w:ascii="Times New Roman" w:hAnsi="Times New Roman"/>
      <w:sz w:val="18"/>
    </w:rPr>
  </w:style>
  <w:style w:type="character" w:styleId="927" w:customStyle="1">
    <w:name w:val="正文文本缩进 3 Char"/>
    <w:link w:val="702"/>
    <w:uiPriority w:val="99"/>
    <w:qFormat/>
    <w:rPr>
      <w:rFonts w:ascii="Times New Roman" w:hAnsi="Times New Roman" w:eastAsia="宋体" w:cs="Times New Roman"/>
      <w:szCs w:val="20"/>
    </w:rPr>
  </w:style>
  <w:style w:type="character" w:styleId="928" w:customStyle="1">
    <w:name w:val="正文文本 2 Char"/>
    <w:link w:val="706"/>
    <w:uiPriority w:val="99"/>
    <w:qFormat/>
    <w:rPr>
      <w:rFonts w:ascii="Times New Roman" w:hAnsi="Times New Roman" w:eastAsia="宋体" w:cs="Times New Roman"/>
      <w:szCs w:val="20"/>
    </w:rPr>
  </w:style>
  <w:style w:type="character" w:styleId="929" w:customStyle="1">
    <w:name w:val="普通(网站) Char"/>
    <w:link w:val="707"/>
    <w:uiPriority w:val="0"/>
    <w:qFormat/>
    <w:rPr>
      <w:rFonts w:ascii="宋体" w:hAnsi="宋体"/>
      <w:sz w:val="24"/>
      <w:szCs w:val="24"/>
    </w:rPr>
  </w:style>
  <w:style w:type="character" w:styleId="930" w:customStyle="1">
    <w:name w:val="批注主题 Char"/>
    <w:link w:val="709"/>
    <w:uiPriority w:val="0"/>
    <w:semiHidden/>
    <w:qFormat/>
    <w:rPr>
      <w:rFonts w:ascii="Times New Roman" w:hAnsi="Times New Roman" w:eastAsia="宋体" w:cs="Times New Roman"/>
      <w:b/>
      <w:bCs/>
      <w:szCs w:val="24"/>
    </w:rPr>
  </w:style>
  <w:style w:type="character" w:styleId="931" w:customStyle="1">
    <w:name w:val="正文首行缩进 Char"/>
    <w:link w:val="710"/>
    <w:uiPriority w:val="99"/>
    <w:semiHidden/>
    <w:qFormat/>
    <w:rPr>
      <w:rFonts w:ascii="Times New Roman" w:hAnsi="Times New Roman" w:eastAsia="华文中宋" w:cs="Times New Roman"/>
      <w:sz w:val="21"/>
      <w:szCs w:val="20"/>
    </w:rPr>
  </w:style>
  <w:style w:type="character" w:styleId="932" w:customStyle="1">
    <w:name w:val="批注框文本 Char1"/>
    <w:uiPriority w:val="99"/>
    <w:semiHidden/>
    <w:qFormat/>
    <w:rPr>
      <w:rFonts w:ascii="Times New Roman" w:hAnsi="Times New Roman" w:eastAsia="宋体" w:cs="Times New Roman"/>
      <w:sz w:val="18"/>
      <w:szCs w:val="18"/>
    </w:rPr>
  </w:style>
  <w:style w:type="character" w:styleId="933" w:customStyle="1">
    <w:name w:val="正文文本 2 Char1"/>
    <w:uiPriority w:val="99"/>
    <w:semiHidden/>
    <w:qFormat/>
    <w:rPr>
      <w:rFonts w:ascii="Times New Roman" w:hAnsi="Times New Roman" w:eastAsia="宋体" w:cs="Times New Roman"/>
      <w:szCs w:val="20"/>
    </w:rPr>
  </w:style>
  <w:style w:type="character" w:styleId="934" w:customStyle="1">
    <w:name w:val="文档结构图 Char1"/>
    <w:uiPriority w:val="99"/>
    <w:semiHidden/>
    <w:qFormat/>
    <w:rPr>
      <w:rFonts w:ascii="宋体" w:hAnsi="Times New Roman" w:eastAsia="宋体" w:cs="Times New Roman"/>
      <w:sz w:val="18"/>
      <w:szCs w:val="18"/>
    </w:rPr>
  </w:style>
  <w:style w:type="character" w:styleId="935" w:customStyle="1">
    <w:name w:val="正文文本缩进 Char1"/>
    <w:uiPriority w:val="99"/>
    <w:semiHidden/>
    <w:qFormat/>
    <w:rPr>
      <w:rFonts w:ascii="Times New Roman" w:hAnsi="Times New Roman" w:eastAsia="宋体" w:cs="Times New Roman"/>
      <w:szCs w:val="20"/>
    </w:rPr>
  </w:style>
  <w:style w:type="character" w:styleId="936" w:customStyle="1">
    <w:name w:val="15"/>
    <w:uiPriority w:val="0"/>
    <w:qFormat/>
    <w:rPr>
      <w:rFonts w:ascii="Times New Roman" w:hAnsi="Times New Roman" w:cs="Times New Roman"/>
    </w:rPr>
  </w:style>
  <w:style w:type="character" w:styleId="937" w:customStyle="1">
    <w:name w:val="正文文本缩进 2 Char1"/>
    <w:uiPriority w:val="99"/>
    <w:semiHidden/>
    <w:qFormat/>
    <w:rPr>
      <w:rFonts w:ascii="Times New Roman" w:hAnsi="Times New Roman" w:eastAsia="宋体" w:cs="Times New Roman"/>
      <w:szCs w:val="20"/>
    </w:rPr>
  </w:style>
  <w:style w:type="character" w:styleId="938" w:customStyle="1">
    <w:name w:val="日期 Char1"/>
    <w:uiPriority w:val="99"/>
    <w:semiHidden/>
    <w:qFormat/>
    <w:rPr>
      <w:rFonts w:ascii="Times New Roman" w:hAnsi="Times New Roman" w:eastAsia="宋体" w:cs="Times New Roman"/>
      <w:szCs w:val="20"/>
    </w:rPr>
  </w:style>
  <w:style w:type="character" w:styleId="939" w:customStyle="1">
    <w:name w:val="正文文本缩进 3 Char1"/>
    <w:uiPriority w:val="99"/>
    <w:semiHidden/>
    <w:qFormat/>
    <w:rPr>
      <w:rFonts w:ascii="Times New Roman" w:hAnsi="Times New Roman" w:eastAsia="宋体" w:cs="Times New Roman"/>
      <w:sz w:val="16"/>
      <w:szCs w:val="16"/>
    </w:rPr>
  </w:style>
  <w:style w:type="paragraph" w:styleId="940">
    <w:name w:val="List Paragraph"/>
    <w:basedOn w:val="662"/>
    <w:uiPriority w:val="0"/>
    <w:qFormat/>
    <w:pPr>
      <w:ind w:firstLine="420"/>
    </w:pPr>
    <w:rPr>
      <w:szCs w:val="21"/>
    </w:rPr>
  </w:style>
  <w:style w:type="paragraph" w:styleId="941" w:customStyle="1">
    <w:name w:val="普通文字"/>
    <w:basedOn w:val="662"/>
    <w:next w:val="662"/>
    <w:uiPriority w:val="0"/>
    <w:qFormat/>
    <w:rPr>
      <w:rFonts w:ascii="宋体"/>
      <w:sz w:val="24"/>
    </w:rPr>
  </w:style>
  <w:style w:type="paragraph" w:styleId="942" w:customStyle="1">
    <w:name w:val="样式 小四 段前: 5 磅 段后: 5 磅 首行缩进:  2 字符"/>
    <w:basedOn w:val="662"/>
    <w:uiPriority w:val="0"/>
    <w:qFormat/>
    <w:pPr>
      <w:jc w:val="center"/>
      <w:spacing w:line="360" w:lineRule="auto"/>
    </w:pPr>
    <w:rPr>
      <w:rFonts w:ascii="宋体" w:hAnsi="宋体"/>
      <w:bCs/>
      <w:color w:val="ff0000"/>
      <w:sz w:val="24"/>
      <w:szCs w:val="24"/>
    </w:rPr>
  </w:style>
  <w:style w:type="paragraph" w:styleId="943" w:customStyle="1">
    <w:name w:val="首行缩进"/>
    <w:uiPriority w:val="0"/>
    <w:qFormat/>
    <w:pPr>
      <w:ind w:firstLine="480"/>
      <w:jc w:val="both"/>
      <w:widowControl w:val="off"/>
    </w:pPr>
    <w:rPr>
      <w:rFonts w:hint="default" w:ascii="Times New Roman" w:hAnsi="Times New Roman" w:eastAsia="宋体" w:cs="Times New Roman"/>
      <w:sz w:val="21"/>
      <w:lang w:val="zh-CN"/>
    </w:rPr>
  </w:style>
  <w:style w:type="paragraph" w:styleId="944" w:customStyle="1">
    <w:name w:val="Other|1"/>
    <w:basedOn w:val="662"/>
    <w:uiPriority w:val="0"/>
    <w:qFormat/>
    <w:pPr>
      <w:ind w:firstLine="220"/>
    </w:pPr>
    <w:rPr>
      <w:rFonts w:ascii="宋体" w:hAnsi="宋体" w:cs="宋体"/>
      <w:sz w:val="20"/>
      <w:lang w:val="zh-TW" w:eastAsia="zh-TW" w:bidi="zh-TW"/>
    </w:rPr>
  </w:style>
  <w:style w:type="character" w:styleId="945" w:customStyle="1">
    <w:name w:val="font11"/>
    <w:uiPriority w:val="0"/>
    <w:qFormat/>
    <w:rPr>
      <w:rFonts w:hint="eastAsia" w:ascii="宋体" w:hAnsi="宋体" w:eastAsia="宋体" w:cs="宋体"/>
      <w:color w:val="333333"/>
      <w:sz w:val="20"/>
      <w:szCs w:val="20"/>
      <w:u w:val="none"/>
    </w:rPr>
  </w:style>
  <w:style w:type="paragraph" w:styleId="946" w:customStyle="1">
    <w:name w:val="纯文本1"/>
    <w:basedOn w:val="662"/>
    <w:uiPriority w:val="0"/>
    <w:qFormat/>
    <w:rPr>
      <w:rFonts w:ascii="宋体" w:hAnsi="Courier New" w:eastAsia="楷体_GB2312"/>
      <w:sz w:val="26"/>
    </w:rPr>
  </w:style>
  <w:style w:type="character" w:styleId="947" w:customStyle="1">
    <w:name w:val="font21"/>
    <w:uiPriority w:val="0"/>
    <w:qFormat/>
    <w:rPr>
      <w:rFonts w:hint="eastAsia" w:ascii="宋体" w:hAnsi="宋体" w:eastAsia="宋体" w:cs="宋体"/>
      <w:color w:val="000000"/>
      <w:sz w:val="20"/>
      <w:szCs w:val="20"/>
      <w:u w:val="none"/>
    </w:rPr>
  </w:style>
  <w:style w:type="character" w:styleId="948" w:customStyle="1">
    <w:name w:val="font01"/>
    <w:uiPriority w:val="0"/>
    <w:qFormat/>
    <w:rPr>
      <w:rFonts w:ascii="Tahoma" w:hAnsi="Tahoma" w:eastAsia="Tahoma" w:cs="Tahoma"/>
      <w:color w:val="333333"/>
      <w:sz w:val="20"/>
      <w:szCs w:val="20"/>
      <w:u w:val="none"/>
    </w:rPr>
  </w:style>
  <w:style w:type="paragraph" w:styleId="949" w:customStyle="1">
    <w:name w:val="列出段落2"/>
    <w:basedOn w:val="662"/>
    <w:uiPriority w:val="34"/>
    <w:qFormat/>
    <w:pPr>
      <w:ind w:firstLine="420"/>
    </w:pPr>
  </w:style>
  <w:style w:type="paragraph" w:styleId="950" w:customStyle="1">
    <w:name w:val="正文文本2"/>
    <w:basedOn w:val="662"/>
    <w:next w:val="951"/>
    <w:uiPriority w:val="0"/>
    <w:qFormat/>
    <w:rPr>
      <w:rFonts w:ascii="华文中宋" w:eastAsia="华文中宋"/>
      <w:bCs/>
      <w:sz w:val="28"/>
    </w:rPr>
  </w:style>
  <w:style w:type="paragraph" w:styleId="951" w:customStyle="1">
    <w:name w:val="列表项目符号 51"/>
    <w:basedOn w:val="662"/>
    <w:uiPriority w:val="0"/>
    <w:qFormat/>
    <w:pPr>
      <w:ind w:left="2040" w:hanging="360"/>
      <w:spacing w:line="360" w:lineRule="exact"/>
      <w:widowControl/>
      <w:tabs>
        <w:tab w:val="left" w:pos="2040" w:leader="none"/>
      </w:tabs>
    </w:pPr>
    <w:rPr>
      <w:rFonts w:eastAsia="楷体_GB2312"/>
      <w:sz w:val="24"/>
    </w:rPr>
  </w:style>
  <w:style w:type="paragraph" w:styleId="952" w:customStyle="1">
    <w:name w:val="页脚11"/>
    <w:basedOn w:val="662"/>
    <w:next w:val="662"/>
    <w:uiPriority w:val="99"/>
    <w:unhideWhenUsed/>
    <w:qFormat/>
    <w:pPr>
      <w:jc w:val="left"/>
      <w:tabs>
        <w:tab w:val="center" w:pos="4153" w:leader="none"/>
        <w:tab w:val="right" w:pos="8306" w:leader="none"/>
      </w:tabs>
    </w:pPr>
    <w:rPr>
      <w:sz w:val="18"/>
      <w:szCs w:val="18"/>
    </w:rPr>
  </w:style>
  <w:style w:type="paragraph" w:styleId="953" w:customStyle="1">
    <w:name w:val="正文缩进11"/>
    <w:basedOn w:val="662"/>
    <w:uiPriority w:val="0"/>
    <w:unhideWhenUsed/>
    <w:qFormat/>
    <w:pPr>
      <w:ind w:firstLine="420"/>
    </w:pPr>
    <w:rPr>
      <w:szCs w:val="24"/>
    </w:rPr>
  </w:style>
  <w:style w:type="paragraph" w:styleId="954" w:customStyle="1">
    <w:name w:val="无间隔1"/>
    <w:uiPriority w:val="99"/>
    <w:qFormat/>
    <w:pPr>
      <w:jc w:val="both"/>
      <w:widowControl w:val="off"/>
    </w:pPr>
    <w:rPr>
      <w:rFonts w:hint="default" w:ascii="Calibri" w:hAnsi="Calibri" w:eastAsia="宋体" w:cs="Calibri"/>
      <w:sz w:val="21"/>
      <w:szCs w:val="21"/>
    </w:rPr>
  </w:style>
  <w:style w:type="paragraph" w:styleId="955" w:customStyle="1">
    <w:name w:val="_Style 1"/>
    <w:basedOn w:val="662"/>
    <w:uiPriority w:val="99"/>
    <w:qFormat/>
    <w:pPr>
      <w:ind w:firstLine="420"/>
    </w:pPr>
    <w:rPr>
      <w:rFonts w:ascii="Calibri" w:hAnsi="Calibri"/>
      <w:szCs w:val="22"/>
    </w:rPr>
  </w:style>
  <w:style w:type="paragraph" w:styleId="956" w:customStyle="1">
    <w:name w:val="BodyText1I2"/>
    <w:basedOn w:val="957"/>
    <w:next w:val="958"/>
    <w:uiPriority w:val="0"/>
    <w:qFormat/>
    <w:pPr>
      <w:ind w:firstLine="210"/>
    </w:pPr>
  </w:style>
  <w:style w:type="paragraph" w:styleId="957" w:customStyle="1">
    <w:name w:val="BodyTextIndent"/>
    <w:basedOn w:val="662"/>
    <w:uiPriority w:val="0"/>
    <w:qFormat/>
    <w:pPr>
      <w:ind w:left="420"/>
      <w:spacing w:after="120"/>
    </w:pPr>
  </w:style>
  <w:style w:type="paragraph" w:styleId="958" w:customStyle="1">
    <w:name w:val="BodyText"/>
    <w:basedOn w:val="662"/>
    <w:uiPriority w:val="0"/>
    <w:qFormat/>
    <w:pPr>
      <w:spacing w:after="120"/>
    </w:pPr>
  </w:style>
  <w:style w:type="paragraph" w:styleId="959" w:customStyle="1">
    <w:name w:val="正文1"/>
    <w:basedOn w:val="662"/>
    <w:link w:val="964"/>
    <w:uiPriority w:val="0"/>
    <w:qFormat/>
    <w:pPr>
      <w:ind w:firstLine="200"/>
      <w:spacing w:line="360" w:lineRule="auto"/>
    </w:pPr>
    <w:rPr>
      <w:sz w:val="28"/>
      <w:szCs w:val="28"/>
    </w:rPr>
  </w:style>
  <w:style w:type="paragraph" w:styleId="960" w:customStyle="1">
    <w:name w:val="正文—表图名"/>
    <w:basedOn w:val="662"/>
    <w:uiPriority w:val="0"/>
    <w:qFormat/>
    <w:pPr>
      <w:jc w:val="center"/>
    </w:pPr>
    <w:rPr>
      <w:b/>
      <w:szCs w:val="21"/>
    </w:rPr>
  </w:style>
  <w:style w:type="paragraph" w:styleId="961" w:customStyle="1">
    <w:name w:val="正文—表内文字"/>
    <w:basedOn w:val="662"/>
    <w:uiPriority w:val="0"/>
    <w:qFormat/>
    <w:pPr>
      <w:jc w:val="center"/>
    </w:pPr>
    <w:rPr>
      <w:bCs/>
      <w:szCs w:val="21"/>
    </w:rPr>
  </w:style>
  <w:style w:type="paragraph" w:styleId="962" w:customStyle="1">
    <w:name w:val="列出段落3"/>
    <w:basedOn w:val="662"/>
    <w:uiPriority w:val="0"/>
    <w:qFormat/>
    <w:pPr>
      <w:ind w:firstLine="420"/>
    </w:pPr>
    <w:rPr>
      <w:szCs w:val="21"/>
    </w:rPr>
  </w:style>
  <w:style w:type="paragraph" w:styleId="963" w:customStyle="1">
    <w:name w:val="表图名"/>
    <w:basedOn w:val="679"/>
    <w:uiPriority w:val="0"/>
    <w:qFormat/>
    <w:pPr>
      <w:spacing w:line="360" w:lineRule="auto"/>
    </w:pPr>
    <w:rPr>
      <w:rFonts w:ascii="Times New Roman" w:hAnsi="Times New Roman" w:eastAsia="宋体"/>
      <w:bCs/>
      <w:sz w:val="24"/>
      <w:szCs w:val="24"/>
    </w:rPr>
  </w:style>
  <w:style w:type="character" w:styleId="964" w:customStyle="1">
    <w:name w:val="正文1 字符"/>
    <w:link w:val="959"/>
    <w:uiPriority w:val="0"/>
    <w:qFormat/>
    <w:rPr>
      <w:rFonts w:hint="default" w:ascii="Times New Roman" w:hAnsi="Times New Roman" w:eastAsia="宋体" w:cs="仿宋"/>
      <w:sz w:val="28"/>
      <w:szCs w:val="28"/>
      <w:lang w:val="en-US" w:eastAsia="zh-CN" w:bidi="ar"/>
    </w:rPr>
  </w:style>
  <w:style w:type="paragraph" w:styleId="965" w:customStyle="1">
    <w:name w:val="正文表中文字"/>
    <w:basedOn w:val="662"/>
    <w:uiPriority w:val="0"/>
    <w:qFormat/>
    <w:pPr>
      <w:jc w:val="center"/>
    </w:pPr>
    <w:rPr>
      <w:bCs/>
      <w:szCs w:val="21"/>
    </w:rPr>
  </w:style>
  <w:style w:type="paragraph" w:styleId="966" w:customStyle="1">
    <w:name w:val="+正文"/>
    <w:basedOn w:val="662"/>
    <w:uiPriority w:val="0"/>
    <w:qFormat/>
    <w:pPr>
      <w:ind w:firstLine="200"/>
      <w:spacing w:line="360" w:lineRule="auto"/>
    </w:pPr>
    <w:rPr>
      <w:sz w:val="24"/>
      <w:szCs w:val="28"/>
    </w:rPr>
  </w:style>
  <w:style w:type="character" w:styleId="967" w:customStyle="1">
    <w:name w:val="font101"/>
    <w:basedOn w:val="672"/>
    <w:uiPriority w:val="0"/>
    <w:qFormat/>
    <w:rPr>
      <w:rFonts w:hint="default" w:ascii="Times New Roman" w:hAnsi="Times New Roman" w:cs="Times New Roman"/>
      <w:b/>
      <w:bCs/>
      <w:color w:val="000000"/>
      <w:sz w:val="20"/>
      <w:szCs w:val="20"/>
      <w:u w:val="none"/>
    </w:rPr>
  </w:style>
  <w:style w:type="paragraph" w:styleId="968" w:customStyle="1">
    <w:name w:val="*正文"/>
    <w:basedOn w:val="662"/>
    <w:uiPriority w:val="0"/>
    <w:qFormat/>
    <w:pPr>
      <w:ind w:firstLine="200"/>
      <w:spacing w:line="360" w:lineRule="auto"/>
    </w:pPr>
    <w:rPr>
      <w:sz w:val="24"/>
    </w:rPr>
  </w:style>
  <w:style w:type="paragraph" w:styleId="969" w:customStyle="1">
    <w:name w:val="修订1"/>
    <w:hidden/>
    <w:uiPriority w:val="99"/>
    <w:unhideWhenUsed/>
    <w:qFormat/>
    <w:rPr>
      <w:rFonts w:hint="default" w:ascii="Times New Roman" w:hAnsi="Times New Roman" w:eastAsia="宋体" w:cs="Times New Roman"/>
      <w:sz w:val="21"/>
    </w:rPr>
  </w:style>
  <w:style w:type="paragraph" w:styleId="970" w:customStyle="1">
    <w:name w:val="正文缩进111"/>
    <w:basedOn w:val="662"/>
    <w:uiPriority w:val="0"/>
    <w:qFormat/>
    <w:pPr>
      <w:ind w:firstLine="420"/>
      <w:jc w:val="left"/>
      <w:widowControl/>
    </w:pPr>
    <w:rPr>
      <w:sz w:val="20"/>
    </w:rPr>
  </w:style>
  <w:style w:type="numbering" w:styleId="86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f38c4694-c75f-457c-a906-5ba70237ee88</errorID>
      <errorWord>-</errorWord>
      <group>L1_Format</group>
      <groupName>格式问题</groupName>
      <ability>L2_HalfPunc_CN</ability>
      <abilityName>全半角问题</abilityName>
      <candidateList>
        <item>－</item>
      </candidateList>
      <explain>文本全半角错误。</explain>
      <paraID>72FF8049</paraID>
      <start>26</start>
      <end>27</end>
      <status>ignored</status>
      <modifiedWord/>
      <trackRevisions>false</trackRevisions>
    </reviewItem>
    <reviewItem>
      <errorID>35aab74f-7221-4403-b291-9141d4c29c38</errorID>
      <errorWord>)</errorWord>
      <group>L1_Format</group>
      <groupName>格式问题</groupName>
      <ability>L2_HalfPunc_CN</ability>
      <abilityName>全半角问题</abilityName>
      <candidateList>
        <item>）</item>
      </candidateList>
      <explain>文本全半角错误。</explain>
      <paraID>72FF8049</paraID>
      <start>72</start>
      <end>73</end>
      <status>modified</status>
      <modifiedWord>）</modifiedWord>
      <trackRevisions>false</trackRevisions>
    </reviewItem>
    <reviewItem>
      <errorID>78ca8f81-6bc4-48eb-9548-67820d35796a</errorID>
      <errorWord>（</errorWord>
      <group>L1_Word</group>
      <groupName>字词问题</groupName>
      <ability>L2_Typo</ability>
      <abilityName>字词错误</abilityName>
      <candidateList>
        <item>（在</item>
      </candidateList>
      <explain/>
      <paraID>241C8520</paraID>
      <start>89</start>
      <end>90</end>
      <status>unmodified</status>
      <modifiedWord/>
      <trackRevisions>false</trackRevisions>
    </reviewItem>
    <reviewItem>
      <errorID>0ba80cba-571f-44ef-ad24-125c5fac6b18</errorID>
      <errorWord>“.</errorWord>
      <group>L1_Punc</group>
      <groupName>标点问题</groupName>
      <ability>L2_Punc_CN</ability>
      <abilityName>标点符号问题</abilityName>
      <candidateList>
        <item>“</item>
      </candidateList>
      <explain/>
      <paraID>241C8520</paraID>
      <start>204</start>
      <end>206</end>
      <status>unmodified</status>
      <modifiedWord/>
      <trackRevisions>false</trackRevisions>
    </reviewItem>
    <reviewItem>
      <errorID>e1173201-3f9e-4627-b99f-559215cfd8bc</errorID>
      <errorWord>“.</errorWord>
      <group>L1_Punc</group>
      <groupName>标点问题</groupName>
      <ability>L2_Punc_CN</ability>
      <abilityName>标点符号问题</abilityName>
      <candidateList>
        <item>“</item>
      </candidateList>
      <explain/>
      <paraID>4798136E</paraID>
      <start>11</start>
      <end>13</end>
      <status>unmodified</status>
      <modifiedWord/>
      <trackRevisions>false</trackRevisions>
    </reviewItem>
    <reviewItem>
      <errorID>11fff0da-4fc5-4b9e-adab-ab2f227a62d0</errorID>
      <errorWord>截止至2026年</errorWord>
      <group>L1_Word</group>
      <groupName>字词问题</groupName>
      <ability>L2_Typo</ability>
      <abilityName>字词错误</abilityName>
      <candidateList>
        <item>截至2026年</item>
      </candidateList>
      <explain/>
      <paraID>1D7AFC8B</paraID>
      <start>48</start>
      <end>56</end>
      <status>unmodified</status>
      <modifiedWord/>
      <trackRevisions>false</trackRevisions>
    </reviewItem>
    <reviewItem>
      <errorID>713c1e01-7580-47f7-9c94-1839156a3699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5C4C2581</paraID>
      <start>0</start>
      <end>2</end>
      <status>unmodified</status>
      <modifiedWord/>
      <trackRevisions>false</trackRevisions>
    </reviewItem>
    <reviewItem>
      <errorID>4d5ad070-e3dd-47f2-83b6-bc9309f1d99f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3BF4A10E</paraID>
      <start>0</start>
      <end>2</end>
      <status>unmodified</status>
      <modifiedWord/>
      <trackRevisions>false</trackRevisions>
    </reviewItem>
    <reviewItem>
      <errorID>55a7c79e-5138-4961-b793-c8dedf30803f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4287573E</paraID>
      <start>0</start>
      <end>2</end>
      <status>unmodified</status>
      <modifiedWord/>
      <trackRevisions>false</trackRevisions>
    </reviewItem>
    <reviewItem>
      <errorID>3c0eec0a-52e9-409a-805b-b851b0cc5918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19B6DA74</paraID>
      <start>0</start>
      <end>2</end>
      <status>unmodified</status>
      <modifiedWord/>
      <trackRevisions>false</trackRevisions>
    </reviewItem>
    <reviewItem>
      <errorID>7d439bd5-b449-4b99-9353-ccbbcef937b4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576BF045</paraID>
      <start>0</start>
      <end>2</end>
      <status>unmodified</status>
      <modifiedWord/>
      <trackRevisions>false</trackRevisions>
    </reviewItem>
    <reviewItem>
      <errorID>46b9a9b7-b512-498a-a552-ab628e90d9a4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45DAEB43</paraID>
      <start>0</start>
      <end>2</end>
      <status>unmodified</status>
      <modifiedWord/>
      <trackRevisions>false</trackRevisions>
    </reviewItem>
    <reviewItem>
      <errorID>7d074e5b-fe36-4bc0-8522-62667e90c45b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41BC0BBC</paraID>
      <start>0</start>
      <end>2</end>
      <status>unmodified</status>
      <modifiedWord/>
      <trackRevisions>false</trackRevisions>
    </reviewItem>
    <reviewItem>
      <errorID>5f9e2894-0a00-4291-aed9-8f4545c390e3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223EFD0F</paraID>
      <start>0</start>
      <end>2</end>
      <status>unmodified</status>
      <modifiedWord/>
      <trackRevisions>false</trackRevisions>
    </reviewItem>
    <reviewItem>
      <errorID>b923ae82-09c9-4e33-ba8e-16777a2ad3aa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2BE45FF7</paraID>
      <start>0</start>
      <end>2</end>
      <status>unmodified</status>
      <modifiedWord/>
      <trackRevisions>false</trackRevisions>
    </reviewItem>
    <reviewItem>
      <errorID>d5c18d40-0b9d-4956-8f5f-e0790ec53676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35C18C4</paraID>
      <start>0</start>
      <end>2</end>
      <status>unmodified</status>
      <modifiedWord/>
      <trackRevisions>false</trackRevisions>
    </reviewItem>
    <reviewItem>
      <errorID>edb9435e-7f06-449e-a728-5f824d0d2f46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792CA96F</paraID>
      <start>0</start>
      <end>3</end>
      <status>unmodified</status>
      <modifiedWord/>
      <trackRevisions>false</trackRevisions>
    </reviewItem>
    <reviewItem>
      <errorID>566f92e6-63f6-40b9-a2ad-40b7331ec782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1399FA45</paraID>
      <start>0</start>
      <end>3</end>
      <status>unmodified</status>
      <modifiedWord/>
      <trackRevisions>false</trackRevisions>
    </reviewItem>
    <reviewItem>
      <errorID>a64e0faf-ce80-4769-8ba8-c0f212635010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6BFD6C6B</paraID>
      <start>0</start>
      <end>3</end>
      <status>unmodified</status>
      <modifiedWord/>
      <trackRevisions>false</trackRevisions>
    </reviewItem>
    <reviewItem>
      <errorID>76432fba-b229-4cdc-8288-f4a84325361c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1C1FE9C4</paraID>
      <start>0</start>
      <end>3</end>
      <status>unmodified</status>
      <modifiedWord/>
      <trackRevisions>false</trackRevisions>
    </reviewItem>
    <reviewItem>
      <errorID>6790bb39-41cb-4030-b38d-425c358a4c13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624B79C5</paraID>
      <start>0</start>
      <end>3</end>
      <status>unmodified</status>
      <modifiedWord/>
      <trackRevisions>false</trackRevisions>
    </reviewItem>
    <reviewItem>
      <errorID>2b43d529-bdc3-4665-9379-6907424f069c</errorID>
      <errorWord>做出</errorWord>
      <group>L1_Word</group>
      <groupName>字词问题</groupName>
      <ability>L2_Typo</ability>
      <abilityName>字词错误</abilityName>
      <candidateList>
        <item>作出</item>
      </candidateList>
      <explain/>
      <paraID>793D093B</paraID>
      <start>77</start>
      <end>79</end>
      <status>unmodified</status>
      <modifiedWord/>
      <trackRevisions>false</trackRevisions>
    </reviewItem>
    <reviewItem>
      <errorID>3dd5f83e-f0e5-4887-9f0e-81d8f02daddc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47233CEF</paraID>
      <start>0</start>
      <end>2</end>
      <status>unmodified</status>
      <modifiedWord/>
      <trackRevisions>false</trackRevisions>
    </reviewItem>
    <reviewItem>
      <errorID>ed7d774c-7936-4318-9dbb-2a9f0d2ea534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72EA6671</paraID>
      <start>0</start>
      <end>2</end>
      <status>unmodified</status>
      <modifiedWord/>
      <trackRevisions>false</trackRevisions>
    </reviewItem>
    <reviewItem>
      <errorID>c0dfbd00-27cc-4589-b6aa-02de86c1e880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17303015</paraID>
      <start>0</start>
      <end>2</end>
      <status>unmodified</status>
      <modifiedWord/>
      <trackRevisions>false</trackRevisions>
    </reviewItem>
    <reviewItem>
      <errorID>3d85c419-4dbb-4c2a-beda-5971e0a93ac4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50065D97</paraID>
      <start>0</start>
      <end>2</end>
      <status>unmodified</status>
      <modifiedWord/>
      <trackRevisions>false</trackRevisions>
    </reviewItem>
    <reviewItem>
      <errorID>d55609ea-1f6a-4667-9ee2-898ba6ae1b03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45110EC4</paraID>
      <start>0</start>
      <end>2</end>
      <status>unmodified</status>
      <modifiedWord/>
      <trackRevisions>false</trackRevisions>
    </reviewItem>
    <reviewItem>
      <errorID>023ffc38-6fc7-4a11-9a7a-09dace8e9fc7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6C8D2AD</paraID>
      <start>0</start>
      <end>2</end>
      <status>unmodified</status>
      <modifiedWord/>
      <trackRevisions>false</trackRevisions>
    </reviewItem>
    <reviewItem>
      <errorID>e123b144-eaed-47db-a8bc-db1138a02954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40207E1D</paraID>
      <start>0</start>
      <end>2</end>
      <status>unmodified</status>
      <modifiedWord/>
      <trackRevisions>false</trackRevisions>
    </reviewItem>
    <reviewItem>
      <errorID>f8b9566a-b80b-415f-bae8-d73a5c0f88ed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104DC986</paraID>
      <start>0</start>
      <end>2</end>
      <status>unmodified</status>
      <modifiedWord/>
      <trackRevisions>false</trackRevisions>
    </reviewItem>
    <reviewItem>
      <errorID>350316d7-ad2e-4773-8db1-3e0e64c0a800</errorID>
      <errorWord>100万以下</errorWord>
      <group>L1_Word</group>
      <groupName>字词问题</groupName>
      <ability>L2_Typo</ability>
      <abilityName>字词错误</abilityName>
      <candidateList>
        <item>100万元以下</item>
      </candidateList>
      <explain/>
      <paraID>3FDBE8C0</paraID>
      <start>32</start>
      <end>38</end>
      <status>unmodified</status>
      <modifiedWord/>
      <trackRevisions>false</trackRevisions>
    </reviewItem>
    <reviewItem>
      <errorID>b2ed375c-6bec-45d6-bb29-c2262bbeb403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3FDBE8C0</paraID>
      <start>46</start>
      <end>55</end>
      <status>unmodified</status>
      <modifiedWord/>
      <trackRevisions>false</trackRevisions>
    </reviewItem>
    <reviewItem>
      <errorID>84d30f50-3bac-4e9f-8fd1-4dd7f93c1840</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3FDBE8C0</paraID>
      <start>63</start>
      <end>73</end>
      <status>unmodified</status>
      <modifiedWord/>
      <trackRevisions>false</trackRevisions>
    </reviewItem>
    <reviewItem>
      <errorID>13607fc8-32fc-469a-8491-746040c4081b</errorID>
      <errorWord>-</errorWord>
      <group>L1_Format</group>
      <groupName>格式问题</groupName>
      <ability>L2_HalfPunc_CN</ability>
      <abilityName>全半角问题</abilityName>
      <candidateList>
        <item>－</item>
      </candidateList>
      <explain>文本全半角错误。</explain>
      <paraID>57D729B8</paraID>
      <start>9</start>
      <end>10</end>
      <status>ignored</status>
      <modifiedWord/>
      <trackRevisions>false</trackRevisions>
    </reviewItem>
    <reviewItem>
      <errorID>38719a42-7885-4a1e-8494-e696a42c67cb</errorID>
      <errorWord>-</errorWord>
      <group>L1_Format</group>
      <groupName>格式问题</groupName>
      <ability>L2_HalfPunc_CN</ability>
      <abilityName>全半角问题</abilityName>
      <candidateList>
        <item>－</item>
      </candidateList>
      <explain>文本全半角错误。</explain>
      <paraID>57D729B8</paraID>
      <start>17</start>
      <end>18</end>
      <status>ignored</status>
      <modifiedWord/>
      <trackRevisions>false</trackRevisions>
    </reviewItem>
    <reviewItem>
      <errorID>de739f33-dc76-459c-aa7c-ef7ab9d8709d</errorID>
      <errorWord>35～85%</errorWord>
      <group>L1_Knowledge</group>
      <groupName>知识性问题</groupName>
      <ability>L2_Knowledge</ability>
      <abilityName>其他知识</abilityName>
      <candidateList>
        <item>35%～85%</item>
      </candidateList>
      <explain>1. “35～85%”中的单位“%”仅出现在后一个数字上，容易引起歧义；根据《现代汉语标点符号数字用法规范手册》，数字表示范围两边需要使用统一的格式。2. 根据标点国标 4.13 中的规则，数字、时间或地域连接符应使用（视觉上更长的）“—”或“～”。</explain>
      <paraID>2F5A2AED</paraID>
      <start>7</start>
      <end>13</end>
      <status>unmodified</status>
      <modifiedWord/>
      <trackRevisions>false</trackRevisions>
    </reviewItem>
    <reviewItem>
      <errorID>b4dc2717-8a3f-43ca-97ba-e230ff256675</errorID>
      <errorWord>rpm</errorWord>
      <group>L1_Knowledge</group>
      <groupName>知识性问题</groupName>
      <ability>L2_Knowledge</ability>
      <abilityName>其他知识</abilityName>
      <candidateList/>
      <explain>非法定单位</explain>
      <paraID>3B0A89A8</paraID>
      <start>52</start>
      <end>55</end>
      <status>unmodified</status>
      <modifiedWord/>
      <trackRevisions>false</trackRevisions>
    </reviewItem>
    <reviewItem>
      <errorID>64a974a8-40e6-4c5d-9c47-20205379e45b</errorID>
      <errorWord>rpm</errorWord>
      <group>L1_Knowledge</group>
      <groupName>知识性问题</groupName>
      <ability>L2_Knowledge</ability>
      <abilityName>其他知识</abilityName>
      <candidateList/>
      <explain>非法定单位</explain>
      <paraID>1CEC3EAE</paraID>
      <start>110</start>
      <end>113</end>
      <status>unmodified</status>
      <modifiedWord/>
      <trackRevisions>false</trackRevisions>
    </reviewItem>
    <reviewItem>
      <errorID>472c684a-cc14-4ae3-beaa-b18ba4ad6cfe</errorID>
      <errorWord>,</errorWord>
      <group>L1_Format</group>
      <groupName>格式问题</groupName>
      <ability>L2_HalfPunc_CN</ability>
      <abilityName>全半角问题</abilityName>
      <candidateList>
        <item>，</item>
      </candidateList>
      <explain>文本全半角错误。</explain>
      <paraID>4D06D129</paraID>
      <start>34</start>
      <end>35</end>
      <status>unmodified</status>
      <modifiedWord/>
      <trackRevisions>false</trackRevisions>
    </reviewItem>
    <reviewItem>
      <errorID>ef1452f3-30ec-4d76-aa25-fbc3c5c4be22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62DE17A6</paraID>
      <start>0</start>
      <end>2</end>
      <status>unmodified</status>
      <modifiedWord/>
      <trackRevisions>false</trackRevisions>
    </reviewItem>
    <reviewItem>
      <errorID>b4224153-fc73-4c16-ba1d-b51fd0393d75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6089EBE8</paraID>
      <start>0</start>
      <end>2</end>
      <status>unmodified</status>
      <modifiedWord/>
      <trackRevisions>false</trackRevisions>
    </reviewItem>
    <reviewItem>
      <errorID>88776a3a-4656-428d-ba85-d53a7325b49f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E140372</paraID>
      <start>0</start>
      <end>2</end>
      <status>unmodified</status>
      <modifiedWord/>
      <trackRevisions>false</trackRevisions>
    </reviewItem>
    <reviewItem>
      <errorID>61caca7a-220e-470b-adee-0c09f27a1b12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132B846</paraID>
      <start>0</start>
      <end>2</end>
      <status>unmodified</status>
      <modifiedWord/>
      <trackRevisions>false</trackRevisions>
    </reviewItem>
    <reviewItem>
      <errorID>b0ea263b-f611-471c-8690-29bed37bd30c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1C18B40E</paraID>
      <start>0</start>
      <end>2</end>
      <status>unmodified</status>
      <modifiedWord/>
      <trackRevisions>false</trackRevisions>
    </reviewItem>
    <reviewItem>
      <errorID>9791f572-2ec1-4e01-8414-676c5cd61e40</errorID>
      <errorWord>期间</errorWord>
      <group>L1_Word</group>
      <groupName>字词问题</groupName>
      <ability>L2_Typo</ability>
      <abilityName>字词错误</abilityName>
      <candidateList>
        <item>其间</item>
      </candidateList>
      <explain/>
      <paraID>42CE8A1F</paraID>
      <start>58</start>
      <end>60</end>
      <status>unmodified</status>
      <modifiedWord/>
      <trackRevisions>false</trackRevisions>
    </reviewItem>
    <reviewItem>
      <errorID>8d5f7d09-8949-420a-92be-a4529162a54e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319810E0</paraID>
      <start>0</start>
      <end>2</end>
      <status>unmodified</status>
      <modifiedWord/>
      <trackRevisions>false</trackRevisions>
    </reviewItem>
    <reviewItem>
      <errorID>aff08b77-4c15-4840-90af-be6650f7d9e2</errorID>
      <errorWord>各</errorWord>
      <group>L1_Word</group>
      <groupName>字词问题</groupName>
      <ability>L2_Typo</ability>
      <abilityName>字词错误</abilityName>
      <candidateList>
        <item>各项</item>
      </candidateList>
      <explain/>
      <paraID>4CE6829E</paraID>
      <start>31</start>
      <end>32</end>
      <status>unmodified</status>
      <modifiedWord/>
      <trackRevisions>false</trackRevisions>
    </reviewItem>
    <reviewItem>
      <errorID>f5a60203-d6bb-4249-a9c4-9993870a7cbd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26F890AB</paraID>
      <start>0</start>
      <end>2</end>
      <status>unmodified</status>
      <modifiedWord/>
      <trackRevisions>false</trackRevisions>
    </reviewItem>
    <reviewItem>
      <errorID>420e53c7-deaf-41fb-a7f4-12d35276ca83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37EFBF8B</paraID>
      <start>0</start>
      <end>2</end>
      <status>unmodified</status>
      <modifiedWord/>
      <trackRevisions>false</trackRevisions>
    </reviewItem>
    <reviewItem>
      <errorID>66a9734c-c852-4e17-8029-06f3df678129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4E4E7D86</paraID>
      <start>0</start>
      <end>2</end>
      <status>unmodified</status>
      <modifiedWord/>
      <trackRevisions>false</trackRevisions>
    </reviewItem>
    <reviewItem>
      <errorID>077ec07d-14a1-4224-951c-82b39c7dcf82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443DEBFC</paraID>
      <start>0</start>
      <end>2</end>
      <status>unmodified</status>
      <modifiedWord/>
      <trackRevisions>false</trackRevisions>
    </reviewItem>
    <reviewItem>
      <errorID>63b77a65-9a81-413d-b82f-2c2b6ee10a75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737675F9</paraID>
      <start>0</start>
      <end>2</end>
      <status>unmodified</status>
      <modifiedWord/>
      <trackRevisions>false</trackRevisions>
    </reviewItem>
    <reviewItem>
      <errorID>30c0e84e-478a-41bb-8588-9d78ed596109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515B92CC</paraID>
      <start>0</start>
      <end>2</end>
      <status>unmodified</status>
      <modifiedWord/>
      <trackRevisions>false</trackRevisions>
    </reviewItem>
    <reviewItem>
      <errorID>5dce8470-a630-4710-afab-2b9e41295d4f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4522D8D4</paraID>
      <start>0</start>
      <end>2</end>
      <status>unmodified</status>
      <modifiedWord/>
      <trackRevisions>false</trackRevisions>
    </reviewItem>
    <reviewItem>
      <errorID>1b8a5374-2f52-44ae-a955-825ba6f57e19</errorID>
      <errorWord>-</errorWord>
      <group>L1_Format</group>
      <groupName>格式问题</groupName>
      <ability>L2_HalfPunc_CN</ability>
      <abilityName>全半角问题</abilityName>
      <candidateList>
        <item>－</item>
      </candidateList>
      <explain>文本全半角错误。</explain>
      <paraID>7813060C</paraID>
      <start>27</start>
      <end>28</end>
      <status>ignored</status>
      <modifiedWord/>
      <trackRevisions>false</trackRevisions>
    </reviewItem>
    <reviewItem>
      <errorID>5e04682a-57c6-4832-8988-49102aa3e121</errorID>
      <errorWord>)</errorWord>
      <group>L1_Format</group>
      <groupName>格式问题</groupName>
      <ability>L2_HalfPunc_CN</ability>
      <abilityName>全半角问题</abilityName>
      <candidateList>
        <item>）</item>
      </candidateList>
      <explain>文本全半角错误。</explain>
      <paraID>7813060C</paraID>
      <start>73</start>
      <end>74</end>
      <status>modified</status>
      <modifiedWord>）</modifiedWord>
      <trackRevisions>false</trackRevisions>
    </reviewItem>
    <reviewItem>
      <errorID>92ec5bd9-1779-48c9-9a25-c122430d3576</errorID>
      <errorWord>税</errorWord>
      <group>L1_Word</group>
      <groupName>字词问题</groupName>
      <ability>L2_Typo</ability>
      <abilityName>字词错误</abilityName>
      <candidateList>
        <item>税费</item>
      </candidateList>
      <explain/>
      <paraID>35F8E57E</paraID>
      <start>46</start>
      <end>47</end>
      <status>unmodified</status>
      <modifiedWord/>
      <trackRevisions>false</trackRevisions>
    </reviewItem>
    <reviewItem>
      <errorID>2d4201f9-1dd5-4d51-8986-edec62e84a46</errorID>
      <errorWord>一</errorWord>
      <group>L1_Word</group>
      <groupName>字词问题</groupName>
      <ability>L2_Typo</ability>
      <abilityName>字词错误</abilityName>
      <candidateList>
        <item>一个</item>
      </candidateList>
      <explain/>
      <paraID> 138E3CD</paraID>
      <start>70</start>
      <end>71</end>
      <status>unmodified</status>
      <modifiedWord/>
      <trackRevisions>false</trackRevisions>
    </reviewItem>
    <reviewItem>
      <errorID>f2499400-eb4b-4409-8e72-6d8d830d64e1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61B81D67</paraID>
      <start>0</start>
      <end>2</end>
      <status>unmodified</status>
      <modifiedWord/>
      <trackRevisions>false</trackRevisions>
    </reviewItem>
    <reviewItem>
      <errorID>4b13e5c0-f7ca-4ac3-89e3-8c509d3da134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47B482C5</paraID>
      <start>0</start>
      <end>2</end>
      <status>unmodified</status>
      <modifiedWord/>
      <trackRevisions>false</trackRevisions>
    </reviewItem>
    <reviewItem>
      <errorID>1106818d-81dc-4a1c-bf4c-186100e287d8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67C6B9E3</paraID>
      <start>0</start>
      <end>2</end>
      <status>unmodified</status>
      <modifiedWord/>
      <trackRevisions>false</trackRevisions>
    </reviewItem>
    <reviewItem>
      <errorID>5ef4bad4-1ef6-4c1c-8783-59dd8cc9bdcb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59D58121</paraID>
      <start>0</start>
      <end>2</end>
      <status>unmodified</status>
      <modifiedWord/>
      <trackRevisions>false</trackRevisions>
    </reviewItem>
    <reviewItem>
      <errorID>1380ef07-968a-41e4-b2e5-90cf5c862bab</errorID>
      <errorWord>，就</errorWord>
      <group>L1_Word</group>
      <groupName>字词问题</groupName>
      <ability>L2_Typo</ability>
      <abilityName>字词错误</abilityName>
      <candidateList>
        <item>，</item>
      </candidateList>
      <explain/>
      <paraID>169796D5</paraID>
      <start>49</start>
      <end>51</end>
      <status>unmodified</status>
      <modifiedWord/>
      <trackRevisions>false</trackRevisions>
    </reviewItem>
    <reviewItem>
      <errorID>ab513e92-ac85-4040-93b4-ab90ad312794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58DE4034</paraID>
      <start>0</start>
      <end>2</end>
      <status>unmodified</status>
      <modifiedWord/>
      <trackRevisions>false</trackRevisions>
    </reviewItem>
    <reviewItem>
      <errorID>7f4353dc-059c-4a1b-ac76-724db111b00a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3B8205F8</paraID>
      <start>0</start>
      <end>2</end>
      <status>unmodified</status>
      <modifiedWord/>
      <trackRevisions>false</trackRevisions>
    </reviewItem>
    <reviewItem>
      <errorID>31e92b1b-12f6-44fb-ab91-f5de61c6c7a2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37BBC19E</paraID>
      <start>0</start>
      <end>2</end>
      <status>unmodified</status>
      <modifiedWord/>
      <trackRevisions>false</trackRevisions>
    </reviewItem>
    <reviewItem>
      <errorID>0de0e482-0834-4fa5-86f0-59c754c963ec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4D42D16A</paraID>
      <start>0</start>
      <end>2</end>
      <status>unmodified</status>
      <modifiedWord/>
      <trackRevisions>false</trackRevisions>
    </reviewItem>
    <reviewItem>
      <errorID>c7c65353-25a2-4b63-835d-ce507e6d8b0f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1EA5C0B1</paraID>
      <start>0</start>
      <end>2</end>
      <status>unmodified</status>
      <modifiedWord/>
      <trackRevisions>false</trackRevisions>
    </reviewItem>
    <reviewItem>
      <errorID>9eb884da-9b4a-4f58-859f-9fd636892c14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28FBB967</paraID>
      <start>0</start>
      <end>2</end>
      <status>unmodified</status>
      <modifiedWord/>
      <trackRevisions>false</trackRevisions>
    </reviewItem>
    <reviewItem>
      <errorID>6882d3df-3444-46ee-bb36-21467b47d475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3753D6C5</paraID>
      <start>0</start>
      <end>2</end>
      <status>unmodified</status>
      <modifiedWord/>
      <trackRevisions>false</trackRevisions>
    </reviewItem>
    <reviewItem>
      <errorID>f2601995-b095-44cb-9cbf-72039dae61a4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4337EC3B</paraID>
      <start>0</start>
      <end>2</end>
      <status>unmodified</status>
      <modifiedWord/>
      <trackRevisions>false</trackRevisions>
    </reviewItem>
    <reviewItem>
      <errorID>1f4b502b-c16f-4345-9009-879287f57e3c</errorID>
      <errorWord>日通知乙方</errorWord>
      <group>L1_Word</group>
      <groupName>字词问题</groupName>
      <ability>L2_Typo</ability>
      <abilityName>字词错误</abilityName>
      <candidateList>
        <item>日内通知乙方</item>
      </candidateList>
      <explain/>
      <paraID>2A124E5D</paraID>
      <start>15</start>
      <end>20</end>
      <status>unmodified</status>
      <modifiedWord/>
      <trackRevisions>false</trackRevisions>
    </reviewItem>
    <reviewItem>
      <errorID>5b69cc22-495f-42f4-adc4-67f2ab3d24ce</errorID>
      <errorWord>雇佣</errorWord>
      <group>L1_Word</group>
      <groupName>字词问题</groupName>
      <ability>L2_Typo</ability>
      <abilityName>字词错误</abilityName>
      <candidateList>
        <item>雇用</item>
      </candidateList>
      <explain>存在发音相同字词的误用。</explain>
      <paraID>3EA3D62F</paraID>
      <start>45</start>
      <end>47</end>
      <status>unmodified</status>
      <modifiedWord/>
      <trackRevisions>false</trackRevisions>
    </reviewItem>
    <reviewItem>
      <errorID>b129fa68-52b7-436a-ad25-cee9b152817a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4AA5DA3E</paraID>
      <start>0</start>
      <end>2</end>
      <status>unmodified</status>
      <modifiedWord/>
      <trackRevisions>false</trackRevisions>
    </reviewItem>
    <reviewItem>
      <errorID>3ed6e279-733e-4be3-b08a-510578aaa604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3F530584</paraID>
      <start>0</start>
      <end>2</end>
      <status>unmodified</status>
      <modifiedWord/>
      <trackRevisions>false</trackRevisions>
    </reviewItem>
    <reviewItem>
      <errorID>b053e393-6f21-4929-b642-f41eb47d1ccc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388ED9EB</paraID>
      <start>0</start>
      <end>2</end>
      <status>unmodified</status>
      <modifiedWord/>
      <trackRevisions>false</trackRevisions>
    </reviewItem>
    <reviewItem>
      <errorID>6a52229c-65ef-4fc9-b6f6-50ba27dca870</errorID>
      <errorWord>工作所必须</errorWord>
      <group>L1_Word</group>
      <groupName>字词问题</groupName>
      <ability>L2_Typo</ability>
      <abilityName>字词错误</abilityName>
      <candidateList>
        <item>工作所必需</item>
      </candidateList>
      <explain/>
      <paraID>2E8A4263</paraID>
      <start>11</start>
      <end>16</end>
      <status>unmodified</status>
      <modifiedWord/>
      <trackRevisions>false</trackRevisions>
    </reviewItem>
    <reviewItem>
      <errorID>99919441-3d6a-4663-a2bb-5ad9d0463a8f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2237BAD</paraID>
      <start>0</start>
      <end>2</end>
      <status>unmodified</status>
      <modifiedWord/>
      <trackRevisions>false</trackRevisions>
    </reviewItem>
    <reviewItem>
      <errorID>24410cff-6054-48fe-8f92-d2b20a0ef538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23FD98FC</paraID>
      <start>0</start>
      <end>2</end>
      <status>unmodified</status>
      <modifiedWord/>
      <trackRevisions>false</trackRevisions>
    </reviewItem>
    <reviewItem>
      <errorID>f8fec0ab-b8ad-4fcd-b041-3b1d171be27b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20BB8A05</paraID>
      <start>0</start>
      <end>2</end>
      <status>unmodified</status>
      <modifiedWord/>
      <trackRevisions>false</trackRevisions>
    </reviewItem>
    <reviewItem>
      <errorID>2d0c406b-98ff-4297-b84c-a96026e0ee7f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5AA309C5</paraID>
      <start>0</start>
      <end>2</end>
      <status>unmodified</status>
      <modifiedWord/>
      <trackRevisions>false</trackRevisions>
    </reviewItem>
    <reviewItem>
      <errorID>492acd3b-ea09-46a8-8e36-3b9764b47957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470E9864</paraID>
      <start>0</start>
      <end>2</end>
      <status>unmodified</status>
      <modifiedWord/>
      <trackRevisions>false</trackRevisions>
    </reviewItem>
    <reviewItem>
      <errorID>689160b5-51e1-46ed-98ae-dd95007e1d06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2B22D4B1</paraID>
      <start>0</start>
      <end>2</end>
      <status>unmodified</status>
      <modifiedWord/>
      <trackRevisions>false</trackRevisions>
    </reviewItem>
    <reviewItem>
      <errorID>69f7dc84-3407-4a99-aba8-8c8850444a18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23E3C507</paraID>
      <start>0</start>
      <end>2</end>
      <status>unmodified</status>
      <modifiedWord/>
      <trackRevisions>false</trackRevisions>
    </reviewItem>
    <reviewItem>
      <errorID>73e74c8e-23a5-46f1-a46c-b30984434ac2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37D3EE49</paraID>
      <start>0</start>
      <end>2</end>
      <status>unmodified</status>
      <modifiedWord/>
      <trackRevisions>false</trackRevisions>
    </reviewItem>
    <reviewItem>
      <errorID>537768e0-cfe2-43e0-8461-db4f54c4f10c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10EBDCEE</paraID>
      <start>0</start>
      <end>2</end>
      <status>unmodified</status>
      <modifiedWord/>
      <trackRevisions>false</trackRevisions>
    </reviewItem>
    <reviewItem>
      <errorID>d9a8043c-f4ea-42f0-9b01-3ed7185dad6e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69E086DC</paraID>
      <start>0</start>
      <end>2</end>
      <status>unmodified</status>
      <modifiedWord/>
      <trackRevisions>false</trackRevisions>
    </reviewItem>
    <reviewItem>
      <errorID>fdc2e36b-5065-4b41-9c2b-92287eb6e5e6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396B6365</paraID>
      <start>0</start>
      <end>2</end>
      <status>unmodified</status>
      <modifiedWord/>
      <trackRevisions>false</trackRevisions>
    </reviewItem>
    <reviewItem>
      <errorID>77eada6f-7758-4046-b3fc-a3858a7d45b2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C065898</paraID>
      <start>0</start>
      <end>2</end>
      <status>unmodified</status>
      <modifiedWord/>
      <trackRevisions>false</trackRevisions>
    </reviewItem>
    <reviewItem>
      <errorID>781f9cb5-43be-4e00-9e38-645f249bcada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A3291A2</paraID>
      <start>0</start>
      <end>2</end>
      <status>unmodified</status>
      <modifiedWord/>
      <trackRevisions>false</trackRevisions>
    </reviewItem>
    <reviewItem>
      <errorID>35e7e036-7ffc-4cb2-af96-27695d73f4d4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7C02E66E</paraID>
      <start>0</start>
      <end>2</end>
      <status>unmodified</status>
      <modifiedWord/>
      <trackRevisions>false</trackRevisions>
    </reviewItem>
    <reviewItem>
      <errorID>a9a053b2-64a3-48c0-b589-48c3d34b147d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FBADD44</paraID>
      <start>0</start>
      <end>2</end>
      <status>unmodified</status>
      <modifiedWord/>
      <trackRevisions>false</trackRevisions>
    </reviewItem>
    <reviewItem>
      <errorID>5756ed36-cd3b-4a61-b37e-8130e98ff4a4</errorID>
      <errorWord>期间</errorWord>
      <group>L1_Word</group>
      <groupName>字词问题</groupName>
      <ability>L2_Typo</ability>
      <abilityName>字词错误</abilityName>
      <candidateList>
        <item>其间</item>
      </candidateList>
      <explain/>
      <paraID>689F3D4B</paraID>
      <start>58</start>
      <end>60</end>
      <status>unmodified</status>
      <modifiedWord/>
      <trackRevisions>false</trackRevisions>
    </reviewItem>
    <reviewItem>
      <errorID>74c8e9a0-f1ba-42b8-b997-b3382558647b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7156882</paraID>
      <start>0</start>
      <end>2</end>
      <status>unmodified</status>
      <modifiedWord/>
      <trackRevisions>false</trackRevisions>
    </reviewItem>
    <reviewItem>
      <errorID>f366a07b-789a-4592-9caa-9e1445056ab9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6AEAC6C3</paraID>
      <start>0</start>
      <end>2</end>
      <status>unmodified</status>
      <modifiedWord/>
      <trackRevisions>false</trackRevisions>
    </reviewItem>
    <reviewItem>
      <errorID>6bfb9a7d-8fa9-40fd-b518-826af5cdf4e2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2A5C321</paraID>
      <start>0</start>
      <end>2</end>
      <status>unmodified</status>
      <modifiedWord/>
      <trackRevisions>false</trackRevisions>
    </reviewItem>
    <reviewItem>
      <errorID>f0ae5c8b-120a-4ea9-9c92-3ee61bbdc612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6A5AF37E</paraID>
      <start>0</start>
      <end>2</end>
      <status>unmodified</status>
      <modifiedWord/>
      <trackRevisions>false</trackRevisions>
    </reviewItem>
    <reviewItem>
      <errorID>acebd6e1-837f-468d-b472-1076953ef193</errorID>
      <errorWord>算</errorWord>
      <group>L1_Word</group>
      <groupName>字词问题</groupName>
      <ability>L2_Typo</ability>
      <abilityName>字词错误</abilityName>
      <candidateList>
        <item>算后</item>
      </candidateList>
      <explain/>
      <paraID>6A5AF37E</paraID>
      <start>6</start>
      <end>7</end>
      <status>unmodified</status>
      <modifiedWord/>
      <trackRevisions>false</trackRevisions>
    </reviewItem>
    <reviewItem>
      <errorID>eddd887e-475e-44a4-9f58-f8ddd7ab20f9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4250CFC0</paraID>
      <start>0</start>
      <end>2</end>
      <status>unmodified</status>
      <modifiedWord/>
      <trackRevisions>false</trackRevisions>
    </reviewItem>
    <reviewItem>
      <errorID>0180ab37-c104-4491-aab7-56104151efde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546D6B85</paraID>
      <start>0</start>
      <end>2</end>
      <status>unmodified</status>
      <modifiedWord/>
      <trackRevisions>false</trackRevisions>
    </reviewItem>
    <reviewItem>
      <errorID>8b47b4ae-77c8-4395-a087-bf662af3a95c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2C830311</paraID>
      <start>116</start>
      <end>119</end>
      <status>unmodified</status>
      <modifiedWord/>
      <trackRevisions>false</trackRevisions>
    </reviewItem>
    <reviewItem>
      <errorID>615268d7-b5d5-4aa8-b2c2-2a47c299c9d9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2C830311</paraID>
      <start>121</start>
      <end>124</end>
      <status>unmodified</status>
      <modifiedWord/>
      <trackRevisions>false</trackRevisions>
    </reviewItem>
    <reviewItem>
      <errorID>3a8a225e-9c34-4569-9d35-3ff9ed515abd</errorID>
      <errorWord>》</errorWord>
      <group>L1_Word</group>
      <groupName>字词问题</groupName>
      <ability>L2_Typo</ability>
      <abilityName>字词错误</abilityName>
      <candidateList>
        <item>》和</item>
      </candidateList>
      <explain/>
      <paraID>3D8DEFA8</paraID>
      <start>127</start>
      <end>128</end>
      <status>unmodified</status>
      <modifiedWord/>
      <trackRevisions>false</trackRevisions>
    </reviewItem>
    <reviewItem>
      <errorID>0bbd6d95-4cb4-4700-bbcb-74ec9d8006b1</errorID>
      <errorWord>》</errorWord>
      <group>L1_Word</group>
      <groupName>字词问题</groupName>
      <ability>L2_Typo</ability>
      <abilityName>字词错误</abilityName>
      <candidateList>
        <item>》等</item>
      </candidateList>
      <explain/>
      <paraID>3D8DEFA8</paraID>
      <start>154</start>
      <end>155</end>
      <status>unmodified</status>
      <modifiedWord/>
      <trackRevisions>false</trackRevisions>
    </reviewItem>
    <reviewItem>
      <errorID>c7f242a7-fcad-4ea1-a94c-ac40a270be7d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611AD119</paraID>
      <start>0</start>
      <end>2</end>
      <status>unmodified</status>
      <modifiedWord/>
      <trackRevisions>false</trackRevisions>
    </reviewItem>
    <reviewItem>
      <errorID>5ef3961f-d7f6-40b8-81ba-15fea90197ad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79B0D5A5</paraID>
      <start>0</start>
      <end>2</end>
      <status>unmodified</status>
      <modifiedWord/>
      <trackRevisions>false</trackRevisions>
    </reviewItem>
    <reviewItem>
      <errorID>8ab37fd6-4ecd-4dbc-a106-00d0ab3c87b3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195D5CCC</paraID>
      <start>0</start>
      <end>2</end>
      <status>unmodified</status>
      <modifiedWord/>
      <trackRevisions>false</trackRevisions>
    </reviewItem>
    <reviewItem>
      <errorID>88918de1-e3b9-46ed-94d8-c5bcb7da5f3e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7C1D3559</paraID>
      <start>0</start>
      <end>2</end>
      <status>unmodified</status>
      <modifiedWord/>
      <trackRevisions>false</trackRevisions>
    </reviewItem>
    <reviewItem>
      <errorID>0772abd0-6adb-4a50-af51-875c75d7e0c5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18FA8339</paraID>
      <start>0</start>
      <end>2</end>
      <status>unmodified</status>
      <modifiedWord/>
      <trackRevisions>false</trackRevisions>
    </reviewItem>
    <reviewItem>
      <errorID>20a06f34-dbf1-497e-83db-af6d9d3fed5c</errorID>
      <errorWord>（</errorWord>
      <group>L1_Punc</group>
      <groupName>标点问题</groupName>
      <ability>L2_Punc_CN</ability>
      <abilityName>标点符号问题</abilityName>
      <candidateList/>
      <explain>同一形式括号套用。</explain>
      <paraID>57D5370F</paraID>
      <start>65</start>
      <end>66</end>
      <status>unmodified</status>
      <modifiedWord/>
      <trackRevisions>false</trackRevisions>
    </reviewItem>
    <reviewItem>
      <errorID>2f2514b1-600b-4bc9-8697-e5f62c1a56a5</errorID>
      <errorWord>）</errorWord>
      <group>L1_Punc</group>
      <groupName>标点问题</groupName>
      <ability>L2_Punc_CN</ability>
      <abilityName>标点符号问题</abilityName>
      <candidateList/>
      <explain>同一形式括号套用。</explain>
      <paraID>57D5370F</paraID>
      <start>68</start>
      <end>69</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427451B-7CC8-4401-B139-CFD252269FEB}"/>
</file>

<file path=customXml/itemProps2.xml><?xml version="1.0" encoding="utf-8"?>
<ds:datastoreItem xmlns:ds="http://schemas.openxmlformats.org/officeDocument/2006/customXml" ds:itemID="{1B1DFC5F-BCF1-4432-B860-44DF59BBF33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9</cp:revision>
  <dcterms:created xsi:type="dcterms:W3CDTF">2026-04-08T08:00:00Z</dcterms:created>
  <dcterms:modified xsi:type="dcterms:W3CDTF">2026-08-13T02:30:33Z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97F9ABFC0AF54D9A8A53ADCD35F91E54</vt:lpwstr>
  </property>
  <property fmtid="{D5CDD505-2E9C-101B-9397-08002B2CF9AE}" pid="4" name="KSOTemplateDocerSaveRecord">
    <vt:lpwstr>eyJoZGlkIjoiZGRiZWYzNTkzYmEwYTZmYjk3ZGQ3OGQwNTA0ZmI1YWIiLCJ1c2VySWQiOiIxMDI1MzcwNjcwIn0=</vt:lpwstr>
  </property>
</Properties>
</file>