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0"/>
        <w:rPr>
          <w:rFonts w:hint="eastAsia" w:eastAsia="黑体"/>
          <w:b/>
          <w:bCs/>
          <w:sz w:val="84"/>
          <w:shd w:val="clear" w:color="ffffff" w:fill="d9d9d9"/>
        </w:rPr>
      </w:pPr>
      <w:r>
        <w:rPr>
          <w:rFonts w:hint="eastAsia" w:eastAsia="黑体"/>
          <w:b/>
          <w:bCs/>
          <w:sz w:val="84"/>
          <w:shd w:val="clear" w:color="ffffff" w:fill="d9d9d9"/>
        </w:rPr>
      </w:r>
      <w:r/>
    </w:p>
    <w:p>
      <w:pPr>
        <w:pStyle w:val="766"/>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项目编</w:t>
      </w:r>
      <w:r>
        <w:rPr>
          <w:rFonts w:hint="eastAsia" w:ascii="黑体" w:hAnsi="华文中宋" w:eastAsia="黑体" w:cs="Times New Roman"/>
          <w:bCs/>
          <w:color w:val="000000"/>
          <w:sz w:val="32"/>
          <w:szCs w:val="32"/>
        </w:rPr>
        <w:t xml:space="preserve">号：</w:t>
      </w:r>
      <w:r>
        <w:rPr>
          <w:rFonts w:hint="eastAsia" w:ascii="黑体" w:hAnsi="华文中宋" w:eastAsia="黑体" w:cs="Times New Roman"/>
          <w:bCs/>
          <w:color w:val="000000"/>
          <w:sz w:val="32"/>
          <w:szCs w:val="32"/>
        </w:rPr>
        <w:t xml:space="preserve">JSZC-320214-JZCG-G2026-0076</w:t>
      </w:r>
      <w:r>
        <w:rPr>
          <w:rFonts w:hint="eastAsia" w:ascii="黑体" w:hAnsi="华文中宋" w:eastAsia="黑体" w:cs="Times New Roman"/>
          <w:bCs/>
          <w:color w:val="000000"/>
          <w:sz w:val="32"/>
          <w:szCs w:val="32"/>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项目名称：无锡市新吴区一体化政务服务平台</w:t>
      </w:r>
      <w:r>
        <w:rPr>
          <w:rFonts w:hint="eastAsia" w:ascii="黑体" w:hAnsi="华文中宋" w:eastAsia="黑体" w:cs="Times New Roman"/>
          <w:bCs/>
          <w:color w:val="000000"/>
          <w:sz w:val="32"/>
          <w:szCs w:val="32"/>
        </w:rPr>
      </w:r>
      <w:r/>
    </w:p>
    <w:p>
      <w:pPr>
        <w:pStyle w:val="678"/>
        <w:ind w:firstLine="35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升级项目（四期）</w:t>
      </w:r>
      <w:r>
        <w:rPr>
          <w:rFonts w:hint="eastAsia" w:ascii="黑体" w:hAnsi="华文中宋" w:eastAsia="黑体" w:cs="Times New Roman"/>
          <w:bCs/>
          <w:color w:val="000000"/>
          <w:sz w:val="32"/>
          <w:szCs w:val="32"/>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采 购 人：无锡市新吴区区域社会治理现代化</w:t>
      </w:r>
      <w:r>
        <w:rPr>
          <w:rFonts w:hint="eastAsia" w:ascii="黑体" w:hAnsi="华文中宋" w:eastAsia="黑体" w:cs="Times New Roman"/>
          <w:bCs/>
          <w:color w:val="000000"/>
          <w:sz w:val="32"/>
          <w:szCs w:val="32"/>
        </w:rPr>
      </w:r>
      <w:r/>
    </w:p>
    <w:p>
      <w:pPr>
        <w:pStyle w:val="678"/>
        <w:ind w:firstLine="35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指挥中心</w:t>
      </w:r>
      <w:r>
        <w:rPr>
          <w:rFonts w:hint="eastAsia" w:ascii="黑体" w:hAnsi="华文中宋" w:eastAsia="黑体" w:cs="Times New Roman"/>
          <w:bCs/>
          <w:color w:val="000000"/>
          <w:sz w:val="32"/>
          <w:szCs w:val="32"/>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6"/>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6"/>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年七月</w:t>
      </w:r>
      <w:r>
        <w:rPr>
          <w:rFonts w:ascii="黑体" w:hAnsi="华文中宋" w:eastAsia="黑体"/>
          <w:bCs/>
          <w:color w:val="000000" w:themeColor="text1"/>
          <w:sz w:val="32"/>
          <w:szCs w:val="32"/>
          <w:highlight w:val="none"/>
        </w:rPr>
      </w:r>
      <w:r>
        <w:rPr>
          <w:color w:val="000000" w:themeColor="text1"/>
          <w:highlight w:val="none"/>
        </w:rPr>
      </w:r>
    </w:p>
    <w:p>
      <w:pPr>
        <w:pStyle w:val="76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投标邀请------------------------------------</w:t>
      </w:r>
      <w:r>
        <w:rPr>
          <w:rFonts w:hint="eastAsia" w:ascii="宋体" w:hAnsi="宋体"/>
          <w:color w:val="000000" w:themeColor="text1"/>
          <w:sz w:val="30"/>
          <w:szCs w:val="30"/>
        </w:rPr>
      </w:r>
      <w:r>
        <w:rPr>
          <w:color w:val="000000" w:themeColor="text1"/>
        </w:rPr>
      </w:r>
    </w:p>
    <w:p>
      <w:pPr>
        <w:pStyle w:val="678"/>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投标人须知----------------------------------</w:t>
      </w:r>
      <w:r>
        <w:rPr>
          <w:rFonts w:hint="eastAsia" w:ascii="宋体" w:hAnsi="宋体"/>
          <w:color w:val="000000" w:themeColor="text1"/>
          <w:sz w:val="30"/>
          <w:szCs w:val="30"/>
        </w:rPr>
      </w:r>
      <w:r>
        <w:rPr>
          <w:color w:val="000000" w:themeColor="text1"/>
        </w:rPr>
      </w:r>
    </w:p>
    <w:p>
      <w:pPr>
        <w:pStyle w:val="678"/>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合同文本------------------------------------</w:t>
      </w:r>
      <w:r>
        <w:rPr>
          <w:rFonts w:hint="eastAsia" w:ascii="宋体" w:hAnsi="宋体"/>
          <w:color w:val="000000" w:themeColor="text1"/>
          <w:sz w:val="30"/>
          <w:szCs w:val="30"/>
        </w:rPr>
      </w:r>
      <w:r>
        <w:rPr>
          <w:color w:val="000000" w:themeColor="text1"/>
        </w:rPr>
      </w:r>
    </w:p>
    <w:p>
      <w:pPr>
        <w:pStyle w:val="678"/>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采购需求------------------------------------</w:t>
      </w:r>
      <w:r>
        <w:rPr>
          <w:rFonts w:hint="eastAsia" w:ascii="宋体" w:hAnsi="宋体"/>
          <w:color w:val="000000" w:themeColor="text1"/>
          <w:sz w:val="30"/>
          <w:szCs w:val="30"/>
        </w:rPr>
      </w:r>
      <w:r>
        <w:rPr>
          <w:color w:val="000000" w:themeColor="text1"/>
        </w:rPr>
      </w:r>
    </w:p>
    <w:p>
      <w:pPr>
        <w:pStyle w:val="678"/>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w:t>
      </w:r>
      <w:r>
        <w:rPr>
          <w:rFonts w:hint="eastAsia" w:ascii="宋体" w:hAnsi="宋体"/>
          <w:color w:val="000000" w:themeColor="text1"/>
          <w:sz w:val="30"/>
          <w:szCs w:val="30"/>
        </w:rPr>
      </w:r>
      <w:r>
        <w:rPr>
          <w:color w:val="000000" w:themeColor="text1"/>
        </w:rPr>
      </w:r>
    </w:p>
    <w:p>
      <w:pPr>
        <w:pStyle w:val="678"/>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00" w:themeColor="text1"/>
          <w:sz w:val="30"/>
          <w:szCs w:val="30"/>
        </w:rPr>
        <w:t xml:space="preserve">投标文件内容与格式--------------------------</w:t>
      </w:r>
      <w:r>
        <w:rPr>
          <w:rFonts w:hint="eastAsia" w:ascii="宋体" w:hAnsi="宋体"/>
          <w:color w:val="000000" w:themeColor="text1"/>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ascii="宋体" w:hAnsi="宋体"/>
          <w:sz w:val="24"/>
          <w:szCs w:val="24"/>
          <w:shd w:val="clear" w:color="ffffff" w:fill="d9d9d9"/>
        </w:rPr>
      </w:pPr>
      <w:r/>
      <w:bookmarkEnd w:id="0"/>
      <w:r>
        <w:rPr>
          <w:rFonts w:hint="eastAsia" w:ascii="宋体" w:hAnsi="宋体" w:eastAsia="宋体" w:cs="Times New Roman"/>
          <w:sz w:val="24"/>
          <w:szCs w:val="24"/>
          <w:lang w:eastAsia="zh-CN"/>
        </w:rPr>
        <w:t xml:space="preserve">受无锡市新吴区区域社会治理现代化指挥中心的</w:t>
      </w:r>
      <w:r>
        <w:rPr>
          <w:rFonts w:hint="eastAsia" w:ascii="宋体" w:hAnsi="宋体"/>
          <w:sz w:val="24"/>
          <w:szCs w:val="24"/>
        </w:rPr>
        <w:t xml:space="preserve">委托，</w:t>
      </w:r>
      <w:r>
        <w:rPr>
          <w:rFonts w:hint="eastAsia" w:ascii="宋体" w:hAnsi="宋体"/>
          <w:sz w:val="24"/>
          <w:szCs w:val="24"/>
          <w:lang w:eastAsia="zh-CN"/>
        </w:rPr>
        <w:t xml:space="preserve">无锡市公共资源交易中心</w:t>
      </w:r>
      <w:r>
        <w:rPr>
          <w:rFonts w:hint="eastAsia" w:ascii="宋体" w:hAnsi="宋体" w:eastAsia="宋体" w:cs="Times New Roman"/>
          <w:sz w:val="24"/>
          <w:szCs w:val="24"/>
          <w:lang w:eastAsia="zh-CN"/>
        </w:rPr>
        <w:t xml:space="preserve">新吴分中心就无锡市新吴区一体化政务服务平台升级项目（四期）（JSZC-320214-JZCG-G2026-0076）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无锡市新吴区一体化政务服务平台升级项目（四期）</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年8月20日09点30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JSZC-320214-JZCG-G2026-0076</w:t>
      </w:r>
      <w:r>
        <w:rPr>
          <w:rFonts w:ascii="宋体" w:hAnsi="宋体"/>
          <w:color w:val="0000ff"/>
          <w:sz w:val="24"/>
          <w:szCs w:val="24"/>
        </w:rPr>
      </w:r>
      <w:r/>
    </w:p>
    <w:p>
      <w:pPr>
        <w:pStyle w:val="678"/>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2.项目名称：</w:t>
      </w:r>
      <w:bookmarkEnd w:id="11"/>
      <w:r>
        <w:rPr>
          <w:rFonts w:hint="eastAsia" w:ascii="宋体" w:hAnsi="宋体" w:eastAsia="宋体" w:cs="Times New Roman"/>
          <w:sz w:val="24"/>
          <w:szCs w:val="24"/>
          <w:lang w:eastAsia="zh-CN"/>
        </w:rPr>
        <w:t xml:space="preserve">无锡市新吴区一体化政务服务平台升级项目（四期）</w:t>
      </w:r>
      <w:r>
        <w:rPr>
          <w:rFonts w:hint="eastAsia" w:ascii="宋体" w:hAnsi="宋体" w:eastAsia="宋体" w:cs="Times New Roman"/>
          <w:sz w:val="24"/>
          <w:szCs w:val="24"/>
          <w:lang w:eastAsia="zh-CN"/>
        </w:rPr>
      </w:r>
      <w:r/>
    </w:p>
    <w:p>
      <w:pPr>
        <w:pStyle w:val="678"/>
        <w:ind w:firstLine="480"/>
        <w:spacing w:line="500" w:lineRule="exact"/>
        <w:rPr>
          <w:rFonts w:ascii="宋体" w:hAnsi="宋体"/>
          <w:color w:val="000000" w:themeColor="text1"/>
          <w:sz w:val="24"/>
          <w:szCs w:val="24"/>
        </w:rPr>
      </w:pPr>
      <w:r>
        <w:rPr>
          <w:rFonts w:hint="eastAsia" w:ascii="宋体" w:hAnsi="宋体"/>
          <w:sz w:val="24"/>
          <w:szCs w:val="24"/>
        </w:rPr>
        <w:t xml:space="preserve">3.项</w:t>
      </w:r>
      <w:r>
        <w:rPr>
          <w:rFonts w:hint="eastAsia" w:ascii="宋体" w:hAnsi="宋体"/>
          <w:color w:val="000000" w:themeColor="text1"/>
          <w:sz w:val="24"/>
          <w:szCs w:val="24"/>
        </w:rPr>
        <w:t xml:space="preserve">目预算金额：</w:t>
      </w:r>
      <w:r>
        <w:rPr>
          <w:rFonts w:hint="eastAsia" w:ascii="宋体" w:hAnsi="宋体"/>
          <w:color w:val="000000" w:themeColor="text1"/>
          <w:sz w:val="24"/>
          <w:szCs w:val="24"/>
          <w:lang w:val="en-US" w:eastAsia="zh-CN"/>
        </w:rPr>
        <w:t xml:space="preserve">76.4</w:t>
      </w:r>
      <w:r>
        <w:rPr>
          <w:rFonts w:hint="eastAsia" w:ascii="宋体" w:hAnsi="宋体"/>
          <w:color w:val="000000" w:themeColor="text1"/>
          <w:sz w:val="24"/>
          <w:szCs w:val="24"/>
        </w:rPr>
        <w:t xml:space="preserve">万元</w:t>
      </w:r>
      <w:r>
        <w:rPr>
          <w:rFonts w:ascii="宋体" w:hAnsi="宋体"/>
          <w:color w:val="000000" w:themeColor="text1"/>
          <w:sz w:val="24"/>
          <w:szCs w:val="24"/>
        </w:rPr>
      </w:r>
      <w:r>
        <w:rPr>
          <w:color w:val="000000" w:themeColor="text1"/>
        </w:rPr>
      </w:r>
    </w:p>
    <w:p>
      <w:pPr>
        <w:pStyle w:val="678"/>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4.项目最高限价</w:t>
      </w: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76.4</w:t>
      </w:r>
      <w:r>
        <w:rPr>
          <w:rFonts w:hint="eastAsia" w:ascii="宋体" w:hAnsi="宋体"/>
          <w:color w:val="000000" w:themeColor="text1"/>
          <w:sz w:val="24"/>
          <w:szCs w:val="24"/>
        </w:rPr>
        <w:t xml:space="preserve">万元</w:t>
      </w:r>
      <w:r>
        <w:rPr>
          <w:rFonts w:ascii="宋体" w:hAnsi="宋体"/>
          <w:color w:val="000000" w:themeColor="text1"/>
          <w:sz w:val="24"/>
          <w:szCs w:val="24"/>
        </w:rPr>
      </w:r>
      <w:r>
        <w:rPr>
          <w:color w:val="000000" w:themeColor="text1"/>
        </w:rPr>
      </w:r>
    </w:p>
    <w:p>
      <w:pPr>
        <w:pStyle w:val="678"/>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8"/>
        <w:ind w:firstLine="480"/>
        <w:spacing w:line="500" w:lineRule="exact"/>
        <w:rPr>
          <w:rFonts w:hint="eastAsia" w:ascii="宋体" w:hAnsi="宋体" w:cs="宋体"/>
          <w:color w:val="000000" w:themeColor="text1"/>
          <w:sz w:val="24"/>
          <w:szCs w:val="24"/>
        </w:rPr>
      </w:pPr>
      <w:r>
        <w:rPr>
          <w:rFonts w:hint="eastAsia" w:ascii="宋体" w:hAnsi="宋体"/>
          <w:sz w:val="24"/>
          <w:szCs w:val="24"/>
        </w:rPr>
        <w:t xml:space="preserve">7.合同</w:t>
      </w:r>
      <w:r>
        <w:rPr>
          <w:rFonts w:hint="eastAsia" w:ascii="宋体" w:hAnsi="宋体"/>
          <w:color w:val="000000" w:themeColor="text1"/>
          <w:sz w:val="24"/>
          <w:szCs w:val="24"/>
        </w:rPr>
        <w:t xml:space="preserve">履行期限：</w:t>
      </w:r>
      <w:r>
        <w:rPr>
          <w:rFonts w:hint="eastAsia" w:ascii="宋体" w:hAnsi="宋体" w:cs="宋体"/>
          <w:color w:val="000000" w:themeColor="text1"/>
          <w:sz w:val="24"/>
          <w:szCs w:val="24"/>
        </w:rPr>
        <w:t xml:space="preserve">详见招标文件第四章《采购需求》</w:t>
      </w:r>
      <w:r>
        <w:rPr>
          <w:rFonts w:hint="eastAsia" w:ascii="宋体" w:hAnsi="宋体" w:cs="宋体"/>
          <w:color w:val="000000" w:themeColor="text1"/>
          <w:sz w:val="24"/>
          <w:szCs w:val="24"/>
        </w:rPr>
      </w:r>
      <w:r>
        <w:rPr>
          <w:color w:val="000000" w:themeColor="text1"/>
        </w:rPr>
      </w:r>
    </w:p>
    <w:p>
      <w:pPr>
        <w:pStyle w:val="678"/>
        <w:ind w:firstLine="480"/>
        <w:spacing w:line="500" w:lineRule="exact"/>
        <w:rPr>
          <w:rFonts w:ascii="宋体" w:hAnsi="宋体" w:cs="宋体"/>
          <w:sz w:val="24"/>
          <w:szCs w:val="24"/>
        </w:rPr>
      </w:pPr>
      <w:r>
        <w:rPr>
          <w:rFonts w:hint="eastAsia" w:ascii="宋体" w:hAnsi="宋体" w:cs="宋体"/>
          <w:color w:val="000000" w:themeColor="text1"/>
          <w:sz w:val="24"/>
          <w:szCs w:val="24"/>
        </w:rPr>
        <w:t xml:space="preserve">8.本项目</w:t>
      </w:r>
      <w:r>
        <w:rPr>
          <w:rFonts w:hint="eastAsia" w:ascii="宋体" w:hAnsi="宋体" w:cs="宋体"/>
          <w:color w:val="000000" w:themeColor="text1"/>
          <w:sz w:val="24"/>
          <w:szCs w:val="24"/>
        </w:rPr>
        <w:t xml:space="preserve">不接受</w:t>
      </w:r>
      <w:r>
        <w:rPr>
          <w:rFonts w:hint="eastAsia" w:ascii="宋体" w:hAnsi="宋体" w:cs="宋体"/>
          <w:color w:val="000000" w:themeColor="text1"/>
          <w:sz w:val="24"/>
          <w:szCs w:val="24"/>
        </w:rPr>
        <w:t xml:space="preserve">联合体投标。</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12" w:name="_Toc35393791"/>
      <w:r/>
      <w:bookmarkStart w:id="13" w:name="_Toc35393622"/>
      <w:r/>
      <w:bookmarkStart w:id="14" w:name="_Toc28359003"/>
      <w:r/>
      <w:bookmarkStart w:id="15" w:name="_Toc38985264"/>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8"/>
        <w:ind w:firstLine="480"/>
        <w:spacing w:line="500" w:lineRule="exact"/>
        <w:rPr>
          <w:rFonts w:hint="eastAsia" w:ascii="宋体" w:hAnsi="宋体"/>
          <w:color w:val="000000" w:themeColor="text1"/>
          <w:sz w:val="24"/>
          <w:szCs w:val="24"/>
        </w:rPr>
      </w:pPr>
      <w:r>
        <w:rPr>
          <w:rFonts w:hint="eastAsia" w:ascii="宋体" w:hAnsi="宋体"/>
          <w:sz w:val="24"/>
          <w:szCs w:val="24"/>
        </w:rPr>
        <w:t xml:space="preserve">2.1中小企业政策</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本项目专门面向中小企业；</w:t>
      </w:r>
      <w:r>
        <w:rPr>
          <w:rFonts w:hint="eastAsia" w:ascii="宋体" w:hAnsi="宋体"/>
          <w:color w:val="000000" w:themeColor="text1"/>
          <w:sz w:val="24"/>
          <w:szCs w:val="24"/>
        </w:rPr>
      </w:r>
      <w:r>
        <w:rPr>
          <w:color w:val="000000" w:themeColor="text1"/>
        </w:rPr>
      </w:r>
    </w:p>
    <w:p>
      <w:pPr>
        <w:pStyle w:val="678"/>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rPr>
      </w:r>
      <w:r>
        <w:rPr>
          <w:color w:val="000000" w:themeColor="text1"/>
        </w:rPr>
      </w:r>
    </w:p>
    <w:p>
      <w:pPr>
        <w:pStyle w:val="678"/>
        <w:ind w:firstLine="480"/>
        <w:spacing w:line="500" w:lineRule="exact"/>
        <w:rPr>
          <w:rFonts w:ascii="宋体" w:hAnsi="宋体" w:cs="宋体"/>
          <w:color w:val="000000" w:themeColor="text1"/>
          <w:sz w:val="24"/>
          <w:szCs w:val="24"/>
        </w:rPr>
      </w:pPr>
      <w:r>
        <w:rPr>
          <w:rFonts w:hint="eastAsia" w:ascii="宋体" w:hAnsi="宋体"/>
          <w:color w:val="000000" w:themeColor="text1"/>
          <w:sz w:val="24"/>
          <w:szCs w:val="24"/>
        </w:rPr>
        <w:t xml:space="preserve">3.本项目的特定资格要求：</w:t>
      </w:r>
      <w:r>
        <w:rPr>
          <w:rFonts w:hint="eastAsia" w:ascii="宋体" w:hAnsi="宋体"/>
          <w:color w:val="000000" w:themeColor="text1"/>
          <w:sz w:val="24"/>
          <w:szCs w:val="24"/>
        </w:rPr>
        <w:t xml:space="preserve">无。</w:t>
      </w:r>
      <w:r>
        <w:rPr>
          <w:rFonts w:ascii="宋体" w:hAnsi="宋体" w:cs="宋体"/>
          <w:color w:val="000000" w:themeColor="text1"/>
          <w:sz w:val="24"/>
          <w:szCs w:val="24"/>
        </w:rPr>
      </w:r>
      <w:r>
        <w:rPr>
          <w:color w:val="000000" w:themeColor="text1"/>
        </w:rP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4"/>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color w:val="000000" w:themeColor="text1"/>
          <w:sz w:val="24"/>
          <w:szCs w:val="24"/>
          <w:highlight w:val="none"/>
        </w:rPr>
      </w:pPr>
      <w:r>
        <w:rPr>
          <w:rFonts w:hint="eastAsia" w:ascii="宋体" w:hAnsi="宋体"/>
          <w:bCs/>
          <w:sz w:val="24"/>
          <w:szCs w:val="24"/>
        </w:rPr>
        <w:t xml:space="preserve">1</w:t>
      </w:r>
      <w:r>
        <w:rPr>
          <w:rFonts w:hint="eastAsia" w:ascii="宋体" w:hAnsi="宋体"/>
          <w:bCs/>
          <w:color w:val="000000" w:themeColor="text1"/>
          <w:sz w:val="24"/>
          <w:szCs w:val="24"/>
          <w:highlight w:val="none"/>
        </w:rPr>
        <w:t xml:space="preserve">.时间：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年8月20日09点30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8985267"/>
      <w:r/>
      <w:bookmarkStart w:id="28" w:name="_Toc28359007"/>
      <w:r/>
      <w:bookmarkStart w:id="29" w:name="_Toc28359084"/>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28359085"/>
      <w:r/>
      <w:bookmarkStart w:id="36" w:name="_Toc35393796"/>
      <w:r/>
      <w:bookmarkStart w:id="37" w:name="_Toc28359008"/>
      <w:r/>
      <w:bookmarkStart w:id="38" w:name="_Toc35393627"/>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名    </w:t>
      </w:r>
      <w:r>
        <w:rPr>
          <w:rFonts w:hint="eastAsia" w:ascii="宋体" w:hAnsi="宋体" w:eastAsia="宋体" w:cs="宋体"/>
          <w:sz w:val="24"/>
          <w:szCs w:val="24"/>
        </w:rPr>
        <w:t xml:space="preserve">称：无锡市新吴区区域社会治理现代化指挥中心</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仿宋"/>
          <w:sz w:val="24"/>
          <w:szCs w:val="24"/>
        </w:rPr>
        <w:t xml:space="preserve">无锡市新吴区和风路32号汇业广场1号楼</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w:t>
      </w:r>
      <w:r>
        <w:rPr>
          <w:rFonts w:hint="eastAsia" w:ascii="宋体" w:hAnsi="宋体" w:eastAsia="宋体" w:cs="宋体"/>
          <w:sz w:val="24"/>
          <w:szCs w:val="24"/>
        </w:rPr>
        <w:t xml:space="preserve">购人项目咨询联系人：张工；电话：0510-81890859</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采购人质疑受理联系人：张工；电话：0510-81890859</w:t>
      </w:r>
      <w:r>
        <w:rPr>
          <w:rFonts w:hint="eastAsia" w:ascii="宋体" w:hAnsi="宋体" w:eastAsia="宋体" w:cs="宋体"/>
          <w:sz w:val="24"/>
          <w:szCs w:val="24"/>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w:t>
      </w:r>
      <w:r>
        <w:rPr>
          <w:rFonts w:hint="eastAsia" w:ascii="宋体" w:hAnsi="宋体" w:cs="宋体"/>
          <w:color w:val="000000"/>
          <w:sz w:val="24"/>
          <w:szCs w:val="24"/>
        </w:rPr>
        <w:t xml:space="preserve">系人：</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16938519"/>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7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2"/>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462564071"/>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462564072"/>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954846"/>
      <w:r/>
      <w:bookmarkEnd w:id="109"/>
      <w:r/>
      <w:bookmarkStart w:id="110" w:name="_Hlt26954842"/>
      <w:r/>
      <w:bookmarkEnd w:id="110"/>
      <w:r/>
      <w:bookmarkStart w:id="111" w:name="_Hlt26954844"/>
      <w:r/>
      <w:bookmarkEnd w:id="111"/>
      <w:r/>
      <w:bookmarkStart w:id="112" w:name="_Hlt26954848"/>
      <w:r/>
      <w:bookmarkEnd w:id="112"/>
      <w:r/>
      <w:bookmarkStart w:id="113" w:name="_Hlt26670403"/>
      <w:r/>
      <w:bookmarkEnd w:id="113"/>
      <w:r/>
      <w:bookmarkStart w:id="114" w:name="_Hlt26668983"/>
      <w:r/>
      <w:bookmarkEnd w:id="114"/>
      <w:r/>
      <w:bookmarkStart w:id="115" w:name="_Hlt26670425"/>
      <w:r/>
      <w:bookmarkEnd w:id="115"/>
      <w:r/>
      <w:bookmarkStart w:id="116" w:name="_Hlt26954731"/>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1"/>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rPr>
        <w:t xml:space="preserve">25.6投标人在开、</w:t>
      </w:r>
      <w:r>
        <w:rPr>
          <w:rFonts w:hint="eastAsia" w:ascii="宋体" w:hAnsi="宋体"/>
          <w:sz w:val="24"/>
          <w:highlight w:val="none"/>
        </w:rPr>
        <w:t xml:space="preserve">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5"/>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26.1.</w:t>
      </w:r>
      <w:r>
        <w:rPr>
          <w:rFonts w:hint="eastAsia" w:ascii="宋体" w:hAnsi="宋体"/>
          <w:bCs/>
          <w:sz w:val="24"/>
          <w:szCs w:val="24"/>
          <w:highlight w:val="none"/>
        </w:rPr>
        <w:t xml:space="preserve">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8"/>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16938553"/>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513029242"/>
      <w:r/>
      <w:bookmarkStart w:id="178" w:name="_Toc16938558"/>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16"/>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6"/>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1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1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1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1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1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6"/>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1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1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78"/>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1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716"/>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8"/>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1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71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6"/>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1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6"/>
        <w:ind w:firstLine="240"/>
        <w:spacing w:line="400" w:lineRule="exact"/>
        <w:rPr>
          <w:rFonts w:hint="eastAsia"/>
        </w:rPr>
      </w:pPr>
      <w:r>
        <w:rPr>
          <w:rFonts w:hint="eastAsia" w:hAnsi="宋体"/>
          <w:sz w:val="24"/>
          <w:szCs w:val="24"/>
        </w:rPr>
        <w:t xml:space="preserve">联系电话：                    联系电话：          </w:t>
      </w:r>
      <w:r>
        <w:rPr>
          <w:rFonts w:hint="eastAsia"/>
        </w:rPr>
      </w:r>
      <w:r/>
    </w:p>
    <w:p>
      <w:pPr>
        <w:pStyle w:val="678"/>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themeColor="text1"/>
          <w:sz w:val="30"/>
          <w:szCs w:val="30"/>
        </w:rPr>
      </w:pPr>
      <w:r/>
      <w:bookmarkStart w:id="191" w:name="_Toc26554093"/>
      <w:r/>
      <w:bookmarkStart w:id="192" w:name="_Toc49090575"/>
      <w:r>
        <w:rPr>
          <w:rFonts w:hint="eastAsia" w:ascii="黑体" w:hAnsi="黑体" w:eastAsia="黑体"/>
          <w:sz w:val="30"/>
          <w:szCs w:val="30"/>
        </w:rPr>
        <w:t xml:space="preserve">本项</w:t>
      </w:r>
      <w:r>
        <w:rPr>
          <w:rFonts w:hint="eastAsia" w:ascii="黑体" w:hAnsi="黑体" w:eastAsia="黑体"/>
          <w:color w:val="000000" w:themeColor="text1"/>
          <w:sz w:val="30"/>
          <w:szCs w:val="30"/>
        </w:rPr>
        <w:t xml:space="preserve">目属性：</w:t>
      </w:r>
      <w:r>
        <w:rPr>
          <w:rFonts w:hint="eastAsia" w:ascii="黑体" w:hAnsi="黑体" w:eastAsia="黑体"/>
          <w:color w:val="000000" w:themeColor="text1"/>
          <w:sz w:val="30"/>
          <w:szCs w:val="30"/>
        </w:rPr>
        <w:t xml:space="preserve">服务类项目</w:t>
      </w:r>
      <w:r>
        <w:rPr>
          <w:rFonts w:hint="eastAsia" w:ascii="黑体" w:hAnsi="黑体" w:eastAsia="黑体"/>
          <w:color w:val="000000" w:themeColor="text1"/>
          <w:sz w:val="30"/>
          <w:szCs w:val="30"/>
        </w:rPr>
      </w:r>
      <w:r>
        <w:rPr>
          <w:color w:val="000000" w:themeColor="text1"/>
        </w:rPr>
      </w:r>
    </w:p>
    <w:p>
      <w:pPr>
        <w:pStyle w:val="678"/>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投标人所投内容必须满足以下要求，不得有负偏离。</w:t>
      </w:r>
      <w:r>
        <w:rPr>
          <w:rFonts w:hint="eastAsia" w:ascii="宋体" w:hAnsi="宋体"/>
          <w:color w:val="000000" w:themeColor="text1"/>
          <w:sz w:val="24"/>
          <w:szCs w:val="24"/>
        </w:rPr>
      </w:r>
      <w:r>
        <w:rPr>
          <w:color w:val="000000" w:themeColor="text1"/>
        </w:rPr>
      </w:r>
    </w:p>
    <w:p>
      <w:pPr>
        <w:pStyle w:val="678"/>
        <w:ind w:firstLine="480"/>
        <w:spacing w:line="360" w:lineRule="auto"/>
        <w:rPr>
          <w:color w:val="000000" w:themeColor="text1"/>
        </w:rPr>
      </w:pPr>
      <w:r>
        <w:rPr>
          <w:rFonts w:hint="eastAsia" w:ascii="宋体" w:hAnsi="宋体"/>
          <w:bCs/>
          <w:color w:val="000000" w:themeColor="text1"/>
          <w:sz w:val="24"/>
          <w:szCs w:val="24"/>
        </w:rPr>
        <w:t xml:space="preserve">本项目标的物所属行业：</w:t>
      </w:r>
      <w:r>
        <w:rPr>
          <w:rFonts w:hint="eastAsia" w:ascii="宋体" w:hAnsi="宋体"/>
          <w:bCs/>
          <w:color w:val="000000" w:themeColor="text1"/>
          <w:sz w:val="24"/>
          <w:szCs w:val="24"/>
        </w:rPr>
        <w:t xml:space="preserve">详见项目技术要求</w:t>
      </w:r>
      <w:r>
        <w:rPr>
          <w:color w:val="000000" w:themeColor="text1"/>
        </w:rPr>
      </w:r>
    </w:p>
    <w:p>
      <w:pPr>
        <w:pStyle w:val="678"/>
        <w:ind w:firstLine="602"/>
        <w:spacing w:line="360" w:lineRule="auto"/>
        <w:rPr>
          <w:rFonts w:hint="eastAsia" w:ascii="宋体" w:hAnsi="宋体" w:eastAsia="宋体"/>
          <w:b/>
          <w:bCs/>
          <w:sz w:val="24"/>
          <w:szCs w:val="24"/>
        </w:rPr>
      </w:pPr>
      <w:r>
        <w:rPr>
          <w:rFonts w:hint="eastAsia" w:ascii="宋体" w:hAnsi="宋体"/>
          <w:b/>
          <w:color w:val="000000"/>
          <w:sz w:val="30"/>
          <w:szCs w:val="30"/>
        </w:rPr>
        <w:t xml:space="preserve">第一部分  项目技术要求</w:t>
      </w:r>
      <w:r>
        <w:rPr>
          <w:rFonts w:hint="eastAsia" w:ascii="宋体" w:hAnsi="宋体" w:eastAsia="宋体"/>
          <w:b/>
          <w:bCs/>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项目概述</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本项目依据国家、江苏省、无锡市政务服务建设创新要求及新吴政务服务实际需求建设，在</w:t>
      </w:r>
      <w:r>
        <w:rPr>
          <w:rFonts w:hint="eastAsia" w:ascii="宋体" w:hAnsi="宋体" w:eastAsia="宋体" w:cs="宋体"/>
          <w:color w:val="000000"/>
          <w:sz w:val="24"/>
          <w:szCs w:val="24"/>
          <w:lang w:bidi="ar"/>
        </w:rPr>
        <w:t xml:space="preserve">新吴区一体化政务服务平台</w:t>
      </w:r>
      <w:r>
        <w:rPr>
          <w:rFonts w:hint="eastAsia" w:ascii="宋体" w:hAnsi="宋体" w:eastAsia="宋体" w:cs="仿宋"/>
          <w:sz w:val="24"/>
          <w:szCs w:val="24"/>
        </w:rPr>
        <w:t xml:space="preserve">的基础上进行功能优化及新功能增加，满足新吴区政务服务创建工作需求。通过项目建设，以“互联网+政务服务”模式为驱动，以跨部门、跨层级、跨区域的资源融合为核心，以政务服务和公共服务为着力点，结合高新技术在政务领域的应用，大幅度提高政府提供的政务服务质量、理念和手段。进一步促进高新区企业的发展，更好的强化政府的服务意识，提高无锡高新区服务水平、效率和能力，切实推进政府各相关职能部门服务企业工作的稳步发展。</w:t>
      </w:r>
      <w:r>
        <w:rPr>
          <w:rFonts w:hint="eastAsia" w:ascii="宋体" w:hAnsi="宋体" w:eastAsia="宋体" w:cs="仿宋"/>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建设目标</w:t>
      </w:r>
      <w:r>
        <w:rPr>
          <w:rFonts w:hint="eastAsia" w:ascii="宋体" w:hAnsi="宋体" w:eastAsia="宋体" w:cs="仿宋"/>
          <w:sz w:val="24"/>
          <w:szCs w:val="24"/>
        </w:rPr>
      </w:r>
      <w:r/>
    </w:p>
    <w:p>
      <w:pPr>
        <w:pStyle w:val="678"/>
        <w:ind w:firstLine="480"/>
        <w:spacing w:line="500" w:lineRule="exact"/>
        <w:rPr>
          <w:rFonts w:hint="eastAsia" w:ascii="宋体" w:hAnsi="宋体" w:eastAsia="宋体"/>
          <w:sz w:val="24"/>
          <w:szCs w:val="24"/>
        </w:rPr>
      </w:pPr>
      <w:r>
        <w:rPr>
          <w:rFonts w:hint="eastAsia" w:ascii="宋体" w:hAnsi="宋体" w:eastAsia="宋体" w:cs="仿宋"/>
          <w:sz w:val="24"/>
          <w:szCs w:val="24"/>
        </w:rPr>
        <w:t xml:space="preserve">本项目建设，目标是全面提升区域政务服务综合能力与服务质效，优化企业及群众办事体验。一方面，通过优化服务流程、健全协同机制、完善评价体系等举措，强化服务规范化、个性化建设，精准响应各类办事需求。另一方面，推进硬件设施与平台系统升级融合，创新服务模式、整合服务事项、完善管理功能，夯实政务服务工作基础，全方位提升政务服务水平。</w:t>
      </w:r>
      <w:r>
        <w:rPr>
          <w:rFonts w:hint="eastAsia" w:ascii="宋体" w:hAnsi="宋体" w:eastAsia="宋体"/>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主要建设内容</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利用新吴区一体化政务服务平台往期项目和无锡市“一网通办”平台提供的服务器、数据库等资源，结合本项目采购的各项设备、定制软件等内容，完成无锡市新吴区一体化政务服务平台升级项目（四期）的整体实施、调试等全部建设内容。本次项目建设是在新吴区一体化政务服务平台的基础上进行功能优化及新功能增加。主要建设内容如下：</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政务服务旗舰店在省市基础上，围绕新吴区企业服务需求，集成新吴区服务特色和服务亮点，向街道、村社区衍生，建设园区工作站。</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建设新吴区移动端旗舰店。根据江苏省下发的苏服办移动旗舰店建设要求，打造新吴苏服办移动端旗舰店，主要建设功能有苏服办应用、便民服务、关键字查询栏目、查询服务、一件事服务、排水一件事应用和一码通一件事应用等。</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实现新吴一码通，排水、建筑垃圾、城市绿化等业务的定制化申报优化，同时能够实现部分业务的秒批秒办，协同办公等功能。实现绿化区市联办、电子证照应用。</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在业务办件模块中，增加事中监管和事后监管功能。</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建设项目全流程报批办事指南，展示建设项目全流程方案涉及的业务办事指南信息。</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建设新吴融驿站版块，主要包括旗舰店、网上预约、预约处理、业务办理等功能模块。</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优化平台政务服务评价相关功能。</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将新吴政务服务平台融合到市一网通办平台中。</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针对城管领域和教育领域的相关政务服务事项的办理材料和流程进行整合优化，实现建筑垃圾一件事、教育局奖状电子证书应用等共6个一件事。</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企业识别管理模块有两个用户端，小程序端和PC管理端。小程序端提供高企确认、安全生产确认、地址确认等功能，实现对提供的纸质文件或图片，拍照识别，对企业相关信息进行快速确认并标记。</w:t>
      </w:r>
      <w:r>
        <w:rPr>
          <w:rFonts w:hint="eastAsia" w:ascii="宋体" w:hAnsi="宋体" w:eastAsia="宋体" w:cs="仿宋"/>
          <w:sz w:val="24"/>
          <w:szCs w:val="24"/>
        </w:rPr>
      </w:r>
      <w:r/>
    </w:p>
    <w:p>
      <w:pPr>
        <w:pStyle w:val="771"/>
        <w:numPr>
          <w:ilvl w:val="0"/>
          <w:numId w:val="6"/>
        </w:numPr>
        <w:ind w:left="0" w:firstLine="708"/>
        <w:spacing w:line="500" w:lineRule="exact"/>
        <w:rPr>
          <w:rFonts w:hint="eastAsia" w:ascii="宋体" w:hAnsi="宋体" w:eastAsia="宋体" w:cs="仿宋"/>
          <w:sz w:val="24"/>
          <w:szCs w:val="24"/>
        </w:rPr>
      </w:pPr>
      <w:r>
        <w:rPr>
          <w:rFonts w:hint="eastAsia" w:ascii="宋体" w:hAnsi="宋体" w:eastAsia="宋体" w:cs="仿宋"/>
          <w:sz w:val="24"/>
          <w:szCs w:val="24"/>
        </w:rPr>
        <w:t xml:space="preserve">硬件建设方面，</w:t>
      </w:r>
      <w:r>
        <w:rPr>
          <w:rFonts w:ascii="宋体" w:hAnsi="宋体" w:eastAsia="宋体" w:cs="仿宋"/>
          <w:sz w:val="24"/>
          <w:szCs w:val="24"/>
        </w:rPr>
        <w:t xml:space="preserve">更换三台取号机热敏打印机。</w:t>
      </w:r>
      <w:r>
        <w:rPr>
          <w:rFonts w:hint="eastAsia" w:ascii="宋体" w:hAnsi="宋体" w:eastAsia="宋体" w:cs="仿宋"/>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采购内容</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投标总报价包括满足本项目要求的所有产品及其配件、辅材、包装、运输、安装调试及售后服务、</w:t>
      </w:r>
      <w:r>
        <w:rPr>
          <w:rFonts w:hint="eastAsia" w:ascii="宋体" w:hAnsi="宋体" w:eastAsia="宋体" w:cs="宋体"/>
          <w:sz w:val="24"/>
          <w:szCs w:val="24"/>
        </w:rPr>
        <w:t xml:space="preserve">数据汇聚与对接、</w:t>
      </w:r>
      <w:r>
        <w:rPr>
          <w:rFonts w:hint="eastAsia" w:ascii="宋体" w:hAnsi="宋体" w:eastAsia="宋体" w:cs="仿宋"/>
          <w:sz w:val="24"/>
          <w:szCs w:val="24"/>
        </w:rPr>
        <w:t xml:space="preserve">材料归档等从项目中标起到项目正式交付以及运维期内所发生的一切费用。</w:t>
      </w:r>
      <w:r>
        <w:rPr>
          <w:rFonts w:hint="eastAsia" w:ascii="宋体" w:hAnsi="宋体" w:eastAsia="宋体" w:cs="仿宋"/>
          <w:sz w:val="24"/>
          <w:szCs w:val="24"/>
        </w:rPr>
      </w:r>
      <w:r/>
    </w:p>
    <w:p>
      <w:pPr>
        <w:pStyle w:val="681"/>
        <w:ind w:firstLine="482"/>
        <w:spacing w:before="0" w:after="0" w:line="500" w:lineRule="exact"/>
        <w:rPr>
          <w:rFonts w:hint="eastAsia"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w:t>
      </w:r>
      <w:r>
        <w:rPr>
          <w:rFonts w:ascii="宋体" w:hAnsi="宋体" w:eastAsia="宋体" w:cs="仿宋"/>
          <w:sz w:val="24"/>
          <w:szCs w:val="24"/>
        </w:rPr>
        <w:t xml:space="preserve">1</w:t>
      </w:r>
      <w:r>
        <w:rPr>
          <w:rFonts w:hint="eastAsia" w:ascii="宋体" w:hAnsi="宋体" w:eastAsia="宋体" w:cs="仿宋"/>
          <w:sz w:val="24"/>
          <w:szCs w:val="24"/>
        </w:rPr>
        <w:t xml:space="preserve"> 采购清单</w:t>
      </w:r>
      <w:r>
        <w:rPr>
          <w:rFonts w:hint="eastAsia" w:ascii="宋体" w:hAnsi="宋体" w:eastAsia="宋体" w:cs="仿宋"/>
          <w:sz w:val="24"/>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712"/>
        <w:gridCol w:w="4819"/>
        <w:gridCol w:w="709"/>
        <w:gridCol w:w="709"/>
        <w:gridCol w:w="1407"/>
      </w:tblGrid>
      <w:tr>
        <w:trPr>
          <w:trHeight w:val="510"/>
          <w:tblHeader/>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gridSpan w:val="2"/>
            <w:tcBorders>
              <w:top w:val="single" w:color="000000" w:sz="8" w:space="0"/>
              <w:left w:val="single" w:color="000000" w:sz="8" w:space="0"/>
              <w:bottom w:val="single" w:color="000000" w:sz="8" w:space="0"/>
              <w:right w:val="single" w:color="000000" w:sz="8" w:space="0"/>
            </w:tcBorders>
            <w:tcW w:w="5531" w:type="dxa"/>
            <w:vAlign w:val="center"/>
            <w:textDirection w:val="lrTb"/>
            <w:noWrap w:val="false"/>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采购内容</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407"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所属行业</w:t>
            </w:r>
            <w:r>
              <w:rPr>
                <w:rFonts w:hint="eastAsia" w:ascii="宋体" w:hAnsi="宋体" w:eastAsia="宋体" w:cs="宋体"/>
                <w:color w:val="000000"/>
                <w:sz w:val="24"/>
                <w:szCs w:val="24"/>
              </w:rPr>
            </w:r>
            <w:r/>
          </w:p>
        </w:tc>
      </w:tr>
      <w:tr>
        <w:trPr>
          <w:trHeight w:val="51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12" w:type="dxa"/>
            <w:vAlign w:val="center"/>
            <w:textDirection w:val="lrTb"/>
            <w:noWrap w:val="false"/>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定制开发</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819" w:type="dxa"/>
            <w:vAlign w:val="center"/>
            <w:textDirection w:val="lrTb"/>
            <w:noWrap w:val="false"/>
          </w:tcPr>
          <w:p>
            <w:pPr>
              <w:pStyle w:val="67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无锡市新吴区一体化政务服务平台</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407"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软件和信息技术服务业</w:t>
            </w:r>
            <w:r>
              <w:rPr>
                <w:rFonts w:hint="eastAsia" w:ascii="宋体" w:hAnsi="宋体" w:eastAsia="宋体" w:cs="宋体"/>
                <w:color w:val="000000"/>
                <w:sz w:val="24"/>
                <w:szCs w:val="24"/>
              </w:rPr>
            </w:r>
            <w:r/>
          </w:p>
        </w:tc>
      </w:tr>
      <w:tr>
        <w:trPr>
          <w:trHeight w:val="51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none" w:color="000000" w:sz="0" w:space="0"/>
              <w:left w:val="single" w:color="000000" w:sz="8" w:space="0"/>
              <w:bottom w:val="single" w:color="000000" w:sz="8" w:space="0"/>
              <w:right w:val="single" w:color="000000" w:sz="8" w:space="0"/>
            </w:tcBorders>
            <w:tcW w:w="712" w:type="dxa"/>
            <w:vAlign w:val="center"/>
            <w:textDirection w:val="lrTb"/>
            <w:noWrap w:val="false"/>
          </w:tcPr>
          <w:p>
            <w:pPr>
              <w:pStyle w:val="678"/>
              <w:jc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硬件采购</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819" w:type="dxa"/>
            <w:vAlign w:val="center"/>
            <w:textDirection w:val="lrTb"/>
            <w:noWrap w:val="false"/>
          </w:tcPr>
          <w:p>
            <w:pPr>
              <w:pStyle w:val="67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取号机热敏打印机</w:t>
            </w: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tcPr>
          <w:p>
            <w:pPr>
              <w:pStyle w:val="678"/>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Borders>
              <w:top w:val="single" w:color="000000" w:sz="8" w:space="0"/>
              <w:left w:val="single" w:color="000000" w:sz="8" w:space="0"/>
              <w:bottom w:val="single" w:color="000000" w:sz="8" w:space="0"/>
              <w:right w:val="single" w:color="000000" w:sz="8" w:space="0"/>
            </w:tcBorders>
            <w:tcW w:w="1407" w:type="dxa"/>
            <w:vAlign w:val="center"/>
            <w:textDirection w:val="lrTb"/>
            <w:noWrap/>
          </w:tcPr>
          <w:p>
            <w:pPr>
              <w:pStyle w:val="67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rPr>
            </w:r>
            <w:r/>
          </w:p>
        </w:tc>
      </w:tr>
    </w:tbl>
    <w:p>
      <w:pPr>
        <w:pStyle w:val="681"/>
        <w:ind w:firstLine="482"/>
        <w:spacing w:before="0" w:after="0" w:line="500" w:lineRule="exact"/>
        <w:rPr>
          <w:rFonts w:hint="eastAsia" w:ascii="宋体" w:hAnsi="宋体" w:eastAsia="宋体"/>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w:t>
      </w:r>
      <w:r>
        <w:rPr>
          <w:rFonts w:ascii="宋体" w:hAnsi="宋体" w:eastAsia="宋体" w:cs="仿宋"/>
          <w:sz w:val="24"/>
          <w:szCs w:val="24"/>
        </w:rPr>
        <w:t xml:space="preserve">2</w:t>
      </w:r>
      <w:r>
        <w:rPr>
          <w:rFonts w:hint="eastAsia" w:ascii="宋体" w:hAnsi="宋体" w:eastAsia="宋体" w:cs="仿宋"/>
          <w:sz w:val="24"/>
          <w:szCs w:val="24"/>
        </w:rPr>
        <w:t xml:space="preserve"> 主要性能指标</w:t>
      </w:r>
      <w:r>
        <w:rPr>
          <w:rFonts w:hint="eastAsia" w:ascii="宋体" w:hAnsi="宋体" w:eastAsia="宋体"/>
          <w:sz w:val="24"/>
          <w:szCs w:val="24"/>
        </w:rPr>
      </w:r>
      <w:r/>
    </w:p>
    <w:p>
      <w:pPr>
        <w:pStyle w:val="771"/>
        <w:numPr>
          <w:ilvl w:val="0"/>
          <w:numId w:val="7"/>
        </w:numPr>
        <w:ind w:left="902"/>
        <w:spacing w:line="500" w:lineRule="exact"/>
        <w:rPr>
          <w:rFonts w:hint="eastAsia" w:ascii="宋体" w:hAnsi="宋体" w:eastAsia="宋体" w:cs="仿宋"/>
          <w:sz w:val="24"/>
          <w:szCs w:val="24"/>
        </w:rPr>
        <w:outlineLvl w:val="3"/>
      </w:pPr>
      <w:r>
        <w:rPr>
          <w:rFonts w:hint="eastAsia" w:ascii="宋体" w:hAnsi="宋体" w:eastAsia="宋体" w:cs="宋体"/>
          <w:color w:val="000000"/>
          <w:sz w:val="24"/>
          <w:szCs w:val="24"/>
        </w:rPr>
        <w:t xml:space="preserve">定制开发</w:t>
      </w:r>
      <w:r>
        <w:rPr>
          <w:rFonts w:hint="eastAsia" w:ascii="宋体" w:hAnsi="宋体" w:eastAsia="宋体" w:cs="仿宋"/>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1"/>
        <w:gridCol w:w="2011"/>
        <w:gridCol w:w="859"/>
        <w:gridCol w:w="5588"/>
      </w:tblGrid>
      <w:tr>
        <w:trPr>
          <w:trHeight w:val="556"/>
          <w:tblHeader/>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模块名称</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类型</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建设要求</w:t>
            </w:r>
            <w:r>
              <w:rPr>
                <w:rFonts w:hint="eastAsia" w:ascii="宋体" w:hAnsi="宋体" w:eastAsia="宋体" w:cs="宋体"/>
                <w:color w:val="000000"/>
                <w:sz w:val="24"/>
                <w:szCs w:val="24"/>
              </w:rPr>
            </w:r>
            <w:r/>
          </w:p>
        </w:tc>
      </w:tr>
      <w:tr>
        <w:trPr>
          <w:trHeight w:val="862"/>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旗舰店改造、街道旗舰店建设</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根据最新的省、市两级下发的旗舰店建设要求，对现有旗舰店进行升级。设计常用服务推荐、热门专区推荐、热门专区轮播、服务场景设计、生命周期设置、个人服务、法人服务、政务地图以及页面适老化设计。</w:t>
            </w:r>
            <w:r>
              <w:rPr>
                <w:rFonts w:hint="eastAsia" w:ascii="宋体" w:hAnsi="宋体" w:eastAsia="宋体" w:cs="宋体"/>
                <w:color w:val="000000"/>
                <w:sz w:val="24"/>
                <w:szCs w:val="24"/>
              </w:rPr>
            </w:r>
            <w:r/>
          </w:p>
        </w:tc>
      </w:tr>
      <w:tr>
        <w:trPr>
          <w:trHeight w:val="807"/>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苏服办移动端旗舰店</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在苏服办上建设新吴区移动旗舰店，集成新吴区服务特色和服务亮点服务，主要包含便民服务、查询服务、苏服办应用、排水一件事、一码通一件事、出生一件事、入学一件事等。</w:t>
            </w:r>
            <w:r>
              <w:rPr>
                <w:rFonts w:hint="eastAsia" w:ascii="宋体" w:hAnsi="宋体" w:eastAsia="宋体" w:cs="宋体"/>
                <w:color w:val="000000"/>
                <w:sz w:val="24"/>
                <w:szCs w:val="24"/>
              </w:rPr>
            </w:r>
            <w:r/>
          </w:p>
        </w:tc>
      </w:tr>
      <w:tr>
        <w:trPr>
          <w:trHeight w:val="767"/>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秒批秒办</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针对“生产建设项目水土保持方案审批”业务，设计秒批秒办功能。申请人在新吴区旗舰店申报完成后，内网审批系统自动审批完成，并将办理结果材料对接至外网、供申请人查看下载。</w:t>
            </w:r>
            <w:r>
              <w:rPr>
                <w:rFonts w:hint="eastAsia" w:ascii="宋体" w:hAnsi="宋体" w:eastAsia="宋体" w:cs="宋体"/>
                <w:color w:val="000000"/>
                <w:sz w:val="24"/>
                <w:szCs w:val="24"/>
              </w:rPr>
            </w:r>
            <w:r/>
          </w:p>
        </w:tc>
      </w:tr>
      <w:tr>
        <w:trPr>
          <w:trHeight w:val="767"/>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电子证照应用</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在取号、叫号、网上业务申报、内网业务审批时，自动调用申请人身份证进行身份核验</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rPr>
            </w:r>
            <w:r/>
          </w:p>
        </w:tc>
      </w:tr>
      <w:tr>
        <w:trPr>
          <w:trHeight w:val="698"/>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融驿站</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建设包括融驿站旗舰店、网上预约、预约处理、业务办理等内容。</w:t>
            </w:r>
            <w:r>
              <w:rPr>
                <w:rFonts w:hint="eastAsia" w:ascii="宋体" w:hAnsi="宋体" w:eastAsia="宋体" w:cs="宋体"/>
                <w:color w:val="000000"/>
                <w:sz w:val="24"/>
                <w:szCs w:val="24"/>
              </w:rPr>
            </w:r>
            <w:r/>
          </w:p>
        </w:tc>
      </w:tr>
      <w:tr>
        <w:trPr>
          <w:trHeight w:val="712"/>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审管执信</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建立审管执信功能，打通审批、监管、信用信息链条，在业务办件中增加事中监管和事后监管环节。</w:t>
            </w:r>
            <w:r>
              <w:rPr>
                <w:rFonts w:hint="eastAsia" w:ascii="宋体" w:hAnsi="宋体" w:eastAsia="宋体" w:cs="宋体"/>
                <w:color w:val="000000"/>
                <w:sz w:val="24"/>
                <w:szCs w:val="24"/>
                <w:lang w:bidi="ar"/>
              </w:rPr>
            </w:r>
            <w:r/>
          </w:p>
        </w:tc>
      </w:tr>
      <w:tr>
        <w:trPr>
          <w:trHeight w:val="1431"/>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政务服务评价</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为企业和群众提供全面规范、公开公平、便捷高效的政务服务，提升企业和群众办事便利度和获得感，多方位实行政务服务评价，从多个维度提供评议并简化评议方式，从而达到提升政务服务水平，监督政务效能，提升政务效率。</w:t>
            </w:r>
            <w:r>
              <w:rPr>
                <w:rFonts w:hint="eastAsia" w:ascii="宋体" w:hAnsi="宋体" w:eastAsia="宋体" w:cs="宋体"/>
                <w:color w:val="000000"/>
                <w:sz w:val="24"/>
                <w:szCs w:val="24"/>
              </w:rPr>
            </w:r>
            <w:r/>
          </w:p>
        </w:tc>
      </w:tr>
      <w:tr>
        <w:trPr>
          <w:trHeight w:val="671"/>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8</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无锡市一网通办平台新吴区融合</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rPr>
            </w:pPr>
            <w:r>
              <w:rPr>
                <w:rFonts w:ascii="宋体" w:hAnsi="宋体" w:eastAsia="宋体" w:cs="宋体"/>
                <w:color w:val="000000"/>
                <w:sz w:val="24"/>
                <w:szCs w:val="24"/>
                <w:lang w:bidi="ar"/>
              </w:rPr>
              <w:t xml:space="preserve">一网通办平台全面融合：主要包含新吴区区级政务服务平台个性化功能迁移、区级账号及数据融合迁移、区级办件数据在一网通办平台查看、电子证照印章功能调整</w:t>
            </w:r>
            <w:r>
              <w:rPr>
                <w:rFonts w:hint="eastAsia" w:ascii="宋体" w:hAnsi="宋体" w:eastAsia="宋体" w:cs="宋体"/>
                <w:color w:val="000000"/>
                <w:sz w:val="24"/>
                <w:szCs w:val="24"/>
                <w:lang w:bidi="ar"/>
              </w:rPr>
              <w:t xml:space="preserve">以及</w:t>
            </w:r>
            <w:r>
              <w:rPr>
                <w:rFonts w:ascii="宋体" w:hAnsi="宋体" w:eastAsia="宋体" w:cs="宋体"/>
                <w:color w:val="000000"/>
                <w:sz w:val="24"/>
                <w:szCs w:val="24"/>
                <w:lang w:bidi="ar"/>
              </w:rPr>
              <w:t xml:space="preserve">相关的调试、维护等工作。</w:t>
            </w:r>
            <w:r>
              <w:rPr>
                <w:rFonts w:hint="eastAsia" w:ascii="宋体" w:hAnsi="宋体" w:eastAsia="宋体" w:cs="宋体"/>
                <w:color w:val="000000"/>
                <w:sz w:val="24"/>
                <w:szCs w:val="24"/>
              </w:rPr>
            </w:r>
            <w:r/>
          </w:p>
        </w:tc>
      </w:tr>
      <w:tr>
        <w:trPr>
          <w:trHeight w:val="889"/>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9</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一件事+智能预审</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针对城管领域和教育领域的相关政务服务事项的办理材料和流程进行整合优化，实现建筑垃圾一件事、教育局奖状电子证书应用等共6个一件事</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缴费优化</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缴费信息维护、业务办理页面调整，引导缴费办理、短信提示，通过缴费情况设定缴费黑名单，实现办件查询优化。</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11</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排水个性化优化</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依据业务实际运行情况来看，排水证照与实际业务运行存在差距。实行证照信息优化、证照副本优化。</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12</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建筑垃圾个性化优化</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对建筑垃圾业务申报流程、时间、表格、业务短信等进行优化</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396"/>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13</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绿化区市联办</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业务联办件首先由区级平台进行接件，并完成预受理，市级平台将该联办件办结后，返回办理结果信息、办理结果材料及办件状态等信息给区级平台，并给申请人发送短信通知，区级办结。</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14</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定制申报优化</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无人审批办件归档优化、自助申报优化、挖掘信息优化、证照推送优化、法人信息核对优化、审批流程表优化、门头店招优化、街道缴费单上传。</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15</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协同办公</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升级</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在办件办理过程中，选择需要出具办理意见的部门人员或者角色，提交后自动生成一条公文记录，并自动提交至对应人员处，由该人员在公文管理菜单中进行处理。</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16</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建设项目全流程报批办事指南</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通过数据导入、批量修改、数据关联、业务清单维护、办事指南维护、扫码展示等功能，展示建设项目全流程方案涉及的业务办事指南信息。</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17</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新吴一码通</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企业认证审核后，生成企业一码通（企业专属二维码），可授权及亮码，查看企业证照信息。</w:t>
            </w:r>
            <w:r>
              <w:rPr>
                <w:rFonts w:hint="eastAsia" w:ascii="宋体" w:hAnsi="宋体" w:eastAsia="宋体" w:cs="宋体"/>
                <w:color w:val="000000"/>
                <w:sz w:val="24"/>
                <w:szCs w:val="24"/>
                <w:lang w:bidi="ar"/>
              </w:rPr>
            </w:r>
            <w:r/>
          </w:p>
        </w:tc>
      </w:tr>
      <w:tr>
        <w:trPr>
          <w:trHeight w:val="954"/>
        </w:trPr>
        <w:tc>
          <w:tcPr>
            <w:shd w:val="clear" w:color="auto" w:fill="ffffff"/>
            <w:tcBorders>
              <w:top w:val="single" w:color="000000" w:sz="4" w:space="0"/>
              <w:left w:val="single" w:color="000000" w:sz="4" w:space="0"/>
              <w:bottom w:val="single" w:color="000000" w:sz="4" w:space="0"/>
              <w:right w:val="single" w:color="000000" w:sz="4" w:space="0"/>
            </w:tcBorders>
            <w:tcW w:w="38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18</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企业识别管理</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pStyle w:val="678"/>
              <w:jc w:val="center"/>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新建</w:t>
            </w:r>
            <w:r>
              <w:rPr>
                <w:rFonts w:hint="eastAsia" w:ascii="宋体" w:hAnsi="宋体" w:eastAsia="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pStyle w:val="678"/>
              <w:widowControl/>
              <w:rPr>
                <w:rFonts w:hint="eastAsia" w:ascii="宋体" w:hAnsi="宋体" w:eastAsia="宋体" w:cs="宋体"/>
                <w:color w:val="000000"/>
                <w:sz w:val="24"/>
                <w:szCs w:val="24"/>
                <w:lang w:bidi="ar"/>
              </w:rPr>
            </w:pPr>
            <w:r>
              <w:rPr>
                <w:rFonts w:ascii="宋体" w:hAnsi="宋体" w:eastAsia="宋体" w:cs="宋体"/>
                <w:color w:val="000000"/>
                <w:sz w:val="24"/>
                <w:szCs w:val="24"/>
                <w:lang w:bidi="ar"/>
              </w:rPr>
              <w:t xml:space="preserve">企业识别管理模块有两个用户端，小程序端和PC管理端。小程序端提供高企确认、安全生产确认、地址确认等功能，实现对提供的纸质文件或图片，拍照识别，对企业相关信息进行快速确认并标记。</w:t>
            </w:r>
            <w:r>
              <w:rPr>
                <w:rFonts w:hint="eastAsia" w:ascii="宋体" w:hAnsi="宋体" w:eastAsia="宋体" w:cs="宋体"/>
                <w:color w:val="000000"/>
                <w:sz w:val="24"/>
                <w:szCs w:val="24"/>
                <w:lang w:bidi="ar"/>
              </w:rPr>
            </w:r>
            <w:r/>
          </w:p>
        </w:tc>
      </w:tr>
    </w:tbl>
    <w:p>
      <w:pPr>
        <w:pStyle w:val="678"/>
        <w:rPr>
          <w:rFonts w:hint="eastAsia" w:ascii="宋体" w:hAnsi="宋体" w:eastAsia="宋体"/>
          <w:sz w:val="24"/>
          <w:szCs w:val="24"/>
        </w:rPr>
      </w:pPr>
      <w:r>
        <w:rPr>
          <w:rFonts w:hint="eastAsia" w:ascii="宋体" w:hAnsi="宋体" w:eastAsia="宋体"/>
          <w:sz w:val="24"/>
          <w:szCs w:val="24"/>
        </w:rPr>
      </w:r>
      <w:r/>
    </w:p>
    <w:p>
      <w:pPr>
        <w:pStyle w:val="771"/>
        <w:numPr>
          <w:ilvl w:val="0"/>
          <w:numId w:val="7"/>
        </w:numPr>
        <w:ind w:left="902"/>
        <w:spacing w:line="500" w:lineRule="exact"/>
        <w:rPr>
          <w:rFonts w:hint="eastAsia" w:ascii="宋体" w:hAnsi="宋体" w:eastAsia="宋体" w:cs="仿宋"/>
          <w:sz w:val="24"/>
          <w:szCs w:val="24"/>
        </w:rPr>
        <w:outlineLvl w:val="3"/>
      </w:pPr>
      <w:r>
        <w:rPr>
          <w:rFonts w:hint="eastAsia" w:ascii="宋体" w:hAnsi="宋体" w:eastAsia="宋体" w:cs="宋体"/>
          <w:color w:val="000000"/>
          <w:sz w:val="24"/>
          <w:szCs w:val="24"/>
        </w:rPr>
        <w:t xml:space="preserve">硬件采购</w:t>
      </w:r>
      <w:r>
        <w:rPr>
          <w:rFonts w:hint="eastAsia" w:ascii="宋体" w:hAnsi="宋体" w:eastAsia="宋体" w:cs="仿宋"/>
          <w:sz w:val="24"/>
          <w:szCs w:val="24"/>
        </w:rPr>
      </w:r>
      <w:r/>
    </w:p>
    <w:tbl>
      <w:tblPr>
        <w:tblW w:w="9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6662"/>
      </w:tblGrid>
      <w:tr>
        <w:trPr>
          <w:trHeight w:val="492"/>
        </w:trPr>
        <w:tc>
          <w:tcPr>
            <w:shd w:val="clear" w:color="auto" w:fill="ffffff"/>
            <w:tcW w:w="704" w:type="dxa"/>
            <w:vAlign w:val="center"/>
            <w:textDirection w:val="lrTb"/>
            <w:noWrap w:val="false"/>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shd w:val="clear" w:color="auto" w:fill="ffffff"/>
            <w:tcW w:w="1701" w:type="dxa"/>
            <w:vAlign w:val="center"/>
            <w:textDirection w:val="lrTb"/>
            <w:noWrap/>
          </w:tcPr>
          <w:p>
            <w:pPr>
              <w:pStyle w:val="678"/>
              <w:jc w:val="center"/>
              <w:spacing w:line="1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w:t>
            </w:r>
            <w:r>
              <w:rPr>
                <w:rFonts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shd w:val="clear" w:color="auto" w:fill="ffffff"/>
            <w:tcW w:w="6662" w:type="dxa"/>
            <w:vAlign w:val="center"/>
            <w:textDirection w:val="lrTb"/>
            <w:noWrap/>
          </w:tcPr>
          <w:p>
            <w:pPr>
              <w:pStyle w:val="678"/>
              <w:jc w:val="center"/>
              <w:spacing w:line="160" w:lineRule="atLeas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性能指标</w:t>
            </w:r>
            <w:r>
              <w:rPr>
                <w:rFonts w:hint="eastAsia" w:ascii="宋体" w:hAnsi="宋体" w:eastAsia="宋体" w:cs="宋体"/>
                <w:color w:val="000000"/>
                <w:sz w:val="24"/>
                <w:szCs w:val="24"/>
              </w:rPr>
            </w:r>
            <w:r/>
          </w:p>
        </w:tc>
      </w:tr>
      <w:tr>
        <w:trPr>
          <w:trHeight w:val="20"/>
        </w:trPr>
        <w:tc>
          <w:tcPr>
            <w:tcW w:w="704" w:type="dxa"/>
            <w:vAlign w:val="center"/>
            <w:textDirection w:val="lrTb"/>
            <w:noWrap w:val="false"/>
          </w:tcPr>
          <w:p>
            <w:pPr>
              <w:pStyle w:val="678"/>
              <w:jc w:val="center"/>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01" w:type="dxa"/>
            <w:vAlign w:val="center"/>
            <w:textDirection w:val="lrTb"/>
            <w:noWrap/>
          </w:tcPr>
          <w:p>
            <w:pPr>
              <w:pStyle w:val="678"/>
              <w:jc w:val="left"/>
              <w:spacing w:line="240" w:lineRule="atLeast"/>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取号机热敏打印机</w:t>
            </w:r>
            <w:r>
              <w:rPr>
                <w:rFonts w:hint="eastAsia" w:ascii="宋体" w:hAnsi="宋体" w:eastAsia="宋体" w:cs="宋体"/>
                <w:color w:val="000000"/>
                <w:sz w:val="24"/>
                <w:szCs w:val="24"/>
              </w:rPr>
            </w:r>
            <w:r/>
          </w:p>
        </w:tc>
        <w:tc>
          <w:tcPr>
            <w:tcW w:w="6662" w:type="dxa"/>
            <w:vAlign w:val="center"/>
            <w:textDirection w:val="lrTb"/>
            <w:noWrap/>
          </w:tcPr>
          <w:p>
            <w:pPr>
              <w:pStyle w:val="678"/>
              <w:jc w:val="left"/>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打印方式：热敏，行点式打印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jc w:val="left"/>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打印速度：</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150mm/s</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jc w:val="left"/>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分辨率</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203dpi(8dots/mm)</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jc w:val="left"/>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打印宽度：72mm</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8"/>
              <w:jc w:val="left"/>
              <w:spacing w:line="240" w:lineRule="atLeas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纸张宽度：79.5mm±0.5mm</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8"/>
              <w:jc w:val="left"/>
              <w:spacing w:line="240" w:lineRule="atLeas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纸张厚度：0.055mm</w:t>
            </w:r>
            <w:r>
              <w:rPr>
                <w:rFonts w:hint="eastAsia" w:ascii="宋体" w:hAnsi="宋体" w:eastAsia="宋体" w:cs="宋体"/>
                <w:sz w:val="24"/>
                <w:szCs w:val="24"/>
              </w:rPr>
              <w:t xml:space="preserve">～</w:t>
            </w:r>
            <w:r>
              <w:rPr>
                <w:rFonts w:ascii="宋体" w:hAnsi="宋体" w:eastAsia="宋体" w:cs="宋体"/>
                <w:sz w:val="24"/>
                <w:szCs w:val="24"/>
              </w:rPr>
              <w:t xml:space="preserve">0.09mm</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8"/>
              <w:jc w:val="left"/>
              <w:spacing w:line="240" w:lineRule="atLeas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接口：串口（RS232/TTL），USB</w:t>
            </w:r>
            <w:r>
              <w:rPr>
                <w:rFonts w:hint="eastAsia" w:ascii="宋体" w:hAnsi="宋体" w:eastAsia="宋体" w:cs="宋体"/>
                <w:sz w:val="24"/>
                <w:szCs w:val="24"/>
              </w:rPr>
              <w:t xml:space="preserve">，</w:t>
            </w:r>
            <w:r>
              <w:rPr>
                <w:rFonts w:hint="eastAsia"/>
              </w:rPr>
              <w:t xml:space="preserve">钱箱</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8"/>
              <w:jc w:val="left"/>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打印寿命≥100Km，切刀寿命≥100万次</w:t>
            </w:r>
            <w:r>
              <w:rPr>
                <w:rFonts w:hint="eastAsia" w:ascii="宋体" w:hAnsi="宋体" w:eastAsia="宋体" w:cs="宋体"/>
                <w:color w:val="000000"/>
                <w:sz w:val="24"/>
                <w:szCs w:val="24"/>
              </w:rPr>
            </w:r>
            <w:r/>
          </w:p>
        </w:tc>
      </w:tr>
    </w:tbl>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项目技术要求</w:t>
      </w:r>
      <w:r>
        <w:rPr>
          <w:rFonts w:hint="eastAsia" w:ascii="宋体" w:hAnsi="宋体" w:eastAsia="宋体" w:cs="仿宋"/>
          <w:sz w:val="24"/>
          <w:szCs w:val="24"/>
        </w:rPr>
      </w:r>
      <w:r/>
    </w:p>
    <w:p>
      <w:pPr>
        <w:pStyle w:val="678"/>
        <w:ind w:firstLine="480"/>
        <w:spacing w:line="500" w:lineRule="exact"/>
        <w:rPr>
          <w:rFonts w:hint="eastAsia" w:ascii="宋体" w:hAnsi="宋体" w:eastAsia="宋体"/>
          <w:sz w:val="24"/>
          <w:szCs w:val="24"/>
        </w:rPr>
      </w:pPr>
      <w:r>
        <w:rPr>
          <w:rFonts w:hint="eastAsia" w:ascii="宋体" w:hAnsi="宋体" w:eastAsia="宋体" w:cs="仿宋"/>
          <w:sz w:val="24"/>
          <w:szCs w:val="24"/>
        </w:rPr>
        <w:t xml:space="preserve">项目中软硬件建设及施工必须符合国家和地方相关标准规范，系统建设必须遵循国家电子政务信息安全保障体系要求，按照国家法规实施安全等级保护，加强系统信息安全管理，符合新吴城运技术要求，按照标准实现层级联动服务接口及应用。</w:t>
      </w:r>
      <w:r>
        <w:rPr>
          <w:rFonts w:hint="eastAsia" w:ascii="宋体" w:hAnsi="宋体" w:eastAsia="宋体"/>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功能扩展性要求</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本系统将与多网络及平台的业务系统及数据库相连接，要采用开放性、标准化的设备、软件及信息资源；系统对于未来可能增添的新的系统、新的数据库、新的功能、新的用户都要留有接口，并符合电子政务相关技术标准，系统可以随形势的发展而不断成长扩大。</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接口开放性要求</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项目系统应提供清晰、标准的接口规范，以便与其他系统进行数据交换和集成。系统应支持多种接口协议和格式，如</w:t>
      </w:r>
      <w:r>
        <w:rPr>
          <w:rFonts w:ascii="宋体" w:hAnsi="宋体" w:eastAsia="宋体"/>
          <w:bCs/>
          <w:sz w:val="24"/>
          <w:szCs w:val="24"/>
        </w:rPr>
        <w:t xml:space="preserve">API、Web服务、数据库连接等，以满足不同系统的接入需求。同时，接口应具备良好的安全性和稳定性，确保数据在传输和交换过程中的完整性和保密性。</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数据对接和汇聚要求</w:t>
      </w:r>
      <w:r>
        <w:rPr>
          <w:rFonts w:hint="eastAsia" w:ascii="宋体" w:hAnsi="宋体" w:eastAsia="宋体"/>
          <w:b/>
          <w:sz w:val="24"/>
          <w:szCs w:val="24"/>
        </w:rPr>
      </w:r>
      <w:r/>
    </w:p>
    <w:p>
      <w:pPr>
        <w:pStyle w:val="678"/>
        <w:ind w:firstLine="480"/>
        <w:spacing w:line="480" w:lineRule="exact"/>
        <w:rPr>
          <w:rFonts w:hint="eastAsia" w:ascii="宋体" w:hAnsi="宋体" w:eastAsia="宋体"/>
          <w:bCs/>
          <w:sz w:val="24"/>
          <w:szCs w:val="24"/>
        </w:rPr>
      </w:pPr>
      <w:r>
        <w:rPr>
          <w:rFonts w:hint="eastAsia" w:ascii="宋体" w:hAnsi="宋体" w:eastAsia="宋体" w:cs="宋体"/>
          <w:sz w:val="24"/>
          <w:szCs w:val="24"/>
        </w:rPr>
        <w:t xml:space="preserve">在项目验收前，项目中标人需按区内数据共享规范，提供正式的、全量的数据资源清单，提出项目数据汇聚申请，并配合数据推送等对接工作，将全量数据资源推送汇聚至区城运中心。</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 信创要求</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sz w:val="24"/>
          <w:szCs w:val="24"/>
        </w:rPr>
        <w:t xml:space="preserve">要求响应国家信息技术应用创新（信创）战略，确保技术方案的安全性和自主可控性。在软硬件选型时，需紧密结合国产化与信创要求，确保技术架构的先进性与合规性。</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人员配置要求</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项目中标人应根据本项目要求组织一支由资深项目经理带领的经验丰富、技术能力强的项目团队，并确保项目实施全过程项目团队的稳定性，未经项目采购人同意原则上不能更换技术人员，项目团队成员变更时，须事先征得采购人的同意后，方可进行变更。</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本项目实施期间，人员配置应科学、合理、有效、应充分保证人员的数量和质量。项目实施过程中，中标人应配备符合以下条件的人员：</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fldChar w:fldCharType="begin"/>
      </w:r>
      <w:r>
        <w:rPr>
          <w:rFonts w:ascii="宋体" w:hAnsi="宋体" w:eastAsia="宋体"/>
          <w:bCs/>
          <w:sz w:val="24"/>
          <w:szCs w:val="24"/>
        </w:rPr>
        <w:instrText xml:space="preserve"> = 1 \* GB3 </w:instrText>
      </w:r>
      <w:r>
        <w:rPr>
          <w:rFonts w:hint="eastAsia" w:ascii="宋体" w:hAnsi="宋体" w:eastAsia="宋体"/>
          <w:bCs/>
          <w:sz w:val="24"/>
          <w:szCs w:val="24"/>
        </w:rPr>
        <w:fldChar w:fldCharType="separate"/>
      </w:r>
      <w:r>
        <w:rPr>
          <w:rFonts w:hint="eastAsia" w:ascii="宋体" w:hAnsi="宋体" w:eastAsia="宋体"/>
          <w:bCs/>
          <w:sz w:val="24"/>
          <w:szCs w:val="24"/>
        </w:rPr>
        <w:t xml:space="preserve">①</w:t>
      </w:r>
      <w:r>
        <w:rPr>
          <w:rFonts w:hint="eastAsia" w:ascii="宋体" w:hAnsi="宋体" w:eastAsia="宋体"/>
          <w:bCs/>
          <w:sz w:val="24"/>
          <w:szCs w:val="24"/>
        </w:rPr>
        <w:fldChar w:fldCharType="end"/>
      </w:r>
      <w:r>
        <w:rPr>
          <w:rFonts w:hint="eastAsia" w:ascii="宋体" w:hAnsi="宋体" w:eastAsia="宋体"/>
          <w:bCs/>
          <w:sz w:val="24"/>
          <w:szCs w:val="24"/>
        </w:rPr>
        <w:t xml:space="preserve">项目组主要人员即项目负责人和专业技术人员（专业技术人员包括技术负责人、需求分析人员、开发技术人员等），其中项目主要负责人不少于</w:t>
      </w:r>
      <w:r>
        <w:rPr>
          <w:rFonts w:ascii="宋体" w:hAnsi="宋体" w:eastAsia="宋体"/>
          <w:bCs/>
          <w:sz w:val="24"/>
          <w:szCs w:val="24"/>
        </w:rPr>
        <w:t xml:space="preserve">1人。在项目实施交付期内，项目组人员应相对稳定，更换人员须经采购方书面同意后方可更换。</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fldChar w:fldCharType="begin"/>
      </w:r>
      <w:r>
        <w:rPr>
          <w:rFonts w:ascii="宋体" w:hAnsi="宋体" w:eastAsia="宋体"/>
          <w:bCs/>
          <w:sz w:val="24"/>
          <w:szCs w:val="24"/>
        </w:rPr>
        <w:instrText xml:space="preserve"> = 2 \* GB3 </w:instrText>
      </w:r>
      <w:r>
        <w:rPr>
          <w:rFonts w:hint="eastAsia" w:ascii="宋体" w:hAnsi="宋体" w:eastAsia="宋体"/>
          <w:bCs/>
          <w:sz w:val="24"/>
          <w:szCs w:val="24"/>
        </w:rPr>
        <w:fldChar w:fldCharType="separate"/>
      </w:r>
      <w:r>
        <w:rPr>
          <w:rFonts w:hint="eastAsia" w:ascii="宋体" w:hAnsi="宋体" w:eastAsia="宋体"/>
          <w:bCs/>
          <w:sz w:val="24"/>
          <w:szCs w:val="24"/>
        </w:rPr>
        <w:t xml:space="preserve">②</w:t>
      </w:r>
      <w:r>
        <w:rPr>
          <w:rFonts w:hint="eastAsia" w:ascii="宋体" w:hAnsi="宋体" w:eastAsia="宋体"/>
          <w:bCs/>
          <w:sz w:val="24"/>
          <w:szCs w:val="24"/>
        </w:rPr>
        <w:fldChar w:fldCharType="end"/>
      </w:r>
      <w:r>
        <w:rPr>
          <w:rFonts w:hint="eastAsia" w:ascii="宋体" w:hAnsi="宋体" w:eastAsia="宋体"/>
          <w:bCs/>
          <w:sz w:val="24"/>
          <w:szCs w:val="24"/>
        </w:rPr>
        <w:t xml:space="preserve">项目实施交付期内，中标人安排不少于</w:t>
      </w:r>
      <w:r>
        <w:rPr>
          <w:rFonts w:ascii="宋体" w:hAnsi="宋体" w:eastAsia="宋体"/>
          <w:bCs/>
          <w:sz w:val="24"/>
          <w:szCs w:val="24"/>
        </w:rPr>
        <w:t xml:space="preserve">1名驻场人员。</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fldChar w:fldCharType="begin"/>
      </w:r>
      <w:r>
        <w:rPr>
          <w:rFonts w:ascii="宋体" w:hAnsi="宋体" w:eastAsia="宋体"/>
          <w:bCs/>
          <w:sz w:val="24"/>
          <w:szCs w:val="24"/>
        </w:rPr>
        <w:instrText xml:space="preserve"> = 3 \* GB3 </w:instrText>
      </w:r>
      <w:r>
        <w:rPr>
          <w:rFonts w:hint="eastAsia" w:ascii="宋体" w:hAnsi="宋体" w:eastAsia="宋体"/>
          <w:bCs/>
          <w:sz w:val="24"/>
          <w:szCs w:val="24"/>
        </w:rPr>
        <w:fldChar w:fldCharType="separate"/>
      </w:r>
      <w:r>
        <w:rPr>
          <w:rFonts w:hint="eastAsia" w:ascii="宋体" w:hAnsi="宋体" w:eastAsia="宋体"/>
          <w:bCs/>
          <w:sz w:val="24"/>
          <w:szCs w:val="24"/>
        </w:rPr>
        <w:t xml:space="preserve">③</w:t>
      </w:r>
      <w:r>
        <w:rPr>
          <w:rFonts w:hint="eastAsia" w:ascii="宋体" w:hAnsi="宋体" w:eastAsia="宋体"/>
          <w:bCs/>
          <w:sz w:val="24"/>
          <w:szCs w:val="24"/>
        </w:rPr>
        <w:fldChar w:fldCharType="end"/>
      </w:r>
      <w:r>
        <w:rPr>
          <w:rFonts w:hint="eastAsia" w:ascii="宋体" w:hAnsi="宋体" w:eastAsia="宋体"/>
          <w:bCs/>
          <w:sz w:val="24"/>
          <w:szCs w:val="24"/>
        </w:rPr>
        <w:t xml:space="preserve">运维期内，中标人安排不少于</w:t>
      </w:r>
      <w:r>
        <w:rPr>
          <w:rFonts w:ascii="宋体" w:hAnsi="宋体" w:eastAsia="宋体"/>
          <w:bCs/>
          <w:sz w:val="24"/>
          <w:szCs w:val="24"/>
        </w:rPr>
        <w:t xml:space="preserve">1人驻场进行系统运维工作，驻点人员应符合采购人和需求方要求，对不符合要求人员采购人和需求方有权要求中标人进行更换，</w:t>
      </w:r>
      <w:r>
        <w:rPr>
          <w:rFonts w:hint="eastAsia" w:ascii="宋体" w:hAnsi="宋体" w:eastAsia="宋体"/>
          <w:bCs/>
          <w:sz w:val="24"/>
          <w:szCs w:val="24"/>
        </w:rPr>
        <w:t xml:space="preserve">中标人应无条件配合。</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fldChar w:fldCharType="begin"/>
      </w:r>
      <w:r>
        <w:rPr>
          <w:rFonts w:ascii="宋体" w:hAnsi="宋体" w:eastAsia="宋体"/>
          <w:bCs/>
          <w:sz w:val="24"/>
          <w:szCs w:val="24"/>
        </w:rPr>
        <w:instrText xml:space="preserve"> = 4 \* GB3 </w:instrText>
      </w:r>
      <w:r>
        <w:rPr>
          <w:rFonts w:hint="eastAsia" w:ascii="宋体" w:hAnsi="宋体" w:eastAsia="宋体"/>
          <w:bCs/>
          <w:sz w:val="24"/>
          <w:szCs w:val="24"/>
        </w:rPr>
        <w:fldChar w:fldCharType="separate"/>
      </w:r>
      <w:r>
        <w:rPr>
          <w:rFonts w:hint="eastAsia" w:ascii="宋体" w:hAnsi="宋体" w:eastAsia="宋体"/>
          <w:bCs/>
          <w:sz w:val="24"/>
          <w:szCs w:val="24"/>
        </w:rPr>
        <w:t xml:space="preserve">④</w:t>
      </w:r>
      <w:r>
        <w:rPr>
          <w:rFonts w:hint="eastAsia" w:ascii="宋体" w:hAnsi="宋体" w:eastAsia="宋体"/>
          <w:bCs/>
          <w:sz w:val="24"/>
          <w:szCs w:val="24"/>
        </w:rPr>
        <w:fldChar w:fldCharType="end"/>
      </w:r>
      <w:r>
        <w:rPr>
          <w:rFonts w:hint="eastAsia" w:ascii="宋体" w:hAnsi="宋体" w:eastAsia="宋体"/>
          <w:bCs/>
          <w:sz w:val="24"/>
          <w:szCs w:val="24"/>
        </w:rPr>
        <w:t xml:space="preserve">中标人在项目实施过程中出现资源、进度、质量协调控制不力的情况，采购人有权要求更换相关负责人，中标人必须予以配合，并确保不影响项目建设的进度和质量。</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政务云资源使用</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本项目试运行期间，系统如需部署在政务云环境中，竣工验收前的云资源相关费用由中标人自行承担。</w:t>
      </w:r>
      <w:r>
        <w:rPr>
          <w:rFonts w:hint="eastAsia" w:ascii="宋体" w:hAnsi="宋体" w:eastAsia="宋体"/>
          <w:bCs/>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项目竣工验收通过后的政务云资源相关费用由采购人承担。</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成果备案要求</w:t>
      </w:r>
      <w:r>
        <w:rPr>
          <w:rFonts w:hint="eastAsia" w:ascii="宋体" w:hAnsi="宋体" w:eastAsia="宋体"/>
          <w:b/>
          <w:sz w:val="24"/>
          <w:szCs w:val="24"/>
        </w:rPr>
      </w:r>
      <w:r/>
    </w:p>
    <w:p>
      <w:pPr>
        <w:pStyle w:val="678"/>
        <w:ind w:firstLine="480"/>
        <w:spacing w:line="500" w:lineRule="exact"/>
        <w:rPr>
          <w:rFonts w:hint="eastAsia" w:ascii="宋体" w:hAnsi="宋体" w:eastAsia="宋体"/>
          <w:bCs/>
          <w:sz w:val="24"/>
          <w:szCs w:val="24"/>
        </w:rPr>
      </w:pPr>
      <w:r>
        <w:rPr>
          <w:rFonts w:hint="eastAsia" w:ascii="宋体" w:hAnsi="宋体" w:eastAsia="宋体"/>
          <w:bCs/>
          <w:sz w:val="24"/>
          <w:szCs w:val="24"/>
        </w:rPr>
        <w:t xml:space="preserve">项目验收前，项目采购人需将系统各项材料，数据库、系统等管理账号交予城运中心备案。</w:t>
      </w:r>
      <w:r>
        <w:rPr>
          <w:rFonts w:hint="eastAsia" w:ascii="宋体" w:hAnsi="宋体" w:eastAsia="宋体"/>
          <w:bCs/>
          <w:sz w:val="24"/>
          <w:szCs w:val="24"/>
        </w:rPr>
      </w:r>
      <w:r/>
    </w:p>
    <w:p>
      <w:pPr>
        <w:pStyle w:val="678"/>
        <w:numPr>
          <w:ilvl w:val="1"/>
          <w:numId w:val="8"/>
        </w:numPr>
        <w:ind w:left="0" w:firstLine="482"/>
        <w:spacing w:line="500" w:lineRule="exact"/>
        <w:tabs>
          <w:tab w:val="left" w:pos="420" w:leader="none"/>
        </w:tabs>
        <w:rPr>
          <w:rFonts w:hint="eastAsia" w:ascii="宋体" w:hAnsi="宋体" w:eastAsia="宋体"/>
          <w:b/>
          <w:sz w:val="24"/>
          <w:szCs w:val="24"/>
        </w:rPr>
        <w:outlineLvl w:val="2"/>
      </w:pPr>
      <w:r>
        <w:rPr>
          <w:rFonts w:hint="eastAsia" w:ascii="宋体" w:hAnsi="宋体" w:eastAsia="宋体"/>
          <w:b/>
          <w:sz w:val="24"/>
          <w:szCs w:val="24"/>
        </w:rPr>
        <w:t xml:space="preserve">项目验收要求</w:t>
      </w:r>
      <w:r>
        <w:rPr>
          <w:rFonts w:hint="eastAsia" w:ascii="宋体" w:hAnsi="宋体" w:eastAsia="宋体"/>
          <w:b/>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（1）履约验收主体</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初步验收：采购人。</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档案验收：采购人。</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竣工验收：需求单位。</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（2）履约验收时间</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开始试运行：按照要求完成全部建设内容，并经采购人、需求单位核验通过。</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初步验收：试运行不少于1个月。</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档案验收：初验通过后，继续试运行不少于2个月。</w:t>
      </w:r>
      <w:r>
        <w:rPr>
          <w:rFonts w:hint="eastAsia" w:ascii="宋体" w:hAnsi="宋体" w:eastAsia="宋体" w:cs="仿宋"/>
          <w:sz w:val="24"/>
          <w:szCs w:val="24"/>
        </w:rPr>
      </w:r>
      <w:r/>
    </w:p>
    <w:p>
      <w:pPr>
        <w:pStyle w:val="678"/>
        <w:ind w:firstLine="991"/>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竣工验收：通过档案验收后。</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（3）履约验收方式：组织专家验收。</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（4）履约验收程序：</w:t>
      </w:r>
      <w:r>
        <w:rPr>
          <w:rFonts w:hint="eastAsia" w:ascii="宋体" w:hAnsi="宋体" w:eastAsia="宋体"/>
          <w:sz w:val="24"/>
          <w:szCs w:val="24"/>
        </w:rPr>
        <w:t xml:space="preserve">项目建设完成后，按照相关标准及规范进行验收，遵循试运行、初步验收、档案验收、竣工验收等环节。</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（5）履约验收内容</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初步验收内容：</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是否按招投标文件、合同文件要求完成全部建设内容；</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功能、性能是否满足合同及技术规范；</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试运行记录、内容是否齐全；</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初步验收资料是否完整。</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档案验收内容：</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项目文档是否齐全、规范；</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是否按照相关文档规范编制；</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与项目建设实际是否一致。</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竣工验收内容：</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初步验收问题是否全部完成整改；</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试运行记录、内容是否齐全；</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是否通过第三方测评并出具测评报告；</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竣工验收资料是否完整；</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项目整体是否达到竣工验收标准。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（6）履约验收标准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初步验收标准：</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ascii="宋体" w:hAnsi="宋体" w:eastAsia="宋体" w:cs="仿宋"/>
          <w:sz w:val="24"/>
          <w:szCs w:val="24"/>
        </w:rPr>
        <w:t xml:space="preserve">按招投标文件、合同文件要求完成全部建设内容</w:t>
      </w:r>
      <w:r>
        <w:rPr>
          <w:rFonts w:hint="eastAsia" w:ascii="宋体" w:hAnsi="宋体" w:eastAsia="宋体" w:cs="仿宋"/>
          <w:sz w:val="24"/>
          <w:szCs w:val="24"/>
        </w:rPr>
        <w:t xml:space="preserve">，并经采购人、需求单位核验合格；</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功能、性能测试通过；</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试运行时间不少于1个月；</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试运行期间各项功能、性能等指标基本正常，出现的问题已全部由中标人解决；</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初步验收材料完整、规范。</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档案验收标准：</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初步验收</w:t>
      </w:r>
      <w:r>
        <w:rPr>
          <w:rFonts w:ascii="宋体" w:hAnsi="宋体" w:eastAsia="宋体" w:cs="仿宋"/>
          <w:sz w:val="24"/>
          <w:szCs w:val="24"/>
        </w:rPr>
        <w:t xml:space="preserve">通过后，继续试运行不少于2个月</w:t>
      </w:r>
      <w:r>
        <w:rPr>
          <w:rFonts w:hint="eastAsia" w:ascii="宋体" w:hAnsi="宋体" w:eastAsia="宋体" w:cs="仿宋"/>
          <w:sz w:val="24"/>
          <w:szCs w:val="24"/>
        </w:rPr>
        <w:t xml:space="preserve">；</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归档材料符合国家、省市区、行业、合同约定的文档规范及标准；</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归档材料内容真实、准确、完整。</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竣工验收标准：</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通过档案验收；</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ascii="宋体" w:hAnsi="宋体" w:eastAsia="宋体" w:cs="仿宋"/>
          <w:sz w:val="24"/>
          <w:szCs w:val="24"/>
        </w:rPr>
        <w:t xml:space="preserve">试运行期间各项功能、性能</w:t>
      </w:r>
      <w:r>
        <w:rPr>
          <w:rFonts w:hint="eastAsia" w:ascii="宋体" w:hAnsi="宋体" w:eastAsia="宋体" w:cs="仿宋"/>
          <w:sz w:val="24"/>
          <w:szCs w:val="24"/>
        </w:rPr>
        <w:t xml:space="preserve">等指标全部</w:t>
      </w:r>
      <w:r>
        <w:rPr>
          <w:rFonts w:ascii="宋体" w:hAnsi="宋体" w:eastAsia="宋体" w:cs="仿宋"/>
          <w:sz w:val="24"/>
          <w:szCs w:val="24"/>
        </w:rPr>
        <w:t xml:space="preserve">正常</w:t>
      </w:r>
      <w:r>
        <w:rPr>
          <w:rFonts w:hint="eastAsia" w:ascii="宋体" w:hAnsi="宋体" w:eastAsia="宋体" w:cs="仿宋"/>
          <w:sz w:val="24"/>
          <w:szCs w:val="24"/>
        </w:rPr>
        <w:t xml:space="preserve">，满足需求单位的实际使用要求；</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试运行期间</w:t>
      </w:r>
      <w:r>
        <w:rPr>
          <w:rFonts w:ascii="宋体" w:hAnsi="宋体" w:eastAsia="宋体" w:cs="仿宋"/>
          <w:sz w:val="24"/>
          <w:szCs w:val="24"/>
        </w:rPr>
        <w:t xml:space="preserve">出现的问题已全部由中标人解决</w:t>
      </w:r>
      <w:r>
        <w:rPr>
          <w:rFonts w:hint="eastAsia" w:ascii="宋体" w:hAnsi="宋体" w:eastAsia="宋体" w:cs="仿宋"/>
          <w:sz w:val="24"/>
          <w:szCs w:val="24"/>
        </w:rPr>
        <w:t xml:space="preserve">；</w:t>
      </w:r>
      <w:r>
        <w:rPr>
          <w:rFonts w:hint="eastAsia" w:ascii="宋体" w:hAnsi="宋体" w:eastAsia="宋体" w:cs="仿宋"/>
          <w:sz w:val="24"/>
          <w:szCs w:val="24"/>
        </w:rPr>
      </w:r>
      <w:r/>
    </w:p>
    <w:p>
      <w:pPr>
        <w:pStyle w:val="678"/>
        <w:contextualSpacing/>
        <w:ind w:firstLine="960"/>
        <w:jc w:val="left"/>
        <w:spacing w:line="500" w:lineRule="exact"/>
        <w:widowControl/>
        <w:rPr>
          <w:rFonts w:hint="eastAsia" w:ascii="宋体" w:hAnsi="宋体" w:eastAsia="宋体" w:cs="仿宋"/>
          <w:sz w:val="24"/>
          <w:szCs w:val="24"/>
        </w:rPr>
      </w:pPr>
      <w:r>
        <w:rPr>
          <w:rFonts w:hint="eastAsia" w:ascii="宋体" w:hAnsi="宋体" w:eastAsia="宋体" w:cs="仿宋"/>
          <w:sz w:val="24"/>
          <w:szCs w:val="24"/>
        </w:rPr>
        <w:t xml:space="preserve">竣工验收材料完整、规范。</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（7）履约验收其他事项</w:t>
      </w:r>
      <w:r>
        <w:rPr>
          <w:rFonts w:hint="eastAsia" w:ascii="宋体" w:hAnsi="宋体" w:eastAsia="宋体" w:cs="仿宋"/>
          <w:sz w:val="24"/>
          <w:szCs w:val="24"/>
        </w:rPr>
      </w:r>
      <w:r/>
    </w:p>
    <w:p>
      <w:pPr>
        <w:pStyle w:val="678"/>
        <w:ind w:firstLine="480"/>
        <w:spacing w:line="500" w:lineRule="exact"/>
        <w:rPr>
          <w:rFonts w:hint="eastAsia" w:ascii="宋体" w:hAnsi="宋体" w:eastAsia="宋体"/>
          <w:sz w:val="24"/>
          <w:szCs w:val="24"/>
        </w:rPr>
      </w:pPr>
      <w:r>
        <w:rPr>
          <w:rFonts w:hint="eastAsia" w:ascii="宋体" w:hAnsi="宋体" w:eastAsia="宋体"/>
          <w:sz w:val="24"/>
          <w:szCs w:val="24"/>
        </w:rPr>
        <w:t xml:space="preserve">试运行期间若发生与技术要求不符或与初验记录不一致的情况时，中标人应负责解决问题，否则不予竣工验收。属于中标人工作严重失职造成的较大损失的，追究其单位的责任和损失。项目初步验收、档案验收、竣工验收需同时验收项目文档，提交验收的主要文件及内容符合相关文档规范，文档不合格的，不得通过项目初步验收、档案验收、竣工验收。</w:t>
      </w:r>
      <w:r>
        <w:rPr>
          <w:rFonts w:hint="eastAsia" w:ascii="宋体" w:hAnsi="宋体" w:eastAsia="宋体"/>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安全保密需求</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项目建设必须遵循国家电子政务信息安全保障体系要求，按照国家法规实施安全等级保护，加强系统信息安全管理。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投标人应有明确、完善、可行的网络安全系统方案，项目需满足国家信息系统安全等级保护二级要求。</w:t>
      </w:r>
      <w:r>
        <w:rPr>
          <w:rFonts w:hint="eastAsia" w:ascii="宋体" w:hAnsi="宋体" w:eastAsia="宋体" w:cs="仿宋"/>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运维服务要求</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服务期内，项目运维服务包括但不限于以下要求：</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提供系统日常运维服务、数据运维服务、数据库运维服务、服务器日常巡检等运维服务；</w:t>
      </w:r>
      <w:r>
        <w:rPr>
          <w:rFonts w:hint="eastAsia" w:ascii="宋体" w:hAnsi="宋体" w:eastAsia="宋体" w:cs="仿宋"/>
          <w:sz w:val="24"/>
          <w:szCs w:val="24"/>
        </w:rPr>
      </w:r>
      <w:r/>
    </w:p>
    <w:p>
      <w:pPr>
        <w:pStyle w:val="678"/>
        <w:ind w:firstLine="480"/>
        <w:spacing w:line="500" w:lineRule="exact"/>
        <w:rPr>
          <w:rFonts w:hint="eastAsia" w:ascii="宋体" w:hAnsi="宋体" w:eastAsia="宋体"/>
          <w:b/>
          <w:bCs/>
          <w:sz w:val="24"/>
          <w:szCs w:val="24"/>
        </w:rPr>
      </w:pPr>
      <w:r>
        <w:rPr>
          <w:rFonts w:hint="eastAsia" w:ascii="宋体" w:hAnsi="宋体" w:eastAsia="宋体" w:cs="仿宋"/>
          <w:sz w:val="24"/>
          <w:szCs w:val="24"/>
        </w:rPr>
        <w:t xml:space="preserve">提供7*24小时响应服务，1小时内做出响应，8小时内到达现场，一般问题12小时内解决，重大问题或其他无法迅速解决的问题，24小时内解决或者提出具体解决方案。</w:t>
      </w:r>
      <w:r>
        <w:rPr>
          <w:rFonts w:hint="eastAsia" w:ascii="宋体" w:hAnsi="宋体" w:eastAsia="宋体"/>
          <w:b/>
          <w:bCs/>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知识产权及保密性要求</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ascii="宋体" w:hAnsi="宋体" w:eastAsia="宋体" w:cs="仿宋"/>
          <w:color w:val="0000ff"/>
          <w:sz w:val="24"/>
          <w:szCs w:val="24"/>
        </w:rPr>
        <w:t xml:space="preserve"> </w:t>
      </w:r>
      <w:r>
        <w:rPr>
          <w:rFonts w:hint="eastAsia" w:ascii="宋体" w:hAnsi="宋体" w:eastAsia="宋体" w:cs="仿宋"/>
          <w:sz w:val="24"/>
          <w:szCs w:val="24"/>
        </w:rPr>
        <w:t xml:space="preserve">本项目的软硬件技术成果（包括但不限于软件程序及相关技术文档、源代码）的知识产权（包括但不限于著作权、专利权、外观设计等）归属采购人。</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本项目产生和承载的数据资源归采购人所有，未经采购人书面同意，中标人不可将数据资源用于本项目之外，包括数据复制、加工、共享、应用提供给第三方。</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中标人采购的与本项目有关的第三方商业化软件授权使用人应注册为“无锡市新吴区区域社会治理现代化指挥中心”。</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所有参与本次项目建设的人员应签订正式保密协议，并在工作中坚持保密原则，中标人严格规范执行各项保密制度，对在项目招标、建设、质保各阶段取得采购人各类信息进行保密管理，杜绝任何泄密事件的发生。</w:t>
      </w:r>
      <w:r>
        <w:rPr>
          <w:rFonts w:hint="eastAsia" w:ascii="宋体" w:hAnsi="宋体" w:eastAsia="宋体" w:cs="仿宋"/>
          <w:sz w:val="24"/>
          <w:szCs w:val="24"/>
        </w:rPr>
      </w:r>
      <w:r/>
    </w:p>
    <w:p>
      <w:pPr>
        <w:pStyle w:val="680"/>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合同终止</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采购人保留在以下任何一项或多项条件达成时，单方面终止本合同的权利，且无需承担违约责任：</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（1）项目质量不达标</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若中标人提供的服务或交付的成果物（包括不限于项目工作说明书等文件文档、项目软件、硬件设备等）经评估未达到本合同约定的技术规格、质量标准或验收标准，且在采购人书面通知中标人后15日内，中标人未能采取有效措施进行整改并达到合同要求，采购人有权终止本合同。</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（2）项目进度延误</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若中标人在执行过程中未能按照工作说明书的里程碑节点完成阶段性交付或最终交付，且重要里程碑节点延误时间超过15日或15%的总工期，且经采购人合理催告后仍未能在双方协商确定的新期限内完成，采购人有权终止本合同。</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（3）严重违约行为</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若中标人在项目执行过程中存在严重违反合同条款的行为，包括但不限于未经采购人同意擅自转包、泄露采购人商业秘密、使用非法软件或技术、违反适用的法律法规等，采购人有权立即终止本合同，并要求中标人承担相应法律责任。</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（4）不可抗力除外</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本条所述的合同终止权利不适用于因不可抗力因素导致的项目延期或无法完成的情况，双方应根据不可抗力的影响程度协商解决方案。</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（5）终止通知与后果</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采购人行使终止权时，应提前7个工作日书面通知中标人，说明终止原因及依据。合同终止后，双方应根据本合同约定或协商确定的方式处理已完成工作的结算、项目资料的交接、保密义务的继续履行等事宜。</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合同终止后，项目已实施的软硬件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rPr>
          <w:rFonts w:hint="eastAsia" w:ascii="宋体" w:hAnsi="宋体" w:eastAsia="宋体" w:cs="仿宋"/>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spacing w:line="360" w:lineRule="auto"/>
        <w:rPr>
          <w:rFonts w:ascii="宋体" w:hAnsi="宋体"/>
          <w:bCs/>
          <w:sz w:val="24"/>
          <w:szCs w:val="24"/>
        </w:rPr>
      </w:pPr>
      <w:r>
        <w:rPr>
          <w:rFonts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8"/>
        <w:numPr>
          <w:ilvl w:val="1"/>
          <w:numId w:val="9"/>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hAnsi="宋体"/>
          <w:bCs/>
          <w:color w:val="000000" w:themeColor="text1"/>
          <w:sz w:val="24"/>
          <w:szCs w:val="24"/>
        </w:rPr>
        <w:t xml:space="preserve">投标总报价包括满足本项目服务要求的从项目中标起到项目正式交付以及服务期内所发生的一切费用。</w:t>
      </w:r>
      <w:r>
        <w:rPr>
          <w:rFonts w:ascii="宋体"/>
          <w:bCs/>
          <w:color w:val="000000" w:themeColor="text1"/>
          <w:sz w:val="24"/>
          <w:szCs w:val="24"/>
        </w:rPr>
      </w:r>
      <w:r>
        <w:rPr>
          <w:color w:val="000000" w:themeColor="text1"/>
        </w:rP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8"/>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服务期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竣工验收通过之日起提供3年整体运维服务。</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完工期：合同签订后8个月内完工，开始试运行。</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项目整体质保期：竣工验收通过之日起硬件设备提供5年质保服务。</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付款方式：合同签订20个工作日内，中标人应提供项目工作说明书（应包含但不限于需求调研报告、需求确认单和需求规格说明书等）经采购人确认通过后10个工作日内支付合同总额的20%；项目通过初验之日起10个工作日内支付合同总额的15%；项目通过竣工验收之日起10个工作日内支付合同总额的20%；项目通过竣工验收后，每满一年并通过采购人考评后10个工作日内根据考评结果最多支付合同总额的15%。</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本项目合同履行地点：无锡市新吴区，具体地点以合同书约定为准。中标方必须按采购人要求将本项目中货物送到指定地点(包括可能的分布范围)，并分地实施安装调试。</w:t>
      </w:r>
      <w:r>
        <w:rPr>
          <w:rFonts w:hint="eastAsia" w:ascii="宋体" w:hAnsi="宋体" w:eastAsia="宋体" w:cs="Times New Roman"/>
          <w:sz w:val="24"/>
          <w:szCs w:val="24"/>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color w:val="000000"/>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hint="eastAsia" w:ascii="宋体"/>
          <w:bCs/>
          <w:color w:val="000000"/>
          <w:sz w:val="24"/>
          <w:szCs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8"/>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w:t>
      </w:r>
      <w:r>
        <w:rPr>
          <w:rFonts w:hint="eastAsia" w:ascii="宋体"/>
          <w:bCs/>
          <w:sz w:val="24"/>
          <w:szCs w:val="24"/>
          <w:highlight w:val="none"/>
          <w:lang w:val="en"/>
        </w:rPr>
        <w:t xml:space="preserve">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6"/>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6"/>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6"/>
        <w:spacing w:before="0" w:after="0" w:line="500" w:lineRule="exact"/>
        <w:rPr>
          <w:rFonts w:hint="eastAsia" w:cs="Arial"/>
        </w:rPr>
      </w:pPr>
      <w:r>
        <w:rPr>
          <w:rFonts w:hint="eastAsia" w:cs="Arial"/>
        </w:rPr>
        <w:t xml:space="preserve">比较与评价采用综合评分法。</w:t>
      </w:r>
      <w:r>
        <w:rPr>
          <w:rFonts w:hint="eastAsia" w:cs="Arial"/>
        </w:rPr>
      </w:r>
      <w:r/>
    </w:p>
    <w:p>
      <w:pPr>
        <w:pStyle w:val="76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6"/>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8"/>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678"/>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678"/>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rPr>
          <w:rFonts w:ascii="宋体" w:hAnsi="宋体"/>
          <w:highlight w:val="none"/>
          <w:shd w:val="clear" w:color="ffffff" w:fill="d9d9d9"/>
        </w:rPr>
      </w:r>
      <w:r/>
    </w:p>
    <w:p>
      <w:pPr>
        <w:pStyle w:val="766"/>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678"/>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94"/>
        <w:ind w:firstLine="480"/>
        <w:spacing w:line="500" w:lineRule="exact"/>
        <w:rPr>
          <w:rFonts w:hint="eastAsia" w:ascii="宋体" w:hAnsi="宋体" w:cs="仿宋"/>
          <w:szCs w:val="24"/>
        </w:rPr>
      </w:pPr>
      <w:r>
        <w:rPr>
          <w:rFonts w:hint="eastAsia" w:ascii="宋体" w:hAnsi="宋体" w:cs="仿宋"/>
          <w:szCs w:val="24"/>
          <w:lang w:val="en-US" w:eastAsia="zh-CN"/>
        </w:rPr>
        <w:t xml:space="preserve">2.</w:t>
      </w:r>
      <w:r>
        <w:rPr>
          <w:rFonts w:hint="eastAsia" w:ascii="宋体" w:hAnsi="宋体" w:cs="仿宋"/>
          <w:b w:val="0"/>
          <w:bCs w:val="0"/>
          <w:szCs w:val="24"/>
          <w:lang w:val="en-US" w:eastAsia="zh-CN"/>
        </w:rPr>
        <w:t xml:space="preserve">1</w:t>
      </w:r>
      <w:r>
        <w:rPr>
          <w:rFonts w:hint="eastAsia" w:ascii="宋体" w:hAnsi="宋体" w:eastAsia="宋体" w:cs="仿宋"/>
          <w:b w:val="0"/>
          <w:bCs w:val="0"/>
          <w:sz w:val="24"/>
          <w:szCs w:val="24"/>
        </w:rPr>
        <w:t xml:space="preserve">项目负责人</w:t>
      </w:r>
      <w:r>
        <w:rPr>
          <w:rFonts w:hint="eastAsia" w:ascii="宋体" w:hAnsi="宋体" w:cs="仿宋"/>
          <w:b w:val="0"/>
          <w:bCs w:val="0"/>
          <w:sz w:val="24"/>
          <w:szCs w:val="24"/>
          <w:lang w:eastAsia="zh-CN"/>
        </w:rPr>
        <w:t xml:space="preserve">：</w:t>
      </w:r>
      <w:r>
        <w:rPr>
          <w:rFonts w:hint="eastAsia" w:ascii="宋体" w:hAnsi="宋体" w:cs="仿宋"/>
          <w:szCs w:val="24"/>
        </w:rPr>
        <w:t xml:space="preserve">投标人为本项目实施服务配备1名项目负责人，具有信息系统项目管理师（高级）证书、软件设计师（中级）证书、信息安全工程师（中级）证书、ITSS认证的IT服务项目经理证书的，每提供1种证书得1分，4个证书提供3个即可，最高得3分。投标时需提供有效证书扫描件并加盖投标人公章，否则不得分。</w:t>
      </w:r>
      <w:r>
        <w:rPr>
          <w:rFonts w:hint="eastAsia" w:ascii="宋体" w:hAnsi="宋体" w:cs="仿宋"/>
          <w:szCs w:val="24"/>
        </w:rPr>
      </w:r>
      <w:r/>
    </w:p>
    <w:p>
      <w:pPr>
        <w:pStyle w:val="794"/>
        <w:ind w:firstLine="480"/>
        <w:spacing w:line="500" w:lineRule="exact"/>
        <w:rPr>
          <w:rFonts w:hint="eastAsia" w:ascii="宋体" w:hAnsi="宋体" w:cs="仿宋"/>
          <w:szCs w:val="24"/>
        </w:rPr>
      </w:pPr>
      <w:r>
        <w:rPr>
          <w:rFonts w:hint="eastAsia" w:ascii="宋体" w:hAnsi="宋体" w:cs="仿宋"/>
          <w:szCs w:val="24"/>
          <w:lang w:val="en-US" w:eastAsia="zh-CN"/>
        </w:rPr>
        <w:t xml:space="preserve">2.2其他人员：</w:t>
      </w:r>
      <w:r>
        <w:rPr>
          <w:rFonts w:hint="eastAsia" w:ascii="宋体" w:hAnsi="宋体" w:cs="仿宋"/>
          <w:szCs w:val="24"/>
        </w:rPr>
        <w:t xml:space="preserve">投标人拟参与本项目的其他人员（不包含项目负责人），具有系统架构设计师（高级）证书、系统集成项目管理工程师（中级）证书、软件设计师（中级）证书、数据库系统工程师（中级）证书、ITSS认证的IT服务项目经理证书的，每提供1份证书得1分，5个证书提供4个即可，最高得4分。投标时需提供有效证书扫描件并加盖投标人公章，否则不得分。同一人员具有多种证书的只计算一次，不重复得分。</w:t>
      </w:r>
      <w:r>
        <w:rPr>
          <w:rFonts w:hint="eastAsia" w:ascii="宋体" w:hAnsi="宋体" w:cs="仿宋"/>
          <w:szCs w:val="24"/>
        </w:rPr>
      </w:r>
      <w:r/>
    </w:p>
    <w:p>
      <w:pPr>
        <w:pStyle w:val="678"/>
        <w:ind w:firstLine="482"/>
        <w:spacing w:line="360" w:lineRule="auto"/>
        <w:rPr>
          <w:rFonts w:ascii="宋体" w:hAnsi="宋体" w:eastAsia="宋体" w:cs="仿宋"/>
          <w:szCs w:val="24"/>
          <w:lang w:val="en-US" w:eastAsia="zh-CN"/>
        </w:rPr>
      </w:pPr>
      <w:r>
        <w:rPr>
          <w:rFonts w:hint="eastAsia" w:ascii="宋体" w:hAnsi="宋体"/>
          <w:b/>
          <w:sz w:val="24"/>
          <w:szCs w:val="24"/>
          <w:highlight w:val="none"/>
        </w:rPr>
        <w:t xml:space="preserve">以上需提供社保部门出具企业为其缴纳的</w:t>
      </w:r>
      <w:r>
        <w:rPr>
          <w:rFonts w:hint="eastAsia" w:ascii="宋体" w:hAnsi="宋体"/>
          <w:b/>
          <w:sz w:val="24"/>
          <w:szCs w:val="24"/>
          <w:highlight w:val="none"/>
          <w:lang w:val="en-US" w:eastAsia="zh-CN"/>
        </w:rPr>
        <w:t xml:space="preserve">近一年中</w:t>
      </w:r>
      <w:r>
        <w:rPr>
          <w:rFonts w:hint="eastAsia" w:ascii="宋体" w:hAnsi="宋体"/>
          <w:b/>
          <w:sz w:val="24"/>
          <w:szCs w:val="24"/>
          <w:highlight w:val="none"/>
        </w:rPr>
        <w:t xml:space="preserve">任意一个月份</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不含投标当月）</w:t>
      </w:r>
      <w:r>
        <w:rPr>
          <w:rFonts w:hint="eastAsia" w:ascii="宋体" w:hAnsi="宋体"/>
          <w:b/>
          <w:sz w:val="24"/>
          <w:szCs w:val="24"/>
          <w:highlight w:val="none"/>
        </w:rPr>
        <w:t xml:space="preserve">社保的证明和上述相关证明资料扫描件，否则不得分。</w:t>
      </w:r>
      <w:r>
        <w:rPr>
          <w:rFonts w:ascii="宋体" w:hAnsi="宋体" w:eastAsia="宋体" w:cs="仿宋"/>
          <w:szCs w:val="24"/>
          <w:lang w:val="en-US" w:eastAsia="zh-CN"/>
        </w:rPr>
      </w:r>
      <w:r/>
    </w:p>
    <w:p>
      <w:pPr>
        <w:pStyle w:val="678"/>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ascii="宋体" w:hAnsi="宋体"/>
          <w:b/>
          <w:bCs/>
          <w:color w:val="000000"/>
          <w:sz w:val="24"/>
          <w:szCs w:val="24"/>
        </w:rPr>
      </w:r>
      <w:r/>
    </w:p>
    <w:p>
      <w:pPr>
        <w:pStyle w:val="794"/>
        <w:ind w:firstLine="480"/>
        <w:spacing w:line="500" w:lineRule="exact"/>
        <w:rPr>
          <w:rFonts w:hint="eastAsia" w:ascii="宋体" w:hAnsi="宋体" w:eastAsia="宋体"/>
          <w:color w:val="000000"/>
          <w:sz w:val="24"/>
          <w:lang w:val="en-US" w:eastAsia="zh-CN"/>
        </w:rPr>
      </w:pPr>
      <w:r>
        <w:rPr>
          <w:rFonts w:hint="eastAsia" w:ascii="宋体" w:hAnsi="宋体"/>
          <w:color w:val="000000"/>
          <w:sz w:val="24"/>
        </w:rPr>
        <w:t xml:space="preserve">3.1  </w:t>
      </w:r>
      <w:r>
        <w:rPr>
          <w:rFonts w:hint="eastAsia" w:ascii="宋体" w:hAnsi="宋体"/>
          <w:color w:val="000000"/>
          <w:sz w:val="24"/>
          <w:lang w:val="en-US" w:eastAsia="zh-CN"/>
        </w:rPr>
        <w:t xml:space="preserve">业绩：</w:t>
      </w:r>
      <w:r>
        <w:rPr>
          <w:rFonts w:hint="eastAsia" w:ascii="宋体" w:hAnsi="宋体" w:cs="仿宋"/>
          <w:szCs w:val="24"/>
        </w:rPr>
        <w:t xml:space="preserve">投标人自2023年1月1日以来（以合同签订日期为准）具有与本项目类似的成功案例，每提供1份得1分，最高得4分。投标时需提供对应项目的有效合同扫描件并加盖投标人公章，否则不得分。</w:t>
      </w:r>
      <w:r>
        <w:rPr>
          <w:rFonts w:hint="eastAsia" w:ascii="宋体" w:hAnsi="宋体" w:eastAsia="宋体"/>
          <w:color w:val="000000"/>
          <w:sz w:val="24"/>
          <w:lang w:val="en-US" w:eastAsia="zh-CN"/>
        </w:rPr>
      </w:r>
      <w:r/>
    </w:p>
    <w:p>
      <w:pPr>
        <w:pStyle w:val="794"/>
        <w:ind w:firstLine="480"/>
        <w:spacing w:line="500" w:lineRule="exact"/>
        <w:rPr>
          <w:rFonts w:hint="eastAsia" w:ascii="宋体" w:hAnsi="宋体" w:eastAsia="宋体" w:cs="仿宋"/>
          <w:b w:val="0"/>
          <w:bCs w:val="0"/>
          <w:sz w:val="24"/>
          <w:szCs w:val="24"/>
          <w:lang w:eastAsia="zh-CN"/>
        </w:rPr>
      </w:pPr>
      <w:r>
        <w:rPr>
          <w:rFonts w:hint="eastAsia" w:ascii="宋体" w:hAnsi="宋体"/>
          <w:b w:val="0"/>
          <w:bCs w:val="0"/>
          <w:color w:val="000000"/>
          <w:sz w:val="24"/>
        </w:rPr>
        <w:t xml:space="preserve">3.2  </w:t>
      </w:r>
      <w:r>
        <w:rPr>
          <w:rFonts w:hint="eastAsia" w:ascii="宋体" w:hAnsi="宋体" w:eastAsia="宋体" w:cs="仿宋"/>
          <w:b w:val="0"/>
          <w:bCs w:val="0"/>
          <w:sz w:val="24"/>
          <w:szCs w:val="24"/>
        </w:rPr>
        <w:t xml:space="preserve">体系及能力认证</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lang w:eastAsia="zh-CN"/>
        </w:rPr>
      </w:r>
      <w:r/>
    </w:p>
    <w:p>
      <w:pPr>
        <w:pStyle w:val="794"/>
        <w:ind w:firstLine="480"/>
        <w:spacing w:line="500" w:lineRule="exact"/>
        <w:rPr>
          <w:rFonts w:hint="eastAsia" w:ascii="宋体" w:hAnsi="宋体" w:cs="仿宋"/>
          <w:szCs w:val="24"/>
        </w:rPr>
      </w:pPr>
      <w:r>
        <w:rPr>
          <w:rFonts w:hint="eastAsia" w:ascii="宋体" w:hAnsi="宋体" w:cs="仿宋"/>
          <w:szCs w:val="24"/>
        </w:rPr>
        <w:t xml:space="preserve">A.投标人具有质量管理体系认证证书、信息安全管理体系认证证书的，每提供1份证书得1分，最高得2分。投标时需提供有效证书扫描件并加盖投标人公章，否则不得分。</w:t>
      </w:r>
      <w:r>
        <w:rPr>
          <w:rFonts w:hint="eastAsia" w:ascii="宋体" w:hAnsi="宋体" w:cs="仿宋"/>
          <w:szCs w:val="24"/>
        </w:rPr>
      </w:r>
      <w:r/>
    </w:p>
    <w:p>
      <w:pPr>
        <w:pStyle w:val="794"/>
        <w:ind w:firstLine="480"/>
        <w:spacing w:line="500" w:lineRule="exact"/>
        <w:rPr>
          <w:rFonts w:hint="eastAsia" w:ascii="宋体" w:hAnsi="宋体" w:cs="仿宋"/>
          <w:szCs w:val="24"/>
        </w:rPr>
      </w:pPr>
      <w:r>
        <w:rPr>
          <w:rFonts w:hint="eastAsia" w:ascii="宋体" w:hAnsi="宋体" w:cs="仿宋"/>
          <w:szCs w:val="24"/>
        </w:rPr>
        <w:t xml:space="preserve">B.投标人具有信息技术服务标准符合性证书（ITSS证书）四级的得1分，三级及以上的得2分，最高得2分。投标时需提供有效证书扫描件并加盖投标人公章，否则不得分。</w:t>
      </w:r>
      <w:r>
        <w:rPr>
          <w:rFonts w:hint="eastAsia" w:ascii="宋体" w:hAnsi="宋体" w:cs="仿宋"/>
          <w:szCs w:val="24"/>
        </w:rPr>
      </w:r>
      <w:r/>
    </w:p>
    <w:p>
      <w:pPr>
        <w:pStyle w:val="794"/>
        <w:ind w:firstLine="480"/>
        <w:spacing w:line="500" w:lineRule="exact"/>
        <w:rPr>
          <w:rFonts w:hint="eastAsia" w:ascii="宋体" w:hAnsi="宋体" w:cs="仿宋"/>
          <w:szCs w:val="24"/>
        </w:rPr>
      </w:pPr>
      <w:r>
        <w:rPr>
          <w:rFonts w:hint="eastAsia" w:ascii="宋体" w:hAnsi="宋体" w:cs="仿宋"/>
          <w:szCs w:val="24"/>
          <w:lang w:val="en-US" w:eastAsia="zh-CN"/>
        </w:rPr>
        <w:t xml:space="preserve">3.3服务能力承诺：</w:t>
      </w:r>
      <w:r>
        <w:rPr>
          <w:rFonts w:hint="eastAsia" w:ascii="宋体" w:hAnsi="宋体" w:cs="仿宋"/>
          <w:szCs w:val="24"/>
        </w:rPr>
        <w:t xml:space="preserve">为保障本项目的顺利实施，投标人承诺接到采购人故障申报后1小时内做出反应，并提供解决方案；若不能排除故障，在2小时内赶赴现场解决，能够满足的，得2分。投标时需提供承诺函扫描件并加盖投标人公章，否则不得分。</w:t>
      </w:r>
      <w:r>
        <w:rPr>
          <w:rFonts w:hint="eastAsia" w:ascii="宋体" w:hAnsi="宋体" w:cs="仿宋"/>
          <w:szCs w:val="24"/>
        </w:rPr>
      </w:r>
      <w:r/>
    </w:p>
    <w:p>
      <w:pPr>
        <w:pStyle w:val="794"/>
        <w:ind w:firstLine="480"/>
        <w:spacing w:line="500" w:lineRule="exact"/>
        <w:rPr>
          <w:rFonts w:ascii="宋体" w:hAnsi="宋体" w:eastAsia="宋体" w:cs="仿宋"/>
          <w:szCs w:val="24"/>
          <w:lang w:val="en-US" w:eastAsia="zh-CN"/>
        </w:rPr>
      </w:pPr>
      <w:r>
        <w:rPr>
          <w:rFonts w:hint="eastAsia" w:ascii="宋体" w:hAnsi="宋体" w:cs="仿宋"/>
          <w:szCs w:val="24"/>
          <w:lang w:val="en-US" w:eastAsia="zh-CN"/>
        </w:rPr>
        <w:t xml:space="preserve">3.4本地化服务：</w:t>
      </w:r>
      <w:r>
        <w:rPr>
          <w:rFonts w:hint="eastAsia" w:ascii="宋体" w:hAnsi="宋体" w:cs="仿宋"/>
          <w:szCs w:val="24"/>
        </w:rPr>
        <w:t xml:space="preserve">本地投标人无需提供相关材料。投标人不在本地的，承诺中标后将派驻本地服务团队，确保在合同执行期间能够快速响应并提供高效、贴近用户服务的，得2分。投标时需提供本地化服务承诺函扫描件并加盖投标人公章，否则不得分。</w:t>
      </w:r>
      <w:r>
        <w:rPr>
          <w:rFonts w:ascii="宋体" w:hAnsi="宋体" w:eastAsia="宋体" w:cs="仿宋"/>
          <w:szCs w:val="24"/>
          <w:lang w:val="en-US" w:eastAsia="zh-CN"/>
        </w:rPr>
      </w:r>
      <w:r/>
    </w:p>
    <w:p>
      <w:pPr>
        <w:pStyle w:val="678"/>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49</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在响应采购文件需求的基础上针对下列各部分进行评价，要求体现科学合理性、条理性、可行性、完善性、针对性，无方案不得分。投标人编制项目方案时请按以下顺序编制，以便评审。</w:t>
      </w:r>
      <w:r>
        <w:rPr>
          <w:rFonts w:hint="eastAsia" w:ascii="宋体" w:hAnsi="宋体" w:eastAsia="宋体" w:cs="仿宋"/>
          <w:sz w:val="24"/>
          <w:szCs w:val="24"/>
        </w:rPr>
      </w:r>
      <w:r/>
    </w:p>
    <w:p>
      <w:pPr>
        <w:pStyle w:val="678"/>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4.1</w:t>
      </w:r>
      <w:r>
        <w:rPr>
          <w:rFonts w:hint="eastAsia" w:ascii="宋体" w:hAnsi="宋体" w:eastAsia="宋体"/>
          <w:b/>
          <w:bCs/>
          <w:sz w:val="24"/>
          <w:szCs w:val="24"/>
        </w:rPr>
        <w:t xml:space="preserve">项目整体需求分析方案（7分）</w:t>
      </w:r>
      <w:r>
        <w:rPr>
          <w:rFonts w:hint="eastAsia" w:ascii="宋体" w:hAnsi="宋体" w:eastAsia="宋体"/>
          <w:b/>
          <w:bCs/>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考察投标人对项目背景及整体建设需求的理解和分析情况，内容包含但不限于：（1）项目建设背景与目标的理解和分析；（2）项目整体建设需求的理解和分析；（3）</w:t>
      </w:r>
      <w:r>
        <w:rPr>
          <w:rFonts w:ascii="宋体" w:hAnsi="宋体" w:eastAsia="宋体" w:cs="仿宋"/>
          <w:sz w:val="24"/>
          <w:szCs w:val="24"/>
        </w:rPr>
        <w:t xml:space="preserve">无锡市一网通办平台新吴区融合</w:t>
      </w:r>
      <w:r>
        <w:rPr>
          <w:rFonts w:hint="eastAsia" w:ascii="宋体" w:hAnsi="宋体" w:eastAsia="宋体" w:cs="仿宋"/>
          <w:sz w:val="24"/>
          <w:szCs w:val="24"/>
        </w:rPr>
        <w:t xml:space="preserve">功能建设的理解和分析；（4）</w:t>
      </w:r>
      <w:r>
        <w:rPr>
          <w:rFonts w:ascii="宋体" w:hAnsi="宋体" w:eastAsia="宋体" w:cs="仿宋"/>
          <w:sz w:val="24"/>
          <w:szCs w:val="24"/>
        </w:rPr>
        <w:t xml:space="preserve">一件事+智能预审</w:t>
      </w:r>
      <w:r>
        <w:rPr>
          <w:rFonts w:hint="eastAsia" w:ascii="宋体" w:hAnsi="宋体" w:eastAsia="宋体" w:cs="仿宋"/>
          <w:sz w:val="24"/>
          <w:szCs w:val="24"/>
        </w:rPr>
        <w:t xml:space="preserve">功能建设的理解和分析。</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方案完整，科学合理，设计清晰详细，完全符合本项目需求，且能够提供上述4项全部方案的，得7分；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方案较完整，科学合理性较强，设计较清晰详细，能够符合本项目需求，能够提供上述3-4项方案的，得5分；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方案完整性一般，科学合理性一般，设计清晰详细程度一般，能够符合本项目需求，能够提供上述2-4项方案的，得3分；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方案完整性、科学合理性、设计的清晰详细程度等只能基本满足要求，能够提供上述2-4项方案的，得2分；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提供方案不足2项或无方案的，不得分。</w:t>
      </w:r>
      <w:r>
        <w:rPr>
          <w:rFonts w:hint="eastAsia" w:ascii="宋体" w:hAnsi="宋体" w:eastAsia="宋体" w:cs="仿宋"/>
          <w:sz w:val="24"/>
          <w:szCs w:val="24"/>
        </w:rPr>
      </w:r>
      <w:r/>
    </w:p>
    <w:p>
      <w:pPr>
        <w:pStyle w:val="678"/>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4.2</w:t>
      </w:r>
      <w:r>
        <w:rPr>
          <w:rFonts w:hint="eastAsia" w:ascii="宋体" w:hAnsi="宋体" w:eastAsia="宋体"/>
          <w:b/>
          <w:bCs/>
          <w:sz w:val="24"/>
          <w:szCs w:val="24"/>
        </w:rPr>
        <w:t xml:space="preserve">总体设计方案（11分）</w:t>
      </w:r>
      <w:r>
        <w:rPr>
          <w:rFonts w:hint="eastAsia" w:ascii="宋体" w:hAnsi="宋体" w:eastAsia="宋体"/>
          <w:b/>
          <w:bCs/>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考察投标人根据目前行业的技术趋势和标准编制的总体设计方案，内容包含但不限于：（1）项目整体架构设计；（2）业务功能架构设计；（3）</w:t>
      </w:r>
      <w:r>
        <w:rPr>
          <w:rFonts w:hint="eastAsia" w:ascii="宋体" w:hAnsi="宋体" w:cs="仿宋"/>
          <w:sz w:val="24"/>
          <w:szCs w:val="24"/>
        </w:rPr>
        <w:t xml:space="preserve">数据库总体架构设计；</w:t>
      </w:r>
      <w:r>
        <w:rPr>
          <w:rFonts w:hint="eastAsia" w:ascii="宋体" w:hAnsi="宋体" w:eastAsia="宋体" w:cs="仿宋"/>
          <w:sz w:val="24"/>
          <w:szCs w:val="24"/>
        </w:rPr>
        <w:t xml:space="preserve">（4）项目技术路线设计；（5）</w:t>
      </w:r>
      <w:r>
        <w:rPr>
          <w:rFonts w:ascii="宋体" w:hAnsi="宋体" w:eastAsia="宋体" w:cs="仿宋"/>
          <w:sz w:val="24"/>
          <w:szCs w:val="24"/>
        </w:rPr>
        <w:t xml:space="preserve">建设原则与策略设计</w:t>
      </w:r>
      <w:r>
        <w:rPr>
          <w:rFonts w:hint="eastAsia" w:ascii="宋体" w:hAnsi="宋体" w:eastAsia="宋体" w:cs="仿宋"/>
          <w:sz w:val="24"/>
          <w:szCs w:val="24"/>
        </w:rPr>
        <w:t xml:space="preserve">。</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方案完整，科学合理，设计清晰详细，完全符合本项目需求，且能够提供上述5项全部方案的，得11分；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方案较完整，科学合理性较强，设计较清晰详细，能够符合本项目需求，能够提供上述4-5项方案的，得8分；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方案完整性一般，科学合理性一般，设计清晰详细程度一般，能够符合本项目需求，能够提供上述3-5项方案的，得5分；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方案完整性、科学合理性、设计的清晰详细程度等只能基本满足要求，能够提供上述2-5项方案的，得2分；</w:t>
      </w:r>
      <w:r>
        <w:rPr>
          <w:rFonts w:hint="eastAsia" w:ascii="宋体" w:hAnsi="宋体" w:eastAsia="宋体" w:cs="仿宋"/>
          <w:sz w:val="24"/>
          <w:szCs w:val="24"/>
        </w:rPr>
      </w:r>
      <w:r/>
    </w:p>
    <w:p>
      <w:pPr>
        <w:pStyle w:val="678"/>
        <w:ind w:firstLine="480"/>
        <w:spacing w:line="500" w:lineRule="exact"/>
        <w:rPr>
          <w:rFonts w:hint="eastAsia" w:ascii="宋体" w:hAnsi="宋体" w:eastAsia="宋体"/>
          <w:b/>
          <w:bCs/>
          <w:sz w:val="24"/>
          <w:szCs w:val="24"/>
        </w:rPr>
      </w:pPr>
      <w:r>
        <w:rPr>
          <w:rFonts w:hint="eastAsia" w:ascii="宋体" w:hAnsi="宋体" w:eastAsia="宋体" w:cs="仿宋"/>
          <w:sz w:val="24"/>
          <w:szCs w:val="24"/>
        </w:rPr>
        <w:t xml:space="preserve">提供方案不足2项或无方案的，不得分。</w:t>
      </w:r>
      <w:r>
        <w:rPr>
          <w:rFonts w:hint="eastAsia" w:ascii="宋体" w:hAnsi="宋体" w:eastAsia="宋体"/>
          <w:b/>
          <w:bCs/>
          <w:sz w:val="24"/>
          <w:szCs w:val="24"/>
        </w:rPr>
      </w:r>
      <w:r/>
    </w:p>
    <w:p>
      <w:pPr>
        <w:pStyle w:val="678"/>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4.3</w:t>
      </w:r>
      <w:r>
        <w:rPr>
          <w:rFonts w:hint="eastAsia" w:ascii="宋体" w:hAnsi="宋体" w:eastAsia="宋体"/>
          <w:b/>
          <w:bCs/>
          <w:sz w:val="24"/>
          <w:szCs w:val="24"/>
        </w:rPr>
        <w:t xml:space="preserve">业务系统建设方案（15分）</w:t>
      </w:r>
      <w:r>
        <w:rPr>
          <w:rFonts w:hint="eastAsia" w:ascii="宋体" w:hAnsi="宋体" w:eastAsia="宋体"/>
          <w:b/>
          <w:bCs/>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对于重要建设功能的业务系统设计和建设能力，内容包括但不限于：（1）新吴苏服办移动端旗舰店；（2）新吴一码通功能；（3）建设项目全流程报批办事指南功能；（4）水土保持业务秒批秒办功能；（5）建筑垃圾一件事功能。</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方案完整，科学合理，设计清晰详细，完全符合本项目需求，且能够提供上述5项全部方案的，得15分；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方案较完整，科学合理性较强，设计较清晰详细，能够符合本项目需求，能够提供上述4-5项方案的，得10分；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方案完整性一般，科学合理性一般，设计清晰详细程度一般，能够符合本项目需求，能够提供上述3-5项方案的，得5分；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方案完整性、科学合理性、设计的清晰详细程度等只能基本满足要求，能够提供上述2-5项方案的，得2分；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提供方案不足2项或无方案的，不得分。</w:t>
      </w:r>
      <w:r>
        <w:rPr>
          <w:rFonts w:hint="eastAsia" w:ascii="宋体" w:hAnsi="宋体" w:eastAsia="宋体" w:cs="仿宋"/>
          <w:sz w:val="24"/>
          <w:szCs w:val="24"/>
        </w:rPr>
      </w:r>
      <w:r/>
    </w:p>
    <w:p>
      <w:pPr>
        <w:pStyle w:val="678"/>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4.4</w:t>
      </w:r>
      <w:r>
        <w:rPr>
          <w:rFonts w:hint="eastAsia" w:ascii="宋体" w:hAnsi="宋体" w:eastAsia="宋体"/>
          <w:b/>
          <w:bCs/>
          <w:sz w:val="24"/>
          <w:szCs w:val="24"/>
        </w:rPr>
        <w:t xml:space="preserve">施工计划和组织方案（8分）</w:t>
      </w:r>
      <w:r>
        <w:rPr>
          <w:rFonts w:hint="eastAsia" w:ascii="宋体" w:hAnsi="宋体" w:eastAsia="宋体"/>
          <w:b/>
          <w:bCs/>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在项目实施阶段的整体计划和组织实施情况，方案应涵盖项目启动至项目完工的各阶段，内容包含但不限于：（1）项目实施进度管理；（2）项目资源配置管理；（3）项目风险管理；（4）项目质量跟踪管控；（5）</w:t>
      </w:r>
      <w:r>
        <w:rPr>
          <w:rFonts w:ascii="宋体" w:hAnsi="宋体" w:eastAsia="宋体" w:cs="仿宋"/>
          <w:sz w:val="24"/>
          <w:szCs w:val="24"/>
        </w:rPr>
        <w:t xml:space="preserve">项目验收与交付管理</w:t>
      </w:r>
      <w:r>
        <w:rPr>
          <w:rFonts w:hint="eastAsia" w:ascii="宋体" w:hAnsi="宋体" w:eastAsia="宋体" w:cs="仿宋"/>
          <w:sz w:val="24"/>
          <w:szCs w:val="24"/>
        </w:rPr>
        <w:t xml:space="preserve">。</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方案完整，科学合理，设计清晰详细，完全符合本项目需求，且能够提供上述5项全部方案的，得8分；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方案较完整，科学合理性较强，设计较清晰详细，能够符合本项目需求，能够提供上述4-5项方案的，得6分；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方案完整性一般，科学合理性一般，设计清晰详细程度一般，能够符合本项目需求，能够提供上述3-5项方案的，得4分；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方案完整性、科学合理性、设计的清晰详细程度等只能基本满足要求，能够提供上述2-5项方案的，得2分；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提供方案不足2项或无方案的，不得分。</w:t>
      </w:r>
      <w:r>
        <w:rPr>
          <w:rFonts w:hint="eastAsia" w:ascii="宋体" w:hAnsi="宋体" w:eastAsia="宋体" w:cs="仿宋"/>
          <w:sz w:val="24"/>
          <w:szCs w:val="24"/>
        </w:rPr>
      </w:r>
      <w:r/>
    </w:p>
    <w:p>
      <w:pPr>
        <w:pStyle w:val="678"/>
        <w:numPr>
          <w:ilvl w:val="0"/>
          <w:numId w:val="0"/>
        </w:numPr>
        <w:spacing w:line="500" w:lineRule="exact"/>
        <w:rPr>
          <w:rFonts w:hint="eastAsia" w:ascii="宋体" w:hAnsi="宋体" w:eastAsia="宋体"/>
          <w:b/>
          <w:bCs/>
          <w:sz w:val="24"/>
          <w:szCs w:val="24"/>
        </w:rPr>
        <w:outlineLvl w:val="2"/>
      </w:pPr>
      <w:r>
        <w:rPr>
          <w:rFonts w:hint="eastAsia" w:ascii="宋体" w:hAnsi="宋体" w:eastAsia="宋体"/>
          <w:b/>
          <w:bCs/>
          <w:sz w:val="24"/>
          <w:szCs w:val="24"/>
          <w:lang w:val="en-US" w:eastAsia="zh-CN"/>
        </w:rPr>
        <w:t xml:space="preserve">4.5</w:t>
      </w:r>
      <w:r>
        <w:rPr>
          <w:rFonts w:hint="eastAsia" w:ascii="宋体" w:hAnsi="宋体" w:eastAsia="宋体"/>
          <w:b/>
          <w:bCs/>
          <w:sz w:val="24"/>
          <w:szCs w:val="24"/>
        </w:rPr>
        <w:t xml:space="preserve">运维服务方案（8分）</w:t>
      </w:r>
      <w:r>
        <w:rPr>
          <w:rFonts w:hint="eastAsia" w:ascii="宋体" w:hAnsi="宋体" w:eastAsia="宋体"/>
          <w:b/>
          <w:bCs/>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考察投标人项目交付后运维服务的质量、响应速度、持续性以及技术支持的专业性，保障系统稳定运行、提升用户体验、支持业务发展等，项目验收应包含但不限于：（1）项目运维服务内容，至少包含日常运维、应急运维、专项运维（如网络、安全、存储、数据库等的运维服务）等；（2）项目运维团队与资源；（3）项目运维流程与管理制度；（4）项目运维服务质量保障；（5）安全与风险管理；（6）服务支持与保障；（7）应急响应与灾难恢复；（8）服务承诺与保障措施。</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方案完整，科学合理，设计清晰详细，完全符合本项目需求，且能够提供上述8项全部方案的，得8分；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方案较完整，科学合理性较强，设计较清晰详细，能够符合本项目需求，能够提供上述6-8项方案的，得6分；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方案完整性一般，科学合理性一般，设计清晰详细程度一般，能够符合本项目需求，能够提供上述4-8项方案的，得4分；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方案完整性、科学合理性、设计的清晰详细程度等只能基本满足要求，能够提供上述2-8项方案的，得2分；</w:t>
      </w:r>
      <w:r>
        <w:rPr>
          <w:rFonts w:hint="eastAsia" w:ascii="宋体" w:hAnsi="宋体" w:eastAsia="宋体" w:cs="仿宋"/>
          <w:sz w:val="24"/>
          <w:szCs w:val="24"/>
        </w:rPr>
      </w:r>
      <w:r/>
    </w:p>
    <w:p>
      <w:pPr>
        <w:pStyle w:val="678"/>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提供方案不足2项或无方案的，不得分。</w:t>
      </w:r>
      <w:r>
        <w:rPr>
          <w:rFonts w:hint="eastAsia" w:ascii="宋体" w:hAnsi="宋体" w:eastAsia="宋体" w:cs="仿宋"/>
          <w:sz w:val="24"/>
          <w:szCs w:val="24"/>
        </w:rPr>
      </w:r>
      <w:r/>
    </w:p>
    <w:p>
      <w:pPr>
        <w:pStyle w:val="678"/>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6"/>
        <w:ind w:firstLine="602"/>
        <w:spacing w:before="0" w:after="0" w:line="500" w:lineRule="exact"/>
        <w:rPr>
          <w:rFonts w:hint="eastAsia" w:cs="Arial"/>
          <w:b/>
          <w:sz w:val="30"/>
          <w:szCs w:val="30"/>
        </w:rPr>
      </w:pPr>
      <w:r/>
      <w:bookmarkStart w:id="196" w:name="_Hlt26955039"/>
      <w:r/>
      <w:bookmarkEnd w:id="196"/>
      <w:r/>
      <w:bookmarkStart w:id="197" w:name="_Toc26554094"/>
      <w:r/>
      <w:bookmarkStart w:id="198" w:name="_Toc49090576"/>
      <w:r/>
      <w:bookmarkStart w:id="199" w:name="_Toc120614282"/>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76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6"/>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6"/>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6"/>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6"/>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6"/>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6"/>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6"/>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6"/>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6"/>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6"/>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项目编号：JSZC-320214-JZCG-G2026-0076</w:t>
      </w:r>
      <w:r>
        <w:rPr>
          <w:rFonts w:hint="eastAsia" w:ascii="黑体" w:hAnsi="华文中宋" w:eastAsia="黑体" w:cs="Times New Roman"/>
          <w:bCs/>
          <w:color w:val="000000"/>
          <w:sz w:val="30"/>
          <w:szCs w:val="30"/>
        </w:rPr>
      </w:r>
      <w:r/>
    </w:p>
    <w:p>
      <w:pPr>
        <w:pStyle w:val="678"/>
        <w:ind w:left="2989" w:hanging="12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项目名称：无锡市新吴区一体化政务服务平台升级项目（四期）</w:t>
      </w:r>
      <w:r>
        <w:rPr>
          <w:rFonts w:hint="eastAsia" w:ascii="黑体" w:hAnsi="华文中宋" w:eastAsia="黑体" w:cs="Times New Roman"/>
          <w:bCs/>
          <w:color w:val="000000"/>
          <w:sz w:val="30"/>
          <w:szCs w:val="30"/>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4"/>
        <w:ind w:firstLine="480"/>
        <w:tabs>
          <w:tab w:val="left" w:pos="360" w:leader="none"/>
        </w:tabs>
        <w:rPr>
          <w:rFonts w:hint="eastAsia"/>
          <w:sz w:val="24"/>
          <w:szCs w:val="24"/>
        </w:rPr>
      </w:pPr>
      <w:r>
        <w:rPr>
          <w:rFonts w:hint="eastAsia"/>
          <w:sz w:val="24"/>
          <w:szCs w:val="24"/>
        </w:rPr>
        <w:t xml:space="preserve">我公司（单位、联</w:t>
      </w:r>
      <w:r>
        <w:rPr>
          <w:rFonts w:hint="eastAsia" w:ascii="Times New Roman" w:hAnsi="Times New Roman" w:eastAsia="宋体" w:cs="Times New Roman"/>
          <w:sz w:val="24"/>
          <w:szCs w:val="24"/>
        </w:rPr>
        <w:t xml:space="preserve">合体）针对JSZC-320214-JZCG-G2026-0076</w:t>
      </w:r>
      <w:r>
        <w:rPr>
          <w:rFonts w:hint="eastAsia" w:ascii="宋体" w:hAnsi="宋体"/>
          <w:bCs/>
          <w:sz w:val="24"/>
          <w:szCs w:val="24"/>
        </w:rPr>
        <w:t xml:space="preserve">项目，兹授权：</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4"/>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4"/>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4"/>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4"/>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4"/>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4"/>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4"/>
        <w:ind w:firstLine="0"/>
        <w:tabs>
          <w:tab w:val="left" w:pos="360" w:leader="none"/>
        </w:tabs>
        <w:rPr>
          <w:rFonts w:hint="eastAsia"/>
          <w:sz w:val="21"/>
          <w:szCs w:val="21"/>
        </w:rPr>
      </w:pPr>
      <w:r>
        <w:rPr>
          <w:rFonts w:hint="eastAsia"/>
          <w:sz w:val="21"/>
          <w:szCs w:val="21"/>
        </w:rPr>
      </w:r>
      <w:r/>
    </w:p>
    <w:p>
      <w:pPr>
        <w:pStyle w:val="764"/>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4"/>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4"/>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4"/>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4"/>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4"/>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JSZC-320214-JZCG-G2026-0076</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8"/>
        <w:ind w:firstLine="560"/>
        <w:jc w:val="center"/>
        <w:spacing w:line="360" w:lineRule="auto"/>
        <w:rPr>
          <w:rFonts w:ascii="黑体" w:eastAsia="黑体"/>
          <w:bCs/>
          <w:color w:val="000000" w:themeColor="text1"/>
          <w:sz w:val="28"/>
          <w:szCs w:val="28"/>
        </w:rPr>
      </w:pPr>
      <w:r>
        <w:rPr>
          <w:rFonts w:ascii="黑体" w:eastAsia="黑体"/>
          <w:bCs/>
          <w:color w:val="000000" w:themeColor="text1"/>
          <w:sz w:val="28"/>
          <w:szCs w:val="28"/>
        </w:rPr>
        <w:t xml:space="preserve">中小企业声明函（服务）</w:t>
      </w:r>
      <w:r>
        <w:rPr>
          <w:rFonts w:ascii="黑体" w:eastAsia="黑体"/>
          <w:bCs/>
          <w:color w:val="000000" w:themeColor="text1"/>
          <w:sz w:val="28"/>
          <w:szCs w:val="28"/>
        </w:rPr>
      </w:r>
      <w:r>
        <w:rPr>
          <w:color w:val="000000" w:themeColor="text1"/>
        </w:rP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rPr>
          <w:rFonts w:hint="eastAsia"/>
        </w:rPr>
      </w:pPr>
      <w:r>
        <w:rPr>
          <w:rFonts w:hint="eastAsia"/>
        </w:rPr>
      </w:r>
      <w:r/>
    </w:p>
    <w:p>
      <w:pPr>
        <w:pStyle w:val="678"/>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705"/>
        <w:jc w:val="both"/>
        <w:rPr>
          <w:rFonts w:hint="eastAsia" w:ascii="黑体" w:eastAsia="黑体"/>
          <w:bCs/>
          <w:color w:val="000000"/>
          <w:sz w:val="28"/>
          <w:szCs w:val="28"/>
          <w:highlight w:val="none"/>
          <w:lang w:eastAsia="zh-CN"/>
        </w:rPr>
      </w:pPr>
      <w:r>
        <w:rPr>
          <w:color w:val="00b050"/>
        </w:rPr>
        <w:br w:type="page" w:clear="all"/>
      </w:r>
      <w:r>
        <w:rPr>
          <w:rFonts w:hint="eastAsia" w:ascii="黑体" w:eastAsia="黑体" w:cs="Times New Roman"/>
          <w:bCs/>
          <w:color w:val="000000"/>
          <w:sz w:val="28"/>
          <w:szCs w:val="28"/>
          <w:highlight w:val="none"/>
        </w:rPr>
        <w:t xml:space="preserve">关于符合本国产品标准的声明函</w:t>
      </w:r>
      <w:r>
        <w:rPr>
          <w:rFonts w:hint="eastAsia" w:ascii="黑体" w:eastAsia="黑体" w:cs="Times New Roman"/>
          <w:bCs/>
          <w:color w:val="000000"/>
          <w:sz w:val="28"/>
          <w:szCs w:val="28"/>
          <w:highlight w:val="none"/>
          <w:lang w:eastAsia="zh-CN"/>
        </w:rPr>
        <w:t xml:space="preserve">（</w:t>
      </w:r>
      <w:r>
        <w:rPr>
          <w:rFonts w:hint="eastAsia" w:ascii="黑体" w:eastAsia="黑体" w:cs="Times New Roman"/>
          <w:bCs/>
          <w:color w:val="000000"/>
          <w:sz w:val="28"/>
          <w:szCs w:val="28"/>
          <w:highlight w:val="none"/>
          <w:lang w:val="en-US" w:eastAsia="zh-CN"/>
        </w:rPr>
        <w:t xml:space="preserve">纯服务项目不用放</w:t>
      </w:r>
      <w:r>
        <w:rPr>
          <w:rFonts w:hint="eastAsia" w:ascii="黑体" w:eastAsia="黑体" w:cs="Times New Roman"/>
          <w:bCs/>
          <w:color w:val="000000"/>
          <w:sz w:val="28"/>
          <w:szCs w:val="28"/>
          <w:highlight w:val="none"/>
          <w:lang w:eastAsia="zh-CN"/>
        </w:rPr>
        <w:t xml:space="preserve">）</w:t>
      </w:r>
      <w:r>
        <w:rPr>
          <w:rFonts w:hint="eastAsia" w:ascii="黑体" w:eastAsia="黑体"/>
          <w:bCs/>
          <w:color w:val="000000"/>
          <w:sz w:val="28"/>
          <w:szCs w:val="28"/>
          <w:highlight w:val="none"/>
          <w:lang w:eastAsia="zh-CN"/>
        </w:rPr>
      </w:r>
      <w:r/>
    </w:p>
    <w:p>
      <w:pPr>
        <w:pStyle w:val="678"/>
        <w:ind w:firstLine="420"/>
        <w:spacing w:line="360" w:lineRule="auto"/>
        <w:rPr>
          <w:color w:val="000000"/>
          <w:highlight w:val="none"/>
        </w:rPr>
      </w:pPr>
      <w:r>
        <w:rPr>
          <w:color w:val="000000"/>
          <w:highlight w:val="none"/>
        </w:rPr>
        <w:t xml:space="preserve"> </w:t>
      </w:r>
      <w:r>
        <w:rPr>
          <w:color w:val="000000"/>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678"/>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678"/>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678"/>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678"/>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678"/>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rPr>
          <w:rFonts w:hint="eastAsia" w:ascii="宋体" w:hAnsi="宋体" w:cs="宋体"/>
          <w:b/>
          <w:color w:val="000000"/>
          <w:sz w:val="18"/>
          <w:szCs w:val="18"/>
          <w:highlight w:val="none"/>
        </w:rPr>
      </w:r>
      <w:r/>
    </w:p>
    <w:p>
      <w:pPr>
        <w:pStyle w:val="678"/>
        <w:spacing w:line="360" w:lineRule="auto"/>
        <w:rPr>
          <w:color w:val="00b050"/>
        </w:rPr>
      </w:pPr>
      <w:r>
        <w:rPr>
          <w:color w:val="00b050"/>
        </w:rPr>
      </w:r>
      <w:r/>
    </w:p>
    <w:p>
      <w:pPr>
        <w:pStyle w:val="755"/>
        <w:rPr>
          <w:color w:val="00b050"/>
        </w:rPr>
      </w:pPr>
      <w:r>
        <w:rPr>
          <w:color w:val="00b050"/>
        </w:rPr>
      </w:r>
      <w:r/>
    </w:p>
    <w:p>
      <w:pPr>
        <w:pStyle w:val="755"/>
        <w:rPr>
          <w:color w:val="00b050"/>
        </w:rPr>
      </w:pPr>
      <w:r>
        <w:rPr>
          <w:color w:val="00b050"/>
        </w:rPr>
      </w:r>
      <w:r/>
    </w:p>
    <w:p>
      <w:pPr>
        <w:pStyle w:val="678"/>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rPr>
        <w:t xml:space="preserve">JSZC-320214-JZCG-G2026-0076</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8"/>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2"/>
          <w:bCs/>
          <w:color w:val="000000"/>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8"/>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8"/>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Times New Roman" w:hAnsi="Times New Roman" w:eastAsia="宋体" w:cs="Times New Roman"/>
          <w:sz w:val="24"/>
          <w:szCs w:val="24"/>
        </w:rPr>
        <w:t xml:space="preserve">JSZC-320214-JZCG-G2026-0076</w:t>
      </w:r>
      <w:r>
        <w:rPr>
          <w:rFonts w:hint="eastAsia" w:ascii="宋体" w:hAnsi="宋体"/>
          <w:sz w:val="24"/>
          <w:szCs w:val="24"/>
        </w:rPr>
        <w:t xml:space="preserve">在此承诺：</w:t>
      </w:r>
      <w:r>
        <w:rPr>
          <w:rFonts w:ascii="宋体" w:hAnsi="宋体"/>
          <w:sz w:val="24"/>
          <w:szCs w:val="24"/>
        </w:rPr>
      </w:r>
      <w:r/>
    </w:p>
    <w:p>
      <w:pPr>
        <w:pStyle w:val="678"/>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67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8"/>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8"/>
        <w:ind w:firstLine="5400"/>
        <w:spacing w:line="480" w:lineRule="auto"/>
        <w:rPr>
          <w:rFonts w:ascii="宋体" w:hAnsi="宋体"/>
          <w:bCs/>
          <w:sz w:val="24"/>
          <w:szCs w:val="24"/>
        </w:rPr>
      </w:pPr>
      <w:r>
        <w:rPr>
          <w:rFonts w:ascii="宋体" w:hAnsi="宋体"/>
          <w:bCs/>
          <w:sz w:val="24"/>
          <w:szCs w:val="24"/>
        </w:rPr>
      </w:r>
      <w:r/>
    </w:p>
    <w:p>
      <w:pPr>
        <w:pStyle w:val="678"/>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rPr>
        <w:t xml:space="preserve">JSZC-320214-JZCG-G2026-0076</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92"/>
              <w:jc w:val="center"/>
              <w:spacing w:line="400" w:lineRule="exact"/>
              <w:rPr>
                <w:rFonts w:hAnsi="宋体"/>
                <w:bCs/>
                <w:color w:val="000000"/>
                <w:szCs w:val="24"/>
              </w:rPr>
            </w:pPr>
            <w:r>
              <w:rPr>
                <w:rFonts w:ascii="Segoe UI" w:hAnsi="Segoe UI" w:eastAsia="Segoe UI" w:cs="Segoe UI"/>
                <w:i w:val="0"/>
                <w:iCs w:val="0"/>
                <w:caps w:val="0"/>
                <w:spacing w:val="0"/>
                <w:sz w:val="21"/>
                <w:szCs w:val="21"/>
              </w:rPr>
              <w:t xml:space="preserve">无锡市新吴区一体化政务服务平台升级项目（四期）</w:t>
            </w:r>
            <w:r>
              <w:rPr>
                <w:rFonts w:hAnsi="宋体"/>
                <w:bCs/>
                <w:color w:val="000000"/>
                <w:szCs w:val="24"/>
              </w:rPr>
            </w:r>
            <w:r/>
          </w:p>
        </w:tc>
        <w:tc>
          <w:tcPr>
            <w:tcW w:w="3188" w:type="dxa"/>
            <w:vAlign w:val="center"/>
            <w:textDirection w:val="lrTb"/>
            <w:noWrap w:val="false"/>
          </w:tcPr>
          <w:p>
            <w:pPr>
              <w:pStyle w:val="792"/>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numPr>
          <w:ilvl w:val="0"/>
          <w:numId w:val="16"/>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7"/>
      <w:r/>
      <w:bookmarkEnd w:id="198"/>
      <w:r/>
      <w:bookmarkEnd w:id="199"/>
      <w:r/>
      <w:bookmarkStart w:id="202" w:name="_Toc120614284"/>
      <w:r>
        <w:rPr>
          <w:rFonts w:hint="eastAsia"/>
          <w:b/>
          <w:sz w:val="28"/>
          <w:szCs w:val="28"/>
        </w:rPr>
      </w:r>
      <w:r/>
    </w:p>
    <w:p>
      <w:pPr>
        <w:pStyle w:val="678"/>
        <w:numPr>
          <w:ilvl w:val="0"/>
          <w:numId w:val="0"/>
        </w:numPr>
        <w:jc w:val="center"/>
        <w:spacing w:line="360" w:lineRule="auto"/>
        <w:rPr>
          <w:rFonts w:ascii="黑体" w:eastAsia="黑体"/>
          <w:bCs/>
          <w:color w:val="000000"/>
          <w:sz w:val="28"/>
          <w:szCs w:val="28"/>
        </w:rPr>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项目编</w:t>
      </w:r>
      <w:r>
        <w:rPr>
          <w:rFonts w:hint="eastAsia" w:ascii="黑体" w:hAnsi="Times New Roman" w:eastAsia="黑体" w:cs="Times New Roman"/>
          <w:bCs/>
          <w:color w:val="000000"/>
          <w:sz w:val="24"/>
          <w:szCs w:val="24"/>
        </w:rPr>
        <w:t xml:space="preserve">号：JSZC-320214-JZCG-G2026-0076</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78"/>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678"/>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678"/>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678"/>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678"/>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678"/>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678"/>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78"/>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78"/>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78"/>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7"/>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78"/>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78"/>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678"/>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678"/>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678"/>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8"/>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gridSpan w:val="9"/>
            <w:tcMar>
              <w:left w:w="15" w:type="dxa"/>
              <w:top w:w="15" w:type="dxa"/>
              <w:right w:w="15" w:type="dxa"/>
              <w:bottom w:w="0" w:type="dxa"/>
            </w:tcMar>
            <w:tcW w:w="9975" w:type="dxa"/>
            <w:vAlign w:val="center"/>
            <w:textDirection w:val="lrTb"/>
            <w:noWrap/>
          </w:tcPr>
          <w:p>
            <w:pPr>
              <w:pStyle w:val="678"/>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678"/>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color w:val="000000"/>
                <w:sz w:val="24"/>
                <w:szCs w:val="24"/>
              </w:rPr>
            </w:r>
            <w:r/>
          </w:p>
        </w:tc>
      </w:tr>
    </w:tbl>
    <w:p>
      <w:pPr>
        <w:pStyle w:val="67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8"/>
        <w:spacing w:line="400" w:lineRule="exact"/>
        <w:rPr>
          <w:rFonts w:hint="eastAsia" w:ascii="宋体" w:hAnsi="宋体"/>
          <w:b/>
          <w:color w:val="000000"/>
        </w:rPr>
        <w:outlineLvl w:val="0"/>
      </w:pPr>
      <w:r>
        <w:rPr>
          <w:rFonts w:hint="eastAsia" w:ascii="宋体" w:hAnsi="宋体"/>
          <w:b/>
          <w:color w:val="000000"/>
        </w:rPr>
      </w:r>
      <w:r/>
    </w:p>
    <w:p>
      <w:pPr>
        <w:pStyle w:val="678"/>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w:t>
      </w:r>
      <w:r>
        <w:rPr>
          <w:rFonts w:hint="eastAsia" w:ascii="宋体"/>
          <w:bCs/>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rPr>
          <w:rFonts w:ascii="宋体"/>
          <w:bCs/>
          <w:color w:val="000000"/>
        </w:rPr>
      </w:r>
      <w:r/>
    </w:p>
    <w:p>
      <w:pPr>
        <w:pStyle w:val="678"/>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678"/>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78"/>
        <w:ind w:firstLine="315"/>
        <w:spacing w:line="400" w:lineRule="exact"/>
        <w:rPr>
          <w:rFonts w:hint="eastAsia" w:ascii="宋体" w:hAnsi="宋体"/>
          <w:bCs/>
          <w:color w:val="000000"/>
          <w:highlight w:val="yellow"/>
        </w:rPr>
        <w:outlineLvl w:val="0"/>
      </w:pPr>
      <w:r>
        <w:rPr>
          <w:rFonts w:hint="eastAsia" w:ascii="宋体" w:hAnsi="宋体"/>
          <w:bCs/>
          <w:color w:val="000000"/>
          <w:highlight w:val="yellow"/>
        </w:rPr>
        <w:t xml:space="preserve">（4）</w:t>
      </w:r>
      <w:r>
        <w:rPr>
          <w:rFonts w:hint="eastAsia" w:ascii="宋体" w:hAnsi="宋体"/>
          <w:bCs/>
          <w:color w:val="000000"/>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highlight w:val="yellow"/>
        </w:rPr>
      </w:r>
      <w:r/>
    </w:p>
    <w:p>
      <w:pPr>
        <w:pStyle w:val="678"/>
        <w:ind w:firstLine="315"/>
        <w:spacing w:line="400" w:lineRule="exact"/>
        <w:rPr>
          <w:rFonts w:hint="eastAsia" w:ascii="宋体" w:hAnsi="宋体"/>
          <w:bCs/>
          <w:color w:val="000000"/>
          <w:highlight w:val="yellow"/>
          <w:u w:val="single"/>
        </w:rPr>
        <w:outlineLvl w:val="0"/>
      </w:pPr>
      <w:r>
        <w:rPr>
          <w:rFonts w:hint="eastAsia" w:ascii="宋体" w:hAnsi="宋体"/>
          <w:bCs/>
          <w:color w:val="000000"/>
          <w:highlight w:val="yellow"/>
          <w:u w:val="single"/>
        </w:rPr>
        <w:t xml:space="preserve">特别注意！！“符合本国产品标准的产品成本之和”是指本项目或采购包中符合本国产品标准的</w:t>
      </w:r>
      <w:r>
        <w:rPr>
          <w:rFonts w:hint="eastAsia" w:ascii="宋体" w:hAnsi="宋体"/>
          <w:b/>
          <w:bCs/>
          <w:color w:val="000000"/>
          <w:highlight w:val="yellow"/>
          <w:u w:val="single"/>
        </w:rPr>
        <w:t xml:space="preserve">货物成本之和</w:t>
      </w:r>
      <w:r>
        <w:rPr>
          <w:rFonts w:hint="eastAsia" w:ascii="宋体" w:hAnsi="宋体"/>
          <w:bCs/>
          <w:color w:val="000000"/>
          <w:highlight w:val="yellow"/>
          <w:u w:val="single"/>
        </w:rPr>
        <w:t xml:space="preserve">；“全部产品成本之和”是指货物或服务项目（或者采购包）中包含的</w:t>
      </w:r>
      <w:r>
        <w:rPr>
          <w:rFonts w:hint="eastAsia" w:ascii="宋体" w:hAnsi="宋体"/>
          <w:b/>
          <w:bCs/>
          <w:color w:val="000000"/>
          <w:highlight w:val="yellow"/>
          <w:u w:val="single"/>
        </w:rPr>
        <w:t xml:space="preserve">全部货物、服务产品的成本之和</w:t>
      </w:r>
      <w:r>
        <w:rPr>
          <w:rFonts w:hint="eastAsia" w:ascii="宋体" w:hAnsi="宋体"/>
          <w:bCs/>
          <w:color w:val="000000"/>
          <w:highlight w:val="yellow"/>
          <w:u w:val="single"/>
        </w:rPr>
        <w:t xml:space="preserve">。</w:t>
      </w:r>
      <w:r>
        <w:rPr>
          <w:rFonts w:hint="eastAsia" w:ascii="宋体" w:hAnsi="宋体"/>
          <w:bCs/>
          <w:color w:val="000000"/>
          <w:highlight w:val="yellow"/>
          <w:u w:val="single"/>
        </w:rPr>
      </w:r>
      <w:r/>
    </w:p>
    <w:p>
      <w:pPr>
        <w:pStyle w:val="678"/>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项目编</w:t>
      </w:r>
      <w:r>
        <w:rPr>
          <w:rFonts w:hint="eastAsia" w:ascii="黑体" w:hAnsi="Times New Roman" w:eastAsia="黑体" w:cs="Times New Roman"/>
          <w:bCs/>
          <w:color w:val="000000"/>
          <w:sz w:val="24"/>
          <w:szCs w:val="24"/>
        </w:rPr>
        <w:t xml:space="preserve">号：JSZC-320214-JZCG-G2026-0076</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8"/>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09389"/>
      <w:r/>
      <w:bookmarkEnd w:id="203"/>
      <w:r/>
      <w:bookmarkStart w:id="204" w:name="_格式2__法定代表人授权书"/>
      <w:r/>
      <w:bookmarkEnd w:id="204"/>
      <w:r/>
      <w:bookmarkStart w:id="205" w:name="_Hlt26955066"/>
      <w:r/>
      <w:bookmarkEnd w:id="205"/>
      <w:r/>
      <w:bookmarkStart w:id="206" w:name="_Hlt26671374"/>
      <w:r/>
      <w:bookmarkEnd w:id="206"/>
      <w:r>
        <w:rPr>
          <w:rFonts w:hint="eastAsia" w:ascii="宋体" w:hAnsi="宋体"/>
          <w:bCs/>
          <w:color w:val="000000"/>
          <w:sz w:val="24"/>
          <w:szCs w:val="24"/>
        </w:rPr>
      </w:r>
      <w:r/>
    </w:p>
    <w:p>
      <w:pPr>
        <w:pStyle w:val="678"/>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spacing w:line="360" w:lineRule="auto"/>
        <w:rPr>
          <w:b/>
          <w:sz w:val="28"/>
          <w:szCs w:val="28"/>
        </w:rPr>
      </w:pPr>
      <w:r>
        <w:rPr>
          <w:rFonts w:ascii="宋体" w:hAnsi="宋体"/>
          <w:bCs/>
          <w:color w:val="000000"/>
          <w:sz w:val="24"/>
          <w:szCs w:val="24"/>
        </w:rPr>
        <w:br w:type="page" w:clear="all"/>
      </w:r>
      <w:r>
        <w:rPr>
          <w:rFonts w:hint="eastAsia"/>
          <w:b/>
          <w:color w:val="0000ff"/>
          <w:sz w:val="28"/>
          <w:szCs w:val="28"/>
        </w:rPr>
        <w:t xml:space="preserve">十一、项目人员配置清单（格式）</w:t>
      </w:r>
      <w:r>
        <w:rPr>
          <w:b/>
          <w:sz w:val="28"/>
          <w:szCs w:val="28"/>
        </w:rPr>
      </w:r>
      <w:r/>
    </w:p>
    <w:p>
      <w:pPr>
        <w:pStyle w:val="678"/>
        <w:spacing w:line="400" w:lineRule="exact"/>
        <w:rPr>
          <w:rFonts w:ascii="黑体" w:eastAsia="黑体"/>
          <w:bCs/>
          <w:color w:val="000000"/>
          <w:sz w:val="28"/>
          <w:szCs w:val="28"/>
        </w:rPr>
      </w:pPr>
      <w:r>
        <w:rPr>
          <w:rFonts w:ascii="黑体" w:eastAsia="黑体"/>
          <w:bCs/>
          <w:color w:val="000000"/>
          <w:sz w:val="28"/>
          <w:szCs w:val="28"/>
        </w:rPr>
      </w:r>
      <w:r/>
    </w:p>
    <w:p>
      <w:pPr>
        <w:pStyle w:val="67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78"/>
        <w:jc w:val="center"/>
        <w:spacing w:line="400" w:lineRule="exact"/>
        <w:rPr>
          <w:rFonts w:ascii="黑体" w:eastAsia="黑体"/>
          <w:bCs/>
          <w:color w:val="000000"/>
          <w:sz w:val="28"/>
          <w:szCs w:val="28"/>
        </w:rPr>
      </w:pPr>
      <w:r>
        <w:rPr>
          <w:rFonts w:ascii="黑体" w:eastAsia="黑体"/>
          <w:bCs/>
          <w:color w:val="000000"/>
          <w:sz w:val="28"/>
          <w:szCs w:val="28"/>
        </w:rPr>
      </w:r>
      <w:r/>
    </w:p>
    <w:p>
      <w:pPr>
        <w:pStyle w:val="678"/>
        <w:rPr>
          <w:rFonts w:hint="eastAsia" w:ascii="黑体" w:hAnsi="Times New Roman" w:eastAsia="黑体" w:cs="Times New Roman"/>
          <w:bCs/>
          <w:color w:val="000000"/>
          <w:sz w:val="24"/>
          <w:szCs w:val="24"/>
        </w:rPr>
      </w:pPr>
      <w:r>
        <w:rPr>
          <w:rFonts w:hint="eastAsia" w:ascii="黑体" w:hAnsi="Times New Roman" w:eastAsia="黑体" w:cs="Times New Roman"/>
          <w:bCs/>
          <w:color w:val="000000"/>
          <w:sz w:val="24"/>
          <w:szCs w:val="24"/>
        </w:rPr>
        <w:t xml:space="preserve">项目编号：JSZC-320214-JZCG-G2026-0076</w:t>
      </w:r>
      <w:r>
        <w:rPr>
          <w:rFonts w:hint="eastAsia" w:ascii="黑体" w:hAnsi="Times New Roman" w:eastAsia="黑体" w:cs="Times New Roman"/>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7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7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7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7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7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bl>
    <w:p>
      <w:pPr>
        <w:pStyle w:val="678"/>
        <w:rPr>
          <w:b/>
          <w:bCs/>
          <w:sz w:val="24"/>
          <w:szCs w:val="24"/>
        </w:rPr>
      </w:pPr>
      <w:r>
        <w:rPr>
          <w:rFonts w:hint="eastAsia" w:ascii="黑体" w:eastAsia="黑体"/>
          <w:bCs/>
          <w:sz w:val="24"/>
          <w:szCs w:val="24"/>
        </w:rPr>
        <w:t xml:space="preserve">投标人名称（盖章）</w:t>
      </w:r>
      <w:r>
        <w:rPr>
          <w:b/>
          <w:bCs/>
          <w:sz w:val="24"/>
          <w:szCs w:val="24"/>
        </w:rPr>
      </w:r>
      <w:r/>
    </w:p>
    <w:p>
      <w:pPr>
        <w:pStyle w:val="678"/>
        <w:rPr>
          <w:rFonts w:hint="eastAsia" w:ascii="宋体" w:hAnsi="宋体"/>
          <w:bCs/>
          <w:color w:val="000000"/>
        </w:rPr>
      </w:pPr>
      <w:r>
        <w:rPr>
          <w:rFonts w:hint="eastAsia" w:ascii="宋体" w:hAnsi="宋体"/>
          <w:bCs/>
          <w:color w:val="000000"/>
        </w:rPr>
      </w:r>
      <w:r/>
    </w:p>
    <w:p>
      <w:pPr>
        <w:pStyle w:val="67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78"/>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１５</w:t>
    </w:r>
    <w:r>
      <w:rPr>
        <w:rFonts w:ascii="宋体" w:hAnsi="宋体"/>
      </w:rPr>
      <w:fldChar w:fldCharType="end"/>
    </w:r>
    <w:r>
      <w:rPr>
        <w:rStyle w:val="750"/>
        <w:rFonts w:ascii="宋体" w:hAnsi="宋体"/>
      </w:rPr>
    </w:r>
    <w:r/>
  </w:p>
  <w:p>
    <w:pPr>
      <w:pStyle w:val="725"/>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2">
    <w:multiLevelType w:val="hybridMultilevel"/>
    <w:lvl w:ilvl="0">
      <w:start w:val="1"/>
      <w:numFmt w:val="chineseCountingThousand"/>
      <w:isLgl w:val="false"/>
      <w:suff w:val="tab"/>
      <w:lvlText w:val="（%1）"/>
      <w:lvlJc w:val="left"/>
      <w:pPr>
        <w:pStyle w:val="678"/>
        <w:ind w:left="4247" w:hanging="420"/>
      </w:pPr>
      <w:rPr>
        <w:rFonts w:hint="eastAsia"/>
      </w:rPr>
    </w:lvl>
    <w:lvl w:ilvl="1">
      <w:start w:val="1"/>
      <w:numFmt w:val="decimal"/>
      <w:isLgl w:val="false"/>
      <w:suff w:val="space"/>
      <w:lvlText w:val="%2."/>
      <w:lvlJc w:val="left"/>
      <w:pPr>
        <w:pStyle w:val="678"/>
        <w:ind w:left="1262" w:hanging="360"/>
      </w:pPr>
    </w:lvl>
    <w:lvl w:ilvl="2">
      <w:start w:val="1"/>
      <w:numFmt w:val="lowerRoman"/>
      <w:isLgl w:val="false"/>
      <w:suff w:val="tab"/>
      <w:lvlText w:val="%3."/>
      <w:lvlJc w:val="right"/>
      <w:pPr>
        <w:pStyle w:val="678"/>
        <w:ind w:left="1742" w:hanging="420"/>
      </w:pPr>
    </w:lvl>
    <w:lvl w:ilvl="3">
      <w:start w:val="1"/>
      <w:numFmt w:val="decimal"/>
      <w:isLgl w:val="false"/>
      <w:suff w:val="tab"/>
      <w:lvlText w:val="%4."/>
      <w:lvlJc w:val="left"/>
      <w:pPr>
        <w:pStyle w:val="678"/>
        <w:ind w:left="2162" w:hanging="420"/>
      </w:pPr>
    </w:lvl>
    <w:lvl w:ilvl="4">
      <w:start w:val="1"/>
      <w:numFmt w:val="lowerLetter"/>
      <w:isLgl w:val="false"/>
      <w:suff w:val="tab"/>
      <w:lvlText w:val="%5)"/>
      <w:lvlJc w:val="left"/>
      <w:pPr>
        <w:pStyle w:val="678"/>
        <w:ind w:left="2582" w:hanging="420"/>
      </w:pPr>
    </w:lvl>
    <w:lvl w:ilvl="5">
      <w:start w:val="1"/>
      <w:numFmt w:val="lowerRoman"/>
      <w:isLgl w:val="false"/>
      <w:suff w:val="tab"/>
      <w:lvlText w:val="%6."/>
      <w:lvlJc w:val="right"/>
      <w:pPr>
        <w:pStyle w:val="678"/>
        <w:ind w:left="3002" w:hanging="420"/>
      </w:pPr>
    </w:lvl>
    <w:lvl w:ilvl="6">
      <w:start w:val="1"/>
      <w:numFmt w:val="decimal"/>
      <w:isLgl w:val="false"/>
      <w:suff w:val="tab"/>
      <w:lvlText w:val="%7."/>
      <w:lvlJc w:val="left"/>
      <w:pPr>
        <w:pStyle w:val="678"/>
        <w:ind w:left="3422" w:hanging="420"/>
      </w:pPr>
    </w:lvl>
    <w:lvl w:ilvl="7">
      <w:start w:val="1"/>
      <w:numFmt w:val="lowerLetter"/>
      <w:isLgl w:val="false"/>
      <w:suff w:val="tab"/>
      <w:lvlText w:val="%8)"/>
      <w:lvlJc w:val="left"/>
      <w:pPr>
        <w:pStyle w:val="678"/>
        <w:ind w:left="3842" w:hanging="420"/>
      </w:pPr>
    </w:lvl>
    <w:lvl w:ilvl="8">
      <w:start w:val="1"/>
      <w:numFmt w:val="lowerRoman"/>
      <w:isLgl w:val="false"/>
      <w:suff w:val="tab"/>
      <w:lvlText w:val="%9."/>
      <w:lvlJc w:val="right"/>
      <w:pPr>
        <w:pStyle w:val="678"/>
        <w:ind w:left="4262" w:hanging="420"/>
      </w:pPr>
    </w:lvl>
  </w:abstractNum>
  <w:abstractNum w:abstractNumId="3">
    <w:multiLevelType w:val="hybridMultilevel"/>
    <w:lvl w:ilvl="0">
      <w:start w:val="1"/>
      <w:numFmt w:val="decimal"/>
      <w:isLgl w:val="false"/>
      <w:suff w:val="tab"/>
      <w:lvlText w:val="%1."/>
      <w:lvlJc w:val="left"/>
      <w:pPr>
        <w:pStyle w:val="678"/>
        <w:ind w:left="425" w:hanging="425"/>
      </w:pPr>
    </w:lvl>
    <w:lvl w:ilvl="1">
      <w:start w:val="1"/>
      <w:numFmt w:val="decimal"/>
      <w:isLgl w:val="false"/>
      <w:suff w:val="space"/>
      <w:lvlText w:val="5.%2"/>
      <w:lvlJc w:val="left"/>
      <w:pPr>
        <w:pStyle w:val="678"/>
        <w:ind w:left="567" w:hanging="567"/>
      </w:pPr>
      <w:rPr>
        <w:rFonts w:hint="eastAsia" w:ascii="宋体" w:hAnsi="宋体" w:eastAsia="宋体"/>
        <w:b/>
        <w:bCs w:val="0"/>
        <w:sz w:val="24"/>
        <w:szCs w:val="24"/>
      </w:rPr>
    </w:lvl>
    <w:lvl w:ilvl="2">
      <w:start w:val="1"/>
      <w:numFmt w:val="decimal"/>
      <w:isLgl w:val="false"/>
      <w:suff w:val="tab"/>
      <w:lvlText w:val="%1.%2.%3."/>
      <w:lvlJc w:val="left"/>
      <w:pPr>
        <w:pStyle w:val="678"/>
        <w:ind w:left="709" w:hanging="709"/>
      </w:pPr>
    </w:lvl>
    <w:lvl w:ilvl="3">
      <w:start w:val="1"/>
      <w:numFmt w:val="decimal"/>
      <w:isLgl w:val="false"/>
      <w:suff w:val="tab"/>
      <w:lvlText w:val="%1.%2.%3.%4."/>
      <w:lvlJc w:val="left"/>
      <w:pPr>
        <w:pStyle w:val="678"/>
        <w:ind w:left="850" w:hanging="850"/>
      </w:pPr>
    </w:lvl>
    <w:lvl w:ilvl="4">
      <w:start w:val="1"/>
      <w:numFmt w:val="decimal"/>
      <w:isLgl w:val="false"/>
      <w:suff w:val="tab"/>
      <w:lvlText w:val="%1.%2.%3.%4.%5."/>
      <w:lvlJc w:val="left"/>
      <w:pPr>
        <w:pStyle w:val="678"/>
        <w:ind w:left="991" w:hanging="991"/>
      </w:pPr>
    </w:lvl>
    <w:lvl w:ilvl="5">
      <w:start w:val="1"/>
      <w:numFmt w:val="decimal"/>
      <w:isLgl w:val="false"/>
      <w:suff w:val="tab"/>
      <w:lvlText w:val="%1.%2.%3.%4.%5.%6."/>
      <w:lvlJc w:val="left"/>
      <w:pPr>
        <w:pStyle w:val="678"/>
        <w:ind w:left="1134" w:hanging="1134"/>
      </w:pPr>
    </w:lvl>
    <w:lvl w:ilvl="6">
      <w:start w:val="1"/>
      <w:numFmt w:val="decimal"/>
      <w:isLgl w:val="false"/>
      <w:suff w:val="tab"/>
      <w:lvlText w:val="%1.%2.%3.%4.%5.%6.%7."/>
      <w:lvlJc w:val="left"/>
      <w:pPr>
        <w:pStyle w:val="678"/>
        <w:ind w:left="1275" w:hanging="1275"/>
      </w:pPr>
    </w:lvl>
    <w:lvl w:ilvl="7">
      <w:start w:val="1"/>
      <w:numFmt w:val="decimal"/>
      <w:isLgl w:val="false"/>
      <w:suff w:val="tab"/>
      <w:lvlText w:val="%1.%2.%3.%4.%5.%6.%7.%8."/>
      <w:lvlJc w:val="left"/>
      <w:pPr>
        <w:pStyle w:val="678"/>
        <w:ind w:left="1418" w:hanging="1418"/>
      </w:pPr>
    </w:lvl>
    <w:lvl w:ilvl="8">
      <w:start w:val="1"/>
      <w:numFmt w:val="decimal"/>
      <w:isLgl w:val="false"/>
      <w:suff w:val="tab"/>
      <w:lvlText w:val="%1.%2.%3.%4.%5.%6.%7.%8.%9."/>
      <w:lvlJc w:val="left"/>
      <w:pPr>
        <w:pStyle w:val="678"/>
        <w:ind w:left="1558" w:hanging="1558"/>
      </w:p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8"/>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4.2.%1"/>
      <w:lvlJc w:val="left"/>
      <w:pPr>
        <w:pStyle w:val="678"/>
        <w:ind w:left="900" w:hanging="420"/>
      </w:pPr>
      <w:rPr>
        <w:rFonts w:hint="eastAsia" w:ascii="宋体" w:hAnsi="宋体" w:eastAsia="宋体"/>
      </w:rPr>
    </w:lvl>
    <w:lvl w:ilvl="1">
      <w:start w:val="1"/>
      <w:numFmt w:val="lowerLetter"/>
      <w:isLgl w:val="false"/>
      <w:suff w:val="tab"/>
      <w:lvlText w:val="%2)"/>
      <w:lvlJc w:val="left"/>
      <w:pPr>
        <w:pStyle w:val="678"/>
        <w:ind w:left="1320" w:hanging="420"/>
      </w:pPr>
    </w:lvl>
    <w:lvl w:ilvl="2">
      <w:start w:val="1"/>
      <w:numFmt w:val="lowerRoman"/>
      <w:isLgl w:val="false"/>
      <w:suff w:val="tab"/>
      <w:lvlText w:val="%3."/>
      <w:lvlJc w:val="right"/>
      <w:pPr>
        <w:pStyle w:val="678"/>
        <w:ind w:left="1740" w:hanging="420"/>
      </w:pPr>
    </w:lvl>
    <w:lvl w:ilvl="3">
      <w:start w:val="1"/>
      <w:numFmt w:val="decimal"/>
      <w:isLgl w:val="false"/>
      <w:suff w:val="tab"/>
      <w:lvlText w:val="%4."/>
      <w:lvlJc w:val="left"/>
      <w:pPr>
        <w:pStyle w:val="678"/>
        <w:ind w:left="2160" w:hanging="420"/>
      </w:pPr>
    </w:lvl>
    <w:lvl w:ilvl="4">
      <w:start w:val="1"/>
      <w:numFmt w:val="lowerLetter"/>
      <w:isLgl w:val="false"/>
      <w:suff w:val="tab"/>
      <w:lvlText w:val="%5)"/>
      <w:lvlJc w:val="left"/>
      <w:pPr>
        <w:pStyle w:val="678"/>
        <w:ind w:left="2580" w:hanging="420"/>
      </w:pPr>
    </w:lvl>
    <w:lvl w:ilvl="5">
      <w:start w:val="1"/>
      <w:numFmt w:val="lowerRoman"/>
      <w:isLgl w:val="false"/>
      <w:suff w:val="tab"/>
      <w:lvlText w:val="%6."/>
      <w:lvlJc w:val="right"/>
      <w:pPr>
        <w:pStyle w:val="678"/>
        <w:ind w:left="3000" w:hanging="420"/>
      </w:pPr>
    </w:lvl>
    <w:lvl w:ilvl="6">
      <w:start w:val="1"/>
      <w:numFmt w:val="decimal"/>
      <w:isLgl w:val="false"/>
      <w:suff w:val="tab"/>
      <w:lvlText w:val="%7."/>
      <w:lvlJc w:val="left"/>
      <w:pPr>
        <w:pStyle w:val="678"/>
        <w:ind w:left="3420" w:hanging="420"/>
      </w:pPr>
    </w:lvl>
    <w:lvl w:ilvl="7">
      <w:start w:val="1"/>
      <w:numFmt w:val="lowerLetter"/>
      <w:isLgl w:val="false"/>
      <w:suff w:val="tab"/>
      <w:lvlText w:val="%8)"/>
      <w:lvlJc w:val="left"/>
      <w:pPr>
        <w:pStyle w:val="678"/>
        <w:ind w:left="3840" w:hanging="420"/>
      </w:pPr>
    </w:lvl>
    <w:lvl w:ilvl="8">
      <w:start w:val="1"/>
      <w:numFmt w:val="lowerRoman"/>
      <w:isLgl w:val="false"/>
      <w:suff w:val="tab"/>
      <w:lvlText w:val="%9."/>
      <w:lvlJc w:val="right"/>
      <w:pPr>
        <w:pStyle w:val="678"/>
        <w:ind w:left="4260" w:hanging="420"/>
      </w:pPr>
    </w:lvl>
  </w:abstractNum>
  <w:abstractNum w:abstractNumId="8">
    <w:multiLevelType w:val="hybridMultilevel"/>
    <w:lvl w:ilvl="0">
      <w:start w:val="1"/>
      <w:numFmt w:val="decimal"/>
      <w:pStyle w:val="775"/>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0">
    <w:multiLevelType w:val="hybridMultilevel"/>
    <w:lvl w:ilvl="0">
      <w:start w:val="9"/>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color w:val="000000" w:themeColor="text1"/>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right"/>
      <w:pPr>
        <w:pStyle w:val="678"/>
        <w:ind w:left="900" w:hanging="420"/>
      </w:pPr>
      <w:rPr>
        <w:rFonts w:hint="eastAsia"/>
      </w:rPr>
    </w:lvl>
    <w:lvl w:ilvl="1">
      <w:start w:val="1"/>
      <w:numFmt w:val="lowerLetter"/>
      <w:isLgl w:val="false"/>
      <w:suff w:val="tab"/>
      <w:lvlText w:val="%2)"/>
      <w:lvlJc w:val="left"/>
      <w:pPr>
        <w:pStyle w:val="678"/>
        <w:ind w:left="1320" w:hanging="420"/>
      </w:pPr>
    </w:lvl>
    <w:lvl w:ilvl="2">
      <w:start w:val="1"/>
      <w:numFmt w:val="lowerRoman"/>
      <w:isLgl w:val="false"/>
      <w:suff w:val="tab"/>
      <w:lvlText w:val="%3."/>
      <w:lvlJc w:val="right"/>
      <w:pPr>
        <w:pStyle w:val="678"/>
        <w:ind w:left="1740" w:hanging="420"/>
      </w:pPr>
    </w:lvl>
    <w:lvl w:ilvl="3">
      <w:start w:val="1"/>
      <w:numFmt w:val="decimal"/>
      <w:isLgl w:val="false"/>
      <w:suff w:val="tab"/>
      <w:lvlText w:val="%4."/>
      <w:lvlJc w:val="left"/>
      <w:pPr>
        <w:pStyle w:val="678"/>
        <w:ind w:left="2160" w:hanging="420"/>
      </w:pPr>
    </w:lvl>
    <w:lvl w:ilvl="4">
      <w:start w:val="1"/>
      <w:numFmt w:val="lowerLetter"/>
      <w:isLgl w:val="false"/>
      <w:suff w:val="tab"/>
      <w:lvlText w:val="%5)"/>
      <w:lvlJc w:val="left"/>
      <w:pPr>
        <w:pStyle w:val="678"/>
        <w:ind w:left="2580" w:hanging="420"/>
      </w:pPr>
    </w:lvl>
    <w:lvl w:ilvl="5">
      <w:start w:val="1"/>
      <w:numFmt w:val="lowerRoman"/>
      <w:isLgl w:val="false"/>
      <w:suff w:val="tab"/>
      <w:lvlText w:val="%6."/>
      <w:lvlJc w:val="right"/>
      <w:pPr>
        <w:pStyle w:val="678"/>
        <w:ind w:left="3000" w:hanging="420"/>
      </w:pPr>
    </w:lvl>
    <w:lvl w:ilvl="6">
      <w:start w:val="1"/>
      <w:numFmt w:val="decimal"/>
      <w:isLgl w:val="false"/>
      <w:suff w:val="tab"/>
      <w:lvlText w:val="%7."/>
      <w:lvlJc w:val="left"/>
      <w:pPr>
        <w:pStyle w:val="678"/>
        <w:ind w:left="3420" w:hanging="420"/>
      </w:pPr>
    </w:lvl>
    <w:lvl w:ilvl="7">
      <w:start w:val="1"/>
      <w:numFmt w:val="lowerLetter"/>
      <w:isLgl w:val="false"/>
      <w:suff w:val="tab"/>
      <w:lvlText w:val="%8)"/>
      <w:lvlJc w:val="left"/>
      <w:pPr>
        <w:pStyle w:val="678"/>
        <w:ind w:left="3840" w:hanging="420"/>
      </w:pPr>
    </w:lvl>
    <w:lvl w:ilvl="8">
      <w:start w:val="1"/>
      <w:numFmt w:val="lowerRoman"/>
      <w:isLgl w:val="false"/>
      <w:suff w:val="tab"/>
      <w:lvlText w:val="%9."/>
      <w:lvlJc w:val="right"/>
      <w:pPr>
        <w:pStyle w:val="678"/>
        <w:ind w:left="4260" w:hanging="420"/>
      </w:pPr>
    </w:lvl>
  </w:abstractNum>
  <w:num w:numId="1">
    <w:abstractNumId w:val="9"/>
  </w:num>
  <w:num w:numId="2">
    <w:abstractNumId w:val="5"/>
  </w:num>
  <w:num w:numId="3">
    <w:abstractNumId w:val="8"/>
  </w:num>
  <w:num w:numId="4">
    <w:abstractNumId w:val="14"/>
  </w:num>
  <w:num w:numId="5">
    <w:abstractNumId w:val="2"/>
  </w:num>
  <w:num w:numId="6">
    <w:abstractNumId w:val="15"/>
  </w:num>
  <w:num w:numId="7">
    <w:abstractNumId w:val="7"/>
  </w:num>
  <w:num w:numId="8">
    <w:abstractNumId w:val="3"/>
  </w:num>
  <w:num w:numId="9">
    <w:abstractNumId w:val="6"/>
  </w:num>
  <w:num w:numId="10">
    <w:abstractNumId w:val="1"/>
  </w:num>
  <w:num w:numId="11">
    <w:abstractNumId w:val="11"/>
  </w:num>
  <w:num w:numId="12">
    <w:abstractNumId w:val="4"/>
  </w:num>
  <w:num w:numId="13">
    <w:abstractNumId w:val="13"/>
  </w:num>
  <w:num w:numId="14">
    <w:abstractNumId w:val="0"/>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78"/>
    <w:link w:val="691"/>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78"/>
    <w:link w:val="692"/>
    <w:qFormat/>
    <w:pPr>
      <w:keepLines/>
      <w:keepNext/>
      <w:spacing w:before="260" w:after="260" w:line="416" w:lineRule="auto"/>
      <w:outlineLvl w:val="2"/>
    </w:pPr>
    <w:rPr>
      <w:b/>
      <w:bCs/>
      <w:sz w:val="32"/>
      <w:szCs w:val="32"/>
    </w:rPr>
  </w:style>
  <w:style w:type="paragraph" w:styleId="682">
    <w:name w:val="标题 4"/>
    <w:basedOn w:val="678"/>
    <w:next w:val="694"/>
    <w:link w:val="693"/>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4"/>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character" w:styleId="692">
    <w:name w:val="标题 3 Char"/>
    <w:next w:val="692"/>
    <w:link w:val="681"/>
    <w:rPr>
      <w:rFonts w:ascii="Times New Roman" w:hAnsi="Times New Roman" w:eastAsia="宋体" w:cs="Times New Roman"/>
      <w:b/>
      <w:bCs/>
      <w:sz w:val="32"/>
      <w:szCs w:val="32"/>
    </w:rPr>
  </w:style>
  <w:style w:type="character" w:styleId="693">
    <w:name w:val="标题 4 Char"/>
    <w:next w:val="693"/>
    <w:link w:val="682"/>
    <w:rPr>
      <w:rFonts w:ascii="Arial" w:hAnsi="Arial" w:eastAsia="黑体" w:cs="Arial"/>
      <w:b/>
      <w:bCs/>
      <w:sz w:val="28"/>
      <w:szCs w:val="28"/>
    </w:rPr>
  </w:style>
  <w:style w:type="paragraph" w:styleId="694">
    <w:name w:val="正文缩进"/>
    <w:basedOn w:val="678"/>
    <w:next w:val="694"/>
    <w:link w:val="695"/>
    <w:pPr>
      <w:ind w:firstLine="420"/>
    </w:pPr>
    <w:rPr>
      <w:sz w:val="20"/>
    </w:rPr>
  </w:style>
  <w:style w:type="character" w:styleId="695">
    <w:name w:val="正文缩进 Char"/>
    <w:next w:val="695"/>
    <w:link w:val="694"/>
    <w:rPr>
      <w:rFonts w:ascii="Times New Roman" w:hAnsi="Times New Roman" w:eastAsia="宋体" w:cs="Times New Roman"/>
      <w:szCs w:val="21"/>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rPr>
      <w:sz w:val="20"/>
    </w:r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rPr>
      <w:sz w:val="20"/>
    </w:r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1"/>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列表 2"/>
    <w:basedOn w:val="678"/>
    <w:next w:val="713"/>
    <w:link w:val="678"/>
    <w:pPr>
      <w:ind w:left="100" w:hanging="200"/>
    </w:pPr>
  </w:style>
  <w:style w:type="paragraph" w:styleId="714">
    <w:name w:val="目录 5"/>
    <w:basedOn w:val="678"/>
    <w:next w:val="678"/>
    <w:link w:val="678"/>
    <w:semiHidden/>
    <w:pPr>
      <w:ind w:left="840"/>
      <w:jc w:val="left"/>
    </w:pPr>
  </w:style>
  <w:style w:type="paragraph" w:styleId="715">
    <w:name w:val="目录 3"/>
    <w:basedOn w:val="678"/>
    <w:next w:val="678"/>
    <w:link w:val="678"/>
    <w:semiHidden/>
    <w:pPr>
      <w:ind w:left="420"/>
      <w:jc w:val="left"/>
    </w:pPr>
    <w:rPr>
      <w:i/>
      <w:iCs/>
      <w:szCs w:val="24"/>
    </w:rPr>
  </w:style>
  <w:style w:type="paragraph" w:styleId="716">
    <w:name w:val="纯文本"/>
    <w:basedOn w:val="678"/>
    <w:next w:val="716"/>
    <w:link w:val="717"/>
    <w:rPr>
      <w:rFonts w:ascii="宋体" w:hAnsi="Courier New"/>
      <w:sz w:val="20"/>
    </w:rPr>
  </w:style>
  <w:style w:type="character" w:styleId="717">
    <w:name w:val="纯文本 Char"/>
    <w:next w:val="717"/>
    <w:link w:val="716"/>
    <w:rPr>
      <w:rFonts w:ascii="宋体" w:hAnsi="Courier New" w:eastAsia="宋体" w:cs="Courier New"/>
      <w:szCs w:val="21"/>
    </w:rPr>
  </w:style>
  <w:style w:type="paragraph" w:styleId="718">
    <w:name w:val="目录 8"/>
    <w:basedOn w:val="678"/>
    <w:next w:val="678"/>
    <w:link w:val="678"/>
    <w:semiHidden/>
    <w:pPr>
      <w:ind w:left="1470"/>
      <w:jc w:val="left"/>
    </w:pPr>
  </w:style>
  <w:style w:type="paragraph" w:styleId="719">
    <w:name w:val="日期"/>
    <w:basedOn w:val="678"/>
    <w:next w:val="678"/>
    <w:link w:val="720"/>
    <w:rPr>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8"/>
    <w:next w:val="721"/>
    <w:link w:val="722"/>
    <w:pPr>
      <w:ind w:left="630" w:firstLine="645"/>
    </w:pPr>
    <w:rPr>
      <w:rFonts w:ascii="Arial" w:hAnsi="Arial" w:eastAsia="仿宋_GB2312"/>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8"/>
    <w:next w:val="723"/>
    <w:link w:val="724"/>
    <w:semiHidden/>
    <w:rPr>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8"/>
    <w:next w:val="725"/>
    <w:link w:val="726"/>
    <w:pPr>
      <w:jc w:val="left"/>
      <w:tabs>
        <w:tab w:val="center" w:pos="4153" w:leader="none"/>
        <w:tab w:val="right" w:pos="8306" w:leader="none"/>
      </w:tabs>
    </w:pPr>
    <w:rPr>
      <w:sz w:val="18"/>
      <w:szCs w:val="18"/>
    </w:rPr>
  </w:style>
  <w:style w:type="character" w:styleId="726">
    <w:name w:val="页脚 Char"/>
    <w:next w:val="726"/>
    <w:link w:val="725"/>
    <w:rPr>
      <w:rFonts w:ascii="Times New Roman" w:hAnsi="Times New Roman" w:eastAsia="宋体" w:cs="Times New Roman"/>
      <w:sz w:val="18"/>
      <w:szCs w:val="18"/>
    </w:rPr>
  </w:style>
  <w:style w:type="paragraph" w:styleId="727">
    <w:name w:val="页眉"/>
    <w:basedOn w:val="678"/>
    <w:next w:val="727"/>
    <w:link w:val="728"/>
    <w:uiPriority w:val="99"/>
    <w:qFormat/>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uiPriority w:val="99"/>
    <w:qFormat/>
    <w:rPr>
      <w:rFonts w:ascii="Times New Roman" w:hAnsi="Times New Roman" w:eastAsia="宋体" w:cs="Times New Roman"/>
      <w:sz w:val="18"/>
      <w:szCs w:val="18"/>
    </w:rPr>
  </w:style>
  <w:style w:type="paragraph" w:styleId="729">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0">
    <w:name w:val="目录 4"/>
    <w:basedOn w:val="678"/>
    <w:next w:val="678"/>
    <w:link w:val="678"/>
    <w:semiHidden/>
    <w:pPr>
      <w:ind w:left="630"/>
      <w:jc w:val="left"/>
    </w:pPr>
  </w:style>
  <w:style w:type="paragraph" w:styleId="731">
    <w:name w:val="列表"/>
    <w:basedOn w:val="678"/>
    <w:next w:val="731"/>
    <w:link w:val="678"/>
    <w:pPr>
      <w:ind w:left="200" w:hanging="200"/>
    </w:pPr>
  </w:style>
  <w:style w:type="paragraph" w:styleId="732">
    <w:name w:val="目录 6"/>
    <w:basedOn w:val="678"/>
    <w:next w:val="678"/>
    <w:link w:val="678"/>
    <w:semiHidden/>
    <w:pPr>
      <w:ind w:left="1050"/>
      <w:jc w:val="left"/>
    </w:pPr>
  </w:style>
  <w:style w:type="paragraph" w:styleId="733">
    <w:name w:val="正文文本缩进 3"/>
    <w:basedOn w:val="678"/>
    <w:next w:val="733"/>
    <w:link w:val="734"/>
    <w:pPr>
      <w:ind w:left="645" w:firstLine="645"/>
    </w:pPr>
    <w:rPr>
      <w:rFonts w:ascii="Arial" w:hAnsi="Arial" w:eastAsia="仿宋_GB2312"/>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8"/>
    <w:next w:val="678"/>
    <w:link w:val="678"/>
    <w:semiHidden/>
    <w:pPr>
      <w:ind w:left="840" w:hanging="420"/>
    </w:pPr>
  </w:style>
  <w:style w:type="paragraph" w:styleId="736">
    <w:name w:val="目录 2"/>
    <w:basedOn w:val="678"/>
    <w:next w:val="678"/>
    <w:link w:val="678"/>
    <w:semiHidden/>
    <w:pPr>
      <w:ind w:left="210"/>
      <w:jc w:val="left"/>
    </w:pPr>
    <w:rPr>
      <w:smallCaps/>
      <w:szCs w:val="24"/>
    </w:rPr>
  </w:style>
  <w:style w:type="paragraph" w:styleId="737">
    <w:name w:val="目录 9"/>
    <w:basedOn w:val="678"/>
    <w:next w:val="678"/>
    <w:link w:val="678"/>
    <w:semiHidden/>
    <w:pPr>
      <w:ind w:left="1680"/>
      <w:jc w:val="left"/>
    </w:pPr>
  </w:style>
  <w:style w:type="paragraph" w:styleId="738">
    <w:name w:val="正文文本 2"/>
    <w:basedOn w:val="678"/>
    <w:next w:val="738"/>
    <w:link w:val="739"/>
    <w:pPr>
      <w:jc w:val="center"/>
      <w:widowControl/>
    </w:pPr>
    <w:rPr>
      <w:rFonts w:ascii="楷体_GB2312" w:eastAsia="楷体_GB2312"/>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8"/>
    <w:next w:val="740"/>
    <w:link w:val="678"/>
    <w:uiPriority w:val="99"/>
    <w:pPr>
      <w:jc w:val="left"/>
      <w:spacing w:before="100" w:beforeAutospacing="1" w:after="100" w:afterAutospacing="1"/>
      <w:widowControl/>
    </w:pPr>
    <w:rPr>
      <w:rFonts w:ascii="宋体" w:hAnsi="宋体" w:cs="宋体"/>
      <w:sz w:val="24"/>
      <w:szCs w:val="24"/>
    </w:rPr>
  </w:style>
  <w:style w:type="paragraph" w:styleId="741">
    <w:name w:val="索引 1"/>
    <w:basedOn w:val="678"/>
    <w:next w:val="678"/>
    <w:link w:val="678"/>
    <w:semiHidden/>
    <w:pPr>
      <w:spacing w:line="240" w:lineRule="atLeast"/>
    </w:pPr>
    <w:rPr>
      <w:b/>
      <w:bCs/>
    </w:rPr>
  </w:style>
  <w:style w:type="paragraph" w:styleId="742">
    <w:name w:val="批注主题"/>
    <w:basedOn w:val="705"/>
    <w:next w:val="705"/>
    <w:link w:val="743"/>
    <w:semiHidden/>
    <w:rPr>
      <w:b/>
      <w:bCs/>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8"/>
    <w:next w:val="744"/>
    <w:link w:val="745"/>
    <w:pPr>
      <w:ind w:firstLine="200"/>
      <w:spacing w:line="360" w:lineRule="auto"/>
    </w:pPr>
    <w:rPr>
      <w:rFonts w:ascii="仿宋_GB2312" w:eastAsia="仿宋_GB2312"/>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firstLine="420"/>
      <w:spacing w:line="360" w:lineRule="auto"/>
    </w:pPr>
    <w:rPr>
      <w:rFonts w:ascii="宋体" w:hAnsi="宋体" w:eastAsia="宋体"/>
      <w:szCs w:val="20"/>
    </w:rPr>
  </w:style>
  <w:style w:type="character" w:styleId="747">
    <w:name w:val="正文首行缩进 2 Char"/>
    <w:next w:val="747"/>
    <w:link w:val="746"/>
    <w:rPr>
      <w:rFonts w:ascii="宋体" w:hAnsi="宋体" w:eastAsia="宋体" w:cs="Times New Roman"/>
      <w:sz w:val="32"/>
      <w:szCs w:val="20"/>
    </w:rPr>
  </w:style>
  <w:style w:type="table" w:styleId="748">
    <w:name w:val="网格型"/>
    <w:basedOn w:val="689"/>
    <w:next w:val="748"/>
    <w:link w:val="678"/>
    <w:pPr>
      <w:jc w:val="both"/>
      <w:widowControl w:val="off"/>
    </w:pPr>
    <w:rPr>
      <w:rFonts w:ascii="Times New Roman" w:hAnsi="Times New Roman" w:eastAsia="宋体" w:cs="Times New Roman"/>
      <w:sz w:val="20"/>
      <w:szCs w:val="20"/>
    </w:rPr>
    <w:tblPr/>
  </w:style>
  <w:style w:type="character" w:styleId="749">
    <w:name w:val="要点"/>
    <w:next w:val="749"/>
    <w:link w:val="678"/>
    <w:qFormat/>
    <w:rPr>
      <w:b/>
      <w:bCs/>
    </w:rPr>
  </w:style>
  <w:style w:type="character" w:styleId="750">
    <w:name w:val="页码"/>
    <w:next w:val="750"/>
    <w:link w:val="678"/>
  </w:style>
  <w:style w:type="character" w:styleId="751">
    <w:name w:val="已访问的超链接"/>
    <w:next w:val="751"/>
    <w:link w:val="678"/>
    <w:rPr>
      <w:color w:val="800080"/>
      <w:u w:val="single"/>
    </w:rPr>
  </w:style>
  <w:style w:type="character" w:styleId="752">
    <w:name w:val="HTML 打字机"/>
    <w:next w:val="752"/>
    <w:link w:val="678"/>
    <w:uiPriority w:val="99"/>
    <w:rPr>
      <w:rFonts w:ascii="宋体" w:hAnsi="宋体" w:eastAsia="宋体" w:cs="宋体"/>
      <w:sz w:val="24"/>
      <w:szCs w:val="24"/>
    </w:rPr>
  </w:style>
  <w:style w:type="character" w:styleId="753">
    <w:name w:val="超链接"/>
    <w:next w:val="753"/>
    <w:link w:val="678"/>
    <w:rPr>
      <w:color w:val="0000ff"/>
      <w:u w:val="single"/>
    </w:rPr>
  </w:style>
  <w:style w:type="character" w:styleId="754">
    <w:name w:val="批注引用"/>
    <w:basedOn w:val="688"/>
    <w:next w:val="754"/>
    <w:link w:val="678"/>
    <w:semiHidden/>
    <w:rPr>
      <w:sz w:val="21"/>
      <w:szCs w:val="21"/>
    </w:rPr>
  </w:style>
  <w:style w:type="paragraph" w:styleId="755">
    <w:name w:val="正文文本1"/>
    <w:basedOn w:val="678"/>
    <w:next w:val="755"/>
    <w:link w:val="678"/>
    <w:qFormat/>
    <w:rPr>
      <w:rFonts w:ascii="楷体_GB2312" w:hAnsi="Arial" w:eastAsia="楷体_GB2312"/>
      <w:sz w:val="28"/>
      <w:szCs w:val="28"/>
    </w:rPr>
  </w:style>
  <w:style w:type="character" w:styleId="756">
    <w:name w:val="font5 Char"/>
    <w:next w:val="756"/>
    <w:link w:val="678"/>
    <w:rPr>
      <w:rFonts w:ascii="宋体" w:hAnsi="宋体" w:eastAsia="宋体"/>
      <w:sz w:val="28"/>
      <w:szCs w:val="28"/>
      <w:lang w:val="en-US" w:eastAsia="zh-CN" w:bidi="ar-SA"/>
    </w:rPr>
  </w:style>
  <w:style w:type="character" w:styleId="757">
    <w:name w:val="二级目录 Char"/>
    <w:next w:val="757"/>
    <w:link w:val="758"/>
    <w:rPr>
      <w:b/>
      <w:sz w:val="30"/>
      <w:szCs w:val="28"/>
      <w:lang w:val="en-US" w:eastAsia="zh-CN" w:bidi="ar-SA"/>
    </w:rPr>
  </w:style>
  <w:style w:type="paragraph" w:styleId="758">
    <w:name w:val="二级目录"/>
    <w:next w:val="678"/>
    <w:link w:val="757"/>
    <w:pPr>
      <w:numPr>
        <w:ilvl w:val="0"/>
        <w:numId w:val="2"/>
      </w:numPr>
      <w:tabs>
        <w:tab w:val="left" w:pos="907" w:leader="none"/>
        <w:tab w:val="left" w:pos="1145" w:leader="none"/>
      </w:tabs>
      <w:outlineLvl w:val="1"/>
    </w:pPr>
    <w:rPr>
      <w:b/>
      <w:sz w:val="30"/>
      <w:szCs w:val="28"/>
      <w:lang w:val="en-US" w:eastAsia="zh-CN" w:bidi="ar-SA"/>
    </w:rPr>
  </w:style>
  <w:style w:type="character" w:styleId="759">
    <w:name w:val="列出段落 Char,Bullet List Char,numbered Char,FooterText Char,List Paragraph1 Char,Paragraphe de liste1 Char"/>
    <w:next w:val="759"/>
    <w:link w:val="760"/>
    <w:rPr>
      <w:rFonts w:ascii="Calibri" w:hAnsi="Calibri"/>
      <w:sz w:val="24"/>
      <w:szCs w:val="24"/>
      <w:lang w:eastAsia="en-US" w:bidi="en-US"/>
    </w:rPr>
  </w:style>
  <w:style w:type="paragraph" w:styleId="760">
    <w:name w:val="列出段落1"/>
    <w:basedOn w:val="678"/>
    <w:next w:val="760"/>
    <w:link w:val="759"/>
    <w:qFormat/>
    <w:pPr>
      <w:contextualSpacing/>
      <w:ind w:left="720"/>
      <w:jc w:val="left"/>
      <w:widowControl/>
    </w:pPr>
    <w:rPr>
      <w:rFonts w:ascii="Calibri" w:hAnsi="Calibri"/>
      <w:sz w:val="24"/>
      <w:szCs w:val="24"/>
      <w:lang w:eastAsia="en-US" w:bidi="en-US"/>
    </w:rPr>
  </w:style>
  <w:style w:type="paragraph" w:styleId="761">
    <w:name w:val="Body Text(ch)"/>
    <w:basedOn w:val="678"/>
    <w:next w:val="709"/>
    <w:link w:val="678"/>
    <w:pPr>
      <w:spacing w:after="120"/>
    </w:pPr>
    <w:rPr>
      <w:rFonts w:ascii="宋体" w:hAnsi="Arial"/>
      <w:bCs/>
      <w:iCs/>
      <w:szCs w:val="24"/>
    </w:rPr>
  </w:style>
  <w:style w:type="paragraph" w:styleId="762">
    <w:name w:val="xl27"/>
    <w:basedOn w:val="678"/>
    <w:next w:val="762"/>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3">
    <w:name w:val="xl26"/>
    <w:basedOn w:val="678"/>
    <w:next w:val="763"/>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name w:val="Char"/>
    <w:basedOn w:val="678"/>
    <w:next w:val="764"/>
    <w:link w:val="678"/>
    <w:pPr>
      <w:ind w:firstLine="200"/>
      <w:tabs>
        <w:tab w:val="left" w:pos="360" w:leader="none"/>
      </w:tabs>
    </w:pPr>
    <w:rPr>
      <w:sz w:val="28"/>
      <w:szCs w:val="30"/>
    </w:rPr>
  </w:style>
  <w:style w:type="paragraph" w:styleId="765">
    <w:name w:val=" Char"/>
    <w:basedOn w:val="703"/>
    <w:next w:val="765"/>
    <w:link w:val="678"/>
    <w:rPr>
      <w:rFonts w:ascii="Tahoma" w:hAnsi="Tahoma"/>
      <w:sz w:val="24"/>
      <w:szCs w:val="24"/>
    </w:rPr>
  </w:style>
  <w:style w:type="paragraph" w:styleId="766">
    <w:name w:val="普通正文"/>
    <w:basedOn w:val="678"/>
    <w:next w:val="766"/>
    <w:link w:val="678"/>
    <w:pPr>
      <w:ind w:firstLine="480"/>
      <w:jc w:val="left"/>
      <w:spacing w:before="120" w:after="120" w:line="360" w:lineRule="auto"/>
    </w:pPr>
    <w:rPr>
      <w:rFonts w:ascii="Arial" w:hAnsi="Arial"/>
      <w:sz w:val="24"/>
      <w:szCs w:val="24"/>
    </w:rPr>
  </w:style>
  <w:style w:type="paragraph" w:styleId="767">
    <w:name w:val="table_lines"/>
    <w:basedOn w:val="678"/>
    <w:next w:val="767"/>
    <w:link w:val="678"/>
    <w:pPr>
      <w:jc w:val="left"/>
      <w:widowControl/>
    </w:pPr>
    <w:rPr>
      <w:sz w:val="20"/>
      <w:szCs w:val="20"/>
      <w:lang w:val="de-DE" w:eastAsia="de-DE"/>
    </w:rPr>
  </w:style>
  <w:style w:type="paragraph" w:styleId="768">
    <w:name w:val="附录1"/>
    <w:next w:val="768"/>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9">
    <w:name w:val="font7"/>
    <w:basedOn w:val="678"/>
    <w:next w:val="769"/>
    <w:link w:val="678"/>
    <w:pPr>
      <w:jc w:val="left"/>
      <w:spacing w:before="100" w:beforeAutospacing="1" w:after="100" w:afterAutospacing="1"/>
      <w:widowControl/>
    </w:pPr>
    <w:rPr>
      <w:rFonts w:hint="eastAsia" w:ascii="宋体" w:hAnsi="宋体"/>
      <w:sz w:val="18"/>
      <w:szCs w:val="18"/>
    </w:rPr>
  </w:style>
  <w:style w:type="paragraph" w:styleId="770">
    <w:name w:val=" Char Char Char Char"/>
    <w:basedOn w:val="703"/>
    <w:next w:val="770"/>
    <w:link w:val="678"/>
    <w:pPr>
      <w:spacing w:line="360" w:lineRule="auto"/>
    </w:pPr>
    <w:rPr>
      <w:rFonts w:ascii="Tahoma" w:hAnsi="Tahoma"/>
      <w:sz w:val="24"/>
      <w:szCs w:val="24"/>
    </w:rPr>
  </w:style>
  <w:style w:type="paragraph" w:styleId="771">
    <w:name w:val="列出段落"/>
    <w:basedOn w:val="678"/>
    <w:next w:val="771"/>
    <w:link w:val="678"/>
    <w:uiPriority w:val="99"/>
    <w:qFormat/>
    <w:pPr>
      <w:contextualSpacing/>
      <w:ind w:left="720"/>
      <w:jc w:val="left"/>
      <w:widowControl/>
    </w:pPr>
    <w:rPr>
      <w:rFonts w:ascii="Calibri" w:hAnsi="Calibri"/>
      <w:sz w:val="24"/>
      <w:szCs w:val="24"/>
      <w:lang w:eastAsia="en-US" w:bidi="en-US"/>
    </w:rPr>
  </w:style>
  <w:style w:type="paragraph" w:styleId="772">
    <w:name w:val="4"/>
    <w:basedOn w:val="678"/>
    <w:next w:val="733"/>
    <w:link w:val="678"/>
    <w:pPr>
      <w:ind w:firstLine="420"/>
      <w:spacing w:line="360" w:lineRule="auto"/>
    </w:pPr>
    <w:rPr>
      <w:color w:val="ff0000"/>
      <w:sz w:val="24"/>
      <w:szCs w:val="24"/>
    </w:rPr>
  </w:style>
  <w:style w:type="paragraph" w:styleId="773">
    <w:name w:val="普通 (Web)"/>
    <w:basedOn w:val="678"/>
    <w:next w:val="773"/>
    <w:link w:val="678"/>
    <w:pPr>
      <w:jc w:val="left"/>
      <w:spacing w:before="100" w:beforeAutospacing="1" w:after="100" w:afterAutospacing="1"/>
      <w:widowControl/>
    </w:pPr>
    <w:rPr>
      <w:rFonts w:ascii="宋体" w:hAnsi="宋体"/>
      <w:sz w:val="24"/>
      <w:szCs w:val="24"/>
    </w:rPr>
  </w:style>
  <w:style w:type="paragraph" w:styleId="774">
    <w:name w:val=" Char Char Char Char Char Char Char Char Char Char"/>
    <w:basedOn w:val="678"/>
    <w:next w:val="774"/>
    <w:link w:val="678"/>
    <w:pPr>
      <w:spacing w:line="360" w:lineRule="auto"/>
    </w:pPr>
    <w:rPr>
      <w:sz w:val="24"/>
      <w:szCs w:val="20"/>
    </w:rPr>
  </w:style>
  <w:style w:type="paragraph" w:styleId="775">
    <w:name w:val="样式1"/>
    <w:basedOn w:val="678"/>
    <w:next w:val="775"/>
    <w:link w:val="678"/>
    <w:pPr>
      <w:numPr>
        <w:ilvl w:val="0"/>
        <w:numId w:val="3"/>
      </w:numPr>
      <w:tabs>
        <w:tab w:val="left" w:pos="709" w:leader="none"/>
      </w:tabs>
    </w:pPr>
    <w:rPr>
      <w:rFonts w:ascii="宋体" w:hAnsi="宋体"/>
    </w:rPr>
  </w:style>
  <w:style w:type="paragraph" w:styleId="776">
    <w:name w:val="font6"/>
    <w:basedOn w:val="678"/>
    <w:next w:val="776"/>
    <w:link w:val="678"/>
    <w:pPr>
      <w:jc w:val="left"/>
      <w:spacing w:before="100" w:beforeAutospacing="1" w:after="100" w:afterAutospacing="1"/>
      <w:widowControl/>
    </w:pPr>
    <w:rPr>
      <w:rFonts w:hint="eastAsia" w:ascii="宋体" w:hAnsi="宋体"/>
      <w:sz w:val="28"/>
      <w:szCs w:val="28"/>
      <w:u w:val="single"/>
    </w:rPr>
  </w:style>
  <w:style w:type="paragraph" w:styleId="777">
    <w:name w:val="xl25"/>
    <w:basedOn w:val="678"/>
    <w:next w:val="777"/>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8">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9">
    <w:name w:val="标题3"/>
    <w:basedOn w:val="678"/>
    <w:next w:val="678"/>
    <w:link w:val="678"/>
    <w:pPr>
      <w:ind w:firstLine="624"/>
      <w:spacing w:line="590" w:lineRule="atLeast"/>
    </w:pPr>
    <w:rPr>
      <w:rFonts w:ascii="方正黑体_GBK" w:eastAsia="方正黑体_GBK"/>
      <w:sz w:val="32"/>
      <w:szCs w:val="32"/>
    </w:rPr>
  </w:style>
  <w:style w:type="paragraph" w:styleId="780">
    <w:name w:val="xl24"/>
    <w:basedOn w:val="678"/>
    <w:next w:val="780"/>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1">
    <w:name w:val="xl29"/>
    <w:basedOn w:val="678"/>
    <w:next w:val="781"/>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2">
    <w:name w:val="Char Char Char Char Char Char Char Char"/>
    <w:basedOn w:val="678"/>
    <w:next w:val="782"/>
    <w:link w:val="678"/>
    <w:pPr>
      <w:jc w:val="left"/>
      <w:spacing w:after="160" w:line="240" w:lineRule="exact"/>
      <w:widowControl/>
    </w:pPr>
    <w:rPr>
      <w:rFonts w:ascii="Verdana" w:hAnsi="Verdana"/>
      <w:sz w:val="20"/>
      <w:szCs w:val="20"/>
      <w:lang w:eastAsia="en-US"/>
    </w:rPr>
  </w:style>
  <w:style w:type="paragraph" w:styleId="783">
    <w:name w:val="xl28"/>
    <w:basedOn w:val="678"/>
    <w:next w:val="783"/>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4">
    <w:name w:val=" Char Char Char Char Char Char Char Char"/>
    <w:basedOn w:val="678"/>
    <w:next w:val="784"/>
    <w:link w:val="678"/>
    <w:pPr>
      <w:jc w:val="left"/>
      <w:spacing w:after="160" w:line="240" w:lineRule="exact"/>
      <w:widowControl/>
    </w:pPr>
    <w:rPr>
      <w:rFonts w:ascii="Verdana" w:hAnsi="Verdana"/>
      <w:sz w:val="20"/>
      <w:szCs w:val="20"/>
      <w:lang w:eastAsia="en-US"/>
    </w:rPr>
  </w:style>
  <w:style w:type="paragraph" w:styleId="785">
    <w:name w:val="xl30"/>
    <w:basedOn w:val="678"/>
    <w:next w:val="785"/>
    <w:link w:val="678"/>
    <w:pPr>
      <w:jc w:val="center"/>
      <w:spacing w:before="100" w:beforeAutospacing="1" w:after="100" w:afterAutospacing="1"/>
      <w:widowControl/>
    </w:pPr>
    <w:rPr>
      <w:rFonts w:ascii="宋体" w:hAnsi="宋体"/>
      <w:b/>
      <w:bCs/>
      <w:sz w:val="36"/>
      <w:szCs w:val="36"/>
    </w:rPr>
  </w:style>
  <w:style w:type="paragraph" w:styleId="786">
    <w:name w:val="Char Char Char Char"/>
    <w:basedOn w:val="703"/>
    <w:next w:val="786"/>
    <w:link w:val="678"/>
    <w:pPr>
      <w:spacing w:line="360" w:lineRule="auto"/>
    </w:pPr>
    <w:rPr>
      <w:rFonts w:ascii="Tahoma" w:hAnsi="Tahoma"/>
      <w:sz w:val="24"/>
      <w:szCs w:val="24"/>
    </w:rPr>
  </w:style>
  <w:style w:type="paragraph" w:styleId="787">
    <w:name w:val="table_1stline"/>
    <w:basedOn w:val="678"/>
    <w:next w:val="787"/>
    <w:link w:val="678"/>
    <w:pPr>
      <w:jc w:val="left"/>
      <w:spacing w:before="120"/>
      <w:widowControl/>
    </w:pPr>
    <w:rPr>
      <w:bCs/>
      <w:sz w:val="20"/>
      <w:szCs w:val="20"/>
      <w:lang w:val="de-DE" w:eastAsia="de-DE"/>
    </w:rPr>
  </w:style>
  <w:style w:type="paragraph" w:styleId="788">
    <w:name w:val="font5"/>
    <w:basedOn w:val="678"/>
    <w:next w:val="788"/>
    <w:link w:val="678"/>
    <w:pPr>
      <w:jc w:val="left"/>
      <w:spacing w:before="100" w:beforeAutospacing="1" w:after="100" w:afterAutospacing="1"/>
      <w:widowControl/>
    </w:pPr>
    <w:rPr>
      <w:rFonts w:hint="eastAsia" w:ascii="宋体" w:hAnsi="宋体"/>
      <w:sz w:val="28"/>
      <w:szCs w:val="28"/>
    </w:rPr>
  </w:style>
  <w:style w:type="paragraph" w:styleId="789">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0">
    <w:name w:val="修订"/>
    <w:next w:val="790"/>
    <w:link w:val="678"/>
    <w:uiPriority w:val="99"/>
    <w:semiHidden/>
    <w:rPr>
      <w:rFonts w:ascii="Times New Roman" w:hAnsi="Times New Roman"/>
      <w:sz w:val="21"/>
      <w:szCs w:val="21"/>
      <w:lang w:val="en-US" w:eastAsia="zh-CN" w:bidi="ar-SA"/>
    </w:rPr>
  </w:style>
  <w:style w:type="paragraph" w:styleId="791">
    <w:name w:val="无间隔"/>
    <w:next w:val="791"/>
    <w:link w:val="678"/>
    <w:uiPriority w:val="99"/>
    <w:qFormat/>
    <w:pPr>
      <w:jc w:val="both"/>
      <w:widowControl w:val="off"/>
    </w:pPr>
    <w:rPr>
      <w:rFonts w:ascii="Times New Roman" w:hAnsi="Times New Roman"/>
      <w:sz w:val="21"/>
      <w:szCs w:val="21"/>
      <w:lang w:val="en-US" w:eastAsia="zh-CN" w:bidi="ar-SA"/>
    </w:rPr>
  </w:style>
  <w:style w:type="paragraph" w:styleId="792">
    <w:name w:val="普通文字"/>
    <w:basedOn w:val="678"/>
    <w:next w:val="678"/>
    <w:link w:val="678"/>
    <w:uiPriority w:val="99"/>
    <w:rPr>
      <w:rFonts w:ascii="宋体" w:hAnsi="Times New Roman" w:eastAsia="宋体" w:cs="Times New Roman"/>
      <w:sz w:val="24"/>
      <w:szCs w:val="20"/>
      <w:u w:val="none"/>
    </w:rPr>
  </w:style>
  <w:style w:type="paragraph" w:styleId="793">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paragraph" w:styleId="794">
    <w:name w:val="*正文"/>
    <w:basedOn w:val="678"/>
    <w:next w:val="794"/>
    <w:link w:val="678"/>
    <w:qFormat/>
    <w:pPr>
      <w:ind w:firstLine="200"/>
    </w:pPr>
    <w:rPr>
      <w:rFonts w:ascii="Times New Roman" w:hAnsi="Times New Roman" w:eastAsia="宋体" w:cs="Times New Roman"/>
      <w:sz w:val="24"/>
      <w:szCs w:val="28"/>
    </w:rPr>
  </w:style>
  <w:style w:type="character" w:styleId="9300" w:default="1">
    <w:name w:val="Default Paragraph Font"/>
    <w:uiPriority w:val="1"/>
    <w:semiHidden/>
    <w:unhideWhenUsed/>
  </w:style>
  <w:style w:type="numbering" w:styleId="9301" w:default="1">
    <w:name w:val="No List"/>
    <w:uiPriority w:val="99"/>
    <w:semiHidden/>
    <w:unhideWhenUsed/>
  </w:style>
  <w:style w:type="table" w:styleId="9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2026-07-29T07:04:10Z</dcterms:modified>
</cp:coreProperties>
</file>