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16E97F">
      <w:pPr>
        <w:spacing w:line="400" w:lineRule="exact"/>
        <w:jc w:val="center"/>
        <w:outlineLvl w:val="0"/>
        <w:rPr>
          <w:rFonts w:hint="eastAsia"/>
          <w:b/>
          <w:color w:val="000000"/>
          <w:sz w:val="36"/>
          <w:szCs w:val="36"/>
          <w:highlight w:val="none"/>
          <w:lang w:val="en-US" w:eastAsia="zh-CN"/>
        </w:rPr>
      </w:pPr>
      <w:r>
        <w:rPr>
          <w:rFonts w:hint="eastAsia"/>
          <w:b/>
          <w:color w:val="000000"/>
          <w:sz w:val="36"/>
          <w:szCs w:val="36"/>
          <w:highlight w:val="none"/>
          <w:lang w:val="en-US" w:eastAsia="zh-CN"/>
        </w:rPr>
        <w:t>礼嘉、坂上、政平集镇绿化养护服务（一年期）</w:t>
      </w:r>
    </w:p>
    <w:p w14:paraId="373CE284">
      <w:pPr>
        <w:spacing w:line="400" w:lineRule="exact"/>
        <w:jc w:val="center"/>
        <w:outlineLvl w:val="0"/>
        <w:rPr>
          <w:rFonts w:hint="default" w:eastAsia="宋体"/>
          <w:b/>
          <w:color w:val="000000"/>
          <w:sz w:val="36"/>
          <w:szCs w:val="36"/>
          <w:highlight w:val="none"/>
          <w:lang w:val="en-US" w:eastAsia="zh-CN"/>
        </w:rPr>
      </w:pPr>
      <w:r>
        <w:rPr>
          <w:rFonts w:hint="eastAsia"/>
          <w:b/>
          <w:color w:val="000000"/>
          <w:sz w:val="36"/>
          <w:szCs w:val="36"/>
          <w:highlight w:val="none"/>
          <w:lang w:val="en-US" w:eastAsia="zh-CN"/>
        </w:rPr>
        <w:t>合同</w:t>
      </w:r>
    </w:p>
    <w:p w14:paraId="18E71C81">
      <w:pPr>
        <w:spacing w:line="400" w:lineRule="exact"/>
        <w:jc w:val="center"/>
        <w:outlineLvl w:val="0"/>
        <w:rPr>
          <w:b/>
          <w:color w:val="000000"/>
          <w:sz w:val="36"/>
          <w:szCs w:val="36"/>
          <w:highlight w:val="none"/>
        </w:rPr>
      </w:pPr>
    </w:p>
    <w:p w14:paraId="104EB09E">
      <w:pPr>
        <w:pStyle w:val="5"/>
        <w:keepNext w:val="0"/>
        <w:keepLines w:val="0"/>
        <w:pageBreakBefore w:val="0"/>
        <w:widowControl w:val="0"/>
        <w:spacing w:line="360" w:lineRule="auto"/>
        <w:ind w:firstLine="422"/>
        <w:rPr>
          <w:rFonts w:hint="eastAsia" w:ascii="宋体" w:hAnsi="宋体" w:eastAsia="宋体" w:cs="宋体"/>
          <w:color w:val="000000"/>
          <w:sz w:val="21"/>
          <w:szCs w:val="21"/>
          <w:highlight w:val="none"/>
        </w:rPr>
      </w:pPr>
      <w:r>
        <w:rPr>
          <w:rFonts w:hint="eastAsia" w:ascii="宋体" w:hAnsi="宋体" w:eastAsia="宋体" w:cs="宋体"/>
          <w:b/>
          <w:color w:val="000000"/>
          <w:sz w:val="21"/>
          <w:szCs w:val="21"/>
          <w:highlight w:val="none"/>
          <w:lang w:val="zh-CN"/>
        </w:rPr>
        <w:t>采购</w:t>
      </w:r>
      <w:r>
        <w:rPr>
          <w:rFonts w:hint="eastAsia" w:ascii="宋体" w:hAnsi="宋体" w:eastAsia="宋体" w:cs="宋体"/>
          <w:b/>
          <w:color w:val="000000"/>
          <w:sz w:val="21"/>
          <w:szCs w:val="21"/>
          <w:highlight w:val="none"/>
          <w:lang w:val="en-US" w:eastAsia="zh-CN"/>
        </w:rPr>
        <w:t>人</w:t>
      </w:r>
      <w:r>
        <w:rPr>
          <w:rFonts w:hint="eastAsia" w:ascii="宋体" w:hAnsi="宋体" w:eastAsia="宋体" w:cs="宋体"/>
          <w:b/>
          <w:color w:val="000000"/>
          <w:sz w:val="21"/>
          <w:szCs w:val="21"/>
          <w:highlight w:val="none"/>
          <w:lang w:val="zh-CN"/>
        </w:rPr>
        <w:t>（以下称甲</w:t>
      </w:r>
      <w:r>
        <w:rPr>
          <w:rFonts w:hint="eastAsia" w:ascii="宋体" w:hAnsi="宋体" w:eastAsia="宋体" w:cs="宋体"/>
          <w:b/>
          <w:color w:val="000000"/>
          <w:sz w:val="21"/>
          <w:szCs w:val="21"/>
          <w:highlight w:val="none"/>
        </w:rPr>
        <w:t xml:space="preserve">方）:  </w:t>
      </w:r>
      <w:r>
        <w:rPr>
          <w:rFonts w:hint="eastAsia" w:ascii="宋体" w:hAnsi="宋体" w:eastAsia="宋体" w:cs="宋体"/>
          <w:b/>
          <w:color w:val="000000"/>
          <w:sz w:val="21"/>
          <w:szCs w:val="21"/>
          <w:highlight w:val="none"/>
          <w:lang w:eastAsia="zh-CN"/>
        </w:rPr>
        <w:t>常州市武进区礼嘉镇人民政府</w:t>
      </w:r>
      <w:r>
        <w:rPr>
          <w:rFonts w:hint="eastAsia" w:ascii="宋体" w:hAnsi="宋体" w:eastAsia="宋体" w:cs="宋体"/>
          <w:b/>
          <w:color w:val="000000"/>
          <w:sz w:val="21"/>
          <w:szCs w:val="21"/>
          <w:highlight w:val="none"/>
        </w:rPr>
        <w:t xml:space="preserve">    </w:t>
      </w:r>
      <w:r>
        <w:rPr>
          <w:rFonts w:hint="eastAsia" w:ascii="宋体" w:hAnsi="宋体" w:eastAsia="宋体" w:cs="宋体"/>
          <w:color w:val="000000"/>
          <w:sz w:val="21"/>
          <w:szCs w:val="21"/>
          <w:highlight w:val="none"/>
        </w:rPr>
        <w:t>合同编号：</w:t>
      </w:r>
    </w:p>
    <w:p w14:paraId="43165CD5">
      <w:pPr>
        <w:pStyle w:val="5"/>
        <w:keepNext w:val="0"/>
        <w:keepLines w:val="0"/>
        <w:pageBreakBefore w:val="0"/>
        <w:widowControl w:val="0"/>
        <w:spacing w:line="360" w:lineRule="auto"/>
        <w:ind w:firstLine="422"/>
        <w:rPr>
          <w:rFonts w:hint="eastAsia" w:ascii="宋体" w:hAnsi="宋体" w:eastAsia="宋体" w:cs="宋体"/>
          <w:color w:val="000000"/>
          <w:sz w:val="21"/>
          <w:szCs w:val="21"/>
          <w:highlight w:val="none"/>
          <w:u w:val="single"/>
        </w:rPr>
      </w:pPr>
      <w:r>
        <w:rPr>
          <w:rFonts w:hint="eastAsia" w:ascii="宋体" w:hAnsi="宋体" w:eastAsia="宋体" w:cs="宋体"/>
          <w:b/>
          <w:color w:val="000000"/>
          <w:sz w:val="21"/>
          <w:szCs w:val="21"/>
          <w:highlight w:val="none"/>
        </w:rPr>
        <w:t>供应商（</w:t>
      </w:r>
      <w:r>
        <w:rPr>
          <w:rFonts w:hint="eastAsia" w:ascii="宋体" w:hAnsi="宋体" w:eastAsia="宋体" w:cs="宋体"/>
          <w:b/>
          <w:color w:val="000000"/>
          <w:sz w:val="21"/>
          <w:szCs w:val="21"/>
          <w:highlight w:val="none"/>
          <w:lang w:val="zh-CN"/>
        </w:rPr>
        <w:t>以下称</w:t>
      </w:r>
      <w:r>
        <w:rPr>
          <w:rFonts w:hint="eastAsia" w:ascii="宋体" w:hAnsi="宋体" w:eastAsia="宋体" w:cs="宋体"/>
          <w:b/>
          <w:color w:val="000000"/>
          <w:sz w:val="21"/>
          <w:szCs w:val="21"/>
          <w:highlight w:val="none"/>
        </w:rPr>
        <w:t xml:space="preserve">乙方）:  </w:t>
      </w:r>
      <w:r>
        <w:rPr>
          <w:rFonts w:hint="eastAsia" w:ascii="宋体" w:hAnsi="宋体" w:eastAsia="宋体" w:cs="宋体"/>
          <w:b/>
          <w:color w:val="000000"/>
          <w:sz w:val="21"/>
          <w:szCs w:val="21"/>
          <w:highlight w:val="none"/>
          <w:lang w:eastAsia="zh-CN"/>
        </w:rPr>
        <w:t xml:space="preserve">江苏前方市政园林有限公司 </w:t>
      </w:r>
      <w:r>
        <w:rPr>
          <w:rFonts w:hint="eastAsia" w:ascii="宋体" w:hAnsi="宋体" w:eastAsia="宋体" w:cs="宋体"/>
          <w:b/>
          <w:color w:val="000000"/>
          <w:sz w:val="21"/>
          <w:szCs w:val="21"/>
          <w:highlight w:val="none"/>
        </w:rPr>
        <w:t xml:space="preserve">  </w:t>
      </w:r>
      <w:r>
        <w:rPr>
          <w:rFonts w:hint="eastAsia" w:cs="宋体"/>
          <w:b/>
          <w:color w:val="000000"/>
          <w:sz w:val="21"/>
          <w:szCs w:val="21"/>
          <w:highlight w:val="none"/>
          <w:lang w:val="en-US" w:eastAsia="zh-CN"/>
        </w:rPr>
        <w:t xml:space="preserve">   </w:t>
      </w:r>
      <w:r>
        <w:rPr>
          <w:rFonts w:hint="eastAsia" w:ascii="宋体" w:hAnsi="宋体" w:eastAsia="宋体" w:cs="宋体"/>
          <w:color w:val="000000"/>
          <w:sz w:val="21"/>
          <w:szCs w:val="21"/>
          <w:highlight w:val="none"/>
        </w:rPr>
        <w:t>签订地点：</w:t>
      </w:r>
    </w:p>
    <w:p w14:paraId="2470A009">
      <w:pPr>
        <w:pStyle w:val="6"/>
        <w:keepNext w:val="0"/>
        <w:keepLines w:val="0"/>
        <w:pageBreakBefore w:val="0"/>
        <w:widowControl w:val="0"/>
        <w:spacing w:line="360" w:lineRule="auto"/>
        <w:ind w:firstLine="5040"/>
        <w:rPr>
          <w:rFonts w:hint="eastAsia" w:ascii="宋体" w:hAnsi="宋体" w:eastAsia="宋体" w:cs="宋体"/>
          <w:b/>
          <w:color w:val="000000"/>
          <w:sz w:val="21"/>
          <w:szCs w:val="21"/>
          <w:highlight w:val="none"/>
        </w:rPr>
      </w:pPr>
      <w:r>
        <w:rPr>
          <w:rFonts w:hint="eastAsia" w:ascii="宋体" w:hAnsi="宋体" w:eastAsia="宋体" w:cs="宋体"/>
          <w:color w:val="000000"/>
          <w:sz w:val="21"/>
          <w:szCs w:val="21"/>
          <w:highlight w:val="none"/>
        </w:rPr>
        <w:t xml:space="preserve">合同时间: </w:t>
      </w:r>
      <w:r>
        <w:rPr>
          <w:rFonts w:hint="eastAsia" w:ascii="宋体" w:hAnsi="宋体" w:eastAsia="宋体" w:cs="宋体"/>
          <w:color w:val="000000"/>
          <w:sz w:val="21"/>
          <w:szCs w:val="21"/>
          <w:highlight w:val="none"/>
          <w:u w:val="single"/>
        </w:rPr>
        <w:t xml:space="preserve"> </w:t>
      </w:r>
      <w:r>
        <w:rPr>
          <w:rFonts w:hint="eastAsia" w:hAnsi="宋体" w:cs="宋体"/>
          <w:color w:val="000000"/>
          <w:sz w:val="21"/>
          <w:szCs w:val="21"/>
          <w:highlight w:val="none"/>
          <w:u w:val="single"/>
          <w:lang w:val="en-US" w:eastAsia="zh-CN"/>
        </w:rPr>
        <w:t>2025</w:t>
      </w:r>
      <w:r>
        <w:rPr>
          <w:rFonts w:hint="eastAsia" w:ascii="宋体" w:hAnsi="宋体" w:eastAsia="宋体" w:cs="宋体"/>
          <w:color w:val="000000"/>
          <w:sz w:val="21"/>
          <w:szCs w:val="21"/>
          <w:highlight w:val="none"/>
          <w:u w:val="single"/>
        </w:rPr>
        <w:t xml:space="preserve"> 年</w:t>
      </w:r>
      <w:r>
        <w:rPr>
          <w:rFonts w:hint="eastAsia" w:hAnsi="宋体" w:cs="宋体"/>
          <w:color w:val="000000"/>
          <w:sz w:val="21"/>
          <w:szCs w:val="21"/>
          <w:highlight w:val="none"/>
          <w:u w:val="single"/>
          <w:lang w:val="en-US" w:eastAsia="zh-CN"/>
        </w:rPr>
        <w:t>7</w:t>
      </w:r>
      <w:r>
        <w:rPr>
          <w:rFonts w:hint="eastAsia" w:ascii="宋体" w:hAnsi="宋体" w:eastAsia="宋体" w:cs="宋体"/>
          <w:color w:val="000000"/>
          <w:sz w:val="21"/>
          <w:szCs w:val="21"/>
          <w:highlight w:val="none"/>
          <w:u w:val="single"/>
        </w:rPr>
        <w:t xml:space="preserve"> 月 </w:t>
      </w:r>
      <w:r>
        <w:rPr>
          <w:rFonts w:hint="eastAsia" w:hAnsi="宋体" w:cs="宋体"/>
          <w:color w:val="000000"/>
          <w:sz w:val="21"/>
          <w:szCs w:val="21"/>
          <w:highlight w:val="none"/>
          <w:u w:val="single"/>
          <w:lang w:val="en-US" w:eastAsia="zh-CN"/>
        </w:rPr>
        <w:t>9</w:t>
      </w:r>
      <w:r>
        <w:rPr>
          <w:rFonts w:hint="eastAsia" w:ascii="宋体" w:hAnsi="宋体" w:eastAsia="宋体" w:cs="宋体"/>
          <w:color w:val="000000"/>
          <w:sz w:val="21"/>
          <w:szCs w:val="21"/>
          <w:highlight w:val="none"/>
          <w:u w:val="single"/>
        </w:rPr>
        <w:t xml:space="preserve"> 日</w:t>
      </w:r>
    </w:p>
    <w:p w14:paraId="1F1E2DCB">
      <w:pPr>
        <w:pStyle w:val="7"/>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甲乙双方依据</w:t>
      </w:r>
      <w:r>
        <w:rPr>
          <w:rFonts w:hint="eastAsia" w:ascii="宋体" w:hAnsi="宋体" w:eastAsia="宋体" w:cs="宋体"/>
          <w:color w:val="000000"/>
          <w:sz w:val="21"/>
          <w:szCs w:val="21"/>
          <w:highlight w:val="none"/>
          <w:lang w:val="zh-CN"/>
        </w:rPr>
        <w:t>《中华人民共和国政府采购法》、</w:t>
      </w:r>
      <w:r>
        <w:rPr>
          <w:rFonts w:hint="eastAsia" w:ascii="宋体" w:hAnsi="宋体" w:eastAsia="宋体" w:cs="宋体"/>
          <w:color w:val="000000"/>
          <w:sz w:val="21"/>
          <w:szCs w:val="21"/>
          <w:highlight w:val="none"/>
        </w:rPr>
        <w:t>《中华人民共和国民法典》以及有关法律、法规的规定，经协商一致，订立本合同，以便共同遵守。</w:t>
      </w:r>
    </w:p>
    <w:p w14:paraId="073801C6">
      <w:pPr>
        <w:keepNext w:val="0"/>
        <w:keepLines w:val="0"/>
        <w:pageBreakBefore w:val="0"/>
        <w:spacing w:line="400" w:lineRule="exact"/>
        <w:ind w:firstLine="487"/>
        <w:rPr>
          <w:rFonts w:ascii="宋体" w:hAnsi="宋体" w:eastAsia="宋体" w:cs="宋体"/>
          <w:b/>
          <w:color w:val="000000"/>
          <w:sz w:val="21"/>
          <w:szCs w:val="21"/>
          <w:highlight w:val="none"/>
          <w:lang w:val="en-US" w:eastAsia="zh-CN"/>
        </w:rPr>
      </w:pPr>
      <w:r>
        <w:rPr>
          <w:rFonts w:hint="eastAsia" w:ascii="宋体" w:hAnsi="宋体" w:eastAsia="宋体" w:cs="宋体"/>
          <w:b/>
          <w:color w:val="000000"/>
          <w:sz w:val="21"/>
          <w:szCs w:val="21"/>
          <w:highlight w:val="none"/>
          <w:lang w:eastAsia="zh-CN"/>
        </w:rPr>
        <w:t>第一条</w:t>
      </w:r>
      <w:r>
        <w:rPr>
          <w:rFonts w:hint="eastAsia" w:ascii="宋体" w:hAnsi="宋体" w:eastAsia="宋体" w:cs="宋体"/>
          <w:b/>
          <w:color w:val="000000"/>
          <w:sz w:val="21"/>
          <w:szCs w:val="21"/>
          <w:highlight w:val="none"/>
          <w:lang w:val="en-US" w:eastAsia="zh-CN"/>
        </w:rPr>
        <w:t xml:space="preserve"> 合同标的</w:t>
      </w:r>
    </w:p>
    <w:p w14:paraId="2CFF4F39">
      <w:pPr>
        <w:pStyle w:val="7"/>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1、甲方确定乙方为</w:t>
      </w:r>
      <w:r>
        <w:rPr>
          <w:rFonts w:hint="eastAsia" w:ascii="宋体" w:hAnsi="宋体" w:eastAsia="宋体" w:cs="宋体"/>
          <w:color w:val="000000"/>
          <w:sz w:val="21"/>
          <w:szCs w:val="21"/>
          <w:highlight w:val="none"/>
          <w:lang w:eastAsia="zh-CN"/>
        </w:rPr>
        <w:t>礼嘉、坂上、政平集镇绿化养护服务的</w:t>
      </w:r>
      <w:r>
        <w:rPr>
          <w:rFonts w:hint="eastAsia" w:ascii="宋体" w:hAnsi="宋体" w:eastAsia="宋体" w:cs="宋体"/>
          <w:color w:val="000000"/>
          <w:sz w:val="21"/>
          <w:szCs w:val="21"/>
          <w:highlight w:val="none"/>
        </w:rPr>
        <w:t>实施人。</w:t>
      </w:r>
    </w:p>
    <w:p w14:paraId="1DA3FB11">
      <w:pPr>
        <w:pStyle w:val="7"/>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rPr>
        <w:t>本次采购服务时间</w:t>
      </w:r>
      <w:r>
        <w:rPr>
          <w:rFonts w:hint="eastAsia" w:ascii="宋体" w:hAnsi="宋体" w:eastAsia="宋体" w:cs="宋体"/>
          <w:color w:val="000000"/>
          <w:sz w:val="21"/>
          <w:szCs w:val="21"/>
          <w:highlight w:val="none"/>
          <w:lang w:val="en-US" w:eastAsia="zh-CN"/>
        </w:rPr>
        <w:t>1年</w:t>
      </w:r>
      <w:r>
        <w:rPr>
          <w:rFonts w:hint="eastAsia" w:ascii="宋体" w:hAnsi="宋体" w:eastAsia="宋体" w:cs="宋体"/>
          <w:color w:val="000000"/>
          <w:sz w:val="21"/>
          <w:szCs w:val="21"/>
          <w:highlight w:val="none"/>
        </w:rPr>
        <w:t>。</w:t>
      </w:r>
    </w:p>
    <w:p w14:paraId="2B335985">
      <w:pPr>
        <w:pStyle w:val="7"/>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rPr>
        <w:t>本合同自2025年</w:t>
      </w:r>
      <w:r>
        <w:rPr>
          <w:rFonts w:hint="eastAsia" w:hAnsi="宋体" w:cs="宋体"/>
          <w:color w:val="000000"/>
          <w:sz w:val="21"/>
          <w:szCs w:val="21"/>
          <w:highlight w:val="none"/>
          <w:lang w:val="en-US" w:eastAsia="zh-CN"/>
        </w:rPr>
        <w:t>7</w:t>
      </w:r>
      <w:r>
        <w:rPr>
          <w:rFonts w:hint="eastAsia" w:ascii="宋体" w:hAnsi="宋体" w:eastAsia="宋体" w:cs="宋体"/>
          <w:color w:val="000000"/>
          <w:sz w:val="21"/>
          <w:szCs w:val="21"/>
          <w:highlight w:val="none"/>
        </w:rPr>
        <w:t xml:space="preserve">月 </w:t>
      </w:r>
      <w:r>
        <w:rPr>
          <w:rFonts w:hint="eastAsia" w:hAnsi="宋体" w:cs="宋体"/>
          <w:color w:val="000000"/>
          <w:sz w:val="21"/>
          <w:szCs w:val="21"/>
          <w:highlight w:val="none"/>
          <w:lang w:val="en-US" w:eastAsia="zh-CN"/>
        </w:rPr>
        <w:t>10</w:t>
      </w:r>
      <w:r>
        <w:rPr>
          <w:rFonts w:hint="eastAsia" w:ascii="宋体" w:hAnsi="宋体" w:eastAsia="宋体" w:cs="宋体"/>
          <w:color w:val="000000"/>
          <w:sz w:val="21"/>
          <w:szCs w:val="21"/>
          <w:highlight w:val="none"/>
        </w:rPr>
        <w:t>日起至2026年</w:t>
      </w:r>
      <w:r>
        <w:rPr>
          <w:rFonts w:hint="eastAsia" w:hAnsi="宋体" w:cs="宋体"/>
          <w:color w:val="000000"/>
          <w:sz w:val="21"/>
          <w:szCs w:val="21"/>
          <w:highlight w:val="none"/>
          <w:lang w:val="en-US" w:eastAsia="zh-CN"/>
        </w:rPr>
        <w:t>7</w:t>
      </w:r>
      <w:r>
        <w:rPr>
          <w:rFonts w:hint="eastAsia" w:ascii="宋体" w:hAnsi="宋体" w:eastAsia="宋体" w:cs="宋体"/>
          <w:color w:val="000000"/>
          <w:sz w:val="21"/>
          <w:szCs w:val="21"/>
          <w:highlight w:val="none"/>
        </w:rPr>
        <w:t xml:space="preserve"> 月</w:t>
      </w:r>
      <w:r>
        <w:rPr>
          <w:rFonts w:hint="eastAsia" w:hAnsi="宋体" w:cs="宋体"/>
          <w:color w:val="000000"/>
          <w:sz w:val="21"/>
          <w:szCs w:val="21"/>
          <w:highlight w:val="none"/>
          <w:lang w:val="en-US" w:eastAsia="zh-CN"/>
        </w:rPr>
        <w:t>9</w:t>
      </w:r>
      <w:r>
        <w:rPr>
          <w:rFonts w:hint="eastAsia" w:ascii="宋体" w:hAnsi="宋体" w:eastAsia="宋体" w:cs="宋体"/>
          <w:color w:val="000000"/>
          <w:sz w:val="21"/>
          <w:szCs w:val="21"/>
          <w:highlight w:val="none"/>
        </w:rPr>
        <w:t>日止。</w:t>
      </w:r>
    </w:p>
    <w:p w14:paraId="6DD74A8B">
      <w:pPr>
        <w:pStyle w:val="7"/>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rPr>
        <w:t>、下列文件为本合同不可分割部分：</w:t>
      </w:r>
    </w:p>
    <w:p w14:paraId="71063DD2">
      <w:pPr>
        <w:pStyle w:val="7"/>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①中标通知书；</w:t>
      </w:r>
    </w:p>
    <w:p w14:paraId="2F5577F6">
      <w:pPr>
        <w:pStyle w:val="7"/>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②乙方的投标文件；</w:t>
      </w:r>
    </w:p>
    <w:p w14:paraId="629A2F30">
      <w:pPr>
        <w:pStyle w:val="7"/>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③</w:t>
      </w:r>
      <w:r>
        <w:rPr>
          <w:rFonts w:hint="eastAsia" w:ascii="宋体" w:hAnsi="宋体" w:eastAsia="宋体" w:cs="宋体"/>
          <w:color w:val="000000"/>
          <w:sz w:val="21"/>
          <w:szCs w:val="21"/>
          <w:highlight w:val="none"/>
          <w:lang w:eastAsia="zh-CN"/>
        </w:rPr>
        <w:t>招标</w:t>
      </w:r>
      <w:r>
        <w:rPr>
          <w:rFonts w:hint="eastAsia" w:ascii="宋体" w:hAnsi="宋体" w:eastAsia="宋体" w:cs="宋体"/>
          <w:color w:val="000000"/>
          <w:sz w:val="21"/>
          <w:szCs w:val="21"/>
          <w:highlight w:val="none"/>
        </w:rPr>
        <w:t>文件（含作业服务量清单及说明、作业服务要求、考评细则等）；</w:t>
      </w:r>
    </w:p>
    <w:p w14:paraId="5AD8D412">
      <w:pPr>
        <w:pStyle w:val="7"/>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④乙方在投标过程中所作的其它承诺、声明、书面澄清等。</w:t>
      </w:r>
    </w:p>
    <w:p w14:paraId="1CE21B68">
      <w:pPr>
        <w:keepNext w:val="0"/>
        <w:keepLines w:val="0"/>
        <w:pageBreakBefore w:val="0"/>
        <w:spacing w:line="400" w:lineRule="exact"/>
        <w:ind w:firstLine="487"/>
        <w:rPr>
          <w:rFonts w:hint="eastAsia" w:ascii="宋体" w:hAnsi="宋体" w:eastAsia="宋体" w:cs="宋体"/>
          <w:b/>
          <w:color w:val="000000"/>
          <w:sz w:val="21"/>
          <w:szCs w:val="21"/>
          <w:highlight w:val="none"/>
          <w:lang w:eastAsia="zh-CN"/>
        </w:rPr>
      </w:pPr>
      <w:r>
        <w:rPr>
          <w:rFonts w:hint="eastAsia" w:ascii="宋体" w:hAnsi="宋体" w:eastAsia="宋体" w:cs="宋体"/>
          <w:b/>
          <w:color w:val="000000"/>
          <w:sz w:val="21"/>
          <w:szCs w:val="21"/>
          <w:highlight w:val="none"/>
          <w:lang w:eastAsia="zh-CN"/>
        </w:rPr>
        <w:t>第二条 合同价格</w:t>
      </w:r>
    </w:p>
    <w:p w14:paraId="5E19150B">
      <w:pPr>
        <w:pStyle w:val="7"/>
        <w:keepNext w:val="0"/>
        <w:keepLines w:val="0"/>
        <w:pageBreakBefore w:val="0"/>
        <w:spacing w:line="400" w:lineRule="exact"/>
        <w:ind w:firstLine="484"/>
        <w:rPr>
          <w:rFonts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rPr>
        <w:t>1、</w:t>
      </w:r>
      <w:r>
        <w:rPr>
          <w:rFonts w:hint="eastAsia" w:ascii="宋体" w:hAnsi="宋体" w:eastAsia="宋体" w:cs="宋体"/>
          <w:color w:val="000000"/>
          <w:sz w:val="21"/>
          <w:szCs w:val="21"/>
          <w:highlight w:val="none"/>
          <w:lang w:val="en-US" w:eastAsia="zh-CN"/>
        </w:rPr>
        <w:t>本</w:t>
      </w:r>
      <w:r>
        <w:rPr>
          <w:rFonts w:hint="eastAsia" w:ascii="宋体" w:hAnsi="宋体" w:eastAsia="宋体" w:cs="宋体"/>
          <w:color w:val="000000"/>
          <w:sz w:val="21"/>
          <w:szCs w:val="21"/>
          <w:highlight w:val="none"/>
        </w:rPr>
        <w:t>合同金额为人民币</w:t>
      </w:r>
      <w:r>
        <w:rPr>
          <w:rFonts w:hint="eastAsia" w:ascii="宋体" w:hAnsi="宋体" w:eastAsia="宋体" w:cs="宋体"/>
          <w:color w:val="000000"/>
          <w:sz w:val="21"/>
          <w:szCs w:val="21"/>
          <w:highlight w:val="none"/>
          <w:u w:val="single"/>
          <w:lang w:val="en-US" w:eastAsia="zh-CN"/>
        </w:rPr>
        <w:t xml:space="preserve"> 627541.51</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元</w:t>
      </w:r>
      <w:r>
        <w:rPr>
          <w:rFonts w:hint="eastAsia" w:ascii="宋体" w:hAnsi="宋体" w:eastAsia="宋体" w:cs="宋体"/>
          <w:color w:val="000000"/>
          <w:sz w:val="21"/>
          <w:szCs w:val="21"/>
          <w:highlight w:val="none"/>
          <w:lang w:eastAsia="zh-CN"/>
        </w:rPr>
        <w:t>（小写）</w:t>
      </w:r>
      <w:r>
        <w:rPr>
          <w:rFonts w:hint="eastAsia" w:ascii="宋体" w:hAnsi="宋体" w:eastAsia="宋体" w:cs="宋体"/>
          <w:color w:val="000000"/>
          <w:sz w:val="21"/>
          <w:szCs w:val="21"/>
          <w:highlight w:val="none"/>
          <w:u w:val="single"/>
          <w:lang w:val="en-US" w:eastAsia="zh-CN"/>
        </w:rPr>
        <w:t>陆拾贰万柒仟伍佰肆拾壹元伍角壹分</w:t>
      </w:r>
      <w:r>
        <w:rPr>
          <w:rFonts w:hint="eastAsia" w:ascii="宋体" w:hAnsi="宋体" w:eastAsia="宋体" w:cs="宋体"/>
          <w:color w:val="000000"/>
          <w:sz w:val="21"/>
          <w:szCs w:val="21"/>
          <w:highlight w:val="none"/>
          <w:lang w:val="en-US" w:eastAsia="zh-CN"/>
        </w:rPr>
        <w:t>（大写）</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税率</w:t>
      </w:r>
      <w:r>
        <w:rPr>
          <w:rFonts w:hint="eastAsia" w:ascii="宋体" w:hAnsi="宋体" w:eastAsia="宋体" w:cs="宋体"/>
          <w:color w:val="000000"/>
          <w:sz w:val="21"/>
          <w:szCs w:val="21"/>
          <w:highlight w:val="none"/>
          <w:u w:val="single"/>
          <w:lang w:val="en-US" w:eastAsia="zh-CN"/>
        </w:rPr>
        <w:t xml:space="preserve"> </w:t>
      </w:r>
      <w:r>
        <w:rPr>
          <w:rFonts w:hint="eastAsia" w:hAnsi="宋体" w:cs="宋体"/>
          <w:color w:val="000000"/>
          <w:sz w:val="21"/>
          <w:szCs w:val="21"/>
          <w:highlight w:val="none"/>
          <w:u w:val="single"/>
          <w:lang w:val="en-US" w:eastAsia="zh-CN"/>
        </w:rPr>
        <w:t>3</w:t>
      </w:r>
      <w:r>
        <w:rPr>
          <w:rFonts w:hint="eastAsia" w:ascii="宋体" w:hAnsi="宋体" w:eastAsia="宋体" w:cs="宋体"/>
          <w:color w:val="000000"/>
          <w:sz w:val="21"/>
          <w:szCs w:val="21"/>
          <w:highlight w:val="none"/>
          <w:u w:val="single"/>
          <w:lang w:val="en-US" w:eastAsia="zh-CN"/>
        </w:rPr>
        <w:t xml:space="preserve"> </w:t>
      </w:r>
      <w:r>
        <w:rPr>
          <w:rFonts w:hint="eastAsia" w:ascii="宋体" w:hAnsi="宋体" w:eastAsia="宋体" w:cs="宋体"/>
          <w:color w:val="000000"/>
          <w:sz w:val="21"/>
          <w:szCs w:val="21"/>
          <w:highlight w:val="none"/>
          <w:lang w:val="en-US" w:eastAsia="zh-CN"/>
        </w:rPr>
        <w:t xml:space="preserve"> %。</w:t>
      </w:r>
    </w:p>
    <w:p w14:paraId="1E91CD4E">
      <w:pPr>
        <w:pStyle w:val="7"/>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本合同总价包括竞争性磋商文件所确定的采购范围相应服务的提供、人员（包括工资和补贴）、社会保险费、高温费、办公场所及设施、水电费、肥料、农药、草花（水源自行解决）、保险、劳保、管理、各种税费、利润、税金、政策性文件规定及合同包含的所有风险、责任等各项应有费用，以及为完成该项服务项目所涉及到的一切相关费用，</w:t>
      </w:r>
      <w:r>
        <w:rPr>
          <w:rFonts w:hint="eastAsia" w:ascii="宋体" w:hAnsi="宋体" w:eastAsia="宋体" w:cs="宋体"/>
          <w:color w:val="000000"/>
          <w:sz w:val="21"/>
          <w:szCs w:val="21"/>
          <w:highlight w:val="none"/>
          <w:lang w:val="en-US" w:eastAsia="zh-CN"/>
        </w:rPr>
        <w:t>甲方</w:t>
      </w:r>
      <w:r>
        <w:rPr>
          <w:rFonts w:hint="eastAsia" w:ascii="宋体" w:hAnsi="宋体" w:eastAsia="宋体" w:cs="宋体"/>
          <w:color w:val="000000"/>
          <w:sz w:val="21"/>
          <w:szCs w:val="21"/>
          <w:highlight w:val="none"/>
        </w:rPr>
        <w:t>不再支付其他任何费用。如国家出台最低基本工资和最低社会保险缴纳基数标准等规定，</w:t>
      </w:r>
      <w:r>
        <w:rPr>
          <w:rFonts w:hint="eastAsia" w:ascii="宋体" w:hAnsi="宋体" w:eastAsia="宋体" w:cs="宋体"/>
          <w:color w:val="000000"/>
          <w:sz w:val="21"/>
          <w:szCs w:val="21"/>
          <w:highlight w:val="none"/>
          <w:lang w:val="en-US" w:eastAsia="zh-CN"/>
        </w:rPr>
        <w:t>乙方</w:t>
      </w:r>
      <w:r>
        <w:rPr>
          <w:rFonts w:hint="eastAsia" w:ascii="宋体" w:hAnsi="宋体" w:eastAsia="宋体" w:cs="宋体"/>
          <w:color w:val="000000"/>
          <w:sz w:val="21"/>
          <w:szCs w:val="21"/>
          <w:highlight w:val="none"/>
        </w:rPr>
        <w:t>应保障服务人员的基本法定待遇，但</w:t>
      </w:r>
      <w:r>
        <w:rPr>
          <w:rFonts w:hint="eastAsia" w:ascii="宋体" w:hAnsi="宋体" w:eastAsia="宋体" w:cs="宋体"/>
          <w:color w:val="000000"/>
          <w:sz w:val="21"/>
          <w:szCs w:val="21"/>
          <w:highlight w:val="none"/>
          <w:lang w:val="en-US" w:eastAsia="zh-CN"/>
        </w:rPr>
        <w:t>甲方</w:t>
      </w:r>
      <w:r>
        <w:rPr>
          <w:rFonts w:hint="eastAsia" w:ascii="宋体" w:hAnsi="宋体" w:eastAsia="宋体" w:cs="宋体"/>
          <w:color w:val="000000"/>
          <w:sz w:val="21"/>
          <w:szCs w:val="21"/>
          <w:highlight w:val="none"/>
        </w:rPr>
        <w:t>并不为此支付增加的有关费用。</w:t>
      </w:r>
    </w:p>
    <w:p w14:paraId="2CD04BE3">
      <w:pPr>
        <w:keepNext w:val="0"/>
        <w:keepLines w:val="0"/>
        <w:pageBreakBefore w:val="0"/>
        <w:spacing w:line="400" w:lineRule="exact"/>
        <w:ind w:firstLine="487"/>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第</w:t>
      </w:r>
      <w:r>
        <w:rPr>
          <w:rFonts w:hint="eastAsia" w:ascii="宋体" w:hAnsi="宋体" w:eastAsia="宋体" w:cs="宋体"/>
          <w:b/>
          <w:color w:val="000000"/>
          <w:sz w:val="21"/>
          <w:szCs w:val="21"/>
          <w:highlight w:val="none"/>
          <w:lang w:eastAsia="zh-CN"/>
        </w:rPr>
        <w:t>三</w:t>
      </w:r>
      <w:r>
        <w:rPr>
          <w:rFonts w:hint="eastAsia" w:ascii="宋体" w:hAnsi="宋体" w:eastAsia="宋体" w:cs="宋体"/>
          <w:b/>
          <w:color w:val="000000"/>
          <w:sz w:val="21"/>
          <w:szCs w:val="21"/>
          <w:highlight w:val="none"/>
        </w:rPr>
        <w:t>条 合同款结算及支付</w:t>
      </w:r>
    </w:p>
    <w:p w14:paraId="5C250C7D">
      <w:pPr>
        <w:pStyle w:val="7"/>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本合同项下所有款项均以人民币支付。</w:t>
      </w:r>
    </w:p>
    <w:p w14:paraId="3B7732F1">
      <w:pPr>
        <w:pStyle w:val="7"/>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本合同项下的采购资金由甲方自行支付，乙方向甲方开具发票。</w:t>
      </w:r>
    </w:p>
    <w:p w14:paraId="2A8A9636">
      <w:pPr>
        <w:pStyle w:val="7"/>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rPr>
        <w:t>付款方式：每季度考核完成后，甲方根据考核结果向乙方支付相应管护费用。</w:t>
      </w:r>
    </w:p>
    <w:p w14:paraId="427ABFBA">
      <w:pPr>
        <w:pStyle w:val="7"/>
        <w:keepNext w:val="0"/>
        <w:keepLines w:val="0"/>
        <w:pageBreakBefore w:val="0"/>
        <w:spacing w:line="400" w:lineRule="exact"/>
        <w:ind w:firstLine="484"/>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4、集镇大树(行道树)修剪费用:4米以下的修剪养护费用由中标单位承担，4米以上的修剪清理费用另行核算（甲方指定的应急处置任务和枯死枝除外）。</w:t>
      </w:r>
    </w:p>
    <w:p w14:paraId="28A8A315">
      <w:pPr>
        <w:pStyle w:val="8"/>
        <w:rPr>
          <w:rFonts w:hint="eastAsia"/>
          <w:color w:val="000000"/>
          <w:highlight w:val="none"/>
        </w:rPr>
      </w:pPr>
    </w:p>
    <w:p w14:paraId="1D10539D">
      <w:pPr>
        <w:keepNext w:val="0"/>
        <w:keepLines w:val="0"/>
        <w:pageBreakBefore w:val="0"/>
        <w:spacing w:line="400" w:lineRule="exact"/>
        <w:ind w:firstLine="487"/>
        <w:rPr>
          <w:rFonts w:hint="eastAsia" w:ascii="宋体" w:hAnsi="宋体" w:eastAsia="宋体" w:cs="宋体"/>
          <w:b/>
          <w:color w:val="000000"/>
          <w:sz w:val="21"/>
          <w:szCs w:val="21"/>
          <w:highlight w:val="none"/>
          <w:lang w:val="zh-CN"/>
        </w:rPr>
      </w:pPr>
      <w:r>
        <w:rPr>
          <w:rFonts w:hint="eastAsia" w:ascii="宋体" w:hAnsi="宋体" w:eastAsia="宋体" w:cs="宋体"/>
          <w:b/>
          <w:color w:val="000000"/>
          <w:sz w:val="21"/>
          <w:szCs w:val="21"/>
          <w:highlight w:val="none"/>
          <w:lang w:val="zh-CN"/>
        </w:rPr>
        <w:t>第四条　履约验收</w:t>
      </w:r>
    </w:p>
    <w:p w14:paraId="7653260D">
      <w:pPr>
        <w:pStyle w:val="7"/>
        <w:keepNext w:val="0"/>
        <w:keepLines w:val="0"/>
        <w:pageBreakBefore w:val="0"/>
        <w:spacing w:line="400" w:lineRule="exact"/>
        <w:ind w:firstLine="484"/>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验收主体：采购人</w:t>
      </w:r>
    </w:p>
    <w:p w14:paraId="0DAB7770">
      <w:pPr>
        <w:pStyle w:val="7"/>
        <w:keepNext w:val="0"/>
        <w:keepLines w:val="0"/>
        <w:pageBreakBefore w:val="0"/>
        <w:spacing w:line="400" w:lineRule="exact"/>
        <w:ind w:firstLine="484"/>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验收时间：</w:t>
      </w:r>
      <w:r>
        <w:rPr>
          <w:rFonts w:hint="eastAsia" w:ascii="宋体" w:hAnsi="宋体" w:eastAsia="宋体" w:cs="宋体"/>
          <w:color w:val="000000"/>
          <w:sz w:val="21"/>
          <w:szCs w:val="21"/>
          <w:highlight w:val="none"/>
        </w:rPr>
        <w:t>履约验收条件达到时，采购人应当在5个工作日内启动履约验收工作，并向供应商发出《政府采购履约验收通知单》。</w:t>
      </w:r>
    </w:p>
    <w:p w14:paraId="0B724E74">
      <w:pPr>
        <w:pStyle w:val="7"/>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zh-CN"/>
        </w:rPr>
        <w:t>验收方式：</w:t>
      </w:r>
      <w:r>
        <w:rPr>
          <w:rFonts w:hint="eastAsia" w:ascii="宋体" w:hAnsi="宋体" w:eastAsia="宋体" w:cs="宋体"/>
          <w:color w:val="000000"/>
          <w:sz w:val="21"/>
          <w:szCs w:val="21"/>
          <w:highlight w:val="none"/>
        </w:rPr>
        <w:t>采购人应当成立验收小组，负责采购项目履约验收具体工作。</w:t>
      </w:r>
    </w:p>
    <w:p w14:paraId="0D41B7BD">
      <w:pPr>
        <w:pStyle w:val="7"/>
        <w:keepNext w:val="0"/>
        <w:keepLines w:val="0"/>
        <w:pageBreakBefore w:val="0"/>
        <w:spacing w:line="400" w:lineRule="exact"/>
        <w:ind w:firstLine="484"/>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验收内容：</w:t>
      </w:r>
      <w:r>
        <w:rPr>
          <w:rFonts w:hint="eastAsia" w:ascii="宋体" w:hAnsi="宋体" w:eastAsia="宋体" w:cs="宋体"/>
          <w:color w:val="000000"/>
          <w:sz w:val="21"/>
          <w:szCs w:val="21"/>
          <w:highlight w:val="none"/>
        </w:rPr>
        <w:t>验收小组应当制定验收工作实施方案，按照方案开展验收，出具验收意见。</w:t>
      </w:r>
    </w:p>
    <w:p w14:paraId="204DCB1C">
      <w:pPr>
        <w:pStyle w:val="7"/>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zh-CN"/>
        </w:rPr>
        <w:t>验收标准：</w:t>
      </w:r>
      <w:r>
        <w:rPr>
          <w:rFonts w:hint="eastAsia" w:ascii="宋体" w:hAnsi="宋体" w:eastAsia="宋体" w:cs="宋体"/>
          <w:color w:val="000000"/>
          <w:sz w:val="21"/>
          <w:szCs w:val="21"/>
          <w:highlight w:val="none"/>
        </w:rPr>
        <w:t>应当符合政府采购合同约定、</w:t>
      </w:r>
      <w:r>
        <w:rPr>
          <w:rFonts w:hint="eastAsia" w:ascii="宋体" w:hAnsi="宋体" w:eastAsia="宋体" w:cs="宋体"/>
          <w:color w:val="000000"/>
          <w:sz w:val="21"/>
          <w:szCs w:val="21"/>
          <w:highlight w:val="none"/>
          <w:lang w:val="zh-CN"/>
        </w:rPr>
        <w:t>乙方投标文件的承诺、</w:t>
      </w:r>
      <w:r>
        <w:rPr>
          <w:rFonts w:hint="eastAsia" w:ascii="宋体" w:hAnsi="宋体" w:eastAsia="宋体" w:cs="宋体"/>
          <w:color w:val="000000"/>
          <w:sz w:val="21"/>
          <w:szCs w:val="21"/>
          <w:highlight w:val="none"/>
        </w:rPr>
        <w:t>法律法规以及国家强制性标准等，对服务类采购项目，可以参照行业标准、专业标准等。</w:t>
      </w:r>
    </w:p>
    <w:p w14:paraId="5B106E54">
      <w:pPr>
        <w:keepNext w:val="0"/>
        <w:keepLines w:val="0"/>
        <w:pageBreakBefore w:val="0"/>
        <w:spacing w:line="400" w:lineRule="exact"/>
        <w:ind w:firstLine="487"/>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第</w:t>
      </w:r>
      <w:r>
        <w:rPr>
          <w:rFonts w:hint="eastAsia" w:ascii="宋体" w:hAnsi="宋体" w:eastAsia="宋体" w:cs="宋体"/>
          <w:b/>
          <w:color w:val="000000"/>
          <w:sz w:val="21"/>
          <w:szCs w:val="21"/>
          <w:highlight w:val="none"/>
          <w:lang w:eastAsia="zh-CN"/>
        </w:rPr>
        <w:t>五</w:t>
      </w:r>
      <w:r>
        <w:rPr>
          <w:rFonts w:hint="eastAsia" w:ascii="宋体" w:hAnsi="宋体" w:eastAsia="宋体" w:cs="宋体"/>
          <w:b/>
          <w:color w:val="000000"/>
          <w:sz w:val="21"/>
          <w:szCs w:val="21"/>
          <w:highlight w:val="none"/>
        </w:rPr>
        <w:t>条 甲方权利和义务</w:t>
      </w:r>
    </w:p>
    <w:p w14:paraId="348FEA9D">
      <w:pPr>
        <w:pStyle w:val="7"/>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1.甲方根据绿化养护要求及乙方投标</w:t>
      </w:r>
      <w:r>
        <w:rPr>
          <w:rFonts w:hint="eastAsia" w:ascii="宋体" w:hAnsi="宋体" w:eastAsia="宋体" w:cs="宋体"/>
          <w:color w:val="000000"/>
          <w:sz w:val="21"/>
          <w:szCs w:val="21"/>
          <w:highlight w:val="none"/>
          <w:lang w:val="en-US" w:eastAsia="zh-CN"/>
        </w:rPr>
        <w:t>响应</w:t>
      </w:r>
      <w:r>
        <w:rPr>
          <w:rFonts w:hint="eastAsia" w:ascii="宋体" w:hAnsi="宋体" w:eastAsia="宋体" w:cs="宋体"/>
          <w:color w:val="000000"/>
          <w:sz w:val="21"/>
          <w:szCs w:val="21"/>
          <w:highlight w:val="none"/>
        </w:rPr>
        <w:t>文件中的承诺，对乙方提供的服务及履行本合同情况实行监督考核。</w:t>
      </w:r>
    </w:p>
    <w:p w14:paraId="1FFEAE0E">
      <w:pPr>
        <w:pStyle w:val="7"/>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2.甲方有权制定、调整绿化养护相关考核办法、奖惩细则等，对乙方养护工作及现场效果根据相关考核文件进行考核，并根据考核结果支付管护费用。</w:t>
      </w:r>
    </w:p>
    <w:p w14:paraId="286D6B8D">
      <w:pPr>
        <w:pStyle w:val="7"/>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3.若乙方在承包养护期间，因将绿化养护管理转包他人或发生其他严重侵害甲方利益的行为，甲方有权终止合同。</w:t>
      </w:r>
    </w:p>
    <w:p w14:paraId="798C72CB">
      <w:pPr>
        <w:pStyle w:val="7"/>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4.听取乙方提出的</w:t>
      </w:r>
      <w:r>
        <w:rPr>
          <w:rFonts w:hint="eastAsia" w:ascii="宋体" w:hAnsi="宋体" w:eastAsia="宋体" w:cs="宋体"/>
          <w:color w:val="000000"/>
          <w:sz w:val="21"/>
          <w:szCs w:val="21"/>
          <w:highlight w:val="none"/>
          <w:lang w:eastAsia="zh-CN"/>
        </w:rPr>
        <w:t>合理</w:t>
      </w:r>
      <w:r>
        <w:rPr>
          <w:rFonts w:hint="eastAsia" w:ascii="宋体" w:hAnsi="宋体" w:eastAsia="宋体" w:cs="宋体"/>
          <w:color w:val="000000"/>
          <w:sz w:val="21"/>
          <w:szCs w:val="21"/>
          <w:highlight w:val="none"/>
        </w:rPr>
        <w:t>建议并给予答复。</w:t>
      </w:r>
    </w:p>
    <w:p w14:paraId="151DF0BB">
      <w:pPr>
        <w:keepNext w:val="0"/>
        <w:keepLines w:val="0"/>
        <w:pageBreakBefore w:val="0"/>
        <w:spacing w:line="400" w:lineRule="exact"/>
        <w:ind w:firstLine="487"/>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第</w:t>
      </w:r>
      <w:r>
        <w:rPr>
          <w:rFonts w:hint="eastAsia" w:ascii="宋体" w:hAnsi="宋体" w:eastAsia="宋体" w:cs="宋体"/>
          <w:b/>
          <w:color w:val="000000"/>
          <w:sz w:val="21"/>
          <w:szCs w:val="21"/>
          <w:highlight w:val="none"/>
          <w:lang w:eastAsia="zh-CN"/>
        </w:rPr>
        <w:t>六</w:t>
      </w:r>
      <w:r>
        <w:rPr>
          <w:rFonts w:hint="eastAsia" w:ascii="宋体" w:hAnsi="宋体" w:eastAsia="宋体" w:cs="宋体"/>
          <w:b/>
          <w:color w:val="000000"/>
          <w:sz w:val="21"/>
          <w:szCs w:val="21"/>
          <w:highlight w:val="none"/>
        </w:rPr>
        <w:t>条 乙方权利和义务</w:t>
      </w:r>
    </w:p>
    <w:p w14:paraId="271C7E02">
      <w:pPr>
        <w:pStyle w:val="7"/>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w:t>
      </w:r>
      <w:r>
        <w:rPr>
          <w:rFonts w:hint="eastAsia" w:ascii="宋体" w:hAnsi="宋体" w:eastAsia="宋体" w:cs="宋体"/>
          <w:color w:val="000000"/>
          <w:sz w:val="21"/>
          <w:szCs w:val="21"/>
          <w:highlight w:val="none"/>
        </w:rPr>
        <w:t>.乙方承担独立绿化</w:t>
      </w:r>
      <w:r>
        <w:rPr>
          <w:rFonts w:hint="eastAsia" w:ascii="宋体" w:hAnsi="宋体" w:eastAsia="宋体" w:cs="宋体"/>
          <w:color w:val="000000"/>
          <w:sz w:val="21"/>
          <w:szCs w:val="21"/>
          <w:highlight w:val="none"/>
          <w:lang w:val="en-US" w:eastAsia="zh-CN"/>
        </w:rPr>
        <w:t>管护</w:t>
      </w:r>
      <w:r>
        <w:rPr>
          <w:rFonts w:hint="eastAsia" w:ascii="宋体" w:hAnsi="宋体" w:eastAsia="宋体" w:cs="宋体"/>
          <w:color w:val="000000"/>
          <w:sz w:val="21"/>
          <w:szCs w:val="21"/>
          <w:highlight w:val="none"/>
        </w:rPr>
        <w:t>作业中的安全责任和经济赔偿。</w:t>
      </w:r>
    </w:p>
    <w:p w14:paraId="6F8ACCA7">
      <w:pPr>
        <w:pStyle w:val="7"/>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rPr>
        <w:t>.乙方有义务按照绿化养护技术规范、质量标准、考核办法等，主动做好绿化养护工作。</w:t>
      </w:r>
    </w:p>
    <w:p w14:paraId="57998EEF">
      <w:pPr>
        <w:pStyle w:val="7"/>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rPr>
        <w:t>.乙方有义务接受并配合甲方及行业管理部门的考核及其结果。</w:t>
      </w:r>
    </w:p>
    <w:p w14:paraId="7DD46802">
      <w:pPr>
        <w:pStyle w:val="7"/>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rPr>
        <w:t>.乙方有义务做好甲方合理布置的养护范围之外的突击性、突发性工作，不得无故拖延。</w:t>
      </w:r>
    </w:p>
    <w:p w14:paraId="01003414">
      <w:pPr>
        <w:pStyle w:val="7"/>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5</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管护</w:t>
      </w:r>
      <w:r>
        <w:rPr>
          <w:rFonts w:hint="eastAsia" w:ascii="宋体" w:hAnsi="宋体" w:eastAsia="宋体" w:cs="宋体"/>
          <w:color w:val="000000"/>
          <w:sz w:val="21"/>
          <w:szCs w:val="21"/>
          <w:highlight w:val="none"/>
        </w:rPr>
        <w:t>不当造成植物死亡、设施损坏的，应及时补植和修复或照价赔偿。</w:t>
      </w:r>
    </w:p>
    <w:p w14:paraId="06D7DF58">
      <w:pPr>
        <w:pStyle w:val="7"/>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6</w:t>
      </w:r>
      <w:r>
        <w:rPr>
          <w:rFonts w:hint="eastAsia" w:ascii="宋体" w:hAnsi="宋体" w:eastAsia="宋体" w:cs="宋体"/>
          <w:color w:val="000000"/>
          <w:sz w:val="21"/>
          <w:szCs w:val="21"/>
          <w:highlight w:val="none"/>
        </w:rPr>
        <w:t>.准时参加甲方召开的会议。</w:t>
      </w:r>
    </w:p>
    <w:p w14:paraId="37006822">
      <w:pPr>
        <w:pStyle w:val="7"/>
        <w:keepNext w:val="0"/>
        <w:keepLines w:val="0"/>
        <w:pageBreakBefore w:val="0"/>
        <w:spacing w:line="400" w:lineRule="exact"/>
        <w:ind w:firstLine="484"/>
        <w:rPr>
          <w:rFonts w:hint="eastAsia" w:ascii="宋体" w:hAnsi="宋体" w:eastAsia="宋体" w:cs="宋体"/>
          <w:b/>
          <w:color w:val="000000"/>
          <w:sz w:val="21"/>
          <w:szCs w:val="21"/>
          <w:highlight w:val="none"/>
          <w:lang w:val="en-US" w:eastAsia="zh-CN" w:bidi="ar-SA"/>
        </w:rPr>
      </w:pPr>
      <w:r>
        <w:rPr>
          <w:rFonts w:hint="eastAsia" w:ascii="宋体" w:hAnsi="宋体" w:eastAsia="宋体" w:cs="宋体"/>
          <w:b/>
          <w:color w:val="000000"/>
          <w:sz w:val="21"/>
          <w:szCs w:val="21"/>
          <w:highlight w:val="none"/>
          <w:lang w:val="en-US" w:eastAsia="zh-CN" w:bidi="ar-SA"/>
        </w:rPr>
        <w:t>第七条 违约责任</w:t>
      </w:r>
    </w:p>
    <w:p w14:paraId="3A2FF54A">
      <w:pPr>
        <w:pStyle w:val="7"/>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1、合同一方不履行合同义务或违反履行合同义务约定的，应当承担继续履行、采取补救措施或者赔偿损失等违约责任。</w:t>
      </w:r>
    </w:p>
    <w:p w14:paraId="66745E19">
      <w:pPr>
        <w:pStyle w:val="7"/>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2、在合同生效后，乙方未按约定的</w:t>
      </w:r>
      <w:r>
        <w:rPr>
          <w:rFonts w:hint="eastAsia" w:ascii="宋体" w:hAnsi="宋体" w:eastAsia="宋体" w:cs="宋体"/>
          <w:color w:val="000000"/>
          <w:sz w:val="21"/>
          <w:szCs w:val="21"/>
          <w:highlight w:val="none"/>
          <w:lang w:val="en-US" w:eastAsia="zh-CN"/>
        </w:rPr>
        <w:t>养护</w:t>
      </w:r>
      <w:r>
        <w:rPr>
          <w:rFonts w:hint="eastAsia" w:ascii="宋体" w:hAnsi="宋体" w:eastAsia="宋体" w:cs="宋体"/>
          <w:color w:val="000000"/>
          <w:sz w:val="21"/>
          <w:szCs w:val="21"/>
          <w:highlight w:val="none"/>
        </w:rPr>
        <w:t>作业方案实施的，支付合同总金额的5%，作为违约金，违约金不足以补偿损失的，招标人有权要求乙方补足。</w:t>
      </w:r>
    </w:p>
    <w:p w14:paraId="66D78C67">
      <w:pPr>
        <w:pStyle w:val="7"/>
        <w:keepNext w:val="0"/>
        <w:keepLines w:val="0"/>
        <w:pageBreakBefore w:val="0"/>
        <w:spacing w:line="400" w:lineRule="exact"/>
        <w:ind w:firstLine="484"/>
        <w:rPr>
          <w:rFonts w:hint="eastAsia" w:ascii="宋体" w:hAnsi="宋体" w:eastAsia="宋体" w:cs="宋体"/>
          <w:b/>
          <w:color w:val="000000"/>
          <w:sz w:val="21"/>
          <w:szCs w:val="21"/>
          <w:highlight w:val="none"/>
          <w:lang w:val="en-US" w:eastAsia="zh-CN" w:bidi="ar-SA"/>
        </w:rPr>
      </w:pPr>
      <w:r>
        <w:rPr>
          <w:rFonts w:hint="eastAsia" w:ascii="宋体" w:hAnsi="宋体" w:eastAsia="宋体" w:cs="宋体"/>
          <w:b/>
          <w:color w:val="000000"/>
          <w:sz w:val="21"/>
          <w:szCs w:val="21"/>
          <w:highlight w:val="none"/>
          <w:lang w:val="en-US" w:eastAsia="zh-CN" w:bidi="ar-SA"/>
        </w:rPr>
        <w:t>第八条 不可抗力</w:t>
      </w:r>
    </w:p>
    <w:p w14:paraId="52B5B6AB">
      <w:pPr>
        <w:pStyle w:val="7"/>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1、因不可抗力（或甲、乙双方不能控制的原因）不能履行合同的，根据不可抗力的影响，部分或者全部免除责任，但合同一方迟延履行后发生不可抗力的，不能免除其责任。</w:t>
      </w:r>
    </w:p>
    <w:p w14:paraId="776AA304">
      <w:pPr>
        <w:pStyle w:val="7"/>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2、合同一方因不可抗力不能履行合同的，应当及时通知对方，以减轻可能给对方造成的损失，并应当在合理期限内提供证明。</w:t>
      </w:r>
    </w:p>
    <w:p w14:paraId="256042A8">
      <w:pPr>
        <w:pStyle w:val="7"/>
        <w:keepNext w:val="0"/>
        <w:keepLines w:val="0"/>
        <w:pageBreakBefore w:val="0"/>
        <w:spacing w:line="400" w:lineRule="exact"/>
        <w:ind w:firstLine="484"/>
        <w:rPr>
          <w:rFonts w:hint="eastAsia" w:ascii="宋体" w:hAnsi="宋体" w:eastAsia="宋体" w:cs="宋体"/>
          <w:b/>
          <w:color w:val="000000"/>
          <w:sz w:val="21"/>
          <w:szCs w:val="21"/>
          <w:highlight w:val="none"/>
          <w:lang w:val="en-US" w:eastAsia="zh-CN" w:bidi="ar-SA"/>
        </w:rPr>
      </w:pPr>
      <w:r>
        <w:rPr>
          <w:rFonts w:hint="eastAsia" w:ascii="宋体" w:hAnsi="宋体" w:eastAsia="宋体" w:cs="宋体"/>
          <w:b/>
          <w:color w:val="000000"/>
          <w:sz w:val="21"/>
          <w:szCs w:val="21"/>
          <w:highlight w:val="none"/>
          <w:lang w:val="en-US" w:eastAsia="zh-CN" w:bidi="ar-SA"/>
        </w:rPr>
        <w:t>第九条 合同的解除和转让</w:t>
      </w:r>
    </w:p>
    <w:p w14:paraId="1F7E93F6">
      <w:pPr>
        <w:pStyle w:val="7"/>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1</w:t>
      </w:r>
      <w:r>
        <w:rPr>
          <w:rFonts w:hint="eastAsia" w:ascii="宋体" w:hAnsi="宋体" w:eastAsia="宋体" w:cs="宋体"/>
          <w:color w:val="000000"/>
          <w:sz w:val="21"/>
          <w:szCs w:val="21"/>
          <w:highlight w:val="none"/>
        </w:rPr>
        <w:t>、甲方和乙方协商一致，可以解除合同。</w:t>
      </w:r>
    </w:p>
    <w:p w14:paraId="22537319">
      <w:pPr>
        <w:pStyle w:val="7"/>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rPr>
        <w:t>有下列情况之一，合同方可以解除合同；</w:t>
      </w:r>
    </w:p>
    <w:p w14:paraId="08A63E5F">
      <w:pPr>
        <w:pStyle w:val="7"/>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（1）因不可抗力致使不能实现合同目的，未受不可抗力影响的一方有权解除合同；</w:t>
      </w:r>
    </w:p>
    <w:p w14:paraId="617569CF">
      <w:pPr>
        <w:pStyle w:val="7"/>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（2）因合同一方违约导致合同不能履行，另一方有权解除合同。</w:t>
      </w:r>
    </w:p>
    <w:p w14:paraId="1149BDCC">
      <w:pPr>
        <w:pStyle w:val="7"/>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rPr>
        <w:t>有权解除合同的一方，应当在违约事实或不可抗力发生之后30天内书面通知对方提出解除合同，合同在书面通知到达对方时解除。</w:t>
      </w:r>
    </w:p>
    <w:p w14:paraId="3E4A3839">
      <w:pPr>
        <w:pStyle w:val="7"/>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4、合同的部分或全部都不准转包或分包。</w:t>
      </w:r>
    </w:p>
    <w:p w14:paraId="53D2D771">
      <w:pPr>
        <w:pStyle w:val="7"/>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5、若发生以下情形之一的，甲方将单方面解除承包合同。</w:t>
      </w:r>
    </w:p>
    <w:p w14:paraId="3460A8D8">
      <w:pPr>
        <w:pStyle w:val="7"/>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（1）实际</w:t>
      </w:r>
      <w:r>
        <w:rPr>
          <w:rFonts w:hint="eastAsia" w:ascii="宋体" w:hAnsi="宋体" w:eastAsia="宋体" w:cs="宋体"/>
          <w:color w:val="000000"/>
          <w:sz w:val="21"/>
          <w:szCs w:val="21"/>
          <w:highlight w:val="none"/>
          <w:lang w:eastAsia="zh-CN"/>
        </w:rPr>
        <w:t>养护</w:t>
      </w:r>
      <w:r>
        <w:rPr>
          <w:rFonts w:hint="eastAsia" w:ascii="宋体" w:hAnsi="宋体" w:eastAsia="宋体" w:cs="宋体"/>
          <w:color w:val="000000"/>
          <w:sz w:val="21"/>
          <w:szCs w:val="21"/>
          <w:highlight w:val="none"/>
        </w:rPr>
        <w:t>方案与约定的方案不一致、五日之内未实行约定</w:t>
      </w:r>
      <w:r>
        <w:rPr>
          <w:rFonts w:hint="eastAsia" w:ascii="宋体" w:hAnsi="宋体" w:eastAsia="宋体" w:cs="宋体"/>
          <w:color w:val="000000"/>
          <w:sz w:val="21"/>
          <w:szCs w:val="21"/>
          <w:highlight w:val="none"/>
          <w:lang w:eastAsia="zh-CN"/>
        </w:rPr>
        <w:t>养护</w:t>
      </w:r>
      <w:r>
        <w:rPr>
          <w:rFonts w:hint="eastAsia" w:ascii="宋体" w:hAnsi="宋体" w:eastAsia="宋体" w:cs="宋体"/>
          <w:color w:val="000000"/>
          <w:sz w:val="21"/>
          <w:szCs w:val="21"/>
          <w:highlight w:val="none"/>
        </w:rPr>
        <w:t>方案的；</w:t>
      </w:r>
    </w:p>
    <w:p w14:paraId="2252195B">
      <w:pPr>
        <w:pStyle w:val="7"/>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（2）一年内2个季度考核</w:t>
      </w:r>
      <w:r>
        <w:rPr>
          <w:rFonts w:hint="eastAsia" w:ascii="宋体" w:hAnsi="宋体" w:eastAsia="宋体" w:cs="宋体"/>
          <w:color w:val="000000"/>
          <w:sz w:val="21"/>
          <w:szCs w:val="21"/>
          <w:highlight w:val="none"/>
          <w:lang w:eastAsia="zh-CN"/>
        </w:rPr>
        <w:t>得分在</w:t>
      </w:r>
      <w:r>
        <w:rPr>
          <w:rFonts w:hint="eastAsia" w:ascii="宋体" w:hAnsi="宋体" w:eastAsia="宋体" w:cs="宋体"/>
          <w:color w:val="000000"/>
          <w:sz w:val="21"/>
          <w:szCs w:val="21"/>
          <w:highlight w:val="none"/>
          <w:lang w:val="en-US" w:eastAsia="zh-CN"/>
        </w:rPr>
        <w:t>70分及以下的</w:t>
      </w:r>
      <w:r>
        <w:rPr>
          <w:rFonts w:hint="eastAsia" w:ascii="宋体" w:hAnsi="宋体" w:eastAsia="宋体" w:cs="宋体"/>
          <w:color w:val="000000"/>
          <w:sz w:val="21"/>
          <w:szCs w:val="21"/>
          <w:highlight w:val="none"/>
        </w:rPr>
        <w:t>；</w:t>
      </w:r>
    </w:p>
    <w:p w14:paraId="6D16B486">
      <w:pPr>
        <w:pStyle w:val="7"/>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（3）媒体曝光、市民纸质投诉反映强烈、上级部门暗访发现问题且整改不力的；</w:t>
      </w:r>
    </w:p>
    <w:p w14:paraId="6AFCAF4A">
      <w:pPr>
        <w:pStyle w:val="7"/>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（4）发现合同转包或分包的。</w:t>
      </w:r>
    </w:p>
    <w:p w14:paraId="492BA5A0">
      <w:pPr>
        <w:keepNext w:val="0"/>
        <w:keepLines w:val="0"/>
        <w:pageBreakBefore w:val="0"/>
        <w:spacing w:line="400" w:lineRule="exact"/>
        <w:ind w:firstLine="487"/>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第</w:t>
      </w:r>
      <w:r>
        <w:rPr>
          <w:rFonts w:hint="eastAsia" w:ascii="宋体" w:hAnsi="宋体" w:eastAsia="宋体" w:cs="宋体"/>
          <w:b/>
          <w:color w:val="000000"/>
          <w:sz w:val="21"/>
          <w:szCs w:val="21"/>
          <w:highlight w:val="none"/>
          <w:lang w:eastAsia="zh-CN"/>
        </w:rPr>
        <w:t>十</w:t>
      </w:r>
      <w:r>
        <w:rPr>
          <w:rFonts w:hint="eastAsia" w:ascii="宋体" w:hAnsi="宋体" w:eastAsia="宋体" w:cs="宋体"/>
          <w:b/>
          <w:color w:val="000000"/>
          <w:sz w:val="21"/>
          <w:szCs w:val="21"/>
          <w:highlight w:val="none"/>
        </w:rPr>
        <w:t>条 争议的解决</w:t>
      </w:r>
    </w:p>
    <w:p w14:paraId="17C70660">
      <w:pPr>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1.因履行本合同引起的或与本合同有关的争议，甲、乙双方应首先通过友好协商解决，如果协商不能解决争议，则采取以下第（1）种方式解决争议：</w:t>
      </w:r>
    </w:p>
    <w:p w14:paraId="19024681">
      <w:pPr>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（1）向甲方所在地人民法院提起诉讼；</w:t>
      </w:r>
    </w:p>
    <w:p w14:paraId="34B495B7">
      <w:pPr>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（2）向甲方所在地仲裁委员会按其仲裁规则申请仲裁。</w:t>
      </w:r>
    </w:p>
    <w:p w14:paraId="514FD6C9">
      <w:pPr>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如没有约定，默认采取第2种方式解决争议。</w:t>
      </w:r>
    </w:p>
    <w:p w14:paraId="46B7AEFA">
      <w:pPr>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2.在法院审理和仲裁期间，除有争议部分外，本合同其他部分应继续履行。</w:t>
      </w:r>
    </w:p>
    <w:p w14:paraId="6D2A829E">
      <w:pPr>
        <w:keepNext w:val="0"/>
        <w:keepLines w:val="0"/>
        <w:pageBreakBefore w:val="0"/>
        <w:spacing w:line="400" w:lineRule="exact"/>
        <w:ind w:firstLine="487"/>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第十</w:t>
      </w:r>
      <w:r>
        <w:rPr>
          <w:rFonts w:hint="eastAsia" w:ascii="宋体" w:hAnsi="宋体" w:eastAsia="宋体" w:cs="宋体"/>
          <w:b/>
          <w:color w:val="000000"/>
          <w:sz w:val="21"/>
          <w:szCs w:val="21"/>
          <w:highlight w:val="none"/>
          <w:lang w:eastAsia="zh-CN"/>
        </w:rPr>
        <w:t>一</w:t>
      </w:r>
      <w:r>
        <w:rPr>
          <w:rFonts w:hint="eastAsia" w:ascii="宋体" w:hAnsi="宋体" w:eastAsia="宋体" w:cs="宋体"/>
          <w:b/>
          <w:color w:val="000000"/>
          <w:sz w:val="21"/>
          <w:szCs w:val="21"/>
          <w:highlight w:val="none"/>
        </w:rPr>
        <w:t xml:space="preserve">条 诚实信用 </w:t>
      </w:r>
    </w:p>
    <w:p w14:paraId="55FB10CC">
      <w:pPr>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乙方应诚实信用，严格按照竞争性磋商文件要求和磋商承诺履行合同，不向甲方进行商业贿赂或者提供不正当利益。</w:t>
      </w:r>
    </w:p>
    <w:p w14:paraId="4963301D">
      <w:pPr>
        <w:keepNext w:val="0"/>
        <w:keepLines w:val="0"/>
        <w:pageBreakBefore w:val="0"/>
        <w:spacing w:line="400" w:lineRule="exact"/>
        <w:ind w:firstLine="487"/>
        <w:rPr>
          <w:rFonts w:hint="eastAsia" w:ascii="宋体" w:hAnsi="宋体" w:eastAsia="宋体" w:cs="宋体"/>
          <w:b/>
          <w:color w:val="000000"/>
          <w:sz w:val="21"/>
          <w:szCs w:val="21"/>
          <w:highlight w:val="none"/>
          <w:lang w:eastAsia="zh-CN"/>
        </w:rPr>
      </w:pPr>
      <w:r>
        <w:rPr>
          <w:rFonts w:hint="eastAsia" w:ascii="宋体" w:hAnsi="宋体" w:eastAsia="宋体" w:cs="宋体"/>
          <w:b/>
          <w:color w:val="000000"/>
          <w:sz w:val="21"/>
          <w:szCs w:val="21"/>
          <w:highlight w:val="none"/>
        </w:rPr>
        <w:t>第十</w:t>
      </w:r>
      <w:r>
        <w:rPr>
          <w:rFonts w:hint="eastAsia" w:ascii="宋体" w:hAnsi="宋体" w:eastAsia="宋体" w:cs="宋体"/>
          <w:b/>
          <w:color w:val="000000"/>
          <w:sz w:val="21"/>
          <w:szCs w:val="21"/>
          <w:highlight w:val="none"/>
          <w:lang w:eastAsia="zh-CN"/>
        </w:rPr>
        <w:t>二</w:t>
      </w:r>
      <w:r>
        <w:rPr>
          <w:rFonts w:hint="eastAsia" w:ascii="宋体" w:hAnsi="宋体" w:eastAsia="宋体" w:cs="宋体"/>
          <w:b/>
          <w:color w:val="000000"/>
          <w:sz w:val="21"/>
          <w:szCs w:val="21"/>
          <w:highlight w:val="none"/>
        </w:rPr>
        <w:t>条 合同生效及其</w:t>
      </w:r>
      <w:r>
        <w:rPr>
          <w:rFonts w:hint="eastAsia" w:ascii="宋体" w:hAnsi="宋体" w:eastAsia="宋体" w:cs="宋体"/>
          <w:b/>
          <w:color w:val="000000"/>
          <w:sz w:val="21"/>
          <w:szCs w:val="21"/>
          <w:highlight w:val="none"/>
          <w:lang w:eastAsia="zh-CN"/>
        </w:rPr>
        <w:t>它</w:t>
      </w:r>
    </w:p>
    <w:p w14:paraId="09608C09">
      <w:pPr>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zh-CN"/>
        </w:rPr>
        <w:t>1、</w:t>
      </w:r>
      <w:r>
        <w:rPr>
          <w:rFonts w:hint="eastAsia" w:ascii="宋体" w:hAnsi="宋体" w:eastAsia="宋体" w:cs="宋体"/>
          <w:color w:val="000000"/>
          <w:sz w:val="21"/>
          <w:szCs w:val="21"/>
          <w:highlight w:val="none"/>
        </w:rPr>
        <w:t>本合同由甲乙双方签字、盖章后生效。</w:t>
      </w:r>
    </w:p>
    <w:p w14:paraId="69C4890D">
      <w:pPr>
        <w:keepNext w:val="0"/>
        <w:keepLines w:val="0"/>
        <w:pageBreakBefore w:val="0"/>
        <w:spacing w:line="400" w:lineRule="exact"/>
        <w:ind w:firstLine="484"/>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r>
        <w:rPr>
          <w:rFonts w:hint="eastAsia" w:ascii="宋体" w:hAnsi="宋体" w:eastAsia="宋体" w:cs="宋体"/>
          <w:color w:val="000000"/>
          <w:sz w:val="21"/>
          <w:szCs w:val="21"/>
          <w:highlight w:val="none"/>
          <w:lang w:val="zh-CN"/>
        </w:rPr>
        <w:t>、本合同一式陆份</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zh-CN"/>
        </w:rPr>
        <w:t>甲、乙方各持叁份。</w:t>
      </w:r>
    </w:p>
    <w:p w14:paraId="76D883C8">
      <w:pPr>
        <w:keepNext w:val="0"/>
        <w:keepLines w:val="0"/>
        <w:pageBreakBefore w:val="0"/>
        <w:spacing w:line="400" w:lineRule="exact"/>
        <w:ind w:firstLine="484"/>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3、本合同应按照中华人民共和国的现行法律进行解释。</w:t>
      </w:r>
    </w:p>
    <w:p w14:paraId="507C67F1">
      <w:pPr>
        <w:spacing w:line="360" w:lineRule="auto"/>
        <w:ind w:firstLine="426"/>
        <w:rPr>
          <w:rFonts w:hint="eastAsia" w:ascii="宋体" w:hAnsi="宋体" w:eastAsia="宋体" w:cs="宋体"/>
          <w:b/>
          <w:bCs/>
          <w:color w:val="000000"/>
          <w:sz w:val="21"/>
          <w:szCs w:val="21"/>
          <w:highlight w:val="none"/>
        </w:rPr>
      </w:pPr>
    </w:p>
    <w:p w14:paraId="6296DF53">
      <w:pPr>
        <w:spacing w:line="400" w:lineRule="exact"/>
        <w:ind w:firstLine="632"/>
        <w:jc w:val="left"/>
        <w:rPr>
          <w:rFonts w:hint="eastAsia" w:ascii="宋体" w:hAnsi="宋体" w:eastAsia="宋体" w:cs="宋体"/>
          <w:color w:val="000000"/>
          <w:sz w:val="21"/>
          <w:szCs w:val="21"/>
          <w:highlight w:val="none"/>
        </w:rPr>
      </w:pPr>
      <w:r>
        <w:rPr>
          <w:rFonts w:hint="eastAsia" w:ascii="宋体" w:hAnsi="宋体" w:eastAsia="宋体" w:cs="宋体"/>
          <w:b/>
          <w:bCs/>
          <w:color w:val="000000"/>
          <w:sz w:val="21"/>
          <w:szCs w:val="21"/>
          <w:highlight w:val="none"/>
        </w:rPr>
        <w:t>甲    方</w:t>
      </w:r>
      <w:r>
        <w:rPr>
          <w:rFonts w:hint="eastAsia" w:ascii="宋体" w:hAnsi="宋体" w:eastAsia="宋体" w:cs="宋体"/>
          <w:color w:val="000000"/>
          <w:sz w:val="21"/>
          <w:szCs w:val="21"/>
          <w:highlight w:val="none"/>
        </w:rPr>
        <w:t>：</w:t>
      </w:r>
      <w:r>
        <w:rPr>
          <w:rFonts w:hint="eastAsia" w:ascii="宋体" w:hAnsi="宋体" w:eastAsia="宋体" w:cs="宋体"/>
          <w:b/>
          <w:color w:val="000000"/>
          <w:sz w:val="21"/>
          <w:szCs w:val="21"/>
          <w:highlight w:val="none"/>
          <w:lang w:eastAsia="zh-CN"/>
        </w:rPr>
        <w:t>常州市武进区礼嘉镇人民政府</w:t>
      </w:r>
      <w:r>
        <w:rPr>
          <w:rFonts w:hint="eastAsia" w:ascii="宋体" w:hAnsi="宋体" w:eastAsia="宋体" w:cs="宋体"/>
          <w:color w:val="000000"/>
          <w:sz w:val="21"/>
          <w:szCs w:val="21"/>
          <w:highlight w:val="none"/>
        </w:rPr>
        <w:t xml:space="preserve">     </w:t>
      </w:r>
      <w:r>
        <w:rPr>
          <w:rFonts w:hint="eastAsia" w:ascii="宋体" w:hAnsi="宋体" w:eastAsia="宋体" w:cs="宋体"/>
          <w:color w:val="000000"/>
          <w:sz w:val="21"/>
          <w:szCs w:val="21"/>
          <w:highlight w:val="none"/>
          <w:lang w:val="en-US" w:eastAsia="zh-CN"/>
        </w:rPr>
        <w:t xml:space="preserve"> </w:t>
      </w:r>
      <w:r>
        <w:rPr>
          <w:rFonts w:hint="eastAsia" w:ascii="宋体" w:hAnsi="宋体" w:eastAsia="宋体" w:cs="宋体"/>
          <w:b/>
          <w:bCs/>
          <w:color w:val="000000"/>
          <w:sz w:val="21"/>
          <w:szCs w:val="21"/>
          <w:highlight w:val="none"/>
        </w:rPr>
        <w:t>乙    方</w:t>
      </w:r>
      <w:r>
        <w:rPr>
          <w:rFonts w:hint="eastAsia" w:ascii="宋体" w:hAnsi="宋体" w:eastAsia="宋体" w:cs="宋体"/>
          <w:color w:val="000000"/>
          <w:sz w:val="21"/>
          <w:szCs w:val="21"/>
          <w:highlight w:val="none"/>
        </w:rPr>
        <w:t>：</w:t>
      </w:r>
      <w:r>
        <w:rPr>
          <w:rFonts w:hint="eastAsia" w:ascii="宋体" w:hAnsi="宋体" w:eastAsia="宋体" w:cs="宋体"/>
          <w:b/>
          <w:color w:val="000000"/>
          <w:sz w:val="21"/>
          <w:szCs w:val="21"/>
          <w:highlight w:val="none"/>
          <w:lang w:eastAsia="zh-CN"/>
        </w:rPr>
        <w:t>江苏前方市政园林有限公司</w:t>
      </w:r>
    </w:p>
    <w:p w14:paraId="1F8B692A">
      <w:pPr>
        <w:spacing w:line="400" w:lineRule="exact"/>
        <w:ind w:firstLine="630"/>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rPr>
        <w:t>单位名称（章）：                          单位名称（章）：</w:t>
      </w:r>
    </w:p>
    <w:p w14:paraId="4AF9DD64">
      <w:pPr>
        <w:spacing w:line="400" w:lineRule="exact"/>
        <w:ind w:firstLine="630"/>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rPr>
        <w:t xml:space="preserve">单位地址：                              </w:t>
      </w:r>
      <w:r>
        <w:rPr>
          <w:rFonts w:hint="eastAsia" w:ascii="宋体" w:hAnsi="宋体" w:eastAsia="宋体" w:cs="宋体"/>
          <w:color w:val="000000"/>
          <w:sz w:val="21"/>
          <w:szCs w:val="21"/>
          <w:highlight w:val="none"/>
          <w:lang w:val="en-US" w:eastAsia="zh-CN"/>
        </w:rPr>
        <w:t xml:space="preserve"> </w:t>
      </w:r>
      <w:r>
        <w:rPr>
          <w:rFonts w:hint="eastAsia" w:ascii="宋体" w:hAnsi="宋体" w:eastAsia="宋体" w:cs="宋体"/>
          <w:color w:val="000000"/>
          <w:sz w:val="21"/>
          <w:szCs w:val="21"/>
          <w:highlight w:val="none"/>
        </w:rPr>
        <w:t xml:space="preserve"> 单位地址：</w:t>
      </w:r>
    </w:p>
    <w:p w14:paraId="08E02550">
      <w:pPr>
        <w:spacing w:line="400" w:lineRule="exact"/>
        <w:ind w:firstLine="63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法定</w:t>
      </w:r>
      <w:r>
        <w:rPr>
          <w:rFonts w:hint="eastAsia" w:ascii="宋体" w:hAnsi="宋体" w:eastAsia="宋体" w:cs="宋体"/>
          <w:color w:val="000000"/>
          <w:sz w:val="21"/>
          <w:szCs w:val="21"/>
          <w:highlight w:val="none"/>
          <w:lang w:eastAsia="zh-CN"/>
        </w:rPr>
        <w:t>（授权）</w:t>
      </w:r>
      <w:r>
        <w:rPr>
          <w:rFonts w:hint="eastAsia" w:ascii="宋体" w:hAnsi="宋体" w:eastAsia="宋体" w:cs="宋体"/>
          <w:color w:val="000000"/>
          <w:sz w:val="21"/>
          <w:szCs w:val="21"/>
          <w:highlight w:val="none"/>
        </w:rPr>
        <w:t xml:space="preserve">代表人：             </w:t>
      </w:r>
      <w:r>
        <w:rPr>
          <w:rFonts w:hint="eastAsia" w:ascii="宋体" w:hAnsi="宋体" w:eastAsia="宋体" w:cs="宋体"/>
          <w:color w:val="000000"/>
          <w:sz w:val="21"/>
          <w:szCs w:val="21"/>
          <w:highlight w:val="none"/>
          <w:lang w:val="en-US" w:eastAsia="zh-CN"/>
        </w:rPr>
        <w:t xml:space="preserve">         </w:t>
      </w:r>
      <w:r>
        <w:rPr>
          <w:rFonts w:hint="eastAsia" w:ascii="宋体" w:hAnsi="宋体" w:eastAsia="宋体" w:cs="宋体"/>
          <w:color w:val="000000"/>
          <w:sz w:val="21"/>
          <w:szCs w:val="21"/>
          <w:highlight w:val="none"/>
        </w:rPr>
        <w:t>法定</w:t>
      </w:r>
      <w:r>
        <w:rPr>
          <w:rFonts w:hint="eastAsia" w:ascii="宋体" w:hAnsi="宋体" w:eastAsia="宋体" w:cs="宋体"/>
          <w:color w:val="000000"/>
          <w:sz w:val="21"/>
          <w:szCs w:val="21"/>
          <w:highlight w:val="none"/>
          <w:lang w:eastAsia="zh-CN"/>
        </w:rPr>
        <w:t>（授权）</w:t>
      </w:r>
      <w:r>
        <w:rPr>
          <w:rFonts w:hint="eastAsia" w:ascii="宋体" w:hAnsi="宋体" w:eastAsia="宋体" w:cs="宋体"/>
          <w:color w:val="000000"/>
          <w:sz w:val="21"/>
          <w:szCs w:val="21"/>
          <w:highlight w:val="none"/>
        </w:rPr>
        <w:t xml:space="preserve">代表人：                              </w:t>
      </w:r>
    </w:p>
    <w:p w14:paraId="3A1353FD">
      <w:pPr>
        <w:spacing w:line="400" w:lineRule="exact"/>
        <w:ind w:firstLine="63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电话：                                   </w:t>
      </w:r>
      <w:r>
        <w:rPr>
          <w:rFonts w:hint="eastAsia" w:ascii="宋体" w:hAnsi="宋体" w:eastAsia="宋体" w:cs="宋体"/>
          <w:color w:val="000000"/>
          <w:sz w:val="21"/>
          <w:szCs w:val="21"/>
          <w:highlight w:val="none"/>
          <w:lang w:val="en-US" w:eastAsia="zh-CN"/>
        </w:rPr>
        <w:t xml:space="preserve"> </w:t>
      </w:r>
      <w:r>
        <w:rPr>
          <w:rFonts w:hint="eastAsia" w:ascii="宋体" w:hAnsi="宋体" w:eastAsia="宋体" w:cs="宋体"/>
          <w:color w:val="000000"/>
          <w:sz w:val="21"/>
          <w:szCs w:val="21"/>
          <w:highlight w:val="none"/>
        </w:rPr>
        <w:t>电话：            传真：</w:t>
      </w:r>
    </w:p>
    <w:p w14:paraId="4B4DB593">
      <w:pPr>
        <w:spacing w:line="240" w:lineRule="auto"/>
        <w:ind w:firstLine="630"/>
        <w:rPr>
          <w:rFonts w:hint="eastAsia" w:ascii="宋体" w:hAnsi="宋体" w:eastAsia="宋体" w:cs="宋体"/>
          <w:b/>
          <w:bCs/>
          <w:color w:val="000000"/>
          <w:sz w:val="21"/>
          <w:szCs w:val="21"/>
          <w:highlight w:val="none"/>
        </w:rPr>
      </w:pPr>
      <w:r>
        <w:rPr>
          <w:rFonts w:hint="eastAsia" w:ascii="宋体" w:hAnsi="宋体" w:eastAsia="宋体" w:cs="宋体"/>
          <w:color w:val="000000"/>
          <w:sz w:val="21"/>
          <w:szCs w:val="21"/>
          <w:highlight w:val="none"/>
        </w:rPr>
        <w:t xml:space="preserve">传真：                                   </w:t>
      </w:r>
      <w:r>
        <w:rPr>
          <w:rFonts w:hint="eastAsia" w:ascii="宋体" w:hAnsi="宋体" w:eastAsia="宋体" w:cs="宋体"/>
          <w:color w:val="000000"/>
          <w:sz w:val="21"/>
          <w:szCs w:val="21"/>
          <w:highlight w:val="none"/>
          <w:lang w:val="en-US" w:eastAsia="zh-CN"/>
        </w:rPr>
        <w:t xml:space="preserve"> </w:t>
      </w:r>
      <w:r>
        <w:rPr>
          <w:rFonts w:hint="eastAsia" w:ascii="宋体" w:hAnsi="宋体" w:eastAsia="宋体" w:cs="宋体"/>
          <w:color w:val="000000"/>
          <w:sz w:val="21"/>
          <w:szCs w:val="21"/>
          <w:highlight w:val="none"/>
        </w:rPr>
        <w:t>开户银行：        帐号：</w:t>
      </w:r>
    </w:p>
    <w:p w14:paraId="7F2EB838">
      <w:pPr>
        <w:pStyle w:val="2"/>
        <w:rPr>
          <w:rFonts w:hint="eastAsia"/>
          <w:color w:val="000000"/>
          <w:highlight w:val="none"/>
        </w:rPr>
      </w:pPr>
    </w:p>
    <w:p w14:paraId="717EA11F">
      <w:pPr>
        <w:keepNext w:val="0"/>
        <w:keepLines w:val="0"/>
        <w:pageBreakBefore w:val="0"/>
        <w:widowControl w:val="0"/>
        <w:spacing w:line="360" w:lineRule="exact"/>
        <w:ind w:firstLine="488"/>
        <w:jc w:val="both"/>
        <w:rPr>
          <w:rFonts w:hint="eastAsia" w:ascii="宋体" w:hAnsi="宋体" w:eastAsia="宋体" w:cs="仿宋"/>
          <w:bCs/>
          <w:color w:val="000000"/>
          <w:sz w:val="24"/>
          <w:szCs w:val="24"/>
          <w:highlight w:val="none"/>
          <w:lang w:val="en-US" w:eastAsia="zh-CN"/>
        </w:rPr>
      </w:pPr>
    </w:p>
    <w:p w14:paraId="721F3084">
      <w:pPr>
        <w:keepNext w:val="0"/>
        <w:keepLines w:val="0"/>
        <w:pageBreakBefore w:val="0"/>
        <w:widowControl w:val="0"/>
        <w:spacing w:line="360" w:lineRule="exact"/>
        <w:ind w:firstLine="488"/>
        <w:jc w:val="both"/>
        <w:rPr>
          <w:rFonts w:hint="eastAsia" w:ascii="宋体" w:hAnsi="宋体" w:eastAsia="宋体" w:cs="仿宋"/>
          <w:bCs/>
          <w:color w:val="000000"/>
          <w:sz w:val="24"/>
          <w:szCs w:val="24"/>
          <w:highlight w:val="none"/>
          <w:lang w:val="en-US" w:eastAsia="zh-CN"/>
        </w:rPr>
      </w:pPr>
    </w:p>
    <w:p w14:paraId="728A89AE">
      <w:pPr>
        <w:keepNext w:val="0"/>
        <w:keepLines w:val="0"/>
        <w:pageBreakBefore w:val="0"/>
        <w:widowControl w:val="0"/>
        <w:spacing w:line="360" w:lineRule="exact"/>
        <w:ind w:firstLine="488"/>
        <w:jc w:val="both"/>
        <w:rPr>
          <w:rFonts w:hint="eastAsia" w:ascii="宋体" w:hAnsi="宋体" w:eastAsia="宋体" w:cs="仿宋"/>
          <w:bCs/>
          <w:color w:val="000000"/>
          <w:sz w:val="24"/>
          <w:szCs w:val="24"/>
          <w:highlight w:val="none"/>
          <w:lang w:val="en-US" w:eastAsia="zh-CN"/>
        </w:rPr>
      </w:pPr>
    </w:p>
    <w:p w14:paraId="7D5E1B42">
      <w:pPr>
        <w:keepNext w:val="0"/>
        <w:keepLines w:val="0"/>
        <w:pageBreakBefore w:val="0"/>
        <w:widowControl w:val="0"/>
        <w:spacing w:line="360" w:lineRule="exact"/>
        <w:ind w:firstLine="488"/>
        <w:jc w:val="both"/>
        <w:rPr>
          <w:rFonts w:hint="eastAsia" w:ascii="宋体" w:hAnsi="宋体" w:eastAsia="宋体" w:cs="仿宋"/>
          <w:bCs/>
          <w:color w:val="000000"/>
          <w:sz w:val="24"/>
          <w:szCs w:val="24"/>
          <w:highlight w:val="none"/>
          <w:lang w:val="en-US" w:eastAsia="zh-CN"/>
        </w:rPr>
      </w:pPr>
    </w:p>
    <w:p w14:paraId="4914C6CC">
      <w:pPr>
        <w:keepNext w:val="0"/>
        <w:keepLines w:val="0"/>
        <w:pageBreakBefore w:val="0"/>
        <w:widowControl w:val="0"/>
        <w:spacing w:line="360" w:lineRule="exact"/>
        <w:ind w:firstLine="488"/>
        <w:jc w:val="both"/>
        <w:rPr>
          <w:rFonts w:hint="eastAsia" w:ascii="宋体" w:hAnsi="宋体" w:eastAsia="宋体" w:cs="仿宋"/>
          <w:bCs/>
          <w:color w:val="000000"/>
          <w:sz w:val="24"/>
          <w:szCs w:val="24"/>
          <w:highlight w:val="none"/>
          <w:lang w:val="en-US" w:eastAsia="zh-CN"/>
        </w:rPr>
      </w:pPr>
    </w:p>
    <w:p w14:paraId="24A9F32D">
      <w:pPr>
        <w:keepNext w:val="0"/>
        <w:keepLines w:val="0"/>
        <w:pageBreakBefore w:val="0"/>
        <w:widowControl w:val="0"/>
        <w:spacing w:line="360" w:lineRule="exact"/>
        <w:ind w:firstLine="488"/>
        <w:jc w:val="both"/>
        <w:rPr>
          <w:rFonts w:hint="eastAsia" w:ascii="宋体" w:hAnsi="宋体" w:eastAsia="宋体" w:cs="仿宋"/>
          <w:bCs/>
          <w:color w:val="000000"/>
          <w:sz w:val="24"/>
          <w:szCs w:val="24"/>
          <w:highlight w:val="none"/>
          <w:lang w:val="en-US" w:eastAsia="zh-CN"/>
        </w:rPr>
      </w:pPr>
    </w:p>
    <w:p w14:paraId="13BC3542">
      <w:pPr>
        <w:keepNext w:val="0"/>
        <w:keepLines w:val="0"/>
        <w:pageBreakBefore w:val="0"/>
        <w:widowControl w:val="0"/>
        <w:spacing w:line="360" w:lineRule="exact"/>
        <w:ind w:firstLine="488"/>
        <w:jc w:val="both"/>
        <w:rPr>
          <w:rFonts w:hint="eastAsia" w:ascii="宋体" w:hAnsi="宋体" w:eastAsia="宋体" w:cs="仿宋"/>
          <w:bCs/>
          <w:color w:val="000000"/>
          <w:sz w:val="24"/>
          <w:szCs w:val="24"/>
          <w:highlight w:val="none"/>
          <w:lang w:val="en-US" w:eastAsia="zh-CN"/>
        </w:rPr>
      </w:pPr>
    </w:p>
    <w:p w14:paraId="35D1D767">
      <w:pPr>
        <w:keepNext w:val="0"/>
        <w:keepLines w:val="0"/>
        <w:pageBreakBefore w:val="0"/>
        <w:widowControl w:val="0"/>
        <w:spacing w:line="360" w:lineRule="exact"/>
        <w:ind w:firstLine="488"/>
        <w:jc w:val="both"/>
        <w:rPr>
          <w:rFonts w:hint="eastAsia" w:ascii="宋体" w:hAnsi="宋体" w:eastAsia="宋体" w:cs="仿宋"/>
          <w:bCs/>
          <w:color w:val="000000"/>
          <w:sz w:val="24"/>
          <w:szCs w:val="24"/>
          <w:highlight w:val="none"/>
          <w:lang w:val="en-US" w:eastAsia="zh-CN"/>
        </w:rPr>
      </w:pPr>
    </w:p>
    <w:p w14:paraId="7A04BC8D">
      <w:pPr>
        <w:keepNext w:val="0"/>
        <w:keepLines w:val="0"/>
        <w:pageBreakBefore w:val="0"/>
        <w:widowControl w:val="0"/>
        <w:spacing w:line="360" w:lineRule="exact"/>
        <w:jc w:val="both"/>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br w:type="page" w:clear="all"/>
      </w:r>
    </w:p>
    <w:p w14:paraId="75062679">
      <w:pPr>
        <w:keepNext w:val="0"/>
        <w:keepLines w:val="0"/>
        <w:pageBreakBefore w:val="0"/>
        <w:widowControl w:val="0"/>
        <w:spacing w:line="360" w:lineRule="exact"/>
        <w:ind w:firstLine="420"/>
        <w:jc w:val="both"/>
        <w:rPr>
          <w:rFonts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附件</w:t>
      </w:r>
      <w:r>
        <w:rPr>
          <w:rFonts w:hint="eastAsia" w:ascii="宋体" w:hAnsi="宋体" w:cs="宋体"/>
          <w:color w:val="000000"/>
          <w:sz w:val="24"/>
          <w:szCs w:val="24"/>
          <w:highlight w:val="none"/>
          <w:lang w:val="en-US" w:eastAsia="zh-CN"/>
        </w:rPr>
        <w:t>1</w:t>
      </w:r>
    </w:p>
    <w:p w14:paraId="4178E357">
      <w:pPr>
        <w:keepNext w:val="0"/>
        <w:keepLines w:val="0"/>
        <w:pageBreakBefore w:val="0"/>
        <w:widowControl w:val="0"/>
        <w:spacing w:line="360" w:lineRule="exact"/>
        <w:ind w:firstLine="420"/>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礼嘉集镇绿化养护考核办法</w:t>
      </w:r>
    </w:p>
    <w:p w14:paraId="2E64238F">
      <w:pPr>
        <w:keepNext w:val="0"/>
        <w:keepLines w:val="0"/>
        <w:pageBreakBefore w:val="0"/>
        <w:widowControl w:val="0"/>
        <w:spacing w:line="360" w:lineRule="exact"/>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为加强礼嘉镇集镇绿化养护管理，规范集镇绿化养护，保证养护质量及绿化效果，使我镇的绿化养护管理工作达到制度化、规范化、精细化和经常化。结合我镇公路绿化的特点，特制定本办法。</w:t>
      </w:r>
    </w:p>
    <w:p w14:paraId="55345895">
      <w:pPr>
        <w:keepNext w:val="0"/>
        <w:keepLines w:val="0"/>
        <w:pageBreakBefore w:val="0"/>
        <w:widowControl w:val="0"/>
        <w:spacing w:line="360" w:lineRule="exact"/>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一、考核原则</w:t>
      </w:r>
    </w:p>
    <w:p w14:paraId="4811B630">
      <w:pPr>
        <w:keepNext w:val="0"/>
        <w:keepLines w:val="0"/>
        <w:pageBreakBefore w:val="0"/>
        <w:widowControl w:val="0"/>
        <w:spacing w:line="360" w:lineRule="exact"/>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坚持公正、公开，定期考核与不定期考核相结合、考核结果与养护经费拨付相挂钩的原则。</w:t>
      </w:r>
    </w:p>
    <w:p w14:paraId="1233CE01">
      <w:pPr>
        <w:keepNext w:val="0"/>
        <w:keepLines w:val="0"/>
        <w:pageBreakBefore w:val="0"/>
        <w:widowControl w:val="0"/>
        <w:spacing w:line="360" w:lineRule="exact"/>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二、考核内容</w:t>
      </w:r>
    </w:p>
    <w:p w14:paraId="65D962FC">
      <w:pPr>
        <w:keepNext w:val="0"/>
        <w:keepLines w:val="0"/>
        <w:pageBreakBefore w:val="0"/>
        <w:widowControl w:val="0"/>
        <w:spacing w:line="360" w:lineRule="exact"/>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eastAsia="zh-CN"/>
        </w:rPr>
        <w:t>礼嘉镇综合行政执法和安生产监督管理办公室</w:t>
      </w:r>
      <w:r>
        <w:rPr>
          <w:rFonts w:hint="eastAsia" w:ascii="宋体" w:hAnsi="宋体" w:eastAsia="宋体" w:cs="宋体"/>
          <w:color w:val="000000"/>
          <w:sz w:val="24"/>
          <w:szCs w:val="24"/>
          <w:highlight w:val="none"/>
        </w:rPr>
        <w:t>负责的纳入集镇绿化养护的绿化</w:t>
      </w:r>
      <w:r>
        <w:rPr>
          <w:rFonts w:hint="eastAsia" w:ascii="宋体" w:hAnsi="宋体" w:eastAsia="宋体" w:cs="宋体"/>
          <w:color w:val="000000"/>
          <w:sz w:val="24"/>
          <w:szCs w:val="24"/>
          <w:highlight w:val="none"/>
          <w:lang w:val="en-US" w:eastAsia="zh-CN"/>
        </w:rPr>
        <w:t>区域</w:t>
      </w:r>
      <w:r>
        <w:rPr>
          <w:rFonts w:hint="eastAsia" w:ascii="宋体" w:hAnsi="宋体" w:eastAsia="宋体" w:cs="宋体"/>
          <w:color w:val="000000"/>
          <w:sz w:val="24"/>
          <w:szCs w:val="24"/>
          <w:highlight w:val="none"/>
        </w:rPr>
        <w:t>。</w:t>
      </w:r>
    </w:p>
    <w:p w14:paraId="5322BD92">
      <w:pPr>
        <w:keepNext w:val="0"/>
        <w:keepLines w:val="0"/>
        <w:pageBreakBefore w:val="0"/>
        <w:widowControl w:val="0"/>
        <w:spacing w:line="360" w:lineRule="exact"/>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三、考核依据</w:t>
      </w:r>
    </w:p>
    <w:p w14:paraId="47EA94CE">
      <w:pPr>
        <w:spacing w:line="360" w:lineRule="exact"/>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按照《常州市城市园林绿化养护管理技术规程》《常州市绿地养护月度重点工作指南（试行）》，结合本办法进行考核。</w:t>
      </w:r>
    </w:p>
    <w:p w14:paraId="414E7150">
      <w:pPr>
        <w:keepNext w:val="0"/>
        <w:keepLines w:val="0"/>
        <w:pageBreakBefore w:val="0"/>
        <w:widowControl w:val="0"/>
        <w:spacing w:line="360" w:lineRule="exact"/>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四、考核方法</w:t>
      </w:r>
    </w:p>
    <w:p w14:paraId="0A077AD8">
      <w:pPr>
        <w:keepNext w:val="0"/>
        <w:keepLines w:val="0"/>
        <w:pageBreakBefore w:val="0"/>
        <w:widowControl w:val="0"/>
        <w:spacing w:line="360" w:lineRule="exact"/>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（一）检查</w:t>
      </w:r>
    </w:p>
    <w:p w14:paraId="004E44AE">
      <w:pPr>
        <w:spacing w:line="360" w:lineRule="exact"/>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1、定期检查：每月下旬由</w:t>
      </w:r>
      <w:r>
        <w:rPr>
          <w:rFonts w:hint="eastAsia" w:ascii="宋体" w:hAnsi="宋体" w:eastAsia="宋体" w:cs="宋体"/>
          <w:color w:val="000000"/>
          <w:sz w:val="24"/>
          <w:szCs w:val="24"/>
          <w:highlight w:val="none"/>
          <w:lang w:eastAsia="zh-CN"/>
        </w:rPr>
        <w:t>礼嘉镇综合行政执法和安生产监督管理办公室</w:t>
      </w:r>
      <w:r>
        <w:rPr>
          <w:rFonts w:hint="eastAsia" w:ascii="宋体" w:hAnsi="宋体" w:eastAsia="宋体" w:cs="宋体"/>
          <w:color w:val="000000"/>
          <w:sz w:val="24"/>
          <w:szCs w:val="24"/>
          <w:highlight w:val="none"/>
        </w:rPr>
        <w:t>组织，各养护单位责任人参加，组成检查考核小组进行检查。</w:t>
      </w:r>
    </w:p>
    <w:p w14:paraId="5F862743">
      <w:pPr>
        <w:spacing w:line="360" w:lineRule="exact"/>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2、不定期巡查：每月不定期的对礼嘉集镇绿化进行巡视检查，对巡视中发现的问题下达《整改通知书》，五个工作日内限期整改。</w:t>
      </w:r>
    </w:p>
    <w:p w14:paraId="3F487DCD">
      <w:pPr>
        <w:spacing w:line="360" w:lineRule="exact"/>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3、督察：（1）下达限期《整改通知书》后的整改情况。（2）布置任务的完成情况。</w:t>
      </w:r>
    </w:p>
    <w:p w14:paraId="601F8310">
      <w:pPr>
        <w:keepNext w:val="0"/>
        <w:keepLines w:val="0"/>
        <w:pageBreakBefore w:val="0"/>
        <w:widowControl w:val="0"/>
        <w:spacing w:line="360" w:lineRule="exact"/>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（二）考核</w:t>
      </w:r>
    </w:p>
    <w:p w14:paraId="51BAA70F">
      <w:pPr>
        <w:keepNext w:val="0"/>
        <w:keepLines w:val="0"/>
        <w:pageBreakBefore w:val="0"/>
        <w:widowControl w:val="0"/>
        <w:spacing w:line="360" w:lineRule="exact"/>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1、</w:t>
      </w:r>
      <w:r>
        <w:rPr>
          <w:rFonts w:hint="eastAsia" w:ascii="宋体" w:hAnsi="宋体" w:eastAsia="宋体" w:cs="宋体"/>
          <w:color w:val="000000"/>
          <w:sz w:val="24"/>
          <w:szCs w:val="24"/>
          <w:highlight w:val="none"/>
        </w:rPr>
        <w:t>考核周期为每季度考核，按季度支付管护费用。</w:t>
      </w:r>
    </w:p>
    <w:p w14:paraId="3BA3C601">
      <w:pPr>
        <w:keepNext w:val="0"/>
        <w:keepLines w:val="0"/>
        <w:pageBreakBefore w:val="0"/>
        <w:widowControl w:val="0"/>
        <w:spacing w:line="360" w:lineRule="exact"/>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A、考核得分90分（含）以上</w:t>
      </w:r>
      <w:r>
        <w:rPr>
          <w:rFonts w:hint="eastAsia" w:ascii="宋体" w:hAnsi="宋体" w:eastAsia="宋体" w:cs="宋体"/>
          <w:color w:val="000000"/>
          <w:sz w:val="24"/>
          <w:szCs w:val="24"/>
          <w:highlight w:val="none"/>
          <w:lang w:val="en-US" w:eastAsia="zh-CN"/>
        </w:rPr>
        <w:t>的</w:t>
      </w:r>
      <w:r>
        <w:rPr>
          <w:rFonts w:hint="eastAsia" w:ascii="宋体" w:hAnsi="宋体" w:eastAsia="宋体" w:cs="宋体"/>
          <w:color w:val="000000"/>
          <w:sz w:val="24"/>
          <w:szCs w:val="24"/>
          <w:highlight w:val="none"/>
        </w:rPr>
        <w:t>，全额支付管护费用；</w:t>
      </w:r>
    </w:p>
    <w:p w14:paraId="609DE635">
      <w:pPr>
        <w:keepNext w:val="0"/>
        <w:keepLines w:val="0"/>
        <w:pageBreakBefore w:val="0"/>
        <w:widowControl w:val="0"/>
        <w:spacing w:line="360" w:lineRule="exact"/>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B、 考核得分</w:t>
      </w:r>
      <w:r>
        <w:rPr>
          <w:rFonts w:hint="eastAsia" w:ascii="宋体" w:hAnsi="宋体" w:eastAsia="宋体" w:cs="宋体"/>
          <w:color w:val="000000"/>
          <w:sz w:val="24"/>
          <w:szCs w:val="24"/>
          <w:highlight w:val="none"/>
          <w:lang w:val="en-US" w:eastAsia="zh-CN"/>
        </w:rPr>
        <w:t>80</w:t>
      </w:r>
      <w:r>
        <w:rPr>
          <w:rFonts w:hint="eastAsia" w:ascii="宋体" w:hAnsi="宋体" w:eastAsia="宋体" w:cs="宋体"/>
          <w:color w:val="000000"/>
          <w:sz w:val="24"/>
          <w:szCs w:val="24"/>
          <w:highlight w:val="none"/>
        </w:rPr>
        <w:t>分（含）--</w:t>
      </w:r>
      <w:r>
        <w:rPr>
          <w:rFonts w:hint="eastAsia" w:ascii="宋体" w:hAnsi="宋体" w:eastAsia="宋体" w:cs="宋体"/>
          <w:color w:val="000000"/>
          <w:sz w:val="24"/>
          <w:szCs w:val="24"/>
          <w:highlight w:val="none"/>
          <w:lang w:val="en-US" w:eastAsia="zh-CN"/>
        </w:rPr>
        <w:t>89</w:t>
      </w:r>
      <w:r>
        <w:rPr>
          <w:rFonts w:hint="eastAsia" w:ascii="宋体" w:hAnsi="宋体" w:eastAsia="宋体" w:cs="宋体"/>
          <w:color w:val="000000"/>
          <w:sz w:val="24"/>
          <w:szCs w:val="24"/>
          <w:highlight w:val="none"/>
        </w:rPr>
        <w:t>分（含）</w:t>
      </w:r>
      <w:r>
        <w:rPr>
          <w:rFonts w:hint="eastAsia" w:ascii="宋体" w:hAnsi="宋体" w:eastAsia="宋体" w:cs="宋体"/>
          <w:color w:val="000000"/>
          <w:sz w:val="24"/>
          <w:szCs w:val="24"/>
          <w:highlight w:val="none"/>
          <w:lang w:val="en-US" w:eastAsia="zh-CN"/>
        </w:rPr>
        <w:t>的</w:t>
      </w:r>
      <w:r>
        <w:rPr>
          <w:rFonts w:hint="eastAsia" w:ascii="宋体" w:hAnsi="宋体" w:eastAsia="宋体" w:cs="宋体"/>
          <w:color w:val="000000"/>
          <w:sz w:val="24"/>
          <w:szCs w:val="24"/>
          <w:highlight w:val="none"/>
        </w:rPr>
        <w:t>，支付管护费用的9</w:t>
      </w:r>
      <w:r>
        <w:rPr>
          <w:rFonts w:hint="eastAsia" w:ascii="宋体" w:hAnsi="宋体" w:eastAsia="宋体" w:cs="宋体"/>
          <w:color w:val="000000"/>
          <w:sz w:val="24"/>
          <w:szCs w:val="24"/>
          <w:highlight w:val="none"/>
          <w:lang w:val="en-US" w:eastAsia="zh-CN"/>
        </w:rPr>
        <w:t>5</w:t>
      </w:r>
      <w:r>
        <w:rPr>
          <w:rFonts w:hint="eastAsia" w:ascii="宋体" w:hAnsi="宋体" w:eastAsia="宋体" w:cs="宋体"/>
          <w:color w:val="000000"/>
          <w:sz w:val="24"/>
          <w:szCs w:val="24"/>
          <w:highlight w:val="none"/>
        </w:rPr>
        <w:t xml:space="preserve">% </w:t>
      </w:r>
    </w:p>
    <w:p w14:paraId="3EBF9113">
      <w:pPr>
        <w:keepNext w:val="0"/>
        <w:keepLines w:val="0"/>
        <w:pageBreakBefore w:val="0"/>
        <w:widowControl w:val="0"/>
        <w:spacing w:line="360" w:lineRule="exact"/>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C、考核得分 </w:t>
      </w:r>
      <w:r>
        <w:rPr>
          <w:rFonts w:hint="eastAsia" w:ascii="宋体" w:hAnsi="宋体" w:eastAsia="宋体" w:cs="宋体"/>
          <w:color w:val="000000"/>
          <w:sz w:val="24"/>
          <w:szCs w:val="24"/>
          <w:highlight w:val="none"/>
          <w:lang w:val="en-US" w:eastAsia="zh-CN"/>
        </w:rPr>
        <w:t>71</w:t>
      </w:r>
      <w:r>
        <w:rPr>
          <w:rFonts w:hint="eastAsia" w:ascii="宋体" w:hAnsi="宋体" w:eastAsia="宋体" w:cs="宋体"/>
          <w:color w:val="000000"/>
          <w:sz w:val="24"/>
          <w:szCs w:val="24"/>
          <w:highlight w:val="none"/>
        </w:rPr>
        <w:t>分（含）---</w:t>
      </w:r>
      <w:r>
        <w:rPr>
          <w:rFonts w:hint="eastAsia" w:ascii="宋体" w:hAnsi="宋体" w:eastAsia="宋体" w:cs="宋体"/>
          <w:color w:val="000000"/>
          <w:sz w:val="24"/>
          <w:szCs w:val="24"/>
          <w:highlight w:val="none"/>
          <w:lang w:val="en-US" w:eastAsia="zh-CN"/>
        </w:rPr>
        <w:t>79</w:t>
      </w:r>
      <w:r>
        <w:rPr>
          <w:rFonts w:hint="eastAsia" w:ascii="宋体" w:hAnsi="宋体" w:eastAsia="宋体" w:cs="宋体"/>
          <w:color w:val="000000"/>
          <w:sz w:val="24"/>
          <w:szCs w:val="24"/>
          <w:highlight w:val="none"/>
        </w:rPr>
        <w:t>分（含）</w:t>
      </w:r>
      <w:r>
        <w:rPr>
          <w:rFonts w:hint="eastAsia" w:ascii="宋体" w:hAnsi="宋体" w:eastAsia="宋体" w:cs="宋体"/>
          <w:color w:val="000000"/>
          <w:sz w:val="24"/>
          <w:szCs w:val="24"/>
          <w:highlight w:val="none"/>
          <w:lang w:val="en-US" w:eastAsia="zh-CN"/>
        </w:rPr>
        <w:t>的</w:t>
      </w:r>
      <w:r>
        <w:rPr>
          <w:rFonts w:hint="eastAsia" w:ascii="宋体" w:hAnsi="宋体" w:eastAsia="宋体" w:cs="宋体"/>
          <w:color w:val="000000"/>
          <w:sz w:val="24"/>
          <w:szCs w:val="24"/>
          <w:highlight w:val="none"/>
        </w:rPr>
        <w:t>，支付管护费用的</w:t>
      </w:r>
      <w:r>
        <w:rPr>
          <w:rFonts w:hint="eastAsia" w:ascii="宋体" w:hAnsi="宋体" w:eastAsia="宋体" w:cs="宋体"/>
          <w:color w:val="000000"/>
          <w:sz w:val="24"/>
          <w:szCs w:val="24"/>
          <w:highlight w:val="none"/>
          <w:lang w:val="en-US" w:eastAsia="zh-CN"/>
        </w:rPr>
        <w:t>90</w:t>
      </w:r>
      <w:r>
        <w:rPr>
          <w:rFonts w:hint="eastAsia" w:ascii="宋体" w:hAnsi="宋体" w:eastAsia="宋体" w:cs="宋体"/>
          <w:color w:val="000000"/>
          <w:sz w:val="24"/>
          <w:szCs w:val="24"/>
          <w:highlight w:val="none"/>
        </w:rPr>
        <w:t xml:space="preserve">%； </w:t>
      </w:r>
    </w:p>
    <w:p w14:paraId="2DC7E22A">
      <w:pPr>
        <w:keepNext w:val="0"/>
        <w:keepLines w:val="0"/>
        <w:pageBreakBefore w:val="0"/>
        <w:widowControl w:val="0"/>
        <w:spacing w:line="360" w:lineRule="exact"/>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D、考核得分</w:t>
      </w:r>
      <w:r>
        <w:rPr>
          <w:rFonts w:hint="eastAsia" w:ascii="宋体" w:hAnsi="宋体" w:eastAsia="宋体" w:cs="宋体"/>
          <w:color w:val="000000"/>
          <w:sz w:val="24"/>
          <w:szCs w:val="24"/>
          <w:highlight w:val="none"/>
          <w:lang w:val="en-US" w:eastAsia="zh-CN"/>
        </w:rPr>
        <w:t>70</w:t>
      </w:r>
      <w:r>
        <w:rPr>
          <w:rFonts w:hint="eastAsia" w:ascii="宋体" w:hAnsi="宋体" w:eastAsia="宋体" w:cs="宋体"/>
          <w:color w:val="000000"/>
          <w:sz w:val="24"/>
          <w:szCs w:val="24"/>
          <w:highlight w:val="none"/>
        </w:rPr>
        <w:t>分及以下的</w:t>
      </w:r>
      <w:r>
        <w:rPr>
          <w:rFonts w:hint="eastAsia" w:ascii="宋体" w:hAnsi="宋体" w:eastAsia="宋体" w:cs="宋体"/>
          <w:color w:val="000000"/>
          <w:sz w:val="24"/>
          <w:szCs w:val="24"/>
          <w:highlight w:val="none"/>
          <w:lang w:val="en-US" w:eastAsia="zh-CN"/>
        </w:rPr>
        <w:t>为不合格</w:t>
      </w:r>
      <w:r>
        <w:rPr>
          <w:rFonts w:hint="eastAsia" w:ascii="宋体" w:hAnsi="宋体" w:eastAsia="宋体" w:cs="宋体"/>
          <w:color w:val="000000"/>
          <w:sz w:val="24"/>
          <w:szCs w:val="24"/>
          <w:highlight w:val="none"/>
        </w:rPr>
        <w:t>，支付管护费用的</w:t>
      </w:r>
      <w:r>
        <w:rPr>
          <w:rFonts w:hint="eastAsia" w:ascii="宋体" w:hAnsi="宋体" w:eastAsia="宋体" w:cs="宋体"/>
          <w:color w:val="000000"/>
          <w:sz w:val="24"/>
          <w:szCs w:val="24"/>
          <w:highlight w:val="none"/>
          <w:lang w:val="en-US" w:eastAsia="zh-CN"/>
        </w:rPr>
        <w:t>85</w:t>
      </w:r>
      <w:r>
        <w:rPr>
          <w:rFonts w:hint="eastAsia" w:ascii="宋体" w:hAnsi="宋体" w:eastAsia="宋体" w:cs="宋体"/>
          <w:color w:val="000000"/>
          <w:sz w:val="24"/>
          <w:szCs w:val="24"/>
          <w:highlight w:val="none"/>
        </w:rPr>
        <w:t>%</w:t>
      </w:r>
    </w:p>
    <w:p w14:paraId="4E6C1632">
      <w:pPr>
        <w:keepNext w:val="0"/>
        <w:keepLines w:val="0"/>
        <w:pageBreakBefore w:val="0"/>
        <w:widowControl w:val="0"/>
        <w:spacing w:line="360" w:lineRule="exact"/>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一年内2个季度考核</w:t>
      </w:r>
      <w:r>
        <w:rPr>
          <w:rFonts w:hint="eastAsia" w:ascii="宋体" w:hAnsi="宋体" w:eastAsia="宋体" w:cs="宋体"/>
          <w:color w:val="000000"/>
          <w:sz w:val="24"/>
          <w:szCs w:val="24"/>
          <w:highlight w:val="none"/>
          <w:lang w:eastAsia="zh-CN"/>
        </w:rPr>
        <w:t>得分在</w:t>
      </w:r>
      <w:r>
        <w:rPr>
          <w:rFonts w:hint="eastAsia" w:ascii="宋体" w:hAnsi="宋体" w:eastAsia="宋体" w:cs="宋体"/>
          <w:color w:val="000000"/>
          <w:sz w:val="24"/>
          <w:szCs w:val="24"/>
          <w:highlight w:val="none"/>
          <w:lang w:val="en-US" w:eastAsia="zh-CN"/>
        </w:rPr>
        <w:t>70分及以下的</w:t>
      </w:r>
      <w:r>
        <w:rPr>
          <w:rFonts w:hint="eastAsia" w:ascii="宋体" w:hAnsi="宋体" w:eastAsia="宋体" w:cs="宋体"/>
          <w:color w:val="000000"/>
          <w:sz w:val="24"/>
          <w:szCs w:val="24"/>
          <w:highlight w:val="none"/>
        </w:rPr>
        <w:t>，采购人有权直接终止合同。</w:t>
      </w:r>
    </w:p>
    <w:p w14:paraId="473212A4">
      <w:pPr>
        <w:keepNext w:val="0"/>
        <w:keepLines w:val="0"/>
        <w:pageBreakBefore w:val="0"/>
        <w:widowControl w:val="0"/>
        <w:spacing w:line="360" w:lineRule="exact"/>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2、在区级考核中由于</w:t>
      </w:r>
      <w:r>
        <w:rPr>
          <w:rFonts w:hint="eastAsia" w:ascii="宋体" w:hAnsi="宋体" w:eastAsia="宋体" w:cs="宋体"/>
          <w:color w:val="000000"/>
          <w:sz w:val="24"/>
          <w:szCs w:val="24"/>
          <w:highlight w:val="none"/>
          <w:lang w:eastAsia="zh-CN"/>
        </w:rPr>
        <w:t>中标</w:t>
      </w:r>
      <w:r>
        <w:rPr>
          <w:rFonts w:hint="eastAsia" w:ascii="宋体" w:hAnsi="宋体" w:eastAsia="宋体" w:cs="宋体"/>
          <w:color w:val="000000"/>
          <w:sz w:val="24"/>
          <w:szCs w:val="24"/>
          <w:highlight w:val="none"/>
        </w:rPr>
        <w:t>单位养护工作不到位被扣减的金额由</w:t>
      </w:r>
      <w:r>
        <w:rPr>
          <w:rFonts w:hint="eastAsia" w:ascii="宋体" w:hAnsi="宋体" w:eastAsia="宋体" w:cs="宋体"/>
          <w:color w:val="000000"/>
          <w:sz w:val="24"/>
          <w:szCs w:val="24"/>
          <w:highlight w:val="none"/>
          <w:lang w:eastAsia="zh-CN"/>
        </w:rPr>
        <w:t>中标</w:t>
      </w:r>
      <w:r>
        <w:rPr>
          <w:rFonts w:hint="eastAsia" w:ascii="宋体" w:hAnsi="宋体" w:eastAsia="宋体" w:cs="宋体"/>
          <w:color w:val="000000"/>
          <w:sz w:val="24"/>
          <w:szCs w:val="24"/>
          <w:highlight w:val="none"/>
        </w:rPr>
        <w:t>单位全额承担。</w:t>
      </w:r>
    </w:p>
    <w:p w14:paraId="58451DC0">
      <w:pPr>
        <w:ind w:firstLine="420"/>
        <w:rPr>
          <w:rFonts w:hint="eastAsia" w:ascii="宋体" w:hAnsi="宋体" w:eastAsia="宋体" w:cs="宋体"/>
          <w:color w:val="000000"/>
          <w:sz w:val="24"/>
          <w:highlight w:val="none"/>
        </w:rPr>
      </w:pPr>
    </w:p>
    <w:p w14:paraId="307D20B0">
      <w:pPr>
        <w:keepNext w:val="0"/>
        <w:keepLines w:val="0"/>
        <w:pageBreakBefore w:val="0"/>
        <w:widowControl w:val="0"/>
        <w:spacing w:line="360" w:lineRule="exact"/>
        <w:ind w:firstLine="420"/>
        <w:rPr>
          <w:rFonts w:hint="eastAsia" w:ascii="宋体" w:hAnsi="宋体" w:eastAsia="宋体" w:cs="宋体"/>
          <w:color w:val="000000"/>
          <w:sz w:val="24"/>
          <w:szCs w:val="24"/>
          <w:highlight w:val="none"/>
        </w:rPr>
      </w:pPr>
    </w:p>
    <w:p w14:paraId="3C43ED66">
      <w:pPr>
        <w:keepNext w:val="0"/>
        <w:keepLines w:val="0"/>
        <w:pageBreakBefore w:val="0"/>
        <w:widowControl w:val="0"/>
        <w:spacing w:line="360" w:lineRule="exact"/>
        <w:ind w:firstLine="420"/>
        <w:rPr>
          <w:rFonts w:hint="eastAsia" w:ascii="宋体" w:hAnsi="宋体" w:eastAsia="宋体" w:cs="宋体"/>
          <w:color w:val="000000"/>
          <w:sz w:val="24"/>
          <w:szCs w:val="24"/>
          <w:highlight w:val="none"/>
        </w:rPr>
      </w:pPr>
    </w:p>
    <w:p w14:paraId="6E54816A">
      <w:pPr>
        <w:keepNext w:val="0"/>
        <w:keepLines w:val="0"/>
        <w:pageBreakBefore w:val="0"/>
        <w:widowControl w:val="0"/>
        <w:spacing w:line="360" w:lineRule="exact"/>
        <w:ind w:firstLine="420"/>
        <w:rPr>
          <w:rFonts w:hint="eastAsia" w:ascii="宋体" w:hAnsi="宋体" w:eastAsia="宋体" w:cs="宋体"/>
          <w:color w:val="000000"/>
          <w:szCs w:val="21"/>
          <w:highlight w:val="none"/>
        </w:rPr>
      </w:pPr>
    </w:p>
    <w:p w14:paraId="13BDC1CF">
      <w:pPr>
        <w:spacing w:line="360" w:lineRule="exact"/>
        <w:ind w:firstLine="420"/>
        <w:rPr>
          <w:rFonts w:ascii="宋体" w:hAnsi="宋体" w:eastAsia="宋体" w:cs="宋体"/>
          <w:color w:val="000000"/>
          <w:szCs w:val="21"/>
          <w:highlight w:val="none"/>
        </w:rPr>
        <w:sectPr>
          <w:footerReference r:id="rId3" w:type="default"/>
          <w:pgSz w:w="11907" w:h="16840"/>
          <w:pgMar w:top="1134" w:right="1247" w:bottom="1134" w:left="1134" w:header="720" w:footer="720" w:gutter="454"/>
          <w:pgNumType w:start="1"/>
          <w:cols w:space="1701" w:num="1"/>
          <w:docGrid w:linePitch="360" w:charSpace="0"/>
        </w:sectPr>
      </w:pPr>
    </w:p>
    <w:tbl>
      <w:tblPr>
        <w:tblStyle w:val="3"/>
        <w:tblW w:w="15140" w:type="dxa"/>
        <w:tblInd w:w="-15"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autofit"/>
        <w:tblCellMar>
          <w:top w:w="0" w:type="dxa"/>
          <w:left w:w="108" w:type="dxa"/>
          <w:bottom w:w="0" w:type="dxa"/>
          <w:right w:w="108" w:type="dxa"/>
        </w:tblCellMar>
      </w:tblPr>
      <w:tblGrid>
        <w:gridCol w:w="636"/>
        <w:gridCol w:w="4976"/>
        <w:gridCol w:w="5617"/>
        <w:gridCol w:w="1302"/>
        <w:gridCol w:w="1302"/>
        <w:gridCol w:w="1307"/>
      </w:tblGrid>
      <w:tr w14:paraId="7486489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457" w:hRule="atLeast"/>
        </w:trPr>
        <w:tc>
          <w:tcPr>
            <w:tcW w:w="15140" w:type="dxa"/>
            <w:gridSpan w:val="6"/>
            <w:noWrap/>
            <w:vAlign w:val="bottom"/>
          </w:tcPr>
          <w:p w14:paraId="1C508E3C">
            <w:pPr>
              <w:keepNext w:val="0"/>
              <w:keepLines w:val="0"/>
              <w:widowControl/>
              <w:suppressLineNumbers w:val="0"/>
              <w:jc w:val="center"/>
              <w:rPr>
                <w:rFonts w:hint="eastAsia" w:ascii="宋体" w:hAnsi="宋体" w:eastAsia="宋体" w:cs="宋体"/>
                <w:b/>
                <w:bCs/>
                <w:i w:val="0"/>
                <w:iCs w:val="0"/>
                <w:color w:val="000000"/>
                <w:sz w:val="36"/>
                <w:szCs w:val="36"/>
                <w:highlight w:val="none"/>
                <w:u w:val="none"/>
              </w:rPr>
            </w:pPr>
            <w:r>
              <w:rPr>
                <w:rFonts w:hint="eastAsia" w:ascii="宋体" w:hAnsi="宋体" w:eastAsia="宋体" w:cs="宋体"/>
                <w:b/>
                <w:bCs/>
                <w:i w:val="0"/>
                <w:iCs w:val="0"/>
                <w:color w:val="000000"/>
                <w:sz w:val="36"/>
                <w:szCs w:val="36"/>
                <w:highlight w:val="none"/>
                <w:u w:val="none"/>
                <w:lang w:val="en-US" w:eastAsia="zh-CN" w:bidi="ar"/>
              </w:rPr>
              <w:t>礼嘉镇集镇绿化养护质量考核表</w:t>
            </w:r>
          </w:p>
        </w:tc>
      </w:tr>
      <w:tr w14:paraId="4A7B3EE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412" w:hRule="atLeast"/>
        </w:trPr>
        <w:tc>
          <w:tcPr>
            <w:tcW w:w="11229" w:type="dxa"/>
            <w:gridSpan w:val="3"/>
            <w:noWrap w:val="0"/>
            <w:vAlign w:val="top"/>
          </w:tcPr>
          <w:p w14:paraId="10D8F487">
            <w:pPr>
              <w:keepNext w:val="0"/>
              <w:keepLines w:val="0"/>
              <w:widowControl/>
              <w:suppressLineNumbers w:val="0"/>
              <w:jc w:val="left"/>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z w:val="24"/>
                <w:szCs w:val="24"/>
                <w:highlight w:val="none"/>
                <w:u w:val="none"/>
                <w:lang w:val="en-US" w:eastAsia="zh-CN" w:bidi="ar"/>
              </w:rPr>
              <w:t>项目名称：礼嘉集镇绿化养护</w:t>
            </w:r>
          </w:p>
        </w:tc>
        <w:tc>
          <w:tcPr>
            <w:tcW w:w="3911" w:type="dxa"/>
            <w:gridSpan w:val="3"/>
            <w:noWrap w:val="0"/>
            <w:vAlign w:val="bottom"/>
          </w:tcPr>
          <w:p w14:paraId="53F240A1">
            <w:pPr>
              <w:keepNext w:val="0"/>
              <w:keepLines w:val="0"/>
              <w:widowControl/>
              <w:suppressLineNumbers w:val="0"/>
              <w:jc w:val="left"/>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sz w:val="24"/>
                <w:szCs w:val="24"/>
                <w:highlight w:val="none"/>
                <w:u w:val="none"/>
                <w:lang w:val="en-US" w:eastAsia="zh-CN" w:bidi="ar"/>
              </w:rPr>
              <w:t>养护单位</w:t>
            </w:r>
            <w:r>
              <w:rPr>
                <w:rStyle w:val="14"/>
                <w:color w:val="000000"/>
                <w:highlight w:val="none"/>
                <w:lang w:val="en-US" w:eastAsia="zh-CN" w:bidi="ar"/>
              </w:rPr>
              <w:t>：</w:t>
            </w:r>
          </w:p>
        </w:tc>
      </w:tr>
      <w:tr w14:paraId="6788440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610" w:hRule="atLeast"/>
        </w:trPr>
        <w:tc>
          <w:tcPr>
            <w:tcW w:w="624" w:type="dxa"/>
            <w:noWrap w:val="0"/>
            <w:vAlign w:val="center"/>
          </w:tcPr>
          <w:p w14:paraId="5CF33FF6">
            <w:pPr>
              <w:keepNext w:val="0"/>
              <w:keepLines w:val="0"/>
              <w:widowControl/>
              <w:suppressLineNumbers w:val="0"/>
              <w:jc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bidi="ar"/>
              </w:rPr>
              <w:t>项目</w:t>
            </w:r>
          </w:p>
        </w:tc>
        <w:tc>
          <w:tcPr>
            <w:tcW w:w="4976" w:type="dxa"/>
            <w:noWrap w:val="0"/>
            <w:vAlign w:val="center"/>
          </w:tcPr>
          <w:p w14:paraId="76611EFC">
            <w:pPr>
              <w:keepNext w:val="0"/>
              <w:keepLines w:val="0"/>
              <w:widowControl/>
              <w:suppressLineNumbers w:val="0"/>
              <w:jc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bidi="ar"/>
              </w:rPr>
              <w:t>考</w:t>
            </w:r>
            <w:r>
              <w:rPr>
                <w:rFonts w:ascii="Times New Roman" w:hAnsi="Times New Roman" w:eastAsia="宋体" w:cs="Times New Roman"/>
                <w:i w:val="0"/>
                <w:iCs w:val="0"/>
                <w:color w:val="000000"/>
                <w:sz w:val="24"/>
                <w:szCs w:val="24"/>
                <w:highlight w:val="none"/>
                <w:u w:val="none"/>
                <w:lang w:val="en-US" w:eastAsia="zh-CN" w:bidi="ar"/>
              </w:rPr>
              <w:t xml:space="preserve">    </w:t>
            </w:r>
            <w:r>
              <w:rPr>
                <w:rStyle w:val="14"/>
                <w:color w:val="000000"/>
                <w:highlight w:val="none"/>
                <w:lang w:val="en-US" w:eastAsia="zh-CN" w:bidi="ar"/>
              </w:rPr>
              <w:t>核</w:t>
            </w:r>
            <w:r>
              <w:rPr>
                <w:rFonts w:ascii="Times New Roman" w:hAnsi="Times New Roman" w:eastAsia="宋体" w:cs="Times New Roman"/>
                <w:i w:val="0"/>
                <w:iCs w:val="0"/>
                <w:color w:val="000000"/>
                <w:sz w:val="24"/>
                <w:szCs w:val="24"/>
                <w:highlight w:val="none"/>
                <w:u w:val="none"/>
                <w:lang w:val="en-US" w:eastAsia="zh-CN" w:bidi="ar"/>
              </w:rPr>
              <w:t xml:space="preserve">    </w:t>
            </w:r>
            <w:r>
              <w:rPr>
                <w:rStyle w:val="14"/>
                <w:color w:val="000000"/>
                <w:highlight w:val="none"/>
                <w:lang w:val="en-US" w:eastAsia="zh-CN" w:bidi="ar"/>
              </w:rPr>
              <w:t>标</w:t>
            </w:r>
            <w:r>
              <w:rPr>
                <w:rFonts w:ascii="Times New Roman" w:hAnsi="Times New Roman" w:eastAsia="宋体" w:cs="Times New Roman"/>
                <w:i w:val="0"/>
                <w:iCs w:val="0"/>
                <w:color w:val="000000"/>
                <w:sz w:val="24"/>
                <w:szCs w:val="24"/>
                <w:highlight w:val="none"/>
                <w:u w:val="none"/>
                <w:lang w:val="en-US" w:eastAsia="zh-CN" w:bidi="ar"/>
              </w:rPr>
              <w:t xml:space="preserve">    </w:t>
            </w:r>
            <w:r>
              <w:rPr>
                <w:rStyle w:val="14"/>
                <w:color w:val="000000"/>
                <w:highlight w:val="none"/>
                <w:lang w:val="en-US" w:eastAsia="zh-CN" w:bidi="ar"/>
              </w:rPr>
              <w:t>准</w:t>
            </w:r>
          </w:p>
        </w:tc>
        <w:tc>
          <w:tcPr>
            <w:tcW w:w="5629" w:type="dxa"/>
            <w:noWrap w:val="0"/>
            <w:vAlign w:val="center"/>
          </w:tcPr>
          <w:p w14:paraId="3ABECE55">
            <w:pPr>
              <w:keepNext w:val="0"/>
              <w:keepLines w:val="0"/>
              <w:widowControl/>
              <w:suppressLineNumbers w:val="0"/>
              <w:jc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bidi="ar"/>
              </w:rPr>
              <w:t>考</w:t>
            </w:r>
            <w:r>
              <w:rPr>
                <w:rFonts w:ascii="Times New Roman" w:hAnsi="Times New Roman" w:eastAsia="宋体" w:cs="Times New Roman"/>
                <w:i w:val="0"/>
                <w:iCs w:val="0"/>
                <w:color w:val="000000"/>
                <w:sz w:val="24"/>
                <w:szCs w:val="24"/>
                <w:highlight w:val="none"/>
                <w:u w:val="none"/>
                <w:lang w:val="en-US" w:eastAsia="zh-CN" w:bidi="ar"/>
              </w:rPr>
              <w:t xml:space="preserve">  </w:t>
            </w:r>
            <w:r>
              <w:rPr>
                <w:rStyle w:val="14"/>
                <w:color w:val="000000"/>
                <w:highlight w:val="none"/>
                <w:lang w:val="en-US" w:eastAsia="zh-CN" w:bidi="ar"/>
              </w:rPr>
              <w:t>核</w:t>
            </w:r>
            <w:r>
              <w:rPr>
                <w:rFonts w:ascii="Times New Roman" w:hAnsi="Times New Roman" w:eastAsia="宋体" w:cs="Times New Roman"/>
                <w:i w:val="0"/>
                <w:iCs w:val="0"/>
                <w:color w:val="000000"/>
                <w:sz w:val="24"/>
                <w:szCs w:val="24"/>
                <w:highlight w:val="none"/>
                <w:u w:val="none"/>
                <w:lang w:val="en-US" w:eastAsia="zh-CN" w:bidi="ar"/>
              </w:rPr>
              <w:t xml:space="preserve">  </w:t>
            </w:r>
            <w:r>
              <w:rPr>
                <w:rStyle w:val="14"/>
                <w:color w:val="000000"/>
                <w:highlight w:val="none"/>
                <w:lang w:val="en-US" w:eastAsia="zh-CN" w:bidi="ar"/>
              </w:rPr>
              <w:t>评</w:t>
            </w:r>
            <w:r>
              <w:rPr>
                <w:rFonts w:ascii="Times New Roman" w:hAnsi="Times New Roman" w:eastAsia="宋体" w:cs="Times New Roman"/>
                <w:i w:val="0"/>
                <w:iCs w:val="0"/>
                <w:color w:val="000000"/>
                <w:sz w:val="24"/>
                <w:szCs w:val="24"/>
                <w:highlight w:val="none"/>
                <w:u w:val="none"/>
                <w:lang w:val="en-US" w:eastAsia="zh-CN" w:bidi="ar"/>
              </w:rPr>
              <w:t xml:space="preserve">  </w:t>
            </w:r>
            <w:r>
              <w:rPr>
                <w:rStyle w:val="14"/>
                <w:color w:val="000000"/>
                <w:highlight w:val="none"/>
                <w:lang w:val="en-US" w:eastAsia="zh-CN" w:bidi="ar"/>
              </w:rPr>
              <w:t>分</w:t>
            </w:r>
            <w:r>
              <w:rPr>
                <w:rFonts w:ascii="Times New Roman" w:hAnsi="Times New Roman" w:eastAsia="宋体" w:cs="Times New Roman"/>
                <w:i w:val="0"/>
                <w:iCs w:val="0"/>
                <w:color w:val="000000"/>
                <w:sz w:val="24"/>
                <w:szCs w:val="24"/>
                <w:highlight w:val="none"/>
                <w:u w:val="none"/>
                <w:lang w:val="en-US" w:eastAsia="zh-CN" w:bidi="ar"/>
              </w:rPr>
              <w:t xml:space="preserve">  </w:t>
            </w:r>
            <w:r>
              <w:rPr>
                <w:rStyle w:val="14"/>
                <w:color w:val="000000"/>
                <w:highlight w:val="none"/>
                <w:lang w:val="en-US" w:eastAsia="zh-CN" w:bidi="ar"/>
              </w:rPr>
              <w:t>办</w:t>
            </w:r>
            <w:r>
              <w:rPr>
                <w:rFonts w:ascii="Times New Roman" w:hAnsi="Times New Roman" w:eastAsia="宋体" w:cs="Times New Roman"/>
                <w:i w:val="0"/>
                <w:iCs w:val="0"/>
                <w:color w:val="000000"/>
                <w:sz w:val="24"/>
                <w:szCs w:val="24"/>
                <w:highlight w:val="none"/>
                <w:u w:val="none"/>
                <w:lang w:val="en-US" w:eastAsia="zh-CN" w:bidi="ar"/>
              </w:rPr>
              <w:t xml:space="preserve">  </w:t>
            </w:r>
            <w:r>
              <w:rPr>
                <w:rStyle w:val="14"/>
                <w:color w:val="000000"/>
                <w:highlight w:val="none"/>
                <w:lang w:val="en-US" w:eastAsia="zh-CN" w:bidi="ar"/>
              </w:rPr>
              <w:t>法</w:t>
            </w:r>
          </w:p>
        </w:tc>
        <w:tc>
          <w:tcPr>
            <w:tcW w:w="1302" w:type="dxa"/>
            <w:noWrap w:val="0"/>
            <w:vAlign w:val="center"/>
          </w:tcPr>
          <w:p w14:paraId="053BAA00">
            <w:pPr>
              <w:keepNext w:val="0"/>
              <w:keepLines w:val="0"/>
              <w:widowControl/>
              <w:suppressLineNumbers w:val="0"/>
              <w:jc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bidi="ar"/>
              </w:rPr>
              <w:t>标准分</w:t>
            </w:r>
          </w:p>
        </w:tc>
        <w:tc>
          <w:tcPr>
            <w:tcW w:w="1302" w:type="dxa"/>
            <w:noWrap w:val="0"/>
            <w:vAlign w:val="center"/>
          </w:tcPr>
          <w:p w14:paraId="05C234C5">
            <w:pPr>
              <w:keepNext w:val="0"/>
              <w:keepLines w:val="0"/>
              <w:widowControl/>
              <w:suppressLineNumbers w:val="0"/>
              <w:jc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bidi="ar"/>
              </w:rPr>
              <w:t>扣分</w:t>
            </w:r>
          </w:p>
        </w:tc>
        <w:tc>
          <w:tcPr>
            <w:tcW w:w="1307" w:type="dxa"/>
            <w:noWrap w:val="0"/>
            <w:vAlign w:val="center"/>
          </w:tcPr>
          <w:p w14:paraId="48CAD738">
            <w:pPr>
              <w:keepNext w:val="0"/>
              <w:keepLines w:val="0"/>
              <w:widowControl/>
              <w:suppressLineNumbers w:val="0"/>
              <w:jc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bidi="ar"/>
              </w:rPr>
              <w:t>评定得分</w:t>
            </w:r>
          </w:p>
        </w:tc>
      </w:tr>
      <w:tr w14:paraId="2848177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412" w:hRule="atLeast"/>
        </w:trPr>
        <w:tc>
          <w:tcPr>
            <w:tcW w:w="624" w:type="dxa"/>
            <w:vMerge w:val="restart"/>
            <w:noWrap w:val="0"/>
            <w:vAlign w:val="center"/>
          </w:tcPr>
          <w:p w14:paraId="4ED3F123">
            <w:pPr>
              <w:keepNext w:val="0"/>
              <w:keepLines w:val="0"/>
              <w:widowControl/>
              <w:suppressLineNumbers w:val="0"/>
              <w:jc w:val="center"/>
              <w:rPr>
                <w:rFonts w:ascii="Times New Roman" w:hAnsi="Times New Roman" w:eastAsia="宋体" w:cs="Times New Roman"/>
                <w:i w:val="0"/>
                <w:iCs w:val="0"/>
                <w:color w:val="000000"/>
                <w:sz w:val="24"/>
                <w:szCs w:val="24"/>
                <w:highlight w:val="none"/>
                <w:u w:val="none"/>
              </w:rPr>
            </w:pPr>
            <w:r>
              <w:rPr>
                <w:rFonts w:ascii="Times New Roman" w:hAnsi="Times New Roman" w:eastAsia="宋体" w:cs="Times New Roman"/>
                <w:i w:val="0"/>
                <w:iCs w:val="0"/>
                <w:color w:val="000000"/>
                <w:sz w:val="24"/>
                <w:szCs w:val="24"/>
                <w:highlight w:val="none"/>
                <w:u w:val="none"/>
                <w:lang w:val="en-US" w:eastAsia="zh-CN" w:bidi="ar"/>
              </w:rPr>
              <w:t>1</w:t>
            </w:r>
            <w:r>
              <w:rPr>
                <w:rFonts w:hint="eastAsia" w:ascii="Times New Roman" w:hAnsi="Times New Roman" w:eastAsia="宋体" w:cs="Times New Roman"/>
                <w:i w:val="0"/>
                <w:iCs w:val="0"/>
                <w:color w:val="000000"/>
                <w:sz w:val="24"/>
                <w:szCs w:val="24"/>
                <w:highlight w:val="none"/>
                <w:u w:val="none"/>
                <w:lang w:val="en-US" w:eastAsia="zh-CN" w:bidi="ar"/>
              </w:rPr>
              <w:t>.</w:t>
            </w:r>
            <w:r>
              <w:rPr>
                <w:rFonts w:ascii="Times New Roman" w:hAnsi="Times New Roman" w:eastAsia="宋体" w:cs="Times New Roman"/>
                <w:i w:val="0"/>
                <w:iCs w:val="0"/>
                <w:color w:val="000000"/>
                <w:sz w:val="24"/>
                <w:szCs w:val="24"/>
                <w:highlight w:val="none"/>
                <w:u w:val="none"/>
                <w:lang w:val="en-US" w:eastAsia="zh-CN" w:bidi="ar"/>
              </w:rPr>
              <w:t xml:space="preserve">     </w:t>
            </w:r>
            <w:r>
              <w:rPr>
                <w:rStyle w:val="14"/>
                <w:color w:val="000000"/>
                <w:highlight w:val="none"/>
                <w:lang w:val="en-US" w:eastAsia="zh-CN" w:bidi="ar"/>
              </w:rPr>
              <w:t>苗</w:t>
            </w:r>
            <w:r>
              <w:rPr>
                <w:rFonts w:ascii="Times New Roman" w:hAnsi="Times New Roman" w:eastAsia="宋体" w:cs="Times New Roman"/>
                <w:i w:val="0"/>
                <w:iCs w:val="0"/>
                <w:color w:val="000000"/>
                <w:sz w:val="24"/>
                <w:szCs w:val="24"/>
                <w:highlight w:val="none"/>
                <w:u w:val="none"/>
                <w:lang w:val="en-US" w:eastAsia="zh-CN" w:bidi="ar"/>
              </w:rPr>
              <w:t xml:space="preserve">   </w:t>
            </w:r>
            <w:r>
              <w:rPr>
                <w:rStyle w:val="14"/>
                <w:color w:val="000000"/>
                <w:highlight w:val="none"/>
                <w:lang w:val="en-US" w:eastAsia="zh-CN" w:bidi="ar"/>
              </w:rPr>
              <w:t>木</w:t>
            </w:r>
            <w:r>
              <w:rPr>
                <w:rFonts w:ascii="Times New Roman" w:hAnsi="Times New Roman" w:eastAsia="宋体" w:cs="Times New Roman"/>
                <w:i w:val="0"/>
                <w:iCs w:val="0"/>
                <w:color w:val="000000"/>
                <w:sz w:val="24"/>
                <w:szCs w:val="24"/>
                <w:highlight w:val="none"/>
                <w:u w:val="none"/>
                <w:lang w:val="en-US" w:eastAsia="zh-CN" w:bidi="ar"/>
              </w:rPr>
              <w:t xml:space="preserve">   </w:t>
            </w:r>
            <w:r>
              <w:rPr>
                <w:rStyle w:val="14"/>
                <w:color w:val="000000"/>
                <w:highlight w:val="none"/>
                <w:lang w:val="en-US" w:eastAsia="zh-CN" w:bidi="ar"/>
              </w:rPr>
              <w:t>养</w:t>
            </w:r>
            <w:r>
              <w:rPr>
                <w:rFonts w:ascii="Times New Roman" w:hAnsi="Times New Roman" w:eastAsia="宋体" w:cs="Times New Roman"/>
                <w:i w:val="0"/>
                <w:iCs w:val="0"/>
                <w:color w:val="000000"/>
                <w:sz w:val="24"/>
                <w:szCs w:val="24"/>
                <w:highlight w:val="none"/>
                <w:u w:val="none"/>
                <w:lang w:val="en-US" w:eastAsia="zh-CN" w:bidi="ar"/>
              </w:rPr>
              <w:t xml:space="preserve">   </w:t>
            </w:r>
            <w:r>
              <w:rPr>
                <w:rStyle w:val="14"/>
                <w:color w:val="000000"/>
                <w:highlight w:val="none"/>
                <w:lang w:val="en-US" w:eastAsia="zh-CN" w:bidi="ar"/>
              </w:rPr>
              <w:t>护</w:t>
            </w:r>
          </w:p>
        </w:tc>
        <w:tc>
          <w:tcPr>
            <w:tcW w:w="4976" w:type="dxa"/>
            <w:noWrap w:val="0"/>
            <w:vAlign w:val="center"/>
          </w:tcPr>
          <w:p w14:paraId="7ACD7AA3">
            <w:pPr>
              <w:keepNext w:val="0"/>
              <w:keepLines w:val="0"/>
              <w:widowControl/>
              <w:suppressLineNumbers w:val="0"/>
              <w:jc w:val="left"/>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bidi="ar"/>
              </w:rPr>
              <w:t>无死株、缺株、补种及时。</w:t>
            </w:r>
          </w:p>
        </w:tc>
        <w:tc>
          <w:tcPr>
            <w:tcW w:w="5629" w:type="dxa"/>
            <w:noWrap w:val="0"/>
            <w:vAlign w:val="center"/>
          </w:tcPr>
          <w:p w14:paraId="7E79AEC5">
            <w:pPr>
              <w:keepNext w:val="0"/>
              <w:keepLines w:val="0"/>
              <w:widowControl/>
              <w:suppressLineNumbers w:val="0"/>
              <w:jc w:val="left"/>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bidi="ar"/>
              </w:rPr>
              <w:t>死树未拔除扣每处</w:t>
            </w:r>
            <w:r>
              <w:rPr>
                <w:rFonts w:ascii="Times New Roman" w:hAnsi="Times New Roman" w:eastAsia="宋体" w:cs="Times New Roman"/>
                <w:i w:val="0"/>
                <w:iCs w:val="0"/>
                <w:color w:val="000000"/>
                <w:sz w:val="24"/>
                <w:szCs w:val="24"/>
                <w:highlight w:val="none"/>
                <w:u w:val="none"/>
                <w:lang w:val="en-US" w:eastAsia="zh-CN" w:bidi="ar"/>
              </w:rPr>
              <w:t>1-5</w:t>
            </w:r>
            <w:r>
              <w:rPr>
                <w:rStyle w:val="14"/>
                <w:color w:val="000000"/>
                <w:highlight w:val="none"/>
                <w:lang w:val="en-US" w:eastAsia="zh-CN" w:bidi="ar"/>
              </w:rPr>
              <w:t>分.</w:t>
            </w:r>
          </w:p>
        </w:tc>
        <w:tc>
          <w:tcPr>
            <w:tcW w:w="1302" w:type="dxa"/>
            <w:noWrap w:val="0"/>
            <w:vAlign w:val="center"/>
          </w:tcPr>
          <w:p w14:paraId="049695C6">
            <w:pPr>
              <w:keepNext w:val="0"/>
              <w:keepLines w:val="0"/>
              <w:widowControl/>
              <w:suppressLineNumbers w:val="0"/>
              <w:jc w:val="center"/>
              <w:rPr>
                <w:rFonts w:ascii="Times New Roman" w:hAnsi="Times New Roman" w:eastAsia="宋体" w:cs="Times New Roman"/>
                <w:i w:val="0"/>
                <w:iCs w:val="0"/>
                <w:color w:val="000000"/>
                <w:sz w:val="24"/>
                <w:szCs w:val="24"/>
                <w:highlight w:val="none"/>
                <w:u w:val="none"/>
              </w:rPr>
            </w:pPr>
            <w:r>
              <w:rPr>
                <w:rFonts w:ascii="Times New Roman" w:hAnsi="Times New Roman" w:eastAsia="宋体" w:cs="Times New Roman"/>
                <w:i w:val="0"/>
                <w:iCs w:val="0"/>
                <w:color w:val="000000"/>
                <w:sz w:val="24"/>
                <w:szCs w:val="24"/>
                <w:highlight w:val="none"/>
                <w:u w:val="none"/>
                <w:lang w:val="en-US" w:eastAsia="zh-CN" w:bidi="ar"/>
              </w:rPr>
              <w:t>10</w:t>
            </w:r>
          </w:p>
        </w:tc>
        <w:tc>
          <w:tcPr>
            <w:tcW w:w="1302" w:type="dxa"/>
            <w:noWrap w:val="0"/>
            <w:vAlign w:val="center"/>
          </w:tcPr>
          <w:p w14:paraId="2A01CD77">
            <w:pPr>
              <w:jc w:val="center"/>
              <w:rPr>
                <w:rFonts w:ascii="Times New Roman" w:hAnsi="Times New Roman" w:eastAsia="宋体" w:cs="Times New Roman"/>
                <w:i w:val="0"/>
                <w:iCs w:val="0"/>
                <w:color w:val="000000"/>
                <w:sz w:val="21"/>
                <w:szCs w:val="21"/>
                <w:highlight w:val="none"/>
                <w:u w:val="none"/>
              </w:rPr>
            </w:pPr>
          </w:p>
        </w:tc>
        <w:tc>
          <w:tcPr>
            <w:tcW w:w="1307" w:type="dxa"/>
            <w:noWrap w:val="0"/>
            <w:vAlign w:val="center"/>
          </w:tcPr>
          <w:p w14:paraId="3EC89758">
            <w:pPr>
              <w:jc w:val="center"/>
              <w:rPr>
                <w:rFonts w:ascii="Times New Roman" w:hAnsi="Times New Roman" w:eastAsia="宋体" w:cs="Times New Roman"/>
                <w:i w:val="0"/>
                <w:iCs w:val="0"/>
                <w:color w:val="000000"/>
                <w:sz w:val="21"/>
                <w:szCs w:val="21"/>
                <w:highlight w:val="none"/>
                <w:u w:val="none"/>
              </w:rPr>
            </w:pPr>
          </w:p>
        </w:tc>
      </w:tr>
      <w:tr w14:paraId="505EF6D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456" w:hRule="atLeast"/>
        </w:trPr>
        <w:tc>
          <w:tcPr>
            <w:tcW w:w="624" w:type="dxa"/>
            <w:vMerge w:val="continue"/>
            <w:noWrap w:val="0"/>
            <w:vAlign w:val="center"/>
          </w:tcPr>
          <w:p w14:paraId="3DC087B6">
            <w:pPr>
              <w:jc w:val="center"/>
              <w:rPr>
                <w:rFonts w:ascii="Times New Roman" w:hAnsi="Times New Roman" w:eastAsia="宋体" w:cs="Times New Roman"/>
                <w:i w:val="0"/>
                <w:iCs w:val="0"/>
                <w:color w:val="000000"/>
                <w:sz w:val="24"/>
                <w:szCs w:val="24"/>
                <w:highlight w:val="none"/>
                <w:u w:val="none"/>
              </w:rPr>
            </w:pPr>
          </w:p>
        </w:tc>
        <w:tc>
          <w:tcPr>
            <w:tcW w:w="4976" w:type="dxa"/>
            <w:noWrap w:val="0"/>
            <w:vAlign w:val="center"/>
          </w:tcPr>
          <w:p w14:paraId="316A7AD4">
            <w:pPr>
              <w:keepNext w:val="0"/>
              <w:keepLines w:val="0"/>
              <w:widowControl/>
              <w:suppressLineNumbers w:val="0"/>
              <w:jc w:val="left"/>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bidi="ar"/>
              </w:rPr>
              <w:t>病虫害防治及时、有效、无病虫危害。</w:t>
            </w:r>
          </w:p>
        </w:tc>
        <w:tc>
          <w:tcPr>
            <w:tcW w:w="5629" w:type="dxa"/>
            <w:noWrap w:val="0"/>
            <w:vAlign w:val="center"/>
          </w:tcPr>
          <w:p w14:paraId="083AAA57">
            <w:pPr>
              <w:keepNext w:val="0"/>
              <w:keepLines w:val="0"/>
              <w:widowControl/>
              <w:suppressLineNumbers w:val="0"/>
              <w:jc w:val="left"/>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bidi="ar"/>
              </w:rPr>
              <w:t>明显病虫害每处扣</w:t>
            </w:r>
            <w:r>
              <w:rPr>
                <w:rFonts w:ascii="Times New Roman" w:hAnsi="Times New Roman" w:eastAsia="宋体" w:cs="Times New Roman"/>
                <w:i w:val="0"/>
                <w:iCs w:val="0"/>
                <w:color w:val="000000"/>
                <w:sz w:val="24"/>
                <w:szCs w:val="24"/>
                <w:highlight w:val="none"/>
                <w:u w:val="none"/>
                <w:lang w:val="en-US" w:eastAsia="zh-CN" w:bidi="ar"/>
              </w:rPr>
              <w:t>1-5</w:t>
            </w:r>
            <w:r>
              <w:rPr>
                <w:rStyle w:val="14"/>
                <w:color w:val="000000"/>
                <w:highlight w:val="none"/>
                <w:lang w:val="en-US" w:eastAsia="zh-CN" w:bidi="ar"/>
              </w:rPr>
              <w:t>分</w:t>
            </w:r>
            <w:r>
              <w:rPr>
                <w:rFonts w:ascii="Times New Roman" w:hAnsi="Times New Roman" w:eastAsia="宋体" w:cs="Times New Roman"/>
                <w:i w:val="0"/>
                <w:iCs w:val="0"/>
                <w:color w:val="000000"/>
                <w:sz w:val="24"/>
                <w:szCs w:val="24"/>
                <w:highlight w:val="none"/>
                <w:u w:val="none"/>
                <w:lang w:val="en-US" w:eastAsia="zh-CN" w:bidi="ar"/>
              </w:rPr>
              <w:t>.</w:t>
            </w:r>
          </w:p>
        </w:tc>
        <w:tc>
          <w:tcPr>
            <w:tcW w:w="1302" w:type="dxa"/>
            <w:noWrap w:val="0"/>
            <w:vAlign w:val="center"/>
          </w:tcPr>
          <w:p w14:paraId="394440B1">
            <w:pPr>
              <w:keepNext w:val="0"/>
              <w:keepLines w:val="0"/>
              <w:widowControl/>
              <w:suppressLineNumbers w:val="0"/>
              <w:jc w:val="center"/>
              <w:rPr>
                <w:rFonts w:ascii="Times New Roman" w:hAnsi="Times New Roman" w:eastAsia="宋体" w:cs="Times New Roman"/>
                <w:i w:val="0"/>
                <w:iCs w:val="0"/>
                <w:color w:val="000000"/>
                <w:sz w:val="24"/>
                <w:szCs w:val="24"/>
                <w:highlight w:val="none"/>
                <w:u w:val="none"/>
              </w:rPr>
            </w:pPr>
            <w:r>
              <w:rPr>
                <w:rFonts w:ascii="Times New Roman" w:hAnsi="Times New Roman" w:eastAsia="宋体" w:cs="Times New Roman"/>
                <w:i w:val="0"/>
                <w:iCs w:val="0"/>
                <w:color w:val="000000"/>
                <w:sz w:val="24"/>
                <w:szCs w:val="24"/>
                <w:highlight w:val="none"/>
                <w:u w:val="none"/>
                <w:lang w:val="en-US" w:eastAsia="zh-CN" w:bidi="ar"/>
              </w:rPr>
              <w:t>5</w:t>
            </w:r>
          </w:p>
        </w:tc>
        <w:tc>
          <w:tcPr>
            <w:tcW w:w="1302" w:type="dxa"/>
            <w:noWrap w:val="0"/>
            <w:vAlign w:val="center"/>
          </w:tcPr>
          <w:p w14:paraId="68AFD848">
            <w:pPr>
              <w:jc w:val="center"/>
              <w:rPr>
                <w:rFonts w:ascii="Times New Roman" w:hAnsi="Times New Roman" w:eastAsia="宋体" w:cs="Times New Roman"/>
                <w:i w:val="0"/>
                <w:iCs w:val="0"/>
                <w:color w:val="000000"/>
                <w:sz w:val="21"/>
                <w:szCs w:val="21"/>
                <w:highlight w:val="none"/>
                <w:u w:val="none"/>
              </w:rPr>
            </w:pPr>
          </w:p>
        </w:tc>
        <w:tc>
          <w:tcPr>
            <w:tcW w:w="1307" w:type="dxa"/>
            <w:noWrap w:val="0"/>
            <w:vAlign w:val="center"/>
          </w:tcPr>
          <w:p w14:paraId="38F8E54F">
            <w:pPr>
              <w:jc w:val="center"/>
              <w:rPr>
                <w:rFonts w:ascii="Times New Roman" w:hAnsi="Times New Roman" w:eastAsia="宋体" w:cs="Times New Roman"/>
                <w:i w:val="0"/>
                <w:iCs w:val="0"/>
                <w:color w:val="000000"/>
                <w:sz w:val="21"/>
                <w:szCs w:val="21"/>
                <w:highlight w:val="none"/>
                <w:u w:val="none"/>
              </w:rPr>
            </w:pPr>
          </w:p>
        </w:tc>
      </w:tr>
      <w:tr w14:paraId="61F8515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610" w:hRule="atLeast"/>
        </w:trPr>
        <w:tc>
          <w:tcPr>
            <w:tcW w:w="624" w:type="dxa"/>
            <w:vMerge w:val="continue"/>
            <w:noWrap w:val="0"/>
            <w:vAlign w:val="center"/>
          </w:tcPr>
          <w:p w14:paraId="6E7E1E1E">
            <w:pPr>
              <w:jc w:val="center"/>
              <w:rPr>
                <w:rFonts w:ascii="Times New Roman" w:hAnsi="Times New Roman" w:eastAsia="宋体" w:cs="Times New Roman"/>
                <w:i w:val="0"/>
                <w:iCs w:val="0"/>
                <w:color w:val="000000"/>
                <w:sz w:val="24"/>
                <w:szCs w:val="24"/>
                <w:highlight w:val="none"/>
                <w:u w:val="none"/>
              </w:rPr>
            </w:pPr>
          </w:p>
        </w:tc>
        <w:tc>
          <w:tcPr>
            <w:tcW w:w="4976" w:type="dxa"/>
            <w:noWrap w:val="0"/>
            <w:vAlign w:val="center"/>
          </w:tcPr>
          <w:p w14:paraId="45625BF6">
            <w:pPr>
              <w:keepNext w:val="0"/>
              <w:keepLines w:val="0"/>
              <w:widowControl/>
              <w:suppressLineNumbers w:val="0"/>
              <w:jc w:val="left"/>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bidi="ar"/>
              </w:rPr>
              <w:t>造型植物保持优美形态，生长旺盛，无明显残缺，徒长萌发枝控制在</w:t>
            </w:r>
            <w:r>
              <w:rPr>
                <w:rFonts w:ascii="Times New Roman" w:hAnsi="Times New Roman" w:eastAsia="宋体" w:cs="Times New Roman"/>
                <w:i w:val="0"/>
                <w:iCs w:val="0"/>
                <w:color w:val="000000"/>
                <w:sz w:val="24"/>
                <w:szCs w:val="24"/>
                <w:highlight w:val="none"/>
                <w:u w:val="none"/>
                <w:lang w:val="en-US" w:eastAsia="zh-CN" w:bidi="ar"/>
              </w:rPr>
              <w:t>10cm</w:t>
            </w:r>
            <w:r>
              <w:rPr>
                <w:rStyle w:val="14"/>
                <w:color w:val="000000"/>
                <w:highlight w:val="none"/>
                <w:lang w:val="en-US" w:eastAsia="zh-CN" w:bidi="ar"/>
              </w:rPr>
              <w:t>以下，树木及时扶正。</w:t>
            </w:r>
          </w:p>
        </w:tc>
        <w:tc>
          <w:tcPr>
            <w:tcW w:w="5629" w:type="dxa"/>
            <w:noWrap w:val="0"/>
            <w:vAlign w:val="center"/>
          </w:tcPr>
          <w:p w14:paraId="7C84B151">
            <w:pPr>
              <w:keepNext w:val="0"/>
              <w:keepLines w:val="0"/>
              <w:widowControl/>
              <w:suppressLineNumbers w:val="0"/>
              <w:jc w:val="left"/>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bidi="ar"/>
              </w:rPr>
              <w:t>树木明显残缺每处扣</w:t>
            </w:r>
            <w:r>
              <w:rPr>
                <w:rFonts w:ascii="Times New Roman" w:hAnsi="Times New Roman" w:eastAsia="宋体" w:cs="Times New Roman"/>
                <w:i w:val="0"/>
                <w:iCs w:val="0"/>
                <w:color w:val="000000"/>
                <w:sz w:val="24"/>
                <w:szCs w:val="24"/>
                <w:highlight w:val="none"/>
                <w:u w:val="none"/>
                <w:lang w:val="en-US" w:eastAsia="zh-CN" w:bidi="ar"/>
              </w:rPr>
              <w:t>1-3</w:t>
            </w:r>
            <w:r>
              <w:rPr>
                <w:rStyle w:val="14"/>
                <w:color w:val="000000"/>
                <w:highlight w:val="none"/>
                <w:lang w:val="en-US" w:eastAsia="zh-CN" w:bidi="ar"/>
              </w:rPr>
              <w:t>分，新种树种斜度每处扣</w:t>
            </w:r>
            <w:r>
              <w:rPr>
                <w:rFonts w:ascii="Times New Roman" w:hAnsi="Times New Roman" w:eastAsia="宋体" w:cs="Times New Roman"/>
                <w:i w:val="0"/>
                <w:iCs w:val="0"/>
                <w:color w:val="000000"/>
                <w:sz w:val="24"/>
                <w:szCs w:val="24"/>
                <w:highlight w:val="none"/>
                <w:u w:val="none"/>
                <w:lang w:val="en-US" w:eastAsia="zh-CN" w:bidi="ar"/>
              </w:rPr>
              <w:t>2</w:t>
            </w:r>
            <w:r>
              <w:rPr>
                <w:rStyle w:val="14"/>
                <w:color w:val="000000"/>
                <w:highlight w:val="none"/>
                <w:lang w:val="en-US" w:eastAsia="zh-CN" w:bidi="ar"/>
              </w:rPr>
              <w:t>分</w:t>
            </w:r>
            <w:r>
              <w:rPr>
                <w:rFonts w:ascii="Times New Roman" w:hAnsi="Times New Roman" w:eastAsia="宋体" w:cs="Times New Roman"/>
                <w:i w:val="0"/>
                <w:iCs w:val="0"/>
                <w:color w:val="000000"/>
                <w:sz w:val="24"/>
                <w:szCs w:val="24"/>
                <w:highlight w:val="none"/>
                <w:u w:val="none"/>
                <w:lang w:val="en-US" w:eastAsia="zh-CN" w:bidi="ar"/>
              </w:rPr>
              <w:t>.</w:t>
            </w:r>
            <w:r>
              <w:rPr>
                <w:rStyle w:val="14"/>
                <w:color w:val="000000"/>
                <w:highlight w:val="none"/>
                <w:lang w:val="en-US" w:eastAsia="zh-CN" w:bidi="ar"/>
              </w:rPr>
              <w:t>。</w:t>
            </w:r>
          </w:p>
        </w:tc>
        <w:tc>
          <w:tcPr>
            <w:tcW w:w="1302" w:type="dxa"/>
            <w:noWrap w:val="0"/>
            <w:vAlign w:val="center"/>
          </w:tcPr>
          <w:p w14:paraId="22ED3F5E">
            <w:pPr>
              <w:keepNext w:val="0"/>
              <w:keepLines w:val="0"/>
              <w:widowControl/>
              <w:suppressLineNumbers w:val="0"/>
              <w:jc w:val="center"/>
              <w:rPr>
                <w:rFonts w:ascii="Times New Roman" w:hAnsi="Times New Roman" w:eastAsia="宋体" w:cs="Times New Roman"/>
                <w:i w:val="0"/>
                <w:iCs w:val="0"/>
                <w:color w:val="000000"/>
                <w:sz w:val="24"/>
                <w:szCs w:val="24"/>
                <w:highlight w:val="none"/>
                <w:u w:val="none"/>
              </w:rPr>
            </w:pPr>
            <w:r>
              <w:rPr>
                <w:rFonts w:ascii="Times New Roman" w:hAnsi="Times New Roman" w:eastAsia="宋体" w:cs="Times New Roman"/>
                <w:i w:val="0"/>
                <w:iCs w:val="0"/>
                <w:color w:val="000000"/>
                <w:sz w:val="24"/>
                <w:szCs w:val="24"/>
                <w:highlight w:val="none"/>
                <w:u w:val="none"/>
                <w:lang w:val="en-US" w:eastAsia="zh-CN" w:bidi="ar"/>
              </w:rPr>
              <w:t>5</w:t>
            </w:r>
          </w:p>
        </w:tc>
        <w:tc>
          <w:tcPr>
            <w:tcW w:w="1302" w:type="dxa"/>
            <w:noWrap w:val="0"/>
            <w:vAlign w:val="center"/>
          </w:tcPr>
          <w:p w14:paraId="13A87B65">
            <w:pPr>
              <w:jc w:val="center"/>
              <w:rPr>
                <w:rFonts w:ascii="Times New Roman" w:hAnsi="Times New Roman" w:eastAsia="宋体" w:cs="Times New Roman"/>
                <w:i w:val="0"/>
                <w:iCs w:val="0"/>
                <w:color w:val="000000"/>
                <w:sz w:val="21"/>
                <w:szCs w:val="21"/>
                <w:highlight w:val="none"/>
                <w:u w:val="none"/>
              </w:rPr>
            </w:pPr>
          </w:p>
        </w:tc>
        <w:tc>
          <w:tcPr>
            <w:tcW w:w="1307" w:type="dxa"/>
            <w:noWrap w:val="0"/>
            <w:vAlign w:val="center"/>
          </w:tcPr>
          <w:p w14:paraId="42379E19">
            <w:pPr>
              <w:jc w:val="center"/>
              <w:rPr>
                <w:rFonts w:ascii="Times New Roman" w:hAnsi="Times New Roman" w:eastAsia="宋体" w:cs="Times New Roman"/>
                <w:i w:val="0"/>
                <w:iCs w:val="0"/>
                <w:color w:val="000000"/>
                <w:sz w:val="21"/>
                <w:szCs w:val="21"/>
                <w:highlight w:val="none"/>
                <w:u w:val="none"/>
              </w:rPr>
            </w:pPr>
          </w:p>
        </w:tc>
      </w:tr>
      <w:tr w14:paraId="7F77DFD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490" w:hRule="atLeast"/>
        </w:trPr>
        <w:tc>
          <w:tcPr>
            <w:tcW w:w="624" w:type="dxa"/>
            <w:vMerge w:val="continue"/>
            <w:noWrap w:val="0"/>
            <w:vAlign w:val="center"/>
          </w:tcPr>
          <w:p w14:paraId="1E4F739C">
            <w:pPr>
              <w:jc w:val="center"/>
              <w:rPr>
                <w:rFonts w:ascii="Times New Roman" w:hAnsi="Times New Roman" w:eastAsia="宋体" w:cs="Times New Roman"/>
                <w:i w:val="0"/>
                <w:iCs w:val="0"/>
                <w:color w:val="000000"/>
                <w:sz w:val="24"/>
                <w:szCs w:val="24"/>
                <w:highlight w:val="none"/>
                <w:u w:val="none"/>
              </w:rPr>
            </w:pPr>
          </w:p>
        </w:tc>
        <w:tc>
          <w:tcPr>
            <w:tcW w:w="4976" w:type="dxa"/>
            <w:noWrap w:val="0"/>
            <w:vAlign w:val="center"/>
          </w:tcPr>
          <w:p w14:paraId="6CFBD48E">
            <w:pPr>
              <w:keepNext w:val="0"/>
              <w:keepLines w:val="0"/>
              <w:widowControl/>
              <w:suppressLineNumbers w:val="0"/>
              <w:jc w:val="left"/>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bidi="ar"/>
              </w:rPr>
              <w:t>林带下杂草及时修剪，高度控制在</w:t>
            </w:r>
            <w:r>
              <w:rPr>
                <w:rFonts w:ascii="Times New Roman" w:hAnsi="Times New Roman" w:eastAsia="宋体" w:cs="Times New Roman"/>
                <w:i w:val="0"/>
                <w:iCs w:val="0"/>
                <w:color w:val="000000"/>
                <w:sz w:val="24"/>
                <w:szCs w:val="24"/>
                <w:highlight w:val="none"/>
                <w:u w:val="none"/>
                <w:lang w:val="en-US" w:eastAsia="zh-CN" w:bidi="ar"/>
              </w:rPr>
              <w:t>30cm</w:t>
            </w:r>
            <w:r>
              <w:rPr>
                <w:rStyle w:val="14"/>
                <w:color w:val="000000"/>
                <w:highlight w:val="none"/>
                <w:lang w:val="en-US" w:eastAsia="zh-CN" w:bidi="ar"/>
              </w:rPr>
              <w:t>以下。</w:t>
            </w:r>
          </w:p>
        </w:tc>
        <w:tc>
          <w:tcPr>
            <w:tcW w:w="5629" w:type="dxa"/>
            <w:noWrap w:val="0"/>
            <w:vAlign w:val="center"/>
          </w:tcPr>
          <w:p w14:paraId="08B44498">
            <w:pPr>
              <w:keepNext w:val="0"/>
              <w:keepLines w:val="0"/>
              <w:widowControl/>
              <w:suppressLineNumbers w:val="0"/>
              <w:jc w:val="left"/>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bidi="ar"/>
              </w:rPr>
              <w:t>高度超过</w:t>
            </w:r>
            <w:r>
              <w:rPr>
                <w:rFonts w:ascii="Times New Roman" w:hAnsi="Times New Roman" w:eastAsia="宋体" w:cs="Times New Roman"/>
                <w:i w:val="0"/>
                <w:iCs w:val="0"/>
                <w:color w:val="000000"/>
                <w:sz w:val="24"/>
                <w:szCs w:val="24"/>
                <w:highlight w:val="none"/>
                <w:u w:val="none"/>
                <w:lang w:val="en-US" w:eastAsia="zh-CN" w:bidi="ar"/>
              </w:rPr>
              <w:t>30cm</w:t>
            </w:r>
            <w:r>
              <w:rPr>
                <w:rStyle w:val="14"/>
                <w:color w:val="000000"/>
                <w:highlight w:val="none"/>
                <w:lang w:val="en-US" w:eastAsia="zh-CN" w:bidi="ar"/>
              </w:rPr>
              <w:t>每处扣</w:t>
            </w:r>
            <w:r>
              <w:rPr>
                <w:rFonts w:ascii="Times New Roman" w:hAnsi="Times New Roman" w:eastAsia="宋体" w:cs="Times New Roman"/>
                <w:i w:val="0"/>
                <w:iCs w:val="0"/>
                <w:color w:val="000000"/>
                <w:sz w:val="24"/>
                <w:szCs w:val="24"/>
                <w:highlight w:val="none"/>
                <w:u w:val="none"/>
                <w:lang w:val="en-US" w:eastAsia="zh-CN" w:bidi="ar"/>
              </w:rPr>
              <w:t>2-5</w:t>
            </w:r>
            <w:r>
              <w:rPr>
                <w:rStyle w:val="14"/>
                <w:color w:val="000000"/>
                <w:highlight w:val="none"/>
                <w:lang w:val="en-US" w:eastAsia="zh-CN" w:bidi="ar"/>
              </w:rPr>
              <w:t>分</w:t>
            </w:r>
          </w:p>
        </w:tc>
        <w:tc>
          <w:tcPr>
            <w:tcW w:w="1302" w:type="dxa"/>
            <w:noWrap w:val="0"/>
            <w:vAlign w:val="center"/>
          </w:tcPr>
          <w:p w14:paraId="0A4BA527">
            <w:pPr>
              <w:keepNext w:val="0"/>
              <w:keepLines w:val="0"/>
              <w:widowControl/>
              <w:suppressLineNumbers w:val="0"/>
              <w:jc w:val="center"/>
              <w:rPr>
                <w:rFonts w:ascii="Times New Roman" w:hAnsi="Times New Roman" w:eastAsia="宋体" w:cs="Times New Roman"/>
                <w:i w:val="0"/>
                <w:iCs w:val="0"/>
                <w:color w:val="000000"/>
                <w:sz w:val="24"/>
                <w:szCs w:val="24"/>
                <w:highlight w:val="none"/>
                <w:u w:val="none"/>
              </w:rPr>
            </w:pPr>
            <w:r>
              <w:rPr>
                <w:rFonts w:ascii="Times New Roman" w:hAnsi="Times New Roman" w:eastAsia="宋体" w:cs="Times New Roman"/>
                <w:i w:val="0"/>
                <w:iCs w:val="0"/>
                <w:color w:val="000000"/>
                <w:sz w:val="24"/>
                <w:szCs w:val="24"/>
                <w:highlight w:val="none"/>
                <w:u w:val="none"/>
                <w:lang w:val="en-US" w:eastAsia="zh-CN" w:bidi="ar"/>
              </w:rPr>
              <w:t>10</w:t>
            </w:r>
          </w:p>
        </w:tc>
        <w:tc>
          <w:tcPr>
            <w:tcW w:w="1302" w:type="dxa"/>
            <w:noWrap w:val="0"/>
            <w:vAlign w:val="center"/>
          </w:tcPr>
          <w:p w14:paraId="7A751AA8">
            <w:pPr>
              <w:jc w:val="center"/>
              <w:rPr>
                <w:rFonts w:ascii="Times New Roman" w:hAnsi="Times New Roman" w:eastAsia="宋体" w:cs="Times New Roman"/>
                <w:i w:val="0"/>
                <w:iCs w:val="0"/>
                <w:color w:val="000000"/>
                <w:sz w:val="21"/>
                <w:szCs w:val="21"/>
                <w:highlight w:val="none"/>
                <w:u w:val="none"/>
              </w:rPr>
            </w:pPr>
          </w:p>
        </w:tc>
        <w:tc>
          <w:tcPr>
            <w:tcW w:w="1307" w:type="dxa"/>
            <w:noWrap w:val="0"/>
            <w:vAlign w:val="center"/>
          </w:tcPr>
          <w:p w14:paraId="323CF74F">
            <w:pPr>
              <w:jc w:val="center"/>
              <w:rPr>
                <w:rFonts w:ascii="Times New Roman" w:hAnsi="Times New Roman" w:eastAsia="宋体" w:cs="Times New Roman"/>
                <w:i w:val="0"/>
                <w:iCs w:val="0"/>
                <w:color w:val="000000"/>
                <w:sz w:val="21"/>
                <w:szCs w:val="21"/>
                <w:highlight w:val="none"/>
                <w:u w:val="none"/>
              </w:rPr>
            </w:pPr>
          </w:p>
        </w:tc>
      </w:tr>
      <w:tr w14:paraId="16D68DB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876" w:hRule="atLeast"/>
        </w:trPr>
        <w:tc>
          <w:tcPr>
            <w:tcW w:w="624" w:type="dxa"/>
            <w:vMerge w:val="restart"/>
            <w:noWrap w:val="0"/>
            <w:vAlign w:val="center"/>
          </w:tcPr>
          <w:p w14:paraId="6B803B63">
            <w:pPr>
              <w:keepNext w:val="0"/>
              <w:keepLines w:val="0"/>
              <w:widowControl/>
              <w:suppressLineNumbers w:val="0"/>
              <w:jc w:val="center"/>
              <w:rPr>
                <w:rFonts w:ascii="Times New Roman" w:hAnsi="Times New Roman" w:eastAsia="宋体" w:cs="Times New Roman"/>
                <w:i w:val="0"/>
                <w:iCs w:val="0"/>
                <w:color w:val="000000"/>
                <w:sz w:val="24"/>
                <w:szCs w:val="24"/>
                <w:highlight w:val="none"/>
                <w:u w:val="none"/>
              </w:rPr>
            </w:pPr>
            <w:r>
              <w:rPr>
                <w:rFonts w:ascii="Times New Roman" w:hAnsi="Times New Roman" w:eastAsia="宋体" w:cs="Times New Roman"/>
                <w:i w:val="0"/>
                <w:iCs w:val="0"/>
                <w:color w:val="000000"/>
                <w:sz w:val="24"/>
                <w:szCs w:val="24"/>
                <w:highlight w:val="none"/>
                <w:u w:val="none"/>
                <w:lang w:val="en-US" w:eastAsia="zh-CN" w:bidi="ar"/>
              </w:rPr>
              <w:t xml:space="preserve">2 </w:t>
            </w:r>
            <w:r>
              <w:rPr>
                <w:rFonts w:hint="eastAsia" w:ascii="Times New Roman" w:hAnsi="Times New Roman" w:eastAsia="宋体" w:cs="Times New Roman"/>
                <w:i w:val="0"/>
                <w:iCs w:val="0"/>
                <w:color w:val="000000"/>
                <w:sz w:val="24"/>
                <w:szCs w:val="24"/>
                <w:highlight w:val="none"/>
                <w:u w:val="none"/>
                <w:lang w:val="en-US" w:eastAsia="zh-CN" w:bidi="ar"/>
              </w:rPr>
              <w:t>.</w:t>
            </w:r>
            <w:r>
              <w:rPr>
                <w:rFonts w:ascii="Times New Roman" w:hAnsi="Times New Roman" w:eastAsia="宋体" w:cs="Times New Roman"/>
                <w:i w:val="0"/>
                <w:iCs w:val="0"/>
                <w:color w:val="000000"/>
                <w:sz w:val="24"/>
                <w:szCs w:val="24"/>
                <w:highlight w:val="none"/>
                <w:u w:val="none"/>
                <w:lang w:val="en-US" w:eastAsia="zh-CN" w:bidi="ar"/>
              </w:rPr>
              <w:t xml:space="preserve">    </w:t>
            </w:r>
            <w:r>
              <w:rPr>
                <w:rStyle w:val="14"/>
                <w:color w:val="000000"/>
                <w:highlight w:val="none"/>
                <w:lang w:val="en-US" w:eastAsia="zh-CN" w:bidi="ar"/>
              </w:rPr>
              <w:t>绿</w:t>
            </w:r>
            <w:r>
              <w:rPr>
                <w:rFonts w:ascii="Times New Roman" w:hAnsi="Times New Roman" w:eastAsia="宋体" w:cs="Times New Roman"/>
                <w:i w:val="0"/>
                <w:iCs w:val="0"/>
                <w:color w:val="000000"/>
                <w:sz w:val="24"/>
                <w:szCs w:val="24"/>
                <w:highlight w:val="none"/>
                <w:u w:val="none"/>
                <w:lang w:val="en-US" w:eastAsia="zh-CN" w:bidi="ar"/>
              </w:rPr>
              <w:t xml:space="preserve">    </w:t>
            </w:r>
            <w:r>
              <w:rPr>
                <w:rStyle w:val="14"/>
                <w:color w:val="000000"/>
                <w:highlight w:val="none"/>
                <w:lang w:val="en-US" w:eastAsia="zh-CN" w:bidi="ar"/>
              </w:rPr>
              <w:t>地</w:t>
            </w:r>
            <w:r>
              <w:rPr>
                <w:rFonts w:ascii="Times New Roman" w:hAnsi="Times New Roman" w:eastAsia="宋体" w:cs="Times New Roman"/>
                <w:i w:val="0"/>
                <w:iCs w:val="0"/>
                <w:color w:val="000000"/>
                <w:sz w:val="24"/>
                <w:szCs w:val="24"/>
                <w:highlight w:val="none"/>
                <w:u w:val="none"/>
                <w:lang w:val="en-US" w:eastAsia="zh-CN" w:bidi="ar"/>
              </w:rPr>
              <w:t xml:space="preserve">   </w:t>
            </w:r>
            <w:r>
              <w:rPr>
                <w:rStyle w:val="14"/>
                <w:color w:val="000000"/>
                <w:highlight w:val="none"/>
                <w:lang w:val="en-US" w:eastAsia="zh-CN" w:bidi="ar"/>
              </w:rPr>
              <w:t>养</w:t>
            </w:r>
            <w:r>
              <w:rPr>
                <w:rFonts w:ascii="Times New Roman" w:hAnsi="Times New Roman" w:eastAsia="宋体" w:cs="Times New Roman"/>
                <w:i w:val="0"/>
                <w:iCs w:val="0"/>
                <w:color w:val="000000"/>
                <w:sz w:val="24"/>
                <w:szCs w:val="24"/>
                <w:highlight w:val="none"/>
                <w:u w:val="none"/>
                <w:lang w:val="en-US" w:eastAsia="zh-CN" w:bidi="ar"/>
              </w:rPr>
              <w:t xml:space="preserve">   </w:t>
            </w:r>
            <w:r>
              <w:rPr>
                <w:rStyle w:val="14"/>
                <w:color w:val="000000"/>
                <w:highlight w:val="none"/>
                <w:lang w:val="en-US" w:eastAsia="zh-CN" w:bidi="ar"/>
              </w:rPr>
              <w:t>护</w:t>
            </w:r>
          </w:p>
        </w:tc>
        <w:tc>
          <w:tcPr>
            <w:tcW w:w="4976" w:type="dxa"/>
            <w:vMerge w:val="restart"/>
            <w:noWrap w:val="0"/>
            <w:vAlign w:val="center"/>
          </w:tcPr>
          <w:p w14:paraId="6920BD21">
            <w:pPr>
              <w:keepNext w:val="0"/>
              <w:keepLines w:val="0"/>
              <w:widowControl/>
              <w:suppressLineNumbers w:val="0"/>
              <w:jc w:val="left"/>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bidi="ar"/>
              </w:rPr>
              <w:t>绿篱、色块整齐，高度控制得当，生长良好，无残缺、无死株，徒长枝控制在</w:t>
            </w:r>
            <w:r>
              <w:rPr>
                <w:rFonts w:ascii="Times New Roman" w:hAnsi="Times New Roman" w:eastAsia="宋体" w:cs="Times New Roman"/>
                <w:i w:val="0"/>
                <w:iCs w:val="0"/>
                <w:color w:val="000000"/>
                <w:sz w:val="24"/>
                <w:szCs w:val="24"/>
                <w:highlight w:val="none"/>
                <w:u w:val="none"/>
                <w:lang w:val="en-US" w:eastAsia="zh-CN" w:bidi="ar"/>
              </w:rPr>
              <w:t>10cm</w:t>
            </w:r>
            <w:r>
              <w:rPr>
                <w:rStyle w:val="14"/>
                <w:color w:val="000000"/>
                <w:highlight w:val="none"/>
                <w:lang w:val="en-US" w:eastAsia="zh-CN" w:bidi="ar"/>
              </w:rPr>
              <w:t>以下。无杂草。无白色垃圾。</w:t>
            </w:r>
          </w:p>
        </w:tc>
        <w:tc>
          <w:tcPr>
            <w:tcW w:w="5629" w:type="dxa"/>
            <w:vMerge w:val="restart"/>
            <w:noWrap w:val="0"/>
            <w:vAlign w:val="center"/>
          </w:tcPr>
          <w:p w14:paraId="78815276">
            <w:pPr>
              <w:keepNext w:val="0"/>
              <w:keepLines w:val="0"/>
              <w:widowControl/>
              <w:suppressLineNumbers w:val="0"/>
              <w:jc w:val="left"/>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bidi="ar"/>
              </w:rPr>
              <w:t>残缺、死亡每处扣</w:t>
            </w:r>
            <w:r>
              <w:rPr>
                <w:rFonts w:ascii="Times New Roman" w:hAnsi="Times New Roman" w:eastAsia="宋体" w:cs="Times New Roman"/>
                <w:i w:val="0"/>
                <w:iCs w:val="0"/>
                <w:color w:val="000000"/>
                <w:sz w:val="24"/>
                <w:szCs w:val="24"/>
                <w:highlight w:val="none"/>
                <w:u w:val="none"/>
                <w:lang w:val="en-US" w:eastAsia="zh-CN" w:bidi="ar"/>
              </w:rPr>
              <w:t>1-3</w:t>
            </w:r>
            <w:r>
              <w:rPr>
                <w:rStyle w:val="14"/>
                <w:color w:val="000000"/>
                <w:highlight w:val="none"/>
                <w:lang w:val="en-US" w:eastAsia="zh-CN" w:bidi="ar"/>
              </w:rPr>
              <w:t>分</w:t>
            </w:r>
            <w:r>
              <w:rPr>
                <w:rFonts w:ascii="Times New Roman" w:hAnsi="Times New Roman" w:eastAsia="宋体" w:cs="Times New Roman"/>
                <w:i w:val="0"/>
                <w:iCs w:val="0"/>
                <w:color w:val="000000"/>
                <w:sz w:val="24"/>
                <w:szCs w:val="24"/>
                <w:highlight w:val="none"/>
                <w:u w:val="none"/>
                <w:lang w:val="en-US" w:eastAsia="zh-CN" w:bidi="ar"/>
              </w:rPr>
              <w:t>,</w:t>
            </w:r>
            <w:r>
              <w:rPr>
                <w:rStyle w:val="14"/>
                <w:color w:val="000000"/>
                <w:highlight w:val="none"/>
                <w:lang w:val="en-US" w:eastAsia="zh-CN" w:bidi="ar"/>
              </w:rPr>
              <w:t>明显徒长每处扣</w:t>
            </w:r>
            <w:r>
              <w:rPr>
                <w:rFonts w:ascii="Times New Roman" w:hAnsi="Times New Roman" w:eastAsia="宋体" w:cs="Times New Roman"/>
                <w:i w:val="0"/>
                <w:iCs w:val="0"/>
                <w:color w:val="000000"/>
                <w:sz w:val="24"/>
                <w:szCs w:val="24"/>
                <w:highlight w:val="none"/>
                <w:u w:val="none"/>
                <w:lang w:val="en-US" w:eastAsia="zh-CN" w:bidi="ar"/>
              </w:rPr>
              <w:t>1-3</w:t>
            </w:r>
            <w:r>
              <w:rPr>
                <w:rStyle w:val="14"/>
                <w:color w:val="000000"/>
                <w:highlight w:val="none"/>
                <w:lang w:val="en-US" w:eastAsia="zh-CN" w:bidi="ar"/>
              </w:rPr>
              <w:t>分</w:t>
            </w:r>
            <w:r>
              <w:rPr>
                <w:rFonts w:ascii="Times New Roman" w:hAnsi="Times New Roman" w:eastAsia="宋体" w:cs="Times New Roman"/>
                <w:i w:val="0"/>
                <w:iCs w:val="0"/>
                <w:color w:val="000000"/>
                <w:sz w:val="24"/>
                <w:szCs w:val="24"/>
                <w:highlight w:val="none"/>
                <w:u w:val="none"/>
                <w:lang w:val="en-US" w:eastAsia="zh-CN" w:bidi="ar"/>
              </w:rPr>
              <w:t>,</w:t>
            </w:r>
            <w:r>
              <w:rPr>
                <w:rStyle w:val="14"/>
                <w:color w:val="000000"/>
                <w:highlight w:val="none"/>
                <w:lang w:val="en-US" w:eastAsia="zh-CN" w:bidi="ar"/>
              </w:rPr>
              <w:t>杂草每处扣</w:t>
            </w:r>
            <w:r>
              <w:rPr>
                <w:rFonts w:ascii="Times New Roman" w:hAnsi="Times New Roman" w:eastAsia="宋体" w:cs="Times New Roman"/>
                <w:i w:val="0"/>
                <w:iCs w:val="0"/>
                <w:color w:val="000000"/>
                <w:sz w:val="24"/>
                <w:szCs w:val="24"/>
                <w:highlight w:val="none"/>
                <w:u w:val="none"/>
                <w:lang w:val="en-US" w:eastAsia="zh-CN" w:bidi="ar"/>
              </w:rPr>
              <w:t>1-3</w:t>
            </w:r>
            <w:r>
              <w:rPr>
                <w:rStyle w:val="14"/>
                <w:color w:val="000000"/>
                <w:highlight w:val="none"/>
                <w:lang w:val="en-US" w:eastAsia="zh-CN" w:bidi="ar"/>
              </w:rPr>
              <w:t>分</w:t>
            </w:r>
            <w:r>
              <w:rPr>
                <w:rFonts w:ascii="Times New Roman" w:hAnsi="Times New Roman" w:eastAsia="宋体" w:cs="Times New Roman"/>
                <w:i w:val="0"/>
                <w:iCs w:val="0"/>
                <w:color w:val="000000"/>
                <w:sz w:val="24"/>
                <w:szCs w:val="24"/>
                <w:highlight w:val="none"/>
                <w:u w:val="none"/>
                <w:lang w:val="en-US" w:eastAsia="zh-CN" w:bidi="ar"/>
              </w:rPr>
              <w:t>,</w:t>
            </w:r>
            <w:r>
              <w:rPr>
                <w:rStyle w:val="14"/>
                <w:color w:val="000000"/>
                <w:highlight w:val="none"/>
                <w:lang w:val="en-US" w:eastAsia="zh-CN" w:bidi="ar"/>
              </w:rPr>
              <w:t>修剪不整齐每处扣</w:t>
            </w:r>
            <w:r>
              <w:rPr>
                <w:rFonts w:ascii="Times New Roman" w:hAnsi="Times New Roman" w:eastAsia="宋体" w:cs="Times New Roman"/>
                <w:i w:val="0"/>
                <w:iCs w:val="0"/>
                <w:color w:val="000000"/>
                <w:sz w:val="24"/>
                <w:szCs w:val="24"/>
                <w:highlight w:val="none"/>
                <w:u w:val="none"/>
                <w:lang w:val="en-US" w:eastAsia="zh-CN" w:bidi="ar"/>
              </w:rPr>
              <w:t>1-3</w:t>
            </w:r>
            <w:r>
              <w:rPr>
                <w:rStyle w:val="14"/>
                <w:color w:val="000000"/>
                <w:highlight w:val="none"/>
                <w:lang w:val="en-US" w:eastAsia="zh-CN" w:bidi="ar"/>
              </w:rPr>
              <w:t>分。有白色垃圾每处扣</w:t>
            </w:r>
            <w:r>
              <w:rPr>
                <w:rFonts w:ascii="Times New Roman" w:hAnsi="Times New Roman" w:eastAsia="宋体" w:cs="Times New Roman"/>
                <w:i w:val="0"/>
                <w:iCs w:val="0"/>
                <w:color w:val="000000"/>
                <w:sz w:val="24"/>
                <w:szCs w:val="24"/>
                <w:highlight w:val="none"/>
                <w:u w:val="none"/>
                <w:lang w:val="en-US" w:eastAsia="zh-CN" w:bidi="ar"/>
              </w:rPr>
              <w:t>1-3</w:t>
            </w:r>
            <w:r>
              <w:rPr>
                <w:rStyle w:val="14"/>
                <w:color w:val="000000"/>
                <w:highlight w:val="none"/>
                <w:lang w:val="en-US" w:eastAsia="zh-CN" w:bidi="ar"/>
              </w:rPr>
              <w:t>分。</w:t>
            </w:r>
          </w:p>
        </w:tc>
        <w:tc>
          <w:tcPr>
            <w:tcW w:w="1302" w:type="dxa"/>
            <w:vMerge w:val="restart"/>
            <w:noWrap w:val="0"/>
            <w:vAlign w:val="center"/>
          </w:tcPr>
          <w:p w14:paraId="5D3DB9E0">
            <w:pPr>
              <w:keepNext w:val="0"/>
              <w:keepLines w:val="0"/>
              <w:widowControl/>
              <w:suppressLineNumbers w:val="0"/>
              <w:jc w:val="center"/>
              <w:rPr>
                <w:rFonts w:ascii="Times New Roman" w:hAnsi="Times New Roman" w:eastAsia="宋体" w:cs="Times New Roman"/>
                <w:i w:val="0"/>
                <w:iCs w:val="0"/>
                <w:color w:val="000000"/>
                <w:sz w:val="24"/>
                <w:szCs w:val="24"/>
                <w:highlight w:val="none"/>
                <w:u w:val="none"/>
              </w:rPr>
            </w:pPr>
            <w:r>
              <w:rPr>
                <w:rFonts w:ascii="Times New Roman" w:hAnsi="Times New Roman" w:eastAsia="宋体" w:cs="Times New Roman"/>
                <w:i w:val="0"/>
                <w:iCs w:val="0"/>
                <w:color w:val="000000"/>
                <w:sz w:val="24"/>
                <w:szCs w:val="24"/>
                <w:highlight w:val="none"/>
                <w:u w:val="none"/>
                <w:lang w:val="en-US" w:eastAsia="zh-CN" w:bidi="ar"/>
              </w:rPr>
              <w:t>15</w:t>
            </w:r>
          </w:p>
        </w:tc>
        <w:tc>
          <w:tcPr>
            <w:tcW w:w="1302" w:type="dxa"/>
            <w:vMerge w:val="restart"/>
            <w:noWrap w:val="0"/>
            <w:vAlign w:val="center"/>
          </w:tcPr>
          <w:p w14:paraId="02F67FB4">
            <w:pPr>
              <w:jc w:val="center"/>
              <w:rPr>
                <w:rFonts w:ascii="Times New Roman" w:hAnsi="Times New Roman" w:eastAsia="宋体" w:cs="Times New Roman"/>
                <w:i w:val="0"/>
                <w:iCs w:val="0"/>
                <w:color w:val="000000"/>
                <w:sz w:val="24"/>
                <w:szCs w:val="24"/>
                <w:highlight w:val="none"/>
                <w:u w:val="none"/>
              </w:rPr>
            </w:pPr>
          </w:p>
        </w:tc>
        <w:tc>
          <w:tcPr>
            <w:tcW w:w="1307" w:type="dxa"/>
            <w:vMerge w:val="restart"/>
            <w:noWrap w:val="0"/>
            <w:vAlign w:val="center"/>
          </w:tcPr>
          <w:p w14:paraId="5FC846A5">
            <w:pPr>
              <w:jc w:val="center"/>
              <w:rPr>
                <w:rFonts w:ascii="Times New Roman" w:hAnsi="Times New Roman" w:eastAsia="宋体" w:cs="Times New Roman"/>
                <w:i w:val="0"/>
                <w:iCs w:val="0"/>
                <w:color w:val="000000"/>
                <w:sz w:val="21"/>
                <w:szCs w:val="21"/>
                <w:highlight w:val="none"/>
                <w:u w:val="none"/>
              </w:rPr>
            </w:pPr>
          </w:p>
        </w:tc>
      </w:tr>
      <w:tr w14:paraId="2BA5268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627" w:hRule="atLeast"/>
        </w:trPr>
        <w:tc>
          <w:tcPr>
            <w:tcW w:w="624" w:type="dxa"/>
            <w:vMerge w:val="continue"/>
            <w:noWrap w:val="0"/>
            <w:vAlign w:val="center"/>
          </w:tcPr>
          <w:p w14:paraId="3BDF2BF6">
            <w:pPr>
              <w:jc w:val="center"/>
              <w:rPr>
                <w:rFonts w:ascii="Times New Roman" w:hAnsi="Times New Roman" w:eastAsia="宋体" w:cs="Times New Roman"/>
                <w:i w:val="0"/>
                <w:iCs w:val="0"/>
                <w:color w:val="000000"/>
                <w:sz w:val="24"/>
                <w:szCs w:val="24"/>
                <w:highlight w:val="none"/>
                <w:u w:val="none"/>
              </w:rPr>
            </w:pPr>
          </w:p>
        </w:tc>
        <w:tc>
          <w:tcPr>
            <w:tcW w:w="4976" w:type="dxa"/>
            <w:noWrap w:val="0"/>
            <w:vAlign w:val="center"/>
          </w:tcPr>
          <w:p w14:paraId="1037404F">
            <w:pPr>
              <w:keepNext w:val="0"/>
              <w:keepLines w:val="0"/>
              <w:widowControl/>
              <w:suppressLineNumbers w:val="0"/>
              <w:jc w:val="left"/>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bidi="ar"/>
              </w:rPr>
              <w:t>草坪生长良好，修剪整齐、无遗漏。高度控制</w:t>
            </w:r>
            <w:r>
              <w:rPr>
                <w:rFonts w:ascii="Times New Roman" w:hAnsi="Times New Roman" w:eastAsia="宋体" w:cs="Times New Roman"/>
                <w:i w:val="0"/>
                <w:iCs w:val="0"/>
                <w:color w:val="000000"/>
                <w:sz w:val="24"/>
                <w:szCs w:val="24"/>
                <w:highlight w:val="none"/>
                <w:u w:val="none"/>
                <w:lang w:val="en-US" w:eastAsia="zh-CN" w:bidi="ar"/>
              </w:rPr>
              <w:t>4-7cm</w:t>
            </w:r>
            <w:r>
              <w:rPr>
                <w:rStyle w:val="14"/>
                <w:color w:val="000000"/>
                <w:highlight w:val="none"/>
                <w:lang w:val="en-US" w:eastAsia="zh-CN" w:bidi="ar"/>
              </w:rPr>
              <w:t>内</w:t>
            </w:r>
            <w:r>
              <w:rPr>
                <w:rFonts w:ascii="Times New Roman" w:hAnsi="Times New Roman" w:eastAsia="宋体" w:cs="Times New Roman"/>
                <w:i w:val="0"/>
                <w:iCs w:val="0"/>
                <w:color w:val="000000"/>
                <w:sz w:val="24"/>
                <w:szCs w:val="24"/>
                <w:highlight w:val="none"/>
                <w:u w:val="none"/>
                <w:lang w:val="en-US" w:eastAsia="zh-CN" w:bidi="ar"/>
              </w:rPr>
              <w:t>,</w:t>
            </w:r>
            <w:r>
              <w:rPr>
                <w:rStyle w:val="14"/>
                <w:color w:val="000000"/>
                <w:highlight w:val="none"/>
                <w:lang w:val="en-US" w:eastAsia="zh-CN" w:bidi="ar"/>
              </w:rPr>
              <w:t>平坦</w:t>
            </w:r>
            <w:r>
              <w:rPr>
                <w:rFonts w:ascii="Times New Roman" w:hAnsi="Times New Roman" w:eastAsia="宋体" w:cs="Times New Roman"/>
                <w:i w:val="0"/>
                <w:iCs w:val="0"/>
                <w:color w:val="000000"/>
                <w:sz w:val="24"/>
                <w:szCs w:val="24"/>
                <w:highlight w:val="none"/>
                <w:u w:val="none"/>
                <w:lang w:val="en-US" w:eastAsia="zh-CN" w:bidi="ar"/>
              </w:rPr>
              <w:t>,</w:t>
            </w:r>
            <w:r>
              <w:rPr>
                <w:rStyle w:val="14"/>
                <w:color w:val="000000"/>
                <w:highlight w:val="none"/>
                <w:lang w:val="en-US" w:eastAsia="zh-CN" w:bidi="ar"/>
              </w:rPr>
              <w:t>无明显杂草、残缺。</w:t>
            </w:r>
          </w:p>
        </w:tc>
        <w:tc>
          <w:tcPr>
            <w:tcW w:w="5629" w:type="dxa"/>
            <w:noWrap w:val="0"/>
            <w:vAlign w:val="center"/>
          </w:tcPr>
          <w:p w14:paraId="6005CCFA">
            <w:pPr>
              <w:keepNext w:val="0"/>
              <w:keepLines w:val="0"/>
              <w:widowControl/>
              <w:suppressLineNumbers w:val="0"/>
              <w:jc w:val="left"/>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bidi="ar"/>
              </w:rPr>
              <w:t>明显杂草每处扣</w:t>
            </w:r>
            <w:r>
              <w:rPr>
                <w:rFonts w:ascii="Times New Roman" w:hAnsi="Times New Roman" w:eastAsia="宋体" w:cs="Times New Roman"/>
                <w:i w:val="0"/>
                <w:iCs w:val="0"/>
                <w:color w:val="000000"/>
                <w:sz w:val="24"/>
                <w:szCs w:val="24"/>
                <w:highlight w:val="none"/>
                <w:u w:val="none"/>
                <w:lang w:val="en-US" w:eastAsia="zh-CN" w:bidi="ar"/>
              </w:rPr>
              <w:t>1-4</w:t>
            </w:r>
            <w:r>
              <w:rPr>
                <w:rStyle w:val="14"/>
                <w:color w:val="000000"/>
                <w:highlight w:val="none"/>
                <w:lang w:val="en-US" w:eastAsia="zh-CN" w:bidi="ar"/>
              </w:rPr>
              <w:t>分</w:t>
            </w:r>
            <w:r>
              <w:rPr>
                <w:rFonts w:ascii="Times New Roman" w:hAnsi="Times New Roman" w:eastAsia="宋体" w:cs="Times New Roman"/>
                <w:i w:val="0"/>
                <w:iCs w:val="0"/>
                <w:color w:val="000000"/>
                <w:sz w:val="24"/>
                <w:szCs w:val="24"/>
                <w:highlight w:val="none"/>
                <w:u w:val="none"/>
                <w:lang w:val="en-US" w:eastAsia="zh-CN" w:bidi="ar"/>
              </w:rPr>
              <w:t xml:space="preserve">, </w:t>
            </w:r>
            <w:r>
              <w:rPr>
                <w:rStyle w:val="14"/>
                <w:color w:val="000000"/>
                <w:highlight w:val="none"/>
                <w:lang w:val="en-US" w:eastAsia="zh-CN" w:bidi="ar"/>
              </w:rPr>
              <w:t>修剪不整齐、遗漏每处扣</w:t>
            </w:r>
            <w:r>
              <w:rPr>
                <w:rFonts w:ascii="Times New Roman" w:hAnsi="Times New Roman" w:eastAsia="宋体" w:cs="Times New Roman"/>
                <w:i w:val="0"/>
                <w:iCs w:val="0"/>
                <w:color w:val="000000"/>
                <w:sz w:val="24"/>
                <w:szCs w:val="24"/>
                <w:highlight w:val="none"/>
                <w:u w:val="none"/>
                <w:lang w:val="en-US" w:eastAsia="zh-CN" w:bidi="ar"/>
              </w:rPr>
              <w:t>1-4</w:t>
            </w:r>
            <w:r>
              <w:rPr>
                <w:rStyle w:val="14"/>
                <w:color w:val="000000"/>
                <w:highlight w:val="none"/>
                <w:lang w:val="en-US" w:eastAsia="zh-CN" w:bidi="ar"/>
              </w:rPr>
              <w:t>分，裸地每处扣</w:t>
            </w:r>
            <w:r>
              <w:rPr>
                <w:rFonts w:ascii="Times New Roman" w:hAnsi="Times New Roman" w:eastAsia="宋体" w:cs="Times New Roman"/>
                <w:i w:val="0"/>
                <w:iCs w:val="0"/>
                <w:color w:val="000000"/>
                <w:sz w:val="24"/>
                <w:szCs w:val="24"/>
                <w:highlight w:val="none"/>
                <w:u w:val="none"/>
                <w:lang w:val="en-US" w:eastAsia="zh-CN" w:bidi="ar"/>
              </w:rPr>
              <w:t>2</w:t>
            </w:r>
            <w:r>
              <w:rPr>
                <w:rStyle w:val="14"/>
                <w:color w:val="000000"/>
                <w:highlight w:val="none"/>
                <w:lang w:val="en-US" w:eastAsia="zh-CN" w:bidi="ar"/>
              </w:rPr>
              <w:t>分。</w:t>
            </w:r>
          </w:p>
        </w:tc>
        <w:tc>
          <w:tcPr>
            <w:tcW w:w="1302" w:type="dxa"/>
            <w:noWrap w:val="0"/>
            <w:vAlign w:val="center"/>
          </w:tcPr>
          <w:p w14:paraId="310E0A45">
            <w:pPr>
              <w:keepNext w:val="0"/>
              <w:keepLines w:val="0"/>
              <w:widowControl/>
              <w:suppressLineNumbers w:val="0"/>
              <w:jc w:val="center"/>
              <w:rPr>
                <w:rFonts w:ascii="Times New Roman" w:hAnsi="Times New Roman" w:eastAsia="宋体" w:cs="Times New Roman"/>
                <w:i w:val="0"/>
                <w:iCs w:val="0"/>
                <w:color w:val="000000"/>
                <w:sz w:val="24"/>
                <w:szCs w:val="24"/>
                <w:highlight w:val="none"/>
                <w:u w:val="none"/>
              </w:rPr>
            </w:pPr>
            <w:r>
              <w:rPr>
                <w:rFonts w:ascii="Times New Roman" w:hAnsi="Times New Roman" w:eastAsia="宋体" w:cs="Times New Roman"/>
                <w:i w:val="0"/>
                <w:iCs w:val="0"/>
                <w:color w:val="000000"/>
                <w:sz w:val="24"/>
                <w:szCs w:val="24"/>
                <w:highlight w:val="none"/>
                <w:u w:val="none"/>
                <w:lang w:val="en-US" w:eastAsia="zh-CN" w:bidi="ar"/>
              </w:rPr>
              <w:t>10</w:t>
            </w:r>
          </w:p>
        </w:tc>
        <w:tc>
          <w:tcPr>
            <w:tcW w:w="1302" w:type="dxa"/>
            <w:noWrap w:val="0"/>
            <w:vAlign w:val="center"/>
          </w:tcPr>
          <w:p w14:paraId="3D0B8633">
            <w:pPr>
              <w:jc w:val="center"/>
              <w:rPr>
                <w:rFonts w:ascii="Times New Roman" w:hAnsi="Times New Roman" w:eastAsia="宋体" w:cs="Times New Roman"/>
                <w:i w:val="0"/>
                <w:iCs w:val="0"/>
                <w:color w:val="000000"/>
                <w:sz w:val="21"/>
                <w:szCs w:val="21"/>
                <w:highlight w:val="none"/>
                <w:u w:val="none"/>
              </w:rPr>
            </w:pPr>
          </w:p>
        </w:tc>
        <w:tc>
          <w:tcPr>
            <w:tcW w:w="1307" w:type="dxa"/>
            <w:noWrap w:val="0"/>
            <w:vAlign w:val="center"/>
          </w:tcPr>
          <w:p w14:paraId="2B4995E4">
            <w:pPr>
              <w:jc w:val="center"/>
              <w:rPr>
                <w:rFonts w:ascii="Times New Roman" w:hAnsi="Times New Roman" w:eastAsia="宋体" w:cs="Times New Roman"/>
                <w:i w:val="0"/>
                <w:iCs w:val="0"/>
                <w:color w:val="000000"/>
                <w:sz w:val="21"/>
                <w:szCs w:val="21"/>
                <w:highlight w:val="none"/>
                <w:u w:val="none"/>
              </w:rPr>
            </w:pPr>
          </w:p>
        </w:tc>
      </w:tr>
      <w:tr w14:paraId="0997C94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497" w:hRule="atLeast"/>
        </w:trPr>
        <w:tc>
          <w:tcPr>
            <w:tcW w:w="624" w:type="dxa"/>
            <w:vMerge w:val="continue"/>
            <w:noWrap w:val="0"/>
            <w:vAlign w:val="center"/>
          </w:tcPr>
          <w:p w14:paraId="2E845BD8">
            <w:pPr>
              <w:jc w:val="center"/>
              <w:rPr>
                <w:rFonts w:ascii="Times New Roman" w:hAnsi="Times New Roman" w:eastAsia="宋体" w:cs="Times New Roman"/>
                <w:i w:val="0"/>
                <w:iCs w:val="0"/>
                <w:color w:val="000000"/>
                <w:sz w:val="24"/>
                <w:szCs w:val="24"/>
                <w:highlight w:val="none"/>
                <w:u w:val="none"/>
              </w:rPr>
            </w:pPr>
          </w:p>
        </w:tc>
        <w:tc>
          <w:tcPr>
            <w:tcW w:w="4976" w:type="dxa"/>
            <w:noWrap w:val="0"/>
            <w:vAlign w:val="center"/>
          </w:tcPr>
          <w:p w14:paraId="598F037D">
            <w:pPr>
              <w:keepNext w:val="0"/>
              <w:keepLines w:val="0"/>
              <w:widowControl/>
              <w:suppressLineNumbers w:val="0"/>
              <w:jc w:val="left"/>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bidi="ar"/>
              </w:rPr>
              <w:t>植物病虫害防治及时，病虫害危害在</w:t>
            </w:r>
            <w:r>
              <w:rPr>
                <w:rFonts w:ascii="Times New Roman" w:hAnsi="Times New Roman" w:eastAsia="宋体" w:cs="Times New Roman"/>
                <w:i w:val="0"/>
                <w:iCs w:val="0"/>
                <w:color w:val="000000"/>
                <w:sz w:val="24"/>
                <w:szCs w:val="24"/>
                <w:highlight w:val="none"/>
                <w:u w:val="none"/>
                <w:lang w:val="en-US" w:eastAsia="zh-CN" w:bidi="ar"/>
              </w:rPr>
              <w:t>5%</w:t>
            </w:r>
            <w:r>
              <w:rPr>
                <w:rStyle w:val="14"/>
                <w:color w:val="000000"/>
                <w:highlight w:val="none"/>
                <w:lang w:val="en-US" w:eastAsia="zh-CN" w:bidi="ar"/>
              </w:rPr>
              <w:t>以下。</w:t>
            </w:r>
          </w:p>
        </w:tc>
        <w:tc>
          <w:tcPr>
            <w:tcW w:w="5629" w:type="dxa"/>
            <w:noWrap w:val="0"/>
            <w:vAlign w:val="center"/>
          </w:tcPr>
          <w:p w14:paraId="6F2315C5">
            <w:pPr>
              <w:keepNext w:val="0"/>
              <w:keepLines w:val="0"/>
              <w:widowControl/>
              <w:suppressLineNumbers w:val="0"/>
              <w:jc w:val="left"/>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bidi="ar"/>
              </w:rPr>
              <w:t>明显病虫害危害每处扣</w:t>
            </w:r>
            <w:r>
              <w:rPr>
                <w:rFonts w:ascii="Times New Roman" w:hAnsi="Times New Roman" w:eastAsia="宋体" w:cs="Times New Roman"/>
                <w:i w:val="0"/>
                <w:iCs w:val="0"/>
                <w:color w:val="000000"/>
                <w:sz w:val="24"/>
                <w:szCs w:val="24"/>
                <w:highlight w:val="none"/>
                <w:u w:val="none"/>
                <w:lang w:val="en-US" w:eastAsia="zh-CN" w:bidi="ar"/>
              </w:rPr>
              <w:t>1</w:t>
            </w:r>
            <w:r>
              <w:rPr>
                <w:rStyle w:val="14"/>
                <w:color w:val="000000"/>
                <w:highlight w:val="none"/>
                <w:lang w:val="en-US" w:eastAsia="zh-CN" w:bidi="ar"/>
              </w:rPr>
              <w:t>分。</w:t>
            </w:r>
          </w:p>
        </w:tc>
        <w:tc>
          <w:tcPr>
            <w:tcW w:w="1302" w:type="dxa"/>
            <w:noWrap w:val="0"/>
            <w:vAlign w:val="center"/>
          </w:tcPr>
          <w:p w14:paraId="69588CD3">
            <w:pPr>
              <w:keepNext w:val="0"/>
              <w:keepLines w:val="0"/>
              <w:widowControl/>
              <w:suppressLineNumbers w:val="0"/>
              <w:jc w:val="center"/>
              <w:rPr>
                <w:rFonts w:ascii="Times New Roman" w:hAnsi="Times New Roman" w:eastAsia="宋体" w:cs="Times New Roman"/>
                <w:i w:val="0"/>
                <w:iCs w:val="0"/>
                <w:color w:val="000000"/>
                <w:sz w:val="24"/>
                <w:szCs w:val="24"/>
                <w:highlight w:val="none"/>
                <w:u w:val="none"/>
              </w:rPr>
            </w:pPr>
            <w:r>
              <w:rPr>
                <w:rFonts w:ascii="Times New Roman" w:hAnsi="Times New Roman" w:eastAsia="宋体" w:cs="Times New Roman"/>
                <w:i w:val="0"/>
                <w:iCs w:val="0"/>
                <w:color w:val="000000"/>
                <w:sz w:val="24"/>
                <w:szCs w:val="24"/>
                <w:highlight w:val="none"/>
                <w:u w:val="none"/>
                <w:lang w:val="en-US" w:eastAsia="zh-CN" w:bidi="ar"/>
              </w:rPr>
              <w:t>5</w:t>
            </w:r>
          </w:p>
        </w:tc>
        <w:tc>
          <w:tcPr>
            <w:tcW w:w="1302" w:type="dxa"/>
            <w:noWrap w:val="0"/>
            <w:vAlign w:val="center"/>
          </w:tcPr>
          <w:p w14:paraId="2F5B5A9E">
            <w:pPr>
              <w:jc w:val="center"/>
              <w:rPr>
                <w:rFonts w:ascii="Times New Roman" w:hAnsi="Times New Roman" w:eastAsia="宋体" w:cs="Times New Roman"/>
                <w:i w:val="0"/>
                <w:iCs w:val="0"/>
                <w:color w:val="000000"/>
                <w:sz w:val="21"/>
                <w:szCs w:val="21"/>
                <w:highlight w:val="none"/>
                <w:u w:val="none"/>
              </w:rPr>
            </w:pPr>
          </w:p>
        </w:tc>
        <w:tc>
          <w:tcPr>
            <w:tcW w:w="1307" w:type="dxa"/>
            <w:noWrap w:val="0"/>
            <w:vAlign w:val="center"/>
          </w:tcPr>
          <w:p w14:paraId="7BF63D5C">
            <w:pPr>
              <w:jc w:val="center"/>
              <w:rPr>
                <w:rFonts w:ascii="Times New Roman" w:hAnsi="Times New Roman" w:eastAsia="宋体" w:cs="Times New Roman"/>
                <w:i w:val="0"/>
                <w:iCs w:val="0"/>
                <w:color w:val="000000"/>
                <w:sz w:val="24"/>
                <w:szCs w:val="24"/>
                <w:highlight w:val="none"/>
                <w:u w:val="none"/>
              </w:rPr>
            </w:pPr>
          </w:p>
        </w:tc>
      </w:tr>
      <w:tr w14:paraId="05F6EA4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610" w:hRule="atLeast"/>
        </w:trPr>
        <w:tc>
          <w:tcPr>
            <w:tcW w:w="624" w:type="dxa"/>
            <w:vMerge w:val="continue"/>
            <w:noWrap w:val="0"/>
            <w:vAlign w:val="center"/>
          </w:tcPr>
          <w:p w14:paraId="001FF61B">
            <w:pPr>
              <w:jc w:val="center"/>
              <w:rPr>
                <w:rFonts w:ascii="Times New Roman" w:hAnsi="Times New Roman" w:eastAsia="宋体" w:cs="Times New Roman"/>
                <w:i w:val="0"/>
                <w:iCs w:val="0"/>
                <w:color w:val="000000"/>
                <w:sz w:val="24"/>
                <w:szCs w:val="24"/>
                <w:highlight w:val="none"/>
                <w:u w:val="none"/>
              </w:rPr>
            </w:pPr>
          </w:p>
        </w:tc>
        <w:tc>
          <w:tcPr>
            <w:tcW w:w="4976" w:type="dxa"/>
            <w:noWrap w:val="0"/>
            <w:vAlign w:val="center"/>
          </w:tcPr>
          <w:p w14:paraId="1FEB55B1">
            <w:pPr>
              <w:keepNext w:val="0"/>
              <w:keepLines w:val="0"/>
              <w:widowControl/>
              <w:suppressLineNumbers w:val="0"/>
              <w:jc w:val="left"/>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bidi="ar"/>
              </w:rPr>
              <w:t>做好日常保洁工作，现场工作遗留物必须当天清理出现场，绿化带无杂物。</w:t>
            </w:r>
          </w:p>
        </w:tc>
        <w:tc>
          <w:tcPr>
            <w:tcW w:w="5629" w:type="dxa"/>
            <w:noWrap w:val="0"/>
            <w:vAlign w:val="center"/>
          </w:tcPr>
          <w:p w14:paraId="709B7FE7">
            <w:pPr>
              <w:keepNext w:val="0"/>
              <w:keepLines w:val="0"/>
              <w:widowControl/>
              <w:suppressLineNumbers w:val="0"/>
              <w:jc w:val="left"/>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bidi="ar"/>
              </w:rPr>
              <w:t>未能及时清理，每处扣5分。</w:t>
            </w:r>
          </w:p>
        </w:tc>
        <w:tc>
          <w:tcPr>
            <w:tcW w:w="1302" w:type="dxa"/>
            <w:noWrap w:val="0"/>
            <w:vAlign w:val="center"/>
          </w:tcPr>
          <w:p w14:paraId="14D5B4F8">
            <w:pPr>
              <w:keepNext w:val="0"/>
              <w:keepLines w:val="0"/>
              <w:widowControl/>
              <w:suppressLineNumbers w:val="0"/>
              <w:jc w:val="center"/>
              <w:rPr>
                <w:rFonts w:ascii="Times New Roman" w:hAnsi="Times New Roman" w:eastAsia="宋体" w:cs="Times New Roman"/>
                <w:i w:val="0"/>
                <w:iCs w:val="0"/>
                <w:color w:val="000000"/>
                <w:sz w:val="24"/>
                <w:szCs w:val="24"/>
                <w:highlight w:val="none"/>
                <w:u w:val="none"/>
              </w:rPr>
            </w:pPr>
            <w:r>
              <w:rPr>
                <w:rFonts w:ascii="Times New Roman" w:hAnsi="Times New Roman" w:eastAsia="宋体" w:cs="Times New Roman"/>
                <w:i w:val="0"/>
                <w:iCs w:val="0"/>
                <w:color w:val="000000"/>
                <w:sz w:val="24"/>
                <w:szCs w:val="24"/>
                <w:highlight w:val="none"/>
                <w:u w:val="none"/>
                <w:lang w:val="en-US" w:eastAsia="zh-CN" w:bidi="ar"/>
              </w:rPr>
              <w:t>5</w:t>
            </w:r>
          </w:p>
        </w:tc>
        <w:tc>
          <w:tcPr>
            <w:tcW w:w="1302" w:type="dxa"/>
            <w:noWrap w:val="0"/>
            <w:vAlign w:val="center"/>
          </w:tcPr>
          <w:p w14:paraId="7B2D52F3">
            <w:pPr>
              <w:jc w:val="center"/>
              <w:rPr>
                <w:rFonts w:ascii="Times New Roman" w:hAnsi="Times New Roman" w:eastAsia="宋体" w:cs="Times New Roman"/>
                <w:i w:val="0"/>
                <w:iCs w:val="0"/>
                <w:color w:val="000000"/>
                <w:sz w:val="21"/>
                <w:szCs w:val="21"/>
                <w:highlight w:val="none"/>
                <w:u w:val="none"/>
              </w:rPr>
            </w:pPr>
          </w:p>
        </w:tc>
        <w:tc>
          <w:tcPr>
            <w:tcW w:w="1307" w:type="dxa"/>
            <w:noWrap w:val="0"/>
            <w:vAlign w:val="center"/>
          </w:tcPr>
          <w:p w14:paraId="312C581C">
            <w:pPr>
              <w:jc w:val="center"/>
              <w:rPr>
                <w:rFonts w:ascii="Times New Roman" w:hAnsi="Times New Roman" w:eastAsia="宋体" w:cs="Times New Roman"/>
                <w:i w:val="0"/>
                <w:iCs w:val="0"/>
                <w:color w:val="000000"/>
                <w:sz w:val="24"/>
                <w:szCs w:val="24"/>
                <w:highlight w:val="none"/>
                <w:u w:val="none"/>
              </w:rPr>
            </w:pPr>
          </w:p>
        </w:tc>
      </w:tr>
      <w:tr w14:paraId="1A6A64D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1044" w:hRule="atLeast"/>
        </w:trPr>
        <w:tc>
          <w:tcPr>
            <w:tcW w:w="624" w:type="dxa"/>
            <w:vMerge w:val="restart"/>
            <w:noWrap w:val="0"/>
            <w:vAlign w:val="center"/>
          </w:tcPr>
          <w:p w14:paraId="6A1AF7A9">
            <w:pPr>
              <w:keepNext w:val="0"/>
              <w:keepLines w:val="0"/>
              <w:widowControl/>
              <w:suppressLineNumbers w:val="0"/>
              <w:jc w:val="center"/>
              <w:rPr>
                <w:rFonts w:ascii="Times New Roman" w:hAnsi="Times New Roman" w:eastAsia="宋体" w:cs="Times New Roman"/>
                <w:i w:val="0"/>
                <w:iCs w:val="0"/>
                <w:color w:val="000000"/>
                <w:sz w:val="24"/>
                <w:szCs w:val="24"/>
                <w:highlight w:val="none"/>
                <w:u w:val="none"/>
              </w:rPr>
            </w:pPr>
            <w:r>
              <w:rPr>
                <w:rFonts w:ascii="Times New Roman" w:hAnsi="Times New Roman" w:eastAsia="宋体" w:cs="Times New Roman"/>
                <w:i w:val="0"/>
                <w:iCs w:val="0"/>
                <w:color w:val="000000"/>
                <w:sz w:val="24"/>
                <w:szCs w:val="24"/>
                <w:highlight w:val="none"/>
                <w:u w:val="none"/>
                <w:lang w:val="en-US" w:eastAsia="zh-CN" w:bidi="ar"/>
              </w:rPr>
              <w:t>3</w:t>
            </w:r>
            <w:r>
              <w:rPr>
                <w:rFonts w:hint="eastAsia" w:ascii="Times New Roman" w:hAnsi="Times New Roman" w:eastAsia="宋体" w:cs="Times New Roman"/>
                <w:i w:val="0"/>
                <w:iCs w:val="0"/>
                <w:color w:val="000000"/>
                <w:sz w:val="24"/>
                <w:szCs w:val="24"/>
                <w:highlight w:val="none"/>
                <w:u w:val="none"/>
                <w:lang w:val="en-US" w:eastAsia="zh-CN" w:bidi="ar"/>
              </w:rPr>
              <w:t>.</w:t>
            </w:r>
            <w:r>
              <w:rPr>
                <w:rFonts w:ascii="Times New Roman" w:hAnsi="Times New Roman" w:eastAsia="宋体" w:cs="Times New Roman"/>
                <w:i w:val="0"/>
                <w:iCs w:val="0"/>
                <w:color w:val="000000"/>
                <w:sz w:val="24"/>
                <w:szCs w:val="24"/>
                <w:highlight w:val="none"/>
                <w:u w:val="none"/>
                <w:lang w:val="en-US" w:eastAsia="zh-CN" w:bidi="ar"/>
              </w:rPr>
              <w:t xml:space="preserve">    其它工作</w:t>
            </w:r>
          </w:p>
        </w:tc>
        <w:tc>
          <w:tcPr>
            <w:tcW w:w="4976" w:type="dxa"/>
            <w:noWrap w:val="0"/>
            <w:vAlign w:val="center"/>
          </w:tcPr>
          <w:p w14:paraId="6D577546">
            <w:pPr>
              <w:keepNext w:val="0"/>
              <w:keepLines w:val="0"/>
              <w:widowControl/>
              <w:suppressLineNumbers w:val="0"/>
              <w:jc w:val="left"/>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bidi="ar"/>
              </w:rPr>
              <w:t>保质保量完成阶段性养护工作以或管理单位临时布置的任务。阶段性养护工作指施肥、浇水、冬季涂白等工作。</w:t>
            </w:r>
          </w:p>
        </w:tc>
        <w:tc>
          <w:tcPr>
            <w:tcW w:w="5629" w:type="dxa"/>
            <w:noWrap w:val="0"/>
            <w:vAlign w:val="center"/>
          </w:tcPr>
          <w:p w14:paraId="436A73DF">
            <w:pPr>
              <w:keepNext w:val="0"/>
              <w:keepLines w:val="0"/>
              <w:widowControl/>
              <w:suppressLineNumbers w:val="0"/>
              <w:jc w:val="left"/>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bidi="ar"/>
              </w:rPr>
              <w:t>未按管理单位要求的进度及质量完成各项阶段性养护工作或临时任务，每次扣</w:t>
            </w:r>
            <w:r>
              <w:rPr>
                <w:rFonts w:ascii="Times New Roman" w:hAnsi="Times New Roman" w:eastAsia="宋体" w:cs="Times New Roman"/>
                <w:i w:val="0"/>
                <w:iCs w:val="0"/>
                <w:color w:val="000000"/>
                <w:sz w:val="24"/>
                <w:szCs w:val="24"/>
                <w:highlight w:val="none"/>
                <w:u w:val="none"/>
                <w:lang w:val="en-US" w:eastAsia="zh-CN" w:bidi="ar"/>
              </w:rPr>
              <w:t>5</w:t>
            </w:r>
            <w:r>
              <w:rPr>
                <w:rStyle w:val="14"/>
                <w:color w:val="000000"/>
                <w:highlight w:val="none"/>
                <w:lang w:val="en-US" w:eastAsia="zh-CN" w:bidi="ar"/>
              </w:rPr>
              <w:t>分。</w:t>
            </w:r>
          </w:p>
        </w:tc>
        <w:tc>
          <w:tcPr>
            <w:tcW w:w="1302" w:type="dxa"/>
            <w:vMerge w:val="restart"/>
            <w:noWrap w:val="0"/>
            <w:vAlign w:val="center"/>
          </w:tcPr>
          <w:p w14:paraId="268FCEDF">
            <w:pPr>
              <w:keepNext w:val="0"/>
              <w:keepLines w:val="0"/>
              <w:widowControl/>
              <w:suppressLineNumbers w:val="0"/>
              <w:jc w:val="center"/>
              <w:rPr>
                <w:rFonts w:ascii="Times New Roman" w:hAnsi="Times New Roman" w:eastAsia="宋体" w:cs="Times New Roman"/>
                <w:i w:val="0"/>
                <w:iCs w:val="0"/>
                <w:color w:val="000000"/>
                <w:sz w:val="24"/>
                <w:szCs w:val="24"/>
                <w:highlight w:val="none"/>
                <w:u w:val="none"/>
              </w:rPr>
            </w:pPr>
            <w:r>
              <w:rPr>
                <w:rFonts w:ascii="Times New Roman" w:hAnsi="Times New Roman" w:eastAsia="宋体" w:cs="Times New Roman"/>
                <w:i w:val="0"/>
                <w:iCs w:val="0"/>
                <w:color w:val="000000"/>
                <w:sz w:val="24"/>
                <w:szCs w:val="24"/>
                <w:highlight w:val="none"/>
                <w:u w:val="none"/>
                <w:lang w:val="en-US" w:eastAsia="zh-CN" w:bidi="ar"/>
              </w:rPr>
              <w:t>10</w:t>
            </w:r>
          </w:p>
        </w:tc>
        <w:tc>
          <w:tcPr>
            <w:tcW w:w="1302" w:type="dxa"/>
            <w:noWrap w:val="0"/>
            <w:vAlign w:val="center"/>
          </w:tcPr>
          <w:p w14:paraId="60C207D2">
            <w:pPr>
              <w:jc w:val="center"/>
              <w:rPr>
                <w:rFonts w:ascii="Times New Roman" w:hAnsi="Times New Roman" w:eastAsia="宋体" w:cs="Times New Roman"/>
                <w:i w:val="0"/>
                <w:iCs w:val="0"/>
                <w:color w:val="000000"/>
                <w:sz w:val="21"/>
                <w:szCs w:val="21"/>
                <w:highlight w:val="none"/>
                <w:u w:val="none"/>
              </w:rPr>
            </w:pPr>
          </w:p>
        </w:tc>
        <w:tc>
          <w:tcPr>
            <w:tcW w:w="1307" w:type="dxa"/>
            <w:noWrap w:val="0"/>
            <w:vAlign w:val="center"/>
          </w:tcPr>
          <w:p w14:paraId="72335EFC">
            <w:pPr>
              <w:jc w:val="center"/>
              <w:rPr>
                <w:rFonts w:ascii="Times New Roman" w:hAnsi="Times New Roman" w:eastAsia="宋体" w:cs="Times New Roman"/>
                <w:i w:val="0"/>
                <w:iCs w:val="0"/>
                <w:color w:val="000000"/>
                <w:sz w:val="21"/>
                <w:szCs w:val="21"/>
                <w:highlight w:val="none"/>
                <w:u w:val="none"/>
              </w:rPr>
            </w:pPr>
          </w:p>
        </w:tc>
      </w:tr>
      <w:tr w14:paraId="2C87213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686" w:hRule="atLeast"/>
        </w:trPr>
        <w:tc>
          <w:tcPr>
            <w:tcW w:w="624" w:type="dxa"/>
            <w:vMerge w:val="continue"/>
            <w:noWrap w:val="0"/>
            <w:vAlign w:val="center"/>
          </w:tcPr>
          <w:p w14:paraId="071BE71A">
            <w:pPr>
              <w:jc w:val="center"/>
              <w:rPr>
                <w:rFonts w:ascii="Times New Roman" w:hAnsi="Times New Roman" w:eastAsia="宋体" w:cs="Times New Roman"/>
                <w:i w:val="0"/>
                <w:iCs w:val="0"/>
                <w:color w:val="000000"/>
                <w:sz w:val="24"/>
                <w:szCs w:val="24"/>
                <w:highlight w:val="none"/>
                <w:u w:val="none"/>
              </w:rPr>
            </w:pPr>
          </w:p>
        </w:tc>
        <w:tc>
          <w:tcPr>
            <w:tcW w:w="4976" w:type="dxa"/>
            <w:noWrap w:val="0"/>
            <w:vAlign w:val="center"/>
          </w:tcPr>
          <w:p w14:paraId="56AC4D33">
            <w:pPr>
              <w:keepNext w:val="0"/>
              <w:keepLines w:val="0"/>
              <w:widowControl/>
              <w:suppressLineNumbers w:val="0"/>
              <w:jc w:val="left"/>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bidi="ar"/>
              </w:rPr>
              <w:t>做好日常巡查工作，如发现绿化带内施工或破坏绿化现象，应及时制止并上报管理部门。</w:t>
            </w:r>
          </w:p>
        </w:tc>
        <w:tc>
          <w:tcPr>
            <w:tcW w:w="5629" w:type="dxa"/>
            <w:noWrap w:val="0"/>
            <w:vAlign w:val="center"/>
          </w:tcPr>
          <w:p w14:paraId="5505B1AD">
            <w:pPr>
              <w:keepNext w:val="0"/>
              <w:keepLines w:val="0"/>
              <w:widowControl/>
              <w:suppressLineNumbers w:val="0"/>
              <w:jc w:val="left"/>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bidi="ar"/>
              </w:rPr>
              <w:t>未做到的，发现一起扣3分。</w:t>
            </w:r>
          </w:p>
        </w:tc>
        <w:tc>
          <w:tcPr>
            <w:tcW w:w="1302" w:type="dxa"/>
            <w:vMerge w:val="continue"/>
            <w:noWrap w:val="0"/>
            <w:vAlign w:val="center"/>
          </w:tcPr>
          <w:p w14:paraId="69DA5AFA">
            <w:pPr>
              <w:jc w:val="center"/>
              <w:rPr>
                <w:rFonts w:ascii="Times New Roman" w:hAnsi="Times New Roman" w:eastAsia="宋体" w:cs="Times New Roman"/>
                <w:i w:val="0"/>
                <w:iCs w:val="0"/>
                <w:color w:val="000000"/>
                <w:sz w:val="24"/>
                <w:szCs w:val="24"/>
                <w:highlight w:val="none"/>
                <w:u w:val="none"/>
              </w:rPr>
            </w:pPr>
          </w:p>
        </w:tc>
        <w:tc>
          <w:tcPr>
            <w:tcW w:w="1302" w:type="dxa"/>
            <w:noWrap w:val="0"/>
            <w:vAlign w:val="center"/>
          </w:tcPr>
          <w:p w14:paraId="194477D0">
            <w:pPr>
              <w:jc w:val="center"/>
              <w:rPr>
                <w:rFonts w:ascii="Times New Roman" w:hAnsi="Times New Roman" w:eastAsia="宋体" w:cs="Times New Roman"/>
                <w:i w:val="0"/>
                <w:iCs w:val="0"/>
                <w:color w:val="000000"/>
                <w:sz w:val="21"/>
                <w:szCs w:val="21"/>
                <w:highlight w:val="none"/>
                <w:u w:val="none"/>
              </w:rPr>
            </w:pPr>
          </w:p>
        </w:tc>
        <w:tc>
          <w:tcPr>
            <w:tcW w:w="1307" w:type="dxa"/>
            <w:noWrap w:val="0"/>
            <w:vAlign w:val="center"/>
          </w:tcPr>
          <w:p w14:paraId="78892E14">
            <w:pPr>
              <w:jc w:val="center"/>
              <w:rPr>
                <w:rFonts w:ascii="Times New Roman" w:hAnsi="Times New Roman" w:eastAsia="宋体" w:cs="Times New Roman"/>
                <w:i w:val="0"/>
                <w:iCs w:val="0"/>
                <w:color w:val="000000"/>
                <w:sz w:val="21"/>
                <w:szCs w:val="21"/>
                <w:highlight w:val="none"/>
                <w:u w:val="none"/>
              </w:rPr>
            </w:pPr>
          </w:p>
        </w:tc>
      </w:tr>
      <w:tr w14:paraId="699738D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632" w:hRule="atLeast"/>
        </w:trPr>
        <w:tc>
          <w:tcPr>
            <w:tcW w:w="624" w:type="dxa"/>
            <w:vMerge w:val="restart"/>
            <w:noWrap w:val="0"/>
            <w:vAlign w:val="center"/>
          </w:tcPr>
          <w:p w14:paraId="072D95DB">
            <w:pPr>
              <w:keepNext w:val="0"/>
              <w:keepLines w:val="0"/>
              <w:widowControl/>
              <w:suppressLineNumbers w:val="0"/>
              <w:jc w:val="center"/>
              <w:rPr>
                <w:rFonts w:ascii="Times New Roman" w:hAnsi="Times New Roman" w:eastAsia="宋体" w:cs="Times New Roman"/>
                <w:i w:val="0"/>
                <w:iCs w:val="0"/>
                <w:color w:val="000000"/>
                <w:sz w:val="24"/>
                <w:szCs w:val="24"/>
                <w:highlight w:val="none"/>
                <w:u w:val="none"/>
              </w:rPr>
            </w:pPr>
            <w:r>
              <w:rPr>
                <w:rFonts w:ascii="Times New Roman" w:hAnsi="Times New Roman" w:eastAsia="宋体" w:cs="Times New Roman"/>
                <w:i w:val="0"/>
                <w:iCs w:val="0"/>
                <w:color w:val="000000"/>
                <w:sz w:val="24"/>
                <w:szCs w:val="24"/>
                <w:highlight w:val="none"/>
                <w:u w:val="none"/>
                <w:lang w:val="en-US" w:eastAsia="zh-CN" w:bidi="ar"/>
              </w:rPr>
              <w:t xml:space="preserve">4. </w:t>
            </w:r>
            <w:r>
              <w:rPr>
                <w:rStyle w:val="14"/>
                <w:color w:val="000000"/>
                <w:highlight w:val="none"/>
                <w:lang w:val="en-US" w:eastAsia="zh-CN" w:bidi="ar"/>
              </w:rPr>
              <w:t>安全生产、文明施工</w:t>
            </w:r>
          </w:p>
        </w:tc>
        <w:tc>
          <w:tcPr>
            <w:tcW w:w="4976" w:type="dxa"/>
            <w:noWrap w:val="0"/>
            <w:vAlign w:val="center"/>
          </w:tcPr>
          <w:p w14:paraId="0EC5D1DD">
            <w:pPr>
              <w:keepNext w:val="0"/>
              <w:keepLines w:val="0"/>
              <w:widowControl/>
              <w:suppressLineNumbers w:val="0"/>
              <w:jc w:val="left"/>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bidi="ar"/>
              </w:rPr>
              <w:t>上路作业的养护机械需设警示标志，养护人员需穿戴防护用品。</w:t>
            </w:r>
          </w:p>
        </w:tc>
        <w:tc>
          <w:tcPr>
            <w:tcW w:w="5629" w:type="dxa"/>
            <w:noWrap w:val="0"/>
            <w:vAlign w:val="center"/>
          </w:tcPr>
          <w:p w14:paraId="47A0526B">
            <w:pPr>
              <w:keepNext w:val="0"/>
              <w:keepLines w:val="0"/>
              <w:widowControl/>
              <w:suppressLineNumbers w:val="0"/>
              <w:jc w:val="left"/>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bidi="ar"/>
              </w:rPr>
              <w:t>未设置警示标志扣</w:t>
            </w:r>
            <w:r>
              <w:rPr>
                <w:rFonts w:ascii="Times New Roman" w:hAnsi="Times New Roman" w:eastAsia="宋体" w:cs="Times New Roman"/>
                <w:i w:val="0"/>
                <w:iCs w:val="0"/>
                <w:color w:val="000000"/>
                <w:sz w:val="24"/>
                <w:szCs w:val="24"/>
                <w:highlight w:val="none"/>
                <w:u w:val="none"/>
                <w:lang w:val="en-US" w:eastAsia="zh-CN" w:bidi="ar"/>
              </w:rPr>
              <w:t>1-4</w:t>
            </w:r>
            <w:r>
              <w:rPr>
                <w:rStyle w:val="14"/>
                <w:color w:val="000000"/>
                <w:highlight w:val="none"/>
                <w:lang w:val="en-US" w:eastAsia="zh-CN" w:bidi="ar"/>
              </w:rPr>
              <w:t>分，养护人员未穿戴防护用品每次扣</w:t>
            </w:r>
            <w:r>
              <w:rPr>
                <w:rFonts w:ascii="Times New Roman" w:hAnsi="Times New Roman" w:eastAsia="宋体" w:cs="Times New Roman"/>
                <w:i w:val="0"/>
                <w:iCs w:val="0"/>
                <w:color w:val="000000"/>
                <w:sz w:val="24"/>
                <w:szCs w:val="24"/>
                <w:highlight w:val="none"/>
                <w:u w:val="none"/>
                <w:lang w:val="en-US" w:eastAsia="zh-CN" w:bidi="ar"/>
              </w:rPr>
              <w:t>1-4</w:t>
            </w:r>
            <w:r>
              <w:rPr>
                <w:rStyle w:val="14"/>
                <w:color w:val="000000"/>
                <w:highlight w:val="none"/>
                <w:lang w:val="en-US" w:eastAsia="zh-CN" w:bidi="ar"/>
              </w:rPr>
              <w:t>分。现场无养护人员扣</w:t>
            </w:r>
            <w:r>
              <w:rPr>
                <w:rFonts w:ascii="Times New Roman" w:hAnsi="Times New Roman" w:eastAsia="宋体" w:cs="Times New Roman"/>
                <w:i w:val="0"/>
                <w:iCs w:val="0"/>
                <w:color w:val="000000"/>
                <w:sz w:val="24"/>
                <w:szCs w:val="24"/>
                <w:highlight w:val="none"/>
                <w:u w:val="none"/>
                <w:lang w:val="en-US" w:eastAsia="zh-CN" w:bidi="ar"/>
              </w:rPr>
              <w:t>1-3</w:t>
            </w:r>
            <w:r>
              <w:rPr>
                <w:rStyle w:val="14"/>
                <w:color w:val="000000"/>
                <w:highlight w:val="none"/>
                <w:lang w:val="en-US" w:eastAsia="zh-CN" w:bidi="ar"/>
              </w:rPr>
              <w:t>分。</w:t>
            </w:r>
          </w:p>
        </w:tc>
        <w:tc>
          <w:tcPr>
            <w:tcW w:w="1302" w:type="dxa"/>
            <w:noWrap w:val="0"/>
            <w:vAlign w:val="center"/>
          </w:tcPr>
          <w:p w14:paraId="75E58462">
            <w:pPr>
              <w:keepNext w:val="0"/>
              <w:keepLines w:val="0"/>
              <w:widowControl/>
              <w:suppressLineNumbers w:val="0"/>
              <w:jc w:val="center"/>
              <w:rPr>
                <w:rFonts w:ascii="Times New Roman" w:hAnsi="Times New Roman" w:eastAsia="宋体" w:cs="Times New Roman"/>
                <w:i w:val="0"/>
                <w:iCs w:val="0"/>
                <w:color w:val="000000"/>
                <w:sz w:val="24"/>
                <w:szCs w:val="24"/>
                <w:highlight w:val="none"/>
                <w:u w:val="none"/>
              </w:rPr>
            </w:pPr>
            <w:r>
              <w:rPr>
                <w:rFonts w:ascii="Times New Roman" w:hAnsi="Times New Roman" w:eastAsia="宋体" w:cs="Times New Roman"/>
                <w:i w:val="0"/>
                <w:iCs w:val="0"/>
                <w:color w:val="000000"/>
                <w:sz w:val="24"/>
                <w:szCs w:val="24"/>
                <w:highlight w:val="none"/>
                <w:u w:val="none"/>
                <w:lang w:val="en-US" w:eastAsia="zh-CN" w:bidi="ar"/>
              </w:rPr>
              <w:t>10</w:t>
            </w:r>
          </w:p>
        </w:tc>
        <w:tc>
          <w:tcPr>
            <w:tcW w:w="1302" w:type="dxa"/>
            <w:noWrap w:val="0"/>
            <w:vAlign w:val="center"/>
          </w:tcPr>
          <w:p w14:paraId="4FAA7CC7">
            <w:pPr>
              <w:jc w:val="center"/>
              <w:rPr>
                <w:rFonts w:ascii="Times New Roman" w:hAnsi="Times New Roman" w:eastAsia="宋体" w:cs="Times New Roman"/>
                <w:i w:val="0"/>
                <w:iCs w:val="0"/>
                <w:color w:val="000000"/>
                <w:sz w:val="21"/>
                <w:szCs w:val="21"/>
                <w:highlight w:val="none"/>
                <w:u w:val="none"/>
              </w:rPr>
            </w:pPr>
          </w:p>
        </w:tc>
        <w:tc>
          <w:tcPr>
            <w:tcW w:w="1307" w:type="dxa"/>
            <w:noWrap w:val="0"/>
            <w:vAlign w:val="center"/>
          </w:tcPr>
          <w:p w14:paraId="2EA6A47D">
            <w:pPr>
              <w:jc w:val="center"/>
              <w:rPr>
                <w:rFonts w:ascii="Times New Roman" w:hAnsi="Times New Roman" w:eastAsia="宋体" w:cs="Times New Roman"/>
                <w:i w:val="0"/>
                <w:iCs w:val="0"/>
                <w:color w:val="000000"/>
                <w:sz w:val="21"/>
                <w:szCs w:val="21"/>
                <w:highlight w:val="none"/>
                <w:u w:val="none"/>
              </w:rPr>
            </w:pPr>
          </w:p>
        </w:tc>
      </w:tr>
      <w:tr w14:paraId="0C5C498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972" w:hRule="atLeast"/>
        </w:trPr>
        <w:tc>
          <w:tcPr>
            <w:tcW w:w="624" w:type="dxa"/>
            <w:vMerge w:val="continue"/>
            <w:noWrap w:val="0"/>
            <w:vAlign w:val="center"/>
          </w:tcPr>
          <w:p w14:paraId="216B589C">
            <w:pPr>
              <w:jc w:val="center"/>
              <w:rPr>
                <w:rFonts w:ascii="Times New Roman" w:hAnsi="Times New Roman" w:eastAsia="宋体" w:cs="Times New Roman"/>
                <w:i w:val="0"/>
                <w:iCs w:val="0"/>
                <w:color w:val="000000"/>
                <w:sz w:val="24"/>
                <w:szCs w:val="24"/>
                <w:highlight w:val="none"/>
                <w:u w:val="none"/>
              </w:rPr>
            </w:pPr>
          </w:p>
        </w:tc>
        <w:tc>
          <w:tcPr>
            <w:tcW w:w="4976" w:type="dxa"/>
            <w:noWrap w:val="0"/>
            <w:vAlign w:val="center"/>
          </w:tcPr>
          <w:p w14:paraId="3D262D3E">
            <w:pPr>
              <w:keepNext w:val="0"/>
              <w:keepLines w:val="0"/>
              <w:widowControl/>
              <w:suppressLineNumbers w:val="0"/>
              <w:jc w:val="left"/>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bidi="ar"/>
              </w:rPr>
              <w:t>加强安全生产教育，防止出现安全责任事故。</w:t>
            </w:r>
          </w:p>
        </w:tc>
        <w:tc>
          <w:tcPr>
            <w:tcW w:w="5629" w:type="dxa"/>
            <w:noWrap w:val="0"/>
            <w:vAlign w:val="center"/>
          </w:tcPr>
          <w:p w14:paraId="115C3A9A">
            <w:pPr>
              <w:keepNext w:val="0"/>
              <w:keepLines w:val="0"/>
              <w:widowControl/>
              <w:suppressLineNumbers w:val="0"/>
              <w:jc w:val="left"/>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bidi="ar"/>
              </w:rPr>
              <w:t>发生安全责任事故扣10分。</w:t>
            </w:r>
          </w:p>
        </w:tc>
        <w:tc>
          <w:tcPr>
            <w:tcW w:w="1302" w:type="dxa"/>
            <w:noWrap w:val="0"/>
            <w:vAlign w:val="center"/>
          </w:tcPr>
          <w:p w14:paraId="52F1A654">
            <w:pPr>
              <w:keepNext w:val="0"/>
              <w:keepLines w:val="0"/>
              <w:widowControl/>
              <w:suppressLineNumbers w:val="0"/>
              <w:jc w:val="center"/>
              <w:rPr>
                <w:rFonts w:ascii="Times New Roman" w:hAnsi="Times New Roman" w:eastAsia="宋体" w:cs="Times New Roman"/>
                <w:i w:val="0"/>
                <w:iCs w:val="0"/>
                <w:color w:val="000000"/>
                <w:sz w:val="24"/>
                <w:szCs w:val="24"/>
                <w:highlight w:val="none"/>
                <w:u w:val="none"/>
              </w:rPr>
            </w:pPr>
            <w:r>
              <w:rPr>
                <w:rFonts w:ascii="Times New Roman" w:hAnsi="Times New Roman" w:eastAsia="宋体" w:cs="Times New Roman"/>
                <w:i w:val="0"/>
                <w:iCs w:val="0"/>
                <w:color w:val="000000"/>
                <w:sz w:val="24"/>
                <w:szCs w:val="24"/>
                <w:highlight w:val="none"/>
                <w:u w:val="none"/>
                <w:lang w:val="en-US" w:eastAsia="zh-CN" w:bidi="ar"/>
              </w:rPr>
              <w:t>10</w:t>
            </w:r>
          </w:p>
        </w:tc>
        <w:tc>
          <w:tcPr>
            <w:tcW w:w="1302" w:type="dxa"/>
            <w:noWrap w:val="0"/>
            <w:vAlign w:val="center"/>
          </w:tcPr>
          <w:p w14:paraId="668FC6BB">
            <w:pPr>
              <w:jc w:val="center"/>
              <w:rPr>
                <w:rFonts w:ascii="Times New Roman" w:hAnsi="Times New Roman" w:eastAsia="宋体" w:cs="Times New Roman"/>
                <w:i w:val="0"/>
                <w:iCs w:val="0"/>
                <w:color w:val="000000"/>
                <w:sz w:val="21"/>
                <w:szCs w:val="21"/>
                <w:highlight w:val="none"/>
                <w:u w:val="none"/>
              </w:rPr>
            </w:pPr>
          </w:p>
        </w:tc>
        <w:tc>
          <w:tcPr>
            <w:tcW w:w="1307" w:type="dxa"/>
            <w:noWrap w:val="0"/>
            <w:vAlign w:val="center"/>
          </w:tcPr>
          <w:p w14:paraId="1FB6AC4F">
            <w:pPr>
              <w:jc w:val="center"/>
              <w:rPr>
                <w:rFonts w:ascii="Times New Roman" w:hAnsi="Times New Roman" w:eastAsia="宋体" w:cs="Times New Roman"/>
                <w:i w:val="0"/>
                <w:iCs w:val="0"/>
                <w:color w:val="000000"/>
                <w:sz w:val="21"/>
                <w:szCs w:val="21"/>
                <w:highlight w:val="none"/>
                <w:u w:val="none"/>
              </w:rPr>
            </w:pPr>
          </w:p>
        </w:tc>
      </w:tr>
      <w:tr w14:paraId="67CF30C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1486" w:hRule="atLeast"/>
        </w:trPr>
        <w:tc>
          <w:tcPr>
            <w:tcW w:w="624" w:type="dxa"/>
            <w:noWrap w:val="0"/>
            <w:vAlign w:val="center"/>
          </w:tcPr>
          <w:p w14:paraId="109806FC">
            <w:pPr>
              <w:keepNext w:val="0"/>
              <w:keepLines w:val="0"/>
              <w:widowControl/>
              <w:suppressLineNumbers w:val="0"/>
              <w:jc w:val="center"/>
              <w:rPr>
                <w:rFonts w:ascii="Times New Roman" w:hAnsi="Times New Roman" w:eastAsia="宋体" w:cs="Times New Roman"/>
                <w:i w:val="0"/>
                <w:iCs w:val="0"/>
                <w:color w:val="000000"/>
                <w:sz w:val="24"/>
                <w:szCs w:val="24"/>
                <w:highlight w:val="none"/>
                <w:u w:val="none"/>
              </w:rPr>
            </w:pPr>
            <w:r>
              <w:rPr>
                <w:rFonts w:ascii="Times New Roman" w:hAnsi="Times New Roman" w:eastAsia="宋体" w:cs="Times New Roman"/>
                <w:i w:val="0"/>
                <w:iCs w:val="0"/>
                <w:color w:val="000000"/>
                <w:sz w:val="24"/>
                <w:szCs w:val="24"/>
                <w:highlight w:val="none"/>
                <w:u w:val="none"/>
                <w:lang w:val="en-US" w:eastAsia="zh-CN" w:bidi="ar"/>
              </w:rPr>
              <w:t>5.</w:t>
            </w:r>
            <w:r>
              <w:rPr>
                <w:rStyle w:val="14"/>
                <w:color w:val="000000"/>
                <w:highlight w:val="none"/>
                <w:lang w:val="en-US" w:eastAsia="zh-CN" w:bidi="ar"/>
              </w:rPr>
              <w:t>特别条款</w:t>
            </w:r>
          </w:p>
        </w:tc>
        <w:tc>
          <w:tcPr>
            <w:tcW w:w="4976" w:type="dxa"/>
            <w:noWrap w:val="0"/>
            <w:vAlign w:val="center"/>
          </w:tcPr>
          <w:p w14:paraId="4C872735">
            <w:pPr>
              <w:keepNext w:val="0"/>
              <w:keepLines w:val="0"/>
              <w:widowControl/>
              <w:suppressLineNumbers w:val="0"/>
              <w:jc w:val="left"/>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bidi="ar"/>
              </w:rPr>
              <w:t>1．被新闻媒体曝光或受到市区政府有关部门通报批评且不能说明正当理由的，每次扣5分；</w:t>
            </w:r>
            <w:r>
              <w:rPr>
                <w:rFonts w:hint="eastAsia" w:ascii="宋体" w:hAnsi="宋体" w:eastAsia="宋体" w:cs="宋体"/>
                <w:i w:val="0"/>
                <w:iCs w:val="0"/>
                <w:color w:val="000000"/>
                <w:sz w:val="24"/>
                <w:szCs w:val="24"/>
                <w:highlight w:val="none"/>
                <w:u w:val="none"/>
                <w:lang w:val="en-US" w:eastAsia="zh-CN" w:bidi="ar"/>
              </w:rPr>
              <w:br w:type="textWrapping" w:clear="all"/>
            </w:r>
            <w:r>
              <w:rPr>
                <w:rFonts w:hint="eastAsia" w:ascii="宋体" w:hAnsi="宋体" w:eastAsia="宋体" w:cs="宋体"/>
                <w:i w:val="0"/>
                <w:iCs w:val="0"/>
                <w:color w:val="000000"/>
                <w:sz w:val="24"/>
                <w:szCs w:val="24"/>
                <w:highlight w:val="none"/>
                <w:u w:val="none"/>
                <w:lang w:val="en-US" w:eastAsia="zh-CN" w:bidi="ar"/>
              </w:rPr>
              <w:t>2．群众、建设单位或领导检查发现问题等未能及时整改或回复不及时、不真实每次扣5分；</w:t>
            </w:r>
          </w:p>
        </w:tc>
        <w:tc>
          <w:tcPr>
            <w:tcW w:w="5629" w:type="dxa"/>
            <w:noWrap w:val="0"/>
            <w:vAlign w:val="center"/>
          </w:tcPr>
          <w:p w14:paraId="697D2AC6">
            <w:pPr>
              <w:keepNext w:val="0"/>
              <w:keepLines w:val="0"/>
              <w:widowControl/>
              <w:suppressLineNumbers w:val="0"/>
              <w:jc w:val="left"/>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bidi="ar"/>
              </w:rPr>
              <w:t>按照相应内容扣分</w:t>
            </w:r>
          </w:p>
        </w:tc>
        <w:tc>
          <w:tcPr>
            <w:tcW w:w="1302" w:type="dxa"/>
            <w:noWrap w:val="0"/>
            <w:vAlign w:val="center"/>
          </w:tcPr>
          <w:p w14:paraId="06080996">
            <w:pPr>
              <w:keepNext w:val="0"/>
              <w:keepLines w:val="0"/>
              <w:widowControl/>
              <w:suppressLineNumbers w:val="0"/>
              <w:jc w:val="center"/>
              <w:rPr>
                <w:rFonts w:ascii="Times New Roman" w:hAnsi="Times New Roman" w:eastAsia="宋体" w:cs="Times New Roman"/>
                <w:i w:val="0"/>
                <w:iCs w:val="0"/>
                <w:color w:val="000000"/>
                <w:sz w:val="24"/>
                <w:szCs w:val="24"/>
                <w:highlight w:val="none"/>
                <w:u w:val="none"/>
              </w:rPr>
            </w:pPr>
            <w:r>
              <w:rPr>
                <w:rFonts w:ascii="Times New Roman" w:hAnsi="Times New Roman" w:eastAsia="宋体" w:cs="Times New Roman"/>
                <w:i w:val="0"/>
                <w:iCs w:val="0"/>
                <w:color w:val="000000"/>
                <w:sz w:val="24"/>
                <w:szCs w:val="24"/>
                <w:highlight w:val="none"/>
                <w:u w:val="none"/>
                <w:lang w:val="en-US" w:eastAsia="zh-CN" w:bidi="ar"/>
              </w:rPr>
              <w:t>5</w:t>
            </w:r>
          </w:p>
        </w:tc>
        <w:tc>
          <w:tcPr>
            <w:tcW w:w="1302" w:type="dxa"/>
            <w:noWrap w:val="0"/>
            <w:vAlign w:val="center"/>
          </w:tcPr>
          <w:p w14:paraId="43CA87BA">
            <w:pPr>
              <w:jc w:val="center"/>
              <w:rPr>
                <w:rFonts w:ascii="Times New Roman" w:hAnsi="Times New Roman" w:eastAsia="宋体" w:cs="Times New Roman"/>
                <w:i w:val="0"/>
                <w:iCs w:val="0"/>
                <w:color w:val="000000"/>
                <w:sz w:val="21"/>
                <w:szCs w:val="21"/>
                <w:highlight w:val="none"/>
                <w:u w:val="none"/>
              </w:rPr>
            </w:pPr>
          </w:p>
        </w:tc>
        <w:tc>
          <w:tcPr>
            <w:tcW w:w="1307" w:type="dxa"/>
            <w:noWrap w:val="0"/>
            <w:vAlign w:val="center"/>
          </w:tcPr>
          <w:p w14:paraId="12BBF334">
            <w:pPr>
              <w:jc w:val="center"/>
              <w:rPr>
                <w:rFonts w:ascii="Times New Roman" w:hAnsi="Times New Roman" w:eastAsia="宋体" w:cs="Times New Roman"/>
                <w:i w:val="0"/>
                <w:iCs w:val="0"/>
                <w:color w:val="000000"/>
                <w:sz w:val="21"/>
                <w:szCs w:val="21"/>
                <w:highlight w:val="none"/>
                <w:u w:val="none"/>
              </w:rPr>
            </w:pPr>
          </w:p>
        </w:tc>
      </w:tr>
      <w:tr w14:paraId="4C8AFC2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519" w:hRule="atLeast"/>
        </w:trPr>
        <w:tc>
          <w:tcPr>
            <w:tcW w:w="624" w:type="dxa"/>
            <w:noWrap w:val="0"/>
            <w:vAlign w:val="center"/>
          </w:tcPr>
          <w:p w14:paraId="4B2EBC04">
            <w:pPr>
              <w:jc w:val="center"/>
              <w:rPr>
                <w:rFonts w:ascii="Times New Roman" w:hAnsi="Times New Roman" w:eastAsia="宋体" w:cs="Times New Roman"/>
                <w:i w:val="0"/>
                <w:iCs w:val="0"/>
                <w:color w:val="000000"/>
                <w:sz w:val="21"/>
                <w:szCs w:val="21"/>
                <w:highlight w:val="none"/>
                <w:u w:val="none"/>
              </w:rPr>
            </w:pPr>
          </w:p>
        </w:tc>
        <w:tc>
          <w:tcPr>
            <w:tcW w:w="4976" w:type="dxa"/>
            <w:noWrap w:val="0"/>
            <w:vAlign w:val="center"/>
          </w:tcPr>
          <w:p w14:paraId="3215FF76">
            <w:pPr>
              <w:keepNext w:val="0"/>
              <w:keepLines w:val="0"/>
              <w:widowControl/>
              <w:suppressLineNumbers w:val="0"/>
              <w:jc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bidi="ar"/>
              </w:rPr>
              <w:t>总分</w:t>
            </w:r>
          </w:p>
        </w:tc>
        <w:tc>
          <w:tcPr>
            <w:tcW w:w="5629" w:type="dxa"/>
            <w:noWrap w:val="0"/>
            <w:vAlign w:val="center"/>
          </w:tcPr>
          <w:p w14:paraId="644DDADE">
            <w:pPr>
              <w:jc w:val="center"/>
              <w:rPr>
                <w:rFonts w:ascii="Times New Roman" w:hAnsi="Times New Roman" w:eastAsia="宋体" w:cs="Times New Roman"/>
                <w:i w:val="0"/>
                <w:iCs w:val="0"/>
                <w:color w:val="000000"/>
                <w:sz w:val="21"/>
                <w:szCs w:val="21"/>
                <w:highlight w:val="none"/>
                <w:u w:val="none"/>
              </w:rPr>
            </w:pPr>
          </w:p>
        </w:tc>
        <w:tc>
          <w:tcPr>
            <w:tcW w:w="1302" w:type="dxa"/>
            <w:noWrap w:val="0"/>
            <w:vAlign w:val="center"/>
          </w:tcPr>
          <w:p w14:paraId="605C2E70">
            <w:pPr>
              <w:keepNext w:val="0"/>
              <w:keepLines w:val="0"/>
              <w:widowControl/>
              <w:suppressLineNumbers w:val="0"/>
              <w:jc w:val="center"/>
              <w:rPr>
                <w:rFonts w:ascii="Times New Roman" w:hAnsi="Times New Roman" w:eastAsia="宋体" w:cs="Times New Roman"/>
                <w:i w:val="0"/>
                <w:iCs w:val="0"/>
                <w:color w:val="000000"/>
                <w:sz w:val="24"/>
                <w:szCs w:val="24"/>
                <w:highlight w:val="none"/>
                <w:u w:val="none"/>
              </w:rPr>
            </w:pPr>
            <w:r>
              <w:rPr>
                <w:rFonts w:ascii="Times New Roman" w:hAnsi="Times New Roman" w:eastAsia="宋体" w:cs="Times New Roman"/>
                <w:i w:val="0"/>
                <w:iCs w:val="0"/>
                <w:color w:val="000000"/>
                <w:sz w:val="24"/>
                <w:szCs w:val="24"/>
                <w:highlight w:val="none"/>
                <w:u w:val="none"/>
                <w:lang w:val="en-US" w:eastAsia="zh-CN" w:bidi="ar"/>
              </w:rPr>
              <w:t>100</w:t>
            </w:r>
          </w:p>
        </w:tc>
        <w:tc>
          <w:tcPr>
            <w:tcW w:w="1302" w:type="dxa"/>
            <w:noWrap w:val="0"/>
            <w:vAlign w:val="center"/>
          </w:tcPr>
          <w:p w14:paraId="1CF4610E">
            <w:pPr>
              <w:jc w:val="center"/>
              <w:rPr>
                <w:rFonts w:ascii="Times New Roman" w:hAnsi="Times New Roman" w:eastAsia="宋体" w:cs="Times New Roman"/>
                <w:i w:val="0"/>
                <w:iCs w:val="0"/>
                <w:color w:val="000000"/>
                <w:sz w:val="21"/>
                <w:szCs w:val="21"/>
                <w:highlight w:val="none"/>
                <w:u w:val="none"/>
              </w:rPr>
            </w:pPr>
          </w:p>
        </w:tc>
        <w:tc>
          <w:tcPr>
            <w:tcW w:w="1307" w:type="dxa"/>
            <w:noWrap w:val="0"/>
            <w:vAlign w:val="center"/>
          </w:tcPr>
          <w:p w14:paraId="29247782">
            <w:pPr>
              <w:jc w:val="center"/>
              <w:rPr>
                <w:rFonts w:ascii="Times New Roman" w:hAnsi="Times New Roman" w:eastAsia="宋体" w:cs="Times New Roman"/>
                <w:i w:val="0"/>
                <w:iCs w:val="0"/>
                <w:color w:val="000000"/>
                <w:sz w:val="21"/>
                <w:szCs w:val="21"/>
                <w:highlight w:val="none"/>
                <w:u w:val="none"/>
              </w:rPr>
            </w:pPr>
          </w:p>
        </w:tc>
      </w:tr>
    </w:tbl>
    <w:p w14:paraId="6696A3CA">
      <w:pPr>
        <w:keepNext w:val="0"/>
        <w:keepLines w:val="0"/>
        <w:pageBreakBefore w:val="0"/>
        <w:widowControl w:val="0"/>
        <w:spacing w:line="360" w:lineRule="exact"/>
        <w:rPr>
          <w:rFonts w:ascii="宋体" w:hAnsi="宋体" w:eastAsia="宋体" w:cs="宋体"/>
          <w:b/>
          <w:color w:val="000000"/>
          <w:sz w:val="21"/>
          <w:szCs w:val="21"/>
          <w:highlight w:val="none"/>
          <w:lang w:val="en-US" w:eastAsia="zh-CN" w:bidi="ar-SA"/>
        </w:rPr>
      </w:pPr>
      <w:r>
        <w:rPr>
          <w:rFonts w:hint="eastAsia" w:ascii="宋体" w:hAnsi="宋体" w:eastAsia="宋体" w:cs="宋体"/>
          <w:b/>
          <w:color w:val="000000"/>
          <w:sz w:val="21"/>
          <w:szCs w:val="21"/>
          <w:highlight w:val="none"/>
          <w:lang w:val="en-US" w:eastAsia="zh-CN" w:bidi="ar-SA"/>
        </w:rPr>
        <w:t>注：满分为100分，考核累计扣分扣完为止。</w:t>
      </w:r>
    </w:p>
    <w:p w14:paraId="7C6B8F1D">
      <w:pPr>
        <w:pStyle w:val="16"/>
        <w:keepNext w:val="0"/>
        <w:keepLines w:val="0"/>
        <w:pageBreakBefore w:val="0"/>
        <w:widowControl w:val="0"/>
        <w:numPr>
          <w:ilvl w:val="0"/>
          <w:numId w:val="0"/>
        </w:numPr>
        <w:spacing w:line="400" w:lineRule="exact"/>
        <w:ind w:left="500" w:hanging="500"/>
        <w:contextualSpacing/>
        <w:rPr>
          <w:rFonts w:hint="eastAsia" w:ascii="宋体" w:hAnsi="宋体" w:eastAsia="宋体" w:cs="宋体"/>
          <w:b/>
          <w:color w:val="000000"/>
          <w:sz w:val="21"/>
          <w:szCs w:val="21"/>
          <w:highlight w:val="none"/>
          <w:lang w:val="en-US" w:eastAsia="zh-CN" w:bidi="ar-SA"/>
        </w:rPr>
      </w:pPr>
      <w:r>
        <w:rPr>
          <w:rFonts w:hint="eastAsia" w:ascii="宋体" w:hAnsi="宋体" w:eastAsia="宋体" w:cs="宋体"/>
          <w:b/>
          <w:color w:val="000000"/>
          <w:sz w:val="21"/>
          <w:szCs w:val="21"/>
          <w:highlight w:val="none"/>
          <w:lang w:val="en-US" w:eastAsia="zh-CN" w:bidi="ar-SA"/>
        </w:rPr>
        <w:t>考核单位签字：                                                                                     被考核单位签字：</w:t>
      </w:r>
    </w:p>
    <w:p w14:paraId="1D44054C">
      <w:pPr>
        <w:pStyle w:val="16"/>
        <w:keepNext w:val="0"/>
        <w:keepLines w:val="0"/>
        <w:pageBreakBefore w:val="0"/>
        <w:widowControl w:val="0"/>
        <w:numPr>
          <w:ilvl w:val="0"/>
          <w:numId w:val="0"/>
        </w:numPr>
        <w:spacing w:line="400" w:lineRule="exact"/>
        <w:ind w:left="500" w:hanging="500"/>
        <w:contextualSpacing/>
        <w:rPr>
          <w:rFonts w:ascii="宋体" w:hAnsi="宋体" w:eastAsia="宋体" w:cs="宋体"/>
          <w:b/>
          <w:color w:val="000000"/>
          <w:sz w:val="21"/>
          <w:szCs w:val="21"/>
          <w:highlight w:val="none"/>
          <w:lang w:val="en-US" w:eastAsia="zh-CN" w:bidi="ar-SA"/>
        </w:rPr>
        <w:sectPr>
          <w:footerReference r:id="rId4" w:type="default"/>
          <w:footerReference r:id="rId5" w:type="even"/>
          <w:pgSz w:w="16838" w:h="11906" w:orient="landscape"/>
          <w:pgMar w:top="1797" w:right="1440" w:bottom="1797" w:left="1440" w:header="851" w:footer="992" w:gutter="0"/>
          <w:cols w:space="1701" w:num="1"/>
          <w:docGrid w:linePitch="360" w:charSpace="0"/>
        </w:sectPr>
      </w:pPr>
      <w:r>
        <w:rPr>
          <w:rFonts w:hint="eastAsia" w:ascii="宋体" w:hAnsi="宋体" w:eastAsia="宋体" w:cs="宋体"/>
          <w:b/>
          <w:color w:val="000000"/>
          <w:sz w:val="21"/>
          <w:szCs w:val="21"/>
          <w:highlight w:val="none"/>
          <w:lang w:val="en-US" w:eastAsia="zh-CN" w:bidi="ar-SA"/>
        </w:rPr>
        <w:t>日期：                                                                                              日期</w:t>
      </w:r>
    </w:p>
    <w:p w14:paraId="7C27597C">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8264D9">
    <w:pPr>
      <w:pStyle w:val="1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60997189">
                          <w:pPr>
                            <w:pStyle w:val="17"/>
                            <w:tabs>
                              <w:tab w:val="clear" w:pos="4153"/>
                              <w:tab w:val="clear" w:pos="8306"/>
                            </w:tabs>
                            <w:rPr>
                              <w:rFonts w:hint="eastAsia"/>
                            </w:rPr>
                          </w:pPr>
                          <w:r>
                            <w:rPr>
                              <w:rFonts w:hint="eastAsia"/>
                            </w:rPr>
                            <w:fldChar w:fldCharType="begin"/>
                          </w:r>
                          <w:r>
                            <w:rPr>
                              <w:rFonts w:hint="eastAsia"/>
                            </w:rPr>
                            <w:instrText xml:space="preserve"> PAGE  \* MERGEFORMAT </w:instrText>
                          </w:r>
                          <w:r>
                            <w:rPr>
                              <w:rFonts w:hint="eastAsia"/>
                            </w:rPr>
                            <w:fldChar w:fldCharType="separate"/>
                          </w:r>
                          <w:r>
                            <w:t>19</w:t>
                          </w:r>
                          <w:r>
                            <w:rPr>
                              <w:rFonts w:hint="eastAsia"/>
                            </w:rPr>
                            <w:fldChar w:fldCharType="end"/>
                          </w:r>
                        </w:p>
                        <w:p w14:paraId="6DBC45CE"/>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M6pebnPAAAABQEAAA8AAAAAAAAAAQAgAAAAIgAAAGRycy9k&#10;b3ducmV2LnhtbFBLAQIUABQAAAAIAIdO4kAWckjz0gEAAKcDAAAOAAAAAAAAAAEAIAAAAB4BAABk&#10;cnMvZTJvRG9jLnhtbFBLBQYAAAAABgAGAFkBAABiBQAAAAA=&#10;">
              <v:fill on="f" focussize="0,0"/>
              <v:stroke on="f"/>
              <v:imagedata o:title=""/>
              <o:lock v:ext="edit" aspectratio="f"/>
              <v:textbox inset="0mm,0mm,0mm,0mm" style="mso-fit-shape-to-text:t;">
                <w:txbxContent>
                  <w:p w14:paraId="60997189">
                    <w:pPr>
                      <w:pStyle w:val="17"/>
                      <w:tabs>
                        <w:tab w:val="clear" w:pos="4153"/>
                        <w:tab w:val="clear" w:pos="8306"/>
                      </w:tabs>
                      <w:rPr>
                        <w:rFonts w:hint="eastAsia"/>
                      </w:rPr>
                    </w:pPr>
                    <w:r>
                      <w:rPr>
                        <w:rFonts w:hint="eastAsia"/>
                      </w:rPr>
                      <w:fldChar w:fldCharType="begin"/>
                    </w:r>
                    <w:r>
                      <w:rPr>
                        <w:rFonts w:hint="eastAsia"/>
                      </w:rPr>
                      <w:instrText xml:space="preserve"> PAGE  \* MERGEFORMAT </w:instrText>
                    </w:r>
                    <w:r>
                      <w:rPr>
                        <w:rFonts w:hint="eastAsia"/>
                      </w:rPr>
                      <w:fldChar w:fldCharType="separate"/>
                    </w:r>
                    <w:r>
                      <w:t>19</w:t>
                    </w:r>
                    <w:r>
                      <w:rPr>
                        <w:rFonts w:hint="eastAsia"/>
                      </w:rPr>
                      <w:fldChar w:fldCharType="end"/>
                    </w:r>
                  </w:p>
                  <w:p w14:paraId="6DBC45CE"/>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D2B67E">
    <w:pPr>
      <w:pStyle w:val="17"/>
      <w:jc w:val="center"/>
      <w:rPr>
        <w:rFonts w:hint="eastAsia"/>
      </w:rPr>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FAC8A">
    <w:pPr>
      <w:pStyle w:val="17"/>
      <w:framePr w:wrap="around" w:vAnchor="text" w:hAnchor="margin" w:xAlign="right" w:y="1"/>
      <w:rPr>
        <w:rStyle w:val="18"/>
      </w:rPr>
    </w:pPr>
    <w:r>
      <w:rPr>
        <w:rStyle w:val="18"/>
      </w:rPr>
      <w:fldChar w:fldCharType="begin"/>
    </w:r>
    <w:r>
      <w:rPr>
        <w:rStyle w:val="18"/>
      </w:rPr>
      <w:instrText xml:space="preserve">PAGE  </w:instrText>
    </w:r>
    <w:r>
      <w:rPr>
        <w:rStyle w:val="18"/>
      </w:rPr>
      <w:fldChar w:fldCharType="end"/>
    </w:r>
  </w:p>
  <w:p w14:paraId="30FA89ED">
    <w:pPr>
      <w:pStyle w:val="17"/>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922979"/>
    <w:rsid w:val="022E26FA"/>
    <w:rsid w:val="0FB5434A"/>
    <w:rsid w:val="24877D1C"/>
    <w:rsid w:val="26B31074"/>
    <w:rsid w:val="2968067B"/>
    <w:rsid w:val="2A6C0867"/>
    <w:rsid w:val="309612E7"/>
    <w:rsid w:val="387560DA"/>
    <w:rsid w:val="3C567B76"/>
    <w:rsid w:val="431A7B56"/>
    <w:rsid w:val="4B9F2635"/>
    <w:rsid w:val="503321B0"/>
    <w:rsid w:val="599B50F5"/>
    <w:rsid w:val="5B625AF5"/>
    <w:rsid w:val="5E922979"/>
    <w:rsid w:val="7608190C"/>
    <w:rsid w:val="79D422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18"/>
    <w:qFormat/>
    <w:uiPriority w:val="0"/>
    <w:pPr>
      <w:widowControl w:val="0"/>
      <w:jc w:val="both"/>
    </w:pPr>
    <w:rPr>
      <w:rFonts w:hint="default" w:ascii="Times New Roman" w:hAnsi="Times New Roman" w:eastAsia="宋体" w:cs="Times New Roman"/>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正文文本11"/>
    <w:basedOn w:val="1"/>
    <w:next w:val="1"/>
    <w:qFormat/>
    <w:uiPriority w:val="0"/>
    <w:pPr>
      <w:tabs>
        <w:tab w:val="left" w:pos="567"/>
      </w:tabs>
      <w:spacing w:before="120" w:line="22" w:lineRule="atLeast"/>
    </w:pPr>
    <w:rPr>
      <w:rFonts w:ascii="宋体" w:hAnsi="宋体"/>
      <w:sz w:val="24"/>
    </w:rPr>
  </w:style>
  <w:style w:type="paragraph" w:customStyle="1" w:styleId="5">
    <w:name w:val="纯文本1"/>
    <w:next w:val="6"/>
    <w:qFormat/>
    <w:uiPriority w:val="0"/>
    <w:pPr>
      <w:widowControl w:val="0"/>
      <w:jc w:val="both"/>
    </w:pPr>
    <w:rPr>
      <w:rFonts w:hint="default" w:ascii="宋体" w:hAnsi="宋体" w:eastAsia="宋体" w:cs="Times New Roman"/>
      <w:sz w:val="26"/>
      <w:lang w:val="en-US" w:eastAsia="zh-CN" w:bidi="ar-SA"/>
    </w:rPr>
  </w:style>
  <w:style w:type="paragraph" w:customStyle="1" w:styleId="6">
    <w:name w:val="正文缩进1111"/>
    <w:basedOn w:val="1"/>
    <w:next w:val="1"/>
    <w:qFormat/>
    <w:uiPriority w:val="0"/>
    <w:pPr>
      <w:ind w:firstLine="420"/>
      <w:jc w:val="left"/>
    </w:pPr>
    <w:rPr>
      <w:rFonts w:ascii="宋体"/>
      <w:sz w:val="24"/>
    </w:rPr>
  </w:style>
  <w:style w:type="paragraph" w:customStyle="1" w:styleId="7">
    <w:name w:val="纯文本11"/>
    <w:basedOn w:val="1"/>
    <w:next w:val="8"/>
    <w:qFormat/>
    <w:uiPriority w:val="0"/>
    <w:rPr>
      <w:rFonts w:hint="eastAsia" w:ascii="宋体" w:hAnsi="Courier New"/>
      <w:szCs w:val="20"/>
    </w:rPr>
  </w:style>
  <w:style w:type="paragraph" w:customStyle="1" w:styleId="8">
    <w:name w:val="正文缩进111"/>
    <w:basedOn w:val="1"/>
    <w:next w:val="1"/>
    <w:qFormat/>
    <w:uiPriority w:val="0"/>
    <w:pPr>
      <w:ind w:firstLine="420"/>
      <w:jc w:val="left"/>
    </w:pPr>
    <w:rPr>
      <w:rFonts w:ascii="宋体"/>
      <w:sz w:val="24"/>
    </w:rPr>
  </w:style>
  <w:style w:type="paragraph" w:customStyle="1" w:styleId="9">
    <w:name w:val="Default"/>
    <w:qFormat/>
    <w:uiPriority w:val="0"/>
    <w:pPr>
      <w:widowControl w:val="0"/>
    </w:pPr>
    <w:rPr>
      <w:rFonts w:hint="default" w:ascii="Symbol" w:hAnsi="Symbol" w:eastAsia="宋体" w:cs="Symbol"/>
      <w:color w:val="000000"/>
      <w:sz w:val="24"/>
      <w:szCs w:val="24"/>
      <w:lang w:val="en-US" w:eastAsia="zh-CN" w:bidi="ar-SA"/>
    </w:rPr>
  </w:style>
  <w:style w:type="paragraph" w:customStyle="1" w:styleId="10">
    <w:name w:val="正文文本1"/>
    <w:basedOn w:val="1"/>
    <w:next w:val="11"/>
    <w:qFormat/>
    <w:uiPriority w:val="0"/>
    <w:pPr>
      <w:tabs>
        <w:tab w:val="left" w:pos="567"/>
      </w:tabs>
      <w:spacing w:before="120" w:line="22" w:lineRule="atLeast"/>
    </w:pPr>
    <w:rPr>
      <w:rFonts w:ascii="宋体" w:hAnsi="宋体"/>
      <w:sz w:val="24"/>
    </w:rPr>
  </w:style>
  <w:style w:type="paragraph" w:customStyle="1" w:styleId="11">
    <w:name w:val="结束语1"/>
    <w:basedOn w:val="1"/>
    <w:next w:val="12"/>
    <w:qFormat/>
    <w:uiPriority w:val="0"/>
    <w:pPr>
      <w:ind w:left="100"/>
    </w:pPr>
  </w:style>
  <w:style w:type="paragraph" w:customStyle="1" w:styleId="12">
    <w:name w:val="Char Char1 Char Char Char Char Char Char Char Char Char Char Char Char Char Char Char Char Char Char"/>
    <w:basedOn w:val="1"/>
    <w:next w:val="13"/>
    <w:qFormat/>
    <w:uiPriority w:val="0"/>
    <w:pPr>
      <w:widowControl/>
      <w:spacing w:after="160" w:line="240" w:lineRule="exact"/>
    </w:pPr>
    <w:rPr>
      <w:rFonts w:ascii="宋体" w:hAnsi="宋体" w:eastAsia="Times New Roman"/>
      <w:sz w:val="20"/>
    </w:rPr>
  </w:style>
  <w:style w:type="paragraph" w:customStyle="1" w:styleId="13">
    <w:name w:val="电子邮件签名1"/>
    <w:basedOn w:val="1"/>
    <w:next w:val="1"/>
    <w:qFormat/>
    <w:uiPriority w:val="0"/>
  </w:style>
  <w:style w:type="character" w:customStyle="1" w:styleId="14">
    <w:name w:val="font01"/>
    <w:basedOn w:val="15"/>
    <w:link w:val="1"/>
    <w:qFormat/>
    <w:uiPriority w:val="0"/>
    <w:rPr>
      <w:rFonts w:hint="default" w:ascii="Times New Roman" w:hAnsi="Times New Roman" w:eastAsia="宋体" w:cs="Times New Roman"/>
      <w:sz w:val="21"/>
      <w:szCs w:val="24"/>
      <w:lang w:val="en-US" w:eastAsia="zh-CN" w:bidi="ar-SA"/>
    </w:rPr>
  </w:style>
  <w:style w:type="character" w:customStyle="1" w:styleId="15">
    <w:name w:val="默认段落字体1"/>
    <w:link w:val="1"/>
    <w:unhideWhenUsed/>
    <w:qFormat/>
    <w:uiPriority w:val="1"/>
  </w:style>
  <w:style w:type="paragraph" w:customStyle="1" w:styleId="16">
    <w:name w:val="列出段落"/>
    <w:basedOn w:val="1"/>
    <w:qFormat/>
    <w:uiPriority w:val="0"/>
    <w:pPr>
      <w:ind w:firstLine="420"/>
    </w:pPr>
    <w:rPr>
      <w:rFonts w:ascii="Calibri" w:hAnsi="Calibri"/>
      <w:szCs w:val="22"/>
    </w:rPr>
  </w:style>
  <w:style w:type="paragraph" w:customStyle="1" w:styleId="17">
    <w:name w:val="页脚1"/>
    <w:basedOn w:val="1"/>
    <w:qFormat/>
    <w:uiPriority w:val="99"/>
    <w:pPr>
      <w:tabs>
        <w:tab w:val="center" w:pos="4153"/>
        <w:tab w:val="right" w:pos="8306"/>
      </w:tabs>
      <w:jc w:val="left"/>
    </w:pPr>
    <w:rPr>
      <w:rFonts w:ascii="宋体"/>
      <w:sz w:val="18"/>
      <w:szCs w:val="20"/>
    </w:rPr>
  </w:style>
  <w:style w:type="character" w:customStyle="1" w:styleId="18">
    <w:name w:val="页码1"/>
    <w:link w:val="1"/>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3760</Words>
  <Characters>3869</Characters>
  <Lines>0</Lines>
  <Paragraphs>0</Paragraphs>
  <TotalTime>2</TotalTime>
  <ScaleCrop>false</ScaleCrop>
  <LinksUpToDate>false</LinksUpToDate>
  <CharactersWithSpaces>4409</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2025-07-08T01:46:00Z</dcterms:created>
  <dc:creator>旧少年、</dc:creator>
  <cp:lastModifiedBy>旧少年、</cp:lastModifiedBy>
  <dcterms:modified xsi:type="dcterms:W3CDTF">2025-07-08T08:50:59Z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FA1E22299CC94E3B8C4DCD4A5C96CBD3_13</vt:lpwstr>
  </property>
  <property fmtid="{D5CDD505-2E9C-101B-9397-08002B2CF9AE}" pid="4" name="KSOTemplateDocerSaveRecord">
    <vt:lpwstr>eyJoZGlkIjoiMjQwZDA5NWIyMWNiZTYyOTBmNTkyZTBjOTgyZmJmZDEiLCJ1c2VySWQiOiIzMjU1NjU5NjQifQ==</vt:lpwstr>
  </property>
</Properties>
</file>