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400" w:lineRule="exact"/>
        <w:rPr>
          <w:rFonts w:hint="eastAsia" w:ascii="方正小标宋_GBK" w:hAnsi="方正小标宋_GBK" w:eastAsia="方正小标宋_GBK" w:cs="方正小标宋_GBK"/>
          <w:color w:val="000000"/>
          <w:sz w:val="28"/>
          <w:szCs w:val="28"/>
        </w:rPr>
      </w:pPr>
      <w:r>
        <w:rPr>
          <w:rFonts w:hint="eastAsia" w:ascii="方正小标宋_GBK" w:hAnsi="方正小标宋_GBK" w:eastAsia="方正小标宋_GBK" w:cs="方正小标宋_GBK"/>
          <w:color w:val="000000"/>
          <w:sz w:val="28"/>
          <w:szCs w:val="28"/>
        </w:rPr>
        <w:t xml:space="preserve">招　标　文　件</w:t>
      </w:r>
      <w:r/>
    </w:p>
    <w:p>
      <w:pPr>
        <w:ind w:firstLine="560"/>
        <w:spacing w:before="120" w:after="120" w:line="400" w:lineRule="exact"/>
        <w:rPr>
          <w:rFonts w:hint="eastAsia" w:ascii="Arial" w:hAnsi="Arial"/>
          <w:b/>
          <w:bCs/>
          <w:color w:val="000000"/>
          <w:sz w:val="28"/>
          <w:szCs w:val="28"/>
        </w:rPr>
      </w:pPr>
      <w:r>
        <w:rPr>
          <w:rFonts w:hint="eastAsia" w:ascii="Arial" w:hAnsi="Arial"/>
          <w:b/>
          <w:bCs/>
          <w:color w:val="000000"/>
          <w:sz w:val="28"/>
          <w:szCs w:val="28"/>
        </w:rPr>
      </w:r>
      <w:r/>
    </w:p>
    <w:p>
      <w:pPr>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项目名称：南京信息职业技术学院教学楼中教室阶梯教室教学设备更新项目</w:t>
      </w:r>
      <w:r/>
    </w:p>
    <w:p>
      <w:pPr>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sz w:val="28"/>
          <w:szCs w:val="28"/>
        </w:rPr>
        <w:t xml:space="preserve">采购编号：</w:t>
      </w:r>
      <w:r>
        <w:rPr>
          <w:rFonts w:hint="eastAsia" w:eastAsia="方正黑体_GBK"/>
          <w:sz w:val="28"/>
          <w:szCs w:val="28"/>
        </w:rPr>
        <w:t xml:space="preserve">JSZC-320000-SCZX-G2026-0303</w:t>
      </w:r>
      <w:r/>
    </w:p>
    <w:p>
      <w:pPr>
        <w:jc w:val="center"/>
        <w:spacing w:line="360" w:lineRule="auto"/>
        <w:rPr>
          <w:rFonts w:hint="default" w:ascii="宋体" w:hAnsi="宋体" w:eastAsia="宋体"/>
          <w:color w:val="000000"/>
          <w:sz w:val="28"/>
          <w:szCs w:val="28"/>
          <w:lang w:val="en-US" w:eastAsia="zh-CN"/>
        </w:rPr>
      </w:pPr>
      <w:r>
        <w:rPr>
          <w:rFonts w:hint="eastAsia" w:ascii="宋体" w:hAnsi="宋体"/>
          <w:color w:val="000000"/>
          <w:sz w:val="28"/>
          <w:szCs w:val="28"/>
          <w:lang w:eastAsia="zh-CN"/>
        </w:rPr>
        <w:t xml:space="preserve">（</w:t>
      </w:r>
      <w:r>
        <w:rPr>
          <w:rFonts w:hint="eastAsia" w:ascii="宋体" w:hAnsi="宋体"/>
          <w:color w:val="000000"/>
          <w:sz w:val="28"/>
          <w:szCs w:val="28"/>
          <w:lang w:val="en-US" w:eastAsia="zh-CN"/>
        </w:rPr>
        <w:t xml:space="preserve">第二次</w:t>
      </w:r>
      <w:r>
        <w:rPr>
          <w:rFonts w:hint="eastAsia" w:ascii="宋体" w:hAnsi="宋体"/>
          <w:color w:val="000000"/>
          <w:sz w:val="28"/>
          <w:szCs w:val="28"/>
          <w:lang w:val="en-US" w:eastAsia="zh-CN"/>
        </w:rPr>
        <w:t xml:space="preserve">更正稿） </w:t>
      </w:r>
      <w:bookmarkStart w:id="191" w:name="_GoBack"/>
      <w:r/>
      <w:bookmarkEnd w:id="191"/>
      <w:r/>
      <w:r/>
    </w:p>
    <w:p>
      <w:pPr>
        <w:jc w:val="center"/>
        <w:spacing w:line="360" w:lineRule="auto"/>
        <w:rPr>
          <w:rFonts w:hint="eastAsia" w:ascii="宋体" w:hAnsi="宋体"/>
          <w:color w:val="000000"/>
          <w:sz w:val="28"/>
          <w:szCs w:val="28"/>
        </w:rPr>
      </w:pPr>
      <w:r>
        <w:rPr>
          <w:rFonts w:hint="eastAsia" w:ascii="宋体" w:hAnsi="宋体"/>
          <w:color w:val="000000"/>
          <w:sz w:val="28"/>
          <w:szCs w:val="28"/>
        </w:rPr>
      </w:r>
      <w:r/>
    </w:p>
    <w:p>
      <w:pPr>
        <w:jc w:val="center"/>
        <w:spacing w:line="360" w:lineRule="auto"/>
        <w:rPr>
          <w:rFonts w:hint="eastAsia" w:ascii="宋体" w:hAnsi="宋体"/>
          <w:color w:val="000000"/>
          <w:sz w:val="28"/>
          <w:szCs w:val="28"/>
        </w:rPr>
      </w:pPr>
      <w:r>
        <w:rPr>
          <w:rFonts w:hint="eastAsia" w:ascii="宋体" w:hAnsi="宋体"/>
          <w:color w:val="000000"/>
          <w:sz w:val="28"/>
          <w:szCs w:val="28"/>
        </w:rPr>
      </w:r>
      <w:r/>
    </w:p>
    <w:p>
      <w:pPr>
        <w:jc w:val="center"/>
        <w:spacing w:line="360" w:lineRule="auto"/>
        <w:rPr>
          <w:rFonts w:hint="eastAsia" w:ascii="宋体" w:hAnsi="宋体"/>
          <w:color w:val="000000"/>
          <w:sz w:val="28"/>
          <w:szCs w:val="28"/>
        </w:rPr>
      </w:pPr>
      <w:r>
        <w:rPr>
          <w:rFonts w:hint="eastAsia" w:ascii="宋体" w:hAnsi="宋体"/>
          <w:color w:val="000000"/>
          <w:sz w:val="28"/>
          <w:szCs w:val="28"/>
        </w:rPr>
      </w:r>
      <w:r/>
    </w:p>
    <w:p>
      <w:pPr>
        <w:jc w:val="center"/>
        <w:spacing w:line="360" w:lineRule="auto"/>
        <w:rPr>
          <w:rFonts w:hint="eastAsia" w:ascii="宋体" w:hAnsi="宋体"/>
          <w:color w:val="000000"/>
          <w:sz w:val="28"/>
          <w:szCs w:val="28"/>
        </w:rPr>
      </w:pPr>
      <w:r>
        <w:rPr>
          <w:rFonts w:hint="eastAsia" w:ascii="宋体" w:hAnsi="宋体"/>
          <w:color w:val="000000"/>
          <w:sz w:val="28"/>
          <w:szCs w:val="28"/>
        </w:rPr>
      </w:r>
      <w:r/>
    </w:p>
    <w:p>
      <w:pPr>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2026年7月</w:t>
      </w:r>
      <w:r/>
    </w:p>
    <w:p>
      <w:pPr>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660" w:lineRule="exact"/>
        <w:rPr>
          <w:rFonts w:hint="eastAsia" w:ascii="黑体" w:hAnsi="Arial" w:eastAsia="黑体"/>
          <w:b/>
          <w:color w:val="000000"/>
          <w:sz w:val="28"/>
          <w:szCs w:val="28"/>
        </w:rPr>
        <w:outlineLvl w:val="0"/>
      </w:pPr>
      <w:r>
        <w:rPr>
          <w:color w:val="000000"/>
          <w:szCs w:val="21"/>
        </w:rP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ascii="方正黑体_GBK" w:hAnsi="方正黑体_GBK" w:eastAsia="方正黑体_GBK" w:cs="方正黑体_GBK"/>
          <w:bCs/>
          <w:color w:val="000000"/>
          <w:sz w:val="28"/>
          <w:szCs w:val="28"/>
        </w:rPr>
        <w:t xml:space="preserve">总  目  录</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p>
    <w:p>
      <w:pPr>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第二章 投标人须知</w:t>
      </w:r>
      <w:r>
        <w:rPr>
          <w:rFonts w:hint="eastAsia" w:ascii="方正黑体_GBK" w:hAnsi="方正黑体_GBK" w:eastAsia="方正黑体_GBK" w:cs="方正黑体_GBK"/>
          <w:color w:val="000000"/>
          <w:sz w:val="28"/>
          <w:szCs w:val="28"/>
        </w:rPr>
        <w:t xml:space="preserve">…………………………………7</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合同文本……………………………………19</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采购需求……………………………………37</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bCs/>
          <w:color w:val="000000"/>
          <w:sz w:val="28"/>
          <w:szCs w:val="28"/>
        </w:rPr>
        <w:t xml:space="preserve">第五章 评标方法与评标标准</w:t>
      </w:r>
      <w:r>
        <w:rPr>
          <w:rFonts w:hint="eastAsia" w:ascii="方正黑体_GBK" w:hAnsi="方正黑体_GBK" w:eastAsia="方正黑体_GBK" w:cs="方正黑体_GBK"/>
          <w:color w:val="000000"/>
          <w:sz w:val="28"/>
          <w:szCs w:val="28"/>
        </w:rPr>
        <w:t xml:space="preserve">………………………71</w:t>
      </w:r>
      <w:r/>
    </w:p>
    <w:p>
      <w:pPr>
        <w:jc w:val="center"/>
        <w:spacing w:line="400" w:lineRule="exact"/>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投标文件格式………………………………77</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受南京信息职业技术学院的委托，江苏省政府采购中心就南京信息职业技术学院教学楼中教室阶梯教室教学设备更新项目（JSZC-320000-SCZX-G2026-0303）项目进行公开招标采购，欢迎符合条件的供应商投标。</w:t>
      </w:r>
      <w:r/>
    </w:p>
    <w:p>
      <w:pPr>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rPr>
        <w:t xml:space="preserve">项目概况</w:t>
      </w:r>
      <w:r/>
    </w:p>
    <w:p>
      <w:pPr>
        <w:ind w:firstLine="560"/>
        <w:spacing w:line="400" w:lineRule="exact"/>
        <w:rPr>
          <w:rFonts w:hint="eastAsia" w:ascii="方正仿宋_GBK" w:hAnsi="方正仿宋_GBK" w:eastAsia="方正仿宋_GBK"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u w:val="single"/>
        </w:rPr>
        <w:t xml:space="preserve"> 南京信息职业技术学院教学楼中教室阶梯教室教学设备更新项目</w:t>
      </w:r>
      <w:r>
        <w:rPr>
          <w:rFonts w:hint="eastAsia" w:ascii="方正仿宋_GBK" w:hAnsi="方正仿宋_GBK" w:eastAsia="方正仿宋_GBK" w:cs="方正仿宋_GBK"/>
          <w:color w:val="000000"/>
          <w:sz w:val="28"/>
          <w:szCs w:val="28"/>
        </w:rPr>
        <w:t xml:space="preserve"> 招标项目的潜在投标人可在</w:t>
      </w:r>
      <w:r>
        <w:rPr>
          <w:rFonts w:hint="eastAsia" w:ascii="方正仿宋_GBK" w:hAnsi="方正仿宋_GBK" w:eastAsia="方正仿宋_GBK" w:cs="方正仿宋_GBK"/>
          <w:color w:val="000000"/>
          <w:sz w:val="28"/>
          <w:szCs w:val="28"/>
          <w:u w:val="single"/>
        </w:rPr>
        <w:t xml:space="preserve">“江苏政府采购网”自行免费下载</w:t>
      </w:r>
      <w:r>
        <w:rPr>
          <w:rFonts w:hint="eastAsia" w:ascii="方正仿宋_GBK" w:hAnsi="方正仿宋_GBK" w:eastAsia="方正仿宋_GBK" w:cs="方正仿宋_GBK"/>
          <w:color w:val="000000"/>
          <w:sz w:val="28"/>
          <w:szCs w:val="28"/>
        </w:rPr>
        <w:t xml:space="preserve">招标文件，并于2026</w:t>
      </w:r>
      <w:r>
        <w:rPr>
          <w:rFonts w:hint="eastAsia" w:ascii="方正仿宋_GBK" w:hAnsi="方正仿宋_GBK" w:eastAsia="方正仿宋_GBK" w:cs="方正仿宋_GBK"/>
          <w:bCs/>
          <w:color w:val="000000"/>
          <w:sz w:val="28"/>
          <w:szCs w:val="28"/>
        </w:rPr>
        <w:t xml:space="preserve">年8月12日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color w:val="000000"/>
          <w:sz w:val="28"/>
          <w:szCs w:val="28"/>
        </w:rPr>
        <w:t xml:space="preserve">30分（北京时间）前递交投标文件</w:t>
      </w:r>
      <w:r>
        <w:rPr>
          <w:rFonts w:hint="eastAsia" w:ascii="方正仿宋_GBK" w:hAnsi="方正仿宋_GBK" w:eastAsia="方正仿宋_GBK" w:cs="方正仿宋_GBK"/>
          <w:color w:val="000000"/>
          <w:sz w:val="28"/>
          <w:szCs w:val="28"/>
        </w:rPr>
        <w:t xml:space="preserve">。</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JSZC-320000-SCZX-G2026-0303</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eastAsia="方正仿宋_GBK"/>
          <w:color w:val="000000"/>
          <w:sz w:val="28"/>
          <w:szCs w:val="28"/>
        </w:rPr>
        <w:t xml:space="preserve">南京信息职业技术学院教学楼中教室阶梯教室教学设备更新项目</w:t>
      </w:r>
      <w:bookmarkEnd w:id="11"/>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spacing w:line="400" w:lineRule="exact"/>
              <w:rPr>
                <w:rFonts w:ascii="方正仿宋_GBK" w:hAnsi="方正仿宋_GBK" w:eastAsia="方正仿宋_GBK" w:cs="方正仿宋_GBK"/>
                <w:sz w:val="28"/>
                <w:szCs w:val="28"/>
              </w:rPr>
            </w:pPr>
            <w:r>
              <w:rPr>
                <w:rFonts w:hint="eastAsia" w:eastAsia="方正仿宋_GBK"/>
                <w:color w:val="000000"/>
                <w:sz w:val="28"/>
                <w:szCs w:val="28"/>
              </w:rPr>
              <w:t xml:space="preserve">132</w:t>
            </w:r>
            <w:r/>
          </w:p>
        </w:tc>
      </w:tr>
    </w:tbl>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9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8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96" w:type="dxa"/>
            <w:vAlign w:val="top"/>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132</w:t>
            </w:r>
            <w:r/>
          </w:p>
        </w:tc>
      </w:tr>
    </w:tbl>
    <w:p>
      <w:pPr>
        <w:ind w:firstLine="560"/>
        <w:spacing w:line="400" w:lineRule="exact"/>
        <w:rPr>
          <w:rFonts w:hint="eastAsia" w:ascii="方正仿宋_GBK" w:hAnsi="方正仿宋_GBK" w:eastAsia="方正仿宋_GBK" w:cs="方正仿宋_GBK"/>
          <w:sz w:val="28"/>
          <w:szCs w:val="28"/>
          <w:u w:val="single"/>
        </w:rPr>
        <w:outlineLvl w:val="1"/>
      </w:pPr>
      <w:r>
        <w:rPr>
          <w:rFonts w:hint="eastAsia" w:ascii="方正仿宋_GBK" w:hAnsi="方正仿宋_GBK" w:eastAsia="方正仿宋_GBK" w:cs="方正仿宋_GBK"/>
          <w:sz w:val="28"/>
          <w:szCs w:val="28"/>
        </w:rPr>
        <w:t xml:space="preserve">5.采购需求（简介）：</w:t>
      </w:r>
      <w:r>
        <w:rPr>
          <w:rFonts w:hint="eastAsia" w:ascii="方正仿宋_GBK" w:hAnsi="方正仿宋_GBK" w:eastAsia="方正仿宋_GBK" w:cs="方正仿宋_GBK"/>
          <w:color w:val="000000"/>
          <w:sz w:val="28"/>
          <w:szCs w:val="28"/>
        </w:rPr>
        <w:t xml:space="preserve">南京信息职业技术学院10间中教室、12间阶梯教室是2018年建设的</w:t>
      </w:r>
      <w:r>
        <w:rPr>
          <w:rFonts w:hint="eastAsia" w:ascii="方正仿宋_GBK" w:hAnsi="方正仿宋_GBK" w:eastAsia="方正仿宋_GBK" w:cs="方正仿宋_GBK"/>
          <w:color w:val="000000"/>
          <w:sz w:val="28"/>
          <w:szCs w:val="28"/>
        </w:rPr>
        <w:t xml:space="preserve">，这些教室的教学设备（投影机、计算机等）经过多年高强度的使用，设备老化，使用效果不佳，影响教学体验和教学质量。且教室中控为单机基础版本，不便于统一管理。本项目的建设目标是对阶梯教室和中教室进行全面的多媒体设备智能化更新改造，为所有教室配置高清高亮度工程激光投影机、带网络集中管理功能的鹅颈麦克风底座、线阵列音柱，以提升扩声清晰度；优化讲台操作环境（含中控面板）、线缆布局，部署集中控制管理平台，实现对全部教室设备状态的远程监测、一键控制、课表联动自动开关机、扫码上课、设备异常报警等功能，提升管理效率和用户体验。</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6.合同履行期限：合同签订后30个日历天内完成安装调试。</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2" w:name="_Toc28359080"/>
      <w:r/>
      <w:bookmarkStart w:id="13" w:name="_Toc28359003"/>
      <w:r/>
      <w:bookmarkStart w:id="14" w:name="_Toc35393622"/>
      <w:r/>
      <w:bookmarkStart w:id="15" w:name="_Toc38985264"/>
      <w:r/>
      <w:bookmarkStart w:id="16" w:name="_Toc35393791"/>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spacing w:line="400" w:lineRule="exact"/>
        <w:rPr>
          <w:rFonts w:hint="eastAsia" w:ascii="方正楷体_GBK" w:hAnsi="方正楷体_GBK" w:eastAsia="方正楷体_GBK" w:cs="方正楷体_GBK"/>
          <w:color w:val="000000"/>
          <w:sz w:val="28"/>
          <w:szCs w:val="28"/>
        </w:rPr>
      </w:pPr>
      <w:r/>
      <w:bookmarkStart w:id="17" w:name="_Toc35393623"/>
      <w:r/>
      <w:bookmarkStart w:id="18" w:name="_Toc38985265"/>
      <w:r/>
      <w:bookmarkStart w:id="19" w:name="_Toc28359081"/>
      <w:r/>
      <w:bookmarkStart w:id="20" w:name="_Toc35393792"/>
      <w:r/>
      <w:bookmarkStart w:id="21" w:name="_Toc28359004"/>
      <w:r>
        <w:rPr>
          <w:rFonts w:hint="eastAsia" w:ascii="方正楷体_GBK" w:hAnsi="方正楷体_GBK" w:eastAsia="方正楷体_GBK" w:cs="方正楷体_GBK"/>
          <w:color w:val="000000"/>
          <w:sz w:val="28"/>
          <w:szCs w:val="28"/>
        </w:rPr>
        <w:t xml:space="preserve">（一）通用资格要求</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jc w:val="cente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jc w:val="center"/>
        </w:trPr>
        <w:tc>
          <w:tcPr>
            <w:tcW w:w="1148"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无</w:t>
            </w:r>
            <w:r/>
          </w:p>
        </w:tc>
      </w:tr>
    </w:tbl>
    <w:p>
      <w:pPr>
        <w:ind w:firstLine="560"/>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r/>
      <w:bookmarkEnd w:id="18"/>
      <w:r/>
      <w:bookmarkEnd w:id="19"/>
      <w:r/>
      <w:bookmarkEnd w:id="20"/>
      <w:r/>
      <w:bookmarkEnd w:id="21"/>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5393624"/>
      <w:r/>
      <w:bookmarkStart w:id="25" w:name="_Toc35393793"/>
      <w:r/>
      <w:bookmarkStart w:id="26" w:name="_Toc38985266"/>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年8月12日</w:t>
      </w:r>
      <w:r>
        <w:rPr>
          <w:rFonts w:hint="eastAsia" w:ascii="方正仿宋_GBK" w:hAnsi="方正仿宋_GBK" w:eastAsia="方正仿宋_GBK" w:cs="方正仿宋_GBK"/>
          <w:color w:val="000000"/>
          <w:sz w:val="28"/>
          <w:szCs w:val="28"/>
        </w:rPr>
        <w:t xml:space="preserve">9时</w:t>
      </w:r>
      <w:r>
        <w:rPr>
          <w:rFonts w:hint="eastAsia" w:ascii="方正仿宋_GBK" w:hAnsi="方正仿宋_GBK" w:eastAsia="方正仿宋_GBK" w:cs="方正仿宋_GBK"/>
          <w:bCs/>
          <w:color w:val="000000"/>
          <w:sz w:val="28"/>
          <w:szCs w:val="28"/>
        </w:rPr>
        <w:t xml:space="preserve">30分（北京时间）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27" w:name="_Toc38985267"/>
      <w:r/>
      <w:bookmarkStart w:id="28" w:name="_Toc28359007"/>
      <w:r/>
      <w:bookmarkStart w:id="29" w:name="_Toc35393625"/>
      <w:r/>
      <w:bookmarkStart w:id="30" w:name="_Toc28359084"/>
      <w:r/>
      <w:bookmarkStart w:id="31" w:name="_Toc35393794"/>
      <w:r>
        <w:rPr>
          <w:rFonts w:hint="eastAsia" w:ascii="方正黑体_GBK" w:hAnsi="方正黑体_GBK" w:eastAsia="方正黑体_GBK" w:cs="方正黑体_GBK"/>
          <w:color w:val="000000"/>
          <w:sz w:val="28"/>
          <w:szCs w:val="28"/>
        </w:rPr>
        <w:t xml:space="preserve">五、公告期限</w:t>
      </w:r>
      <w:bookmarkEnd w:id="27"/>
      <w:r/>
      <w:bookmarkEnd w:id="28"/>
      <w:r/>
      <w:bookmarkEnd w:id="29"/>
      <w:r/>
      <w:bookmarkEnd w:id="30"/>
      <w:r/>
      <w:bookmarkEnd w:id="31"/>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Start w:id="32" w:name="_Toc35393795"/>
      <w:r/>
      <w:bookmarkStart w:id="33" w:name="_Toc35393626"/>
      <w:r/>
      <w:bookmarkStart w:id="34" w:name="_Toc38985268"/>
      <w:r/>
      <w:r/>
    </w:p>
    <w:p>
      <w:pPr>
        <w:numPr>
          <w:ilvl w:val="0"/>
          <w:numId w:val="4"/>
        </w:numPr>
        <w:ind w:firstLine="560"/>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其他补充事宜</w:t>
      </w:r>
      <w:bookmarkEnd w:id="32"/>
      <w:r/>
      <w:bookmarkEnd w:id="33"/>
      <w:r/>
      <w:bookmarkEnd w:id="34"/>
      <w:r/>
      <w:bookmarkStart w:id="35" w:name="_Toc28359085"/>
      <w:r/>
      <w:bookmarkStart w:id="36" w:name="_Toc35393796"/>
      <w:r/>
      <w:bookmarkStart w:id="37" w:name="_Toc35393627"/>
      <w:r/>
      <w:bookmarkStart w:id="38" w:name="_Toc38985269"/>
      <w:r/>
      <w:bookmarkStart w:id="39" w:name="_Toc28359008"/>
      <w:r/>
      <w:r/>
    </w:p>
    <w:p>
      <w:pPr>
        <w:numPr>
          <w:ilvl w:val="0"/>
          <w:numId w:val="5"/>
        </w:num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现场勘察要求：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勘察时间：2026年7月30日上午9:00-11:00</w:t>
      </w:r>
      <w:r/>
    </w:p>
    <w:p>
      <w:pPr>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1.2地点：南京信息职业技术学院（南京市栖霞区文澜路99号）；</w:t>
      </w:r>
      <w:r/>
    </w:p>
    <w:p>
      <w:pPr>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联系人：郭老师</w:t>
      </w:r>
      <w:r/>
    </w:p>
    <w:p>
      <w:pPr>
        <w:ind w:left="55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联系电话：18952046612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2.供应商携带资料：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2.1企业法人营业执照副本复印件（加盖单位公章）；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2.2法定代表人身份证或法定代表人授权委托书、委托代理人身份证。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3.1供应商请在规定的时间参加勘察。参加现场勘察的供应商应在勘查时间的前一天联系郭老师作进校报备。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3.2供应商请务必对项目现场和周围环境进行仔细认真的查勘，在随后的投标中，对现场资料和数据所作出的推论、解释和结论及由此造成的后果由供应商负责。</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3.3未勘查现场或勘察工作不详细的供应商成交后，不得以不完全了解现场情况为理由而向采购人提出任何索赔或其他要求，对此采购人不承担任何责任并将不作任何答复。</w:t>
      </w:r>
      <w:r/>
    </w:p>
    <w:p>
      <w:pPr>
        <w:ind w:firstLine="560"/>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七、本次招标联系方式</w:t>
      </w:r>
      <w:bookmarkEnd w:id="35"/>
      <w:r/>
      <w:bookmarkEnd w:id="36"/>
      <w:r/>
      <w:bookmarkEnd w:id="37"/>
      <w:r/>
      <w:bookmarkEnd w:id="38"/>
      <w:r/>
      <w:bookmarkEnd w:id="39"/>
      <w:r/>
      <w:r/>
    </w:p>
    <w:p>
      <w:pPr>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南京信息职业技术学院</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韦薇 </w:t>
      </w:r>
      <w:r/>
    </w:p>
    <w:p>
      <w:pPr>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0" w:name="_Toc28359009"/>
      <w:r/>
      <w:bookmarkStart w:id="41" w:name="_Toc28359086"/>
      <w:r>
        <w:rPr>
          <w:rFonts w:hint="eastAsia" w:ascii="方正仿宋_GBK" w:hAnsi="方正仿宋_GBK" w:eastAsia="方正仿宋_GBK" w:cs="方正仿宋_GBK"/>
          <w:color w:val="000000"/>
          <w:sz w:val="28"/>
          <w:szCs w:val="28"/>
          <w:u w:val="single"/>
        </w:rPr>
        <w:t xml:space="preserve">13675139298</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南京市建邺区汉中门大街145号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王烨、张文怡 </w:t>
      </w:r>
      <w:r/>
    </w:p>
    <w:p>
      <w:pPr>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025-83668550、83668505</w:t>
      </w:r>
      <w:r/>
    </w:p>
    <w:p>
      <w:pPr>
        <w:ind w:firstLine="560"/>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jc w:val="center"/>
        <w:keepNext/>
        <w:spacing w:line="400" w:lineRule="exact"/>
        <w:rPr>
          <w:rFonts w:hint="eastAsia" w:ascii="方正黑体_GBK" w:hAnsi="方正黑体_GBK" w:eastAsia="方正黑体_GBK" w:cs="方正黑体_GBK"/>
          <w:color w:val="000000"/>
          <w:sz w:val="28"/>
          <w:szCs w:val="28"/>
        </w:rPr>
        <w:outlineLvl w:val="0"/>
      </w:pPr>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47" w:name="_Toc120614214"/>
      <w:r/>
      <w:bookmarkStart w:id="48" w:name="_Toc513029203"/>
      <w:r/>
      <w:bookmarkStart w:id="49" w:name="_Toc16938519"/>
      <w:r/>
      <w:bookmarkStart w:id="50" w:name="_Toc20823275"/>
      <w:r>
        <w:rPr>
          <w:rFonts w:hint="eastAsia" w:ascii="方正黑体_GBK" w:hAnsi="方正黑体_GBK" w:eastAsia="方正黑体_GBK" w:cs="方正黑体_GBK"/>
          <w:color w:val="000000"/>
          <w:sz w:val="28"/>
          <w:szCs w:val="28"/>
        </w:rPr>
        <w:t xml:space="preserve">一、总则</w:t>
      </w:r>
      <w:bookmarkEnd w:id="47"/>
      <w:r/>
      <w:bookmarkEnd w:id="48"/>
      <w:r/>
      <w:bookmarkEnd w:id="49"/>
      <w:r/>
      <w:bookmarkEnd w:id="50"/>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51" w:name="_Hlt16619475"/>
      <w:r/>
      <w:bookmarkEnd w:id="51"/>
      <w:r/>
      <w:bookmarkStart w:id="52" w:name="_Toc458694821"/>
      <w:r/>
      <w:bookmarkStart w:id="53" w:name="_Toc16938520"/>
      <w:r/>
      <w:bookmarkStart w:id="54" w:name="_Toc20823276"/>
      <w:r/>
      <w:bookmarkStart w:id="55" w:name="_Toc513029204"/>
      <w:r>
        <w:rPr>
          <w:rFonts w:hint="eastAsia" w:ascii="方正仿宋_GBK" w:hAnsi="方正仿宋_GBK" w:eastAsia="方正仿宋_GBK" w:cs="方正仿宋_GBK"/>
          <w:bCs/>
          <w:sz w:val="28"/>
          <w:szCs w:val="28"/>
        </w:rPr>
        <w:t xml:space="preserve">1</w:t>
      </w:r>
      <w:bookmarkEnd w:id="52"/>
      <w:r>
        <w:rPr>
          <w:rFonts w:hint="eastAsia" w:ascii="方正仿宋_GBK" w:hAnsi="方正仿宋_GBK" w:eastAsia="方正仿宋_GBK" w:cs="方正仿宋_GBK"/>
          <w:bCs/>
          <w:sz w:val="28"/>
          <w:szCs w:val="28"/>
        </w:rPr>
        <w:t xml:space="preserve">.招标方式</w:t>
      </w:r>
      <w:bookmarkEnd w:id="53"/>
      <w:r/>
      <w:bookmarkEnd w:id="54"/>
      <w:r/>
      <w:bookmarkEnd w:id="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56" w:name="_Toc16938521"/>
      <w:r/>
      <w:bookmarkStart w:id="57" w:name="_Toc513029205"/>
      <w:r/>
      <w:bookmarkStart w:id="58" w:name="_Toc20823277"/>
      <w:r>
        <w:rPr>
          <w:rFonts w:hint="eastAsia" w:ascii="方正仿宋_GBK" w:hAnsi="方正仿宋_GBK" w:eastAsia="方正仿宋_GBK" w:cs="方正仿宋_GBK"/>
          <w:bCs/>
          <w:sz w:val="28"/>
          <w:szCs w:val="28"/>
        </w:rPr>
        <w:t xml:space="preserve">2.合格的投标人</w:t>
      </w:r>
      <w:bookmarkEnd w:id="56"/>
      <w:r/>
      <w:bookmarkEnd w:id="57"/>
      <w:r/>
      <w:bookmarkEnd w:id="5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 满足招标公告中供应商的资格要求。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16938522"/>
      <w:r/>
      <w:bookmarkStart w:id="60" w:name="_Toc513029206"/>
      <w:r/>
      <w:bookmarkStart w:id="61" w:name="_Toc20823278"/>
      <w:r>
        <w:rPr>
          <w:rFonts w:hint="eastAsia" w:ascii="方正仿宋_GBK" w:hAnsi="方正仿宋_GBK" w:eastAsia="方正仿宋_GBK" w:cs="方正仿宋_GBK"/>
          <w:bCs/>
          <w:sz w:val="28"/>
          <w:szCs w:val="28"/>
        </w:rPr>
        <w:t xml:space="preserve">3.适用法律</w:t>
      </w:r>
      <w:bookmarkEnd w:id="59"/>
      <w:r/>
      <w:bookmarkEnd w:id="60"/>
      <w:r/>
      <w:bookmarkEnd w:id="61"/>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462564067"/>
      <w:r/>
      <w:bookmarkStart w:id="63" w:name="_Toc513029207"/>
      <w:r/>
      <w:bookmarkStart w:id="64" w:name="_Toc16938523"/>
      <w:r/>
      <w:bookmarkStart w:id="65" w:name="_Toc20823279"/>
      <w:r>
        <w:rPr>
          <w:rFonts w:hint="eastAsia" w:ascii="方正仿宋_GBK" w:hAnsi="方正仿宋_GBK" w:eastAsia="方正仿宋_GBK" w:cs="方正仿宋_GBK"/>
          <w:bCs/>
          <w:sz w:val="28"/>
          <w:szCs w:val="28"/>
        </w:rPr>
        <w:t xml:space="preserve">4.投标费用</w:t>
      </w:r>
      <w:bookmarkEnd w:id="62"/>
      <w:r/>
      <w:bookmarkEnd w:id="63"/>
      <w:r/>
      <w:bookmarkEnd w:id="64"/>
      <w:r/>
      <w:bookmarkEnd w:id="6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 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66" w:name="_Toc120614215"/>
      <w:r/>
      <w:bookmarkStart w:id="67" w:name="_Toc513029209"/>
      <w:r/>
      <w:bookmarkStart w:id="68" w:name="_Toc20823281"/>
      <w:r/>
      <w:bookmarkStart w:id="69" w:name="_Toc16938525"/>
      <w:r>
        <w:rPr>
          <w:rFonts w:hint="eastAsia" w:ascii="方正黑体_GBK" w:hAnsi="方正黑体_GBK" w:eastAsia="方正黑体_GBK" w:cs="方正黑体_GBK"/>
          <w:color w:val="000000"/>
          <w:sz w:val="28"/>
          <w:szCs w:val="28"/>
        </w:rPr>
        <w:t xml:space="preserve">二、招标文件</w:t>
      </w:r>
      <w:bookmarkEnd w:id="66"/>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513029210"/>
      <w:r/>
      <w:bookmarkStart w:id="71" w:name="_Toc16938526"/>
      <w:r/>
      <w:bookmarkStart w:id="72" w:name="_Toc20823282"/>
      <w:r>
        <w:rPr>
          <w:rFonts w:hint="eastAsia" w:ascii="方正仿宋_GBK" w:hAnsi="方正仿宋_GBK" w:eastAsia="方正仿宋_GBK" w:cs="方正仿宋_GBK"/>
          <w:bCs/>
          <w:sz w:val="28"/>
          <w:szCs w:val="28"/>
        </w:rPr>
        <w:t xml:space="preserve">6.招标文件构成</w:t>
      </w:r>
      <w:bookmarkEnd w:id="70"/>
      <w:r/>
      <w:bookmarkEnd w:id="71"/>
      <w:r/>
      <w:bookmarkEnd w:id="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16938528"/>
      <w:r/>
      <w:bookmarkStart w:id="74" w:name="_Toc20823284"/>
      <w:r/>
      <w:bookmarkStart w:id="75" w:name="_Toc513029212"/>
      <w:r/>
      <w:bookmarkStart w:id="76" w:name="_Toc462564071"/>
      <w:r>
        <w:rPr>
          <w:rFonts w:hint="eastAsia" w:ascii="方正仿宋_GBK" w:hAnsi="方正仿宋_GBK" w:eastAsia="方正仿宋_GBK" w:cs="方正仿宋_GBK"/>
          <w:bCs/>
          <w:sz w:val="28"/>
          <w:szCs w:val="28"/>
        </w:rPr>
        <w:t xml:space="preserve">7.招标文件的修改</w:t>
      </w:r>
      <w:bookmarkEnd w:id="73"/>
      <w:r/>
      <w:bookmarkEnd w:id="74"/>
      <w:r/>
      <w:bookmarkEnd w:id="75"/>
      <w:r/>
      <w:bookmarkEnd w:id="7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77" w:name="_Toc120614216"/>
      <w:r/>
      <w:bookmarkStart w:id="78" w:name="_Toc462564072"/>
      <w:r/>
      <w:bookmarkStart w:id="79" w:name="_Toc16938529"/>
      <w:r/>
      <w:bookmarkStart w:id="80" w:name="_Toc20823285"/>
      <w:r/>
      <w:bookmarkStart w:id="81" w:name="_Toc513029213"/>
      <w:r>
        <w:rPr>
          <w:rFonts w:hint="eastAsia" w:ascii="方正黑体_GBK" w:hAnsi="方正黑体_GBK" w:eastAsia="方正黑体_GBK" w:cs="方正黑体_GBK"/>
          <w:color w:val="000000"/>
          <w:sz w:val="28"/>
          <w:szCs w:val="28"/>
        </w:rPr>
        <w:t xml:space="preserve">三、投标文件的编制</w:t>
      </w:r>
      <w:bookmarkEnd w:id="77"/>
      <w:r/>
      <w:bookmarkEnd w:id="78"/>
      <w:r/>
      <w:bookmarkEnd w:id="79"/>
      <w:r/>
      <w:bookmarkEnd w:id="80"/>
      <w:r/>
      <w:bookmarkEnd w:id="81"/>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2" w:name="_Toc20823286"/>
      <w:r/>
      <w:bookmarkStart w:id="83" w:name="_Toc462564073"/>
      <w:r/>
      <w:bookmarkStart w:id="84" w:name="_Toc16938530"/>
      <w:r/>
      <w:bookmarkStart w:id="85" w:name="_Toc513029214"/>
      <w:r>
        <w:rPr>
          <w:rFonts w:hint="eastAsia" w:ascii="方正仿宋_GBK" w:hAnsi="方正仿宋_GBK" w:eastAsia="方正仿宋_GBK" w:cs="方正仿宋_GBK"/>
          <w:bCs/>
          <w:sz w:val="28"/>
          <w:szCs w:val="28"/>
        </w:rPr>
        <w:t xml:space="preserve">8.投标文件的语言及度量衡单位</w:t>
      </w:r>
      <w:bookmarkEnd w:id="82"/>
      <w:r/>
      <w:bookmarkEnd w:id="83"/>
      <w:r/>
      <w:bookmarkEnd w:id="84"/>
      <w:r/>
      <w:bookmarkEnd w:id="8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6" w:name="_Toc20823287"/>
      <w:r/>
      <w:bookmarkStart w:id="87" w:name="_Toc513029215"/>
      <w:r/>
      <w:bookmarkStart w:id="88" w:name="_Toc462564074"/>
      <w:r/>
      <w:bookmarkStart w:id="89" w:name="_Toc16938531"/>
      <w:r>
        <w:rPr>
          <w:rFonts w:hint="eastAsia" w:ascii="方正仿宋_GBK" w:hAnsi="方正仿宋_GBK" w:eastAsia="方正仿宋_GBK" w:cs="方正仿宋_GBK"/>
          <w:bCs/>
          <w:sz w:val="28"/>
          <w:szCs w:val="28"/>
        </w:rPr>
        <w:t xml:space="preserve">9.投标文件构成</w:t>
      </w:r>
      <w:bookmarkEnd w:id="86"/>
      <w:r/>
      <w:bookmarkEnd w:id="87"/>
      <w:r/>
      <w:bookmarkEnd w:id="88"/>
      <w:r/>
      <w:bookmarkEnd w:id="8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Hlt26668975"/>
      <w:r/>
      <w:bookmarkEnd w:id="90"/>
      <w:r/>
      <w:bookmarkStart w:id="91" w:name="_Hlt26670360"/>
      <w:r/>
      <w:bookmarkEnd w:id="91"/>
      <w:r/>
      <w:bookmarkStart w:id="92" w:name="_Hlt26954838"/>
      <w:r/>
      <w:bookmarkEnd w:id="92"/>
      <w:r/>
      <w:bookmarkStart w:id="93" w:name="_Toc49090509"/>
      <w:r/>
      <w:bookmarkStart w:id="94" w:name="_Toc513029219"/>
      <w:r/>
      <w:bookmarkStart w:id="95" w:name="_Toc14577357"/>
      <w:r/>
      <w:bookmarkStart w:id="96" w:name="_Toc513029216"/>
      <w:r/>
      <w:bookmarkStart w:id="97" w:name="_Toc49090507"/>
      <w:r/>
      <w:bookmarkStart w:id="98" w:name="_Toc14577354"/>
      <w:r/>
      <w:bookmarkStart w:id="99" w:name="_Toc49090508"/>
      <w:r/>
      <w:bookmarkStart w:id="100" w:name="_Toc14577355"/>
      <w:r>
        <w:rPr>
          <w:rFonts w:hint="eastAsia" w:ascii="方正仿宋_GBK" w:hAnsi="方正仿宋_GBK" w:eastAsia="方正仿宋_GBK" w:cs="方正仿宋_GBK"/>
          <w:bCs/>
          <w:sz w:val="28"/>
          <w:szCs w:val="28"/>
        </w:rPr>
        <w:t xml:space="preserve">10.证明投标人及投标标的符合招标文件规定的文件</w:t>
      </w:r>
      <w:bookmarkEnd w:id="93"/>
      <w:r/>
      <w:bookmarkEnd w:id="94"/>
      <w:r/>
      <w:bookmarkEnd w:id="95"/>
      <w:r/>
      <w:bookmarkEnd w:id="96"/>
      <w:r/>
      <w:bookmarkEnd w:id="97"/>
      <w:r/>
      <w:bookmarkEnd w:id="9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99"/>
      <w:r/>
      <w:bookmarkEnd w:id="100"/>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1" w:name="_Hlt26954840"/>
      <w:r/>
      <w:bookmarkEnd w:id="101"/>
      <w:r>
        <w:rPr>
          <w:rFonts w:hint="eastAsia" w:ascii="方正仿宋_GBK" w:hAnsi="方正仿宋_GBK" w:eastAsia="方正仿宋_GBK" w:cs="方正仿宋_GBK"/>
          <w:bCs/>
          <w:sz w:val="28"/>
          <w:szCs w:val="28"/>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3" w:name="_Hlt26954846"/>
      <w:r/>
      <w:bookmarkEnd w:id="103"/>
      <w:r/>
      <w:bookmarkStart w:id="104" w:name="_Hlt26670482"/>
      <w:r/>
      <w:bookmarkEnd w:id="104"/>
      <w:r/>
      <w:bookmarkStart w:id="105" w:name="_Hlt26954848"/>
      <w:r/>
      <w:bookmarkEnd w:id="105"/>
      <w:r/>
      <w:bookmarkStart w:id="106" w:name="_Hlt26954731"/>
      <w:r/>
      <w:bookmarkEnd w:id="106"/>
      <w:r/>
      <w:bookmarkStart w:id="107" w:name="_Hlt26670486"/>
      <w:r/>
      <w:bookmarkEnd w:id="107"/>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8" w:name="_Toc14577359"/>
      <w:r/>
      <w:bookmarkStart w:id="109" w:name="_Toc49090510"/>
      <w:r>
        <w:rPr>
          <w:rFonts w:hint="eastAsia" w:ascii="方正仿宋_GBK" w:hAnsi="方正仿宋_GBK" w:eastAsia="方正仿宋_GBK" w:cs="方正仿宋_GBK"/>
          <w:bCs/>
          <w:sz w:val="28"/>
          <w:szCs w:val="28"/>
        </w:rPr>
        <w:t xml:space="preserve">14.投标函和开标一览表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08"/>
      <w:r/>
      <w:bookmarkEnd w:id="109"/>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14577360"/>
      <w:r/>
      <w:bookmarkStart w:id="111" w:name="_Toc49090511"/>
      <w:r>
        <w:rPr>
          <w:rFonts w:hint="eastAsia" w:ascii="方正仿宋_GBK" w:hAnsi="方正仿宋_GBK" w:eastAsia="方正仿宋_GBK" w:cs="方正仿宋_GBK"/>
          <w:bCs/>
          <w:sz w:val="28"/>
          <w:szCs w:val="28"/>
        </w:rPr>
        <w:t xml:space="preserve">15.投标有效期</w:t>
      </w:r>
      <w:bookmarkEnd w:id="110"/>
      <w:r/>
      <w:bookmarkEnd w:id="11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12" w:name="_Hlt26954852"/>
      <w:r/>
      <w:bookmarkEnd w:id="112"/>
      <w:r/>
      <w:bookmarkStart w:id="113" w:name="_Hlt26954739"/>
      <w:r/>
      <w:bookmarkEnd w:id="113"/>
      <w:r/>
      <w:bookmarkStart w:id="114" w:name="_Toc513029224"/>
      <w:r/>
      <w:bookmarkStart w:id="115" w:name="_Toc16938540"/>
      <w:r/>
      <w:bookmarkStart w:id="116" w:name="_Toc20823296"/>
      <w:r/>
      <w:bookmarkStart w:id="117" w:name="_Toc120614217"/>
      <w:r>
        <w:rPr>
          <w:rFonts w:hint="eastAsia" w:ascii="方正黑体_GBK" w:hAnsi="方正黑体_GBK" w:eastAsia="方正黑体_GBK" w:cs="方正黑体_GBK"/>
          <w:color w:val="000000"/>
          <w:sz w:val="28"/>
          <w:szCs w:val="28"/>
        </w:rPr>
        <w:t xml:space="preserve">四、投标文件的递交</w:t>
      </w:r>
      <w:bookmarkEnd w:id="114"/>
      <w:r/>
      <w:bookmarkEnd w:id="115"/>
      <w:r/>
      <w:bookmarkEnd w:id="116"/>
      <w:r/>
      <w:bookmarkEnd w:id="117"/>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20823297"/>
      <w:r/>
      <w:bookmarkStart w:id="120" w:name="_Toc513029225"/>
      <w:r/>
      <w:bookmarkStart w:id="121" w:name="_Toc16938541"/>
      <w:r>
        <w:rPr>
          <w:rFonts w:hint="eastAsia" w:ascii="方正仿宋_GBK" w:hAnsi="方正仿宋_GBK" w:eastAsia="方正仿宋_GBK" w:cs="方正仿宋_GBK"/>
          <w:bCs/>
          <w:sz w:val="28"/>
          <w:szCs w:val="28"/>
        </w:rPr>
        <w:t xml:space="preserve">17.电子投标文件</w:t>
      </w:r>
      <w:bookmarkEnd w:id="118"/>
      <w:r/>
      <w:bookmarkEnd w:id="119"/>
      <w:r/>
      <w:bookmarkEnd w:id="120"/>
      <w:r/>
      <w:bookmarkEnd w:id="121"/>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2" w:name="_Toc513029226"/>
      <w:r/>
      <w:bookmarkStart w:id="123" w:name="_Toc20823298"/>
      <w:r/>
      <w:bookmarkStart w:id="124" w:name="_Toc1693854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22"/>
      <w:r/>
      <w:bookmarkEnd w:id="123"/>
      <w:r/>
      <w:bookmarkEnd w:id="12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16938543"/>
      <w:r/>
      <w:bookmarkStart w:id="126" w:name="_Toc20823299"/>
      <w:r/>
      <w:bookmarkStart w:id="127" w:name="_Toc513029227"/>
      <w:r>
        <w:rPr>
          <w:rFonts w:hint="eastAsia" w:ascii="方正仿宋_GBK" w:hAnsi="方正仿宋_GBK" w:eastAsia="方正仿宋_GBK" w:cs="方正仿宋_GBK"/>
          <w:bCs/>
          <w:sz w:val="28"/>
          <w:szCs w:val="28"/>
        </w:rPr>
        <w:t xml:space="preserve">19.投标文件</w:t>
      </w:r>
      <w:bookmarkEnd w:id="125"/>
      <w:r/>
      <w:bookmarkEnd w:id="126"/>
      <w:r/>
      <w:bookmarkEnd w:id="127"/>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16938544"/>
      <w:r/>
      <w:bookmarkStart w:id="130" w:name="_Toc513029228"/>
      <w:r>
        <w:rPr>
          <w:rFonts w:hint="eastAsia" w:ascii="方正仿宋_GBK" w:hAnsi="方正仿宋_GBK" w:eastAsia="方正仿宋_GBK" w:cs="方正仿宋_GBK"/>
          <w:bCs/>
          <w:sz w:val="28"/>
          <w:szCs w:val="28"/>
        </w:rPr>
        <w:t xml:space="preserve">20.投标文件的撤回和修改</w:t>
      </w:r>
      <w:bookmarkEnd w:id="128"/>
      <w:r/>
      <w:bookmarkEnd w:id="129"/>
      <w:r/>
      <w:bookmarkEnd w:id="130"/>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31" w:name="_Toc120614218"/>
      <w:r/>
      <w:bookmarkStart w:id="132" w:name="_Toc20823301"/>
      <w:r/>
      <w:bookmarkStart w:id="133" w:name="_Toc513029229"/>
      <w:r/>
      <w:bookmarkStart w:id="134" w:name="_Toc16938545"/>
      <w:r>
        <w:rPr>
          <w:rFonts w:hint="eastAsia" w:ascii="方正黑体_GBK" w:hAnsi="方正黑体_GBK" w:eastAsia="方正黑体_GBK" w:cs="方正黑体_GBK"/>
          <w:color w:val="000000"/>
          <w:sz w:val="28"/>
          <w:szCs w:val="28"/>
        </w:rPr>
        <w:t xml:space="preserve">五、开标与评标</w:t>
      </w:r>
      <w:bookmarkEnd w:id="131"/>
      <w:r/>
      <w:bookmarkEnd w:id="132"/>
      <w:r/>
      <w:bookmarkEnd w:id="133"/>
      <w:r/>
      <w:bookmarkEnd w:id="13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5" w:name="_Toc20823302"/>
      <w:r/>
      <w:bookmarkStart w:id="136" w:name="_Toc16938546"/>
      <w:r/>
      <w:bookmarkStart w:id="137" w:name="_Toc513029230"/>
      <w:r>
        <w:rPr>
          <w:rFonts w:hint="eastAsia" w:ascii="方正仿宋_GBK" w:hAnsi="方正仿宋_GBK" w:eastAsia="方正仿宋_GBK" w:cs="方正仿宋_GBK"/>
          <w:bCs/>
          <w:sz w:val="28"/>
          <w:szCs w:val="28"/>
        </w:rPr>
        <w:t xml:space="preserve">21.开标</w:t>
      </w:r>
      <w:bookmarkEnd w:id="135"/>
      <w:r/>
      <w:bookmarkEnd w:id="136"/>
      <w:r/>
      <w:bookmarkEnd w:id="13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20823303"/>
      <w:r/>
      <w:bookmarkStart w:id="139" w:name="_Toc513029231"/>
      <w:r/>
      <w:bookmarkStart w:id="140" w:name="_Toc16938547"/>
      <w:r>
        <w:rPr>
          <w:rFonts w:hint="eastAsia" w:ascii="方正仿宋_GBK" w:hAnsi="方正仿宋_GBK" w:eastAsia="方正仿宋_GBK" w:cs="方正仿宋_GBK"/>
          <w:bCs/>
          <w:sz w:val="28"/>
          <w:szCs w:val="28"/>
        </w:rPr>
        <w:t xml:space="preserve">22.评标委员会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22.3评标委员会独立工作，负责评审所有投标文件并确定中标候选人。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bookmarkEnd w:id="138"/>
      <w:r/>
      <w:bookmarkEnd w:id="139"/>
      <w:r/>
      <w:bookmarkEnd w:id="140"/>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1" w:name="_Toc513029232"/>
      <w:r/>
      <w:bookmarkStart w:id="142" w:name="_Toc16938548"/>
      <w:r/>
      <w:bookmarkStart w:id="143" w:name="_Toc20823304"/>
      <w:r>
        <w:rPr>
          <w:rFonts w:hint="eastAsia" w:ascii="方正仿宋_GBK" w:hAnsi="方正仿宋_GBK" w:eastAsia="方正仿宋_GBK" w:cs="方正仿宋_GBK"/>
          <w:bCs/>
          <w:sz w:val="28"/>
          <w:szCs w:val="28"/>
        </w:rPr>
        <w:t xml:space="preserve">24.投标文件的澄清</w:t>
      </w:r>
      <w:bookmarkEnd w:id="141"/>
      <w:r/>
      <w:bookmarkEnd w:id="142"/>
      <w:r/>
      <w:bookmarkEnd w:id="143"/>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4" w:name="_Toc20823305"/>
      <w:r/>
      <w:bookmarkStart w:id="145" w:name="_Toc513029233"/>
      <w:r/>
      <w:bookmarkStart w:id="146" w:name="_Toc16938549"/>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44"/>
      <w:r/>
      <w:bookmarkEnd w:id="145"/>
      <w:r/>
      <w:bookmarkEnd w:id="14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7" w:name="_Toc513029234"/>
      <w:r/>
      <w:bookmarkStart w:id="148" w:name="_Toc16938550"/>
      <w:r/>
      <w:bookmarkStart w:id="149" w:name="_Toc20823306"/>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（3）投标报价低于采购项目最高限价45%的，即投标报价&lt;采购项目最高限价×45%；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7"/>
      <w:r/>
      <w:bookmarkEnd w:id="148"/>
      <w:r/>
      <w:bookmarkEnd w:id="149"/>
      <w:r>
        <w:rPr>
          <w:rFonts w:hint="eastAsia" w:ascii="方正仿宋_GBK" w:hAnsi="方正仿宋_GBK" w:eastAsia="方正仿宋_GBK" w:cs="方正仿宋_GBK"/>
          <w:sz w:val="28"/>
          <w:szCs w:val="28"/>
        </w:rPr>
        <w:t xml:space="preserve">6.无效投标条款和废标条款</w:t>
      </w:r>
      <w:bookmarkStart w:id="150" w:name="_Toc513029235"/>
      <w:r/>
      <w:bookmarkStart w:id="151" w:name="_Toc16938551"/>
      <w:r/>
      <w:bookmarkStart w:id="152" w:name="_Toc20823307"/>
      <w:r/>
      <w:r/>
    </w:p>
    <w:p>
      <w:pPr>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p>
    <w:p>
      <w:pPr>
        <w:ind w:firstLine="560"/>
        <w:spacing w:line="400" w:lineRule="exact"/>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.1.14其他法律、法规及本招标文件规定的属无效投标的情形。</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 </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53" w:name="_Toc120614219"/>
      <w:r>
        <w:rPr>
          <w:rFonts w:hint="eastAsia" w:ascii="方正黑体_GBK" w:hAnsi="方正黑体_GBK" w:eastAsia="方正黑体_GBK" w:cs="方正黑体_GBK"/>
          <w:color w:val="000000"/>
          <w:sz w:val="28"/>
          <w:szCs w:val="28"/>
        </w:rPr>
        <w:t xml:space="preserve">六、</w:t>
      </w:r>
      <w:bookmarkEnd w:id="150"/>
      <w:r/>
      <w:bookmarkEnd w:id="151"/>
      <w:r/>
      <w:bookmarkEnd w:id="152"/>
      <w:r>
        <w:rPr>
          <w:rFonts w:hint="eastAsia" w:ascii="方正黑体_GBK" w:hAnsi="方正黑体_GBK" w:eastAsia="方正黑体_GBK" w:cs="方正黑体_GBK"/>
          <w:color w:val="000000"/>
          <w:sz w:val="28"/>
          <w:szCs w:val="28"/>
        </w:rPr>
        <w:t xml:space="preserve">定标</w:t>
      </w:r>
      <w:bookmarkEnd w:id="153"/>
      <w:r/>
      <w:r/>
    </w:p>
    <w:p>
      <w:pPr>
        <w:ind w:firstLine="560"/>
        <w:keepLines/>
        <w:keepNext/>
        <w:spacing w:line="400" w:lineRule="exact"/>
        <w:rPr>
          <w:rFonts w:hint="eastAsia" w:ascii="方正仿宋_GBK" w:hAnsi="方正仿宋_GBK" w:eastAsia="方正仿宋_GBK" w:cs="方正仿宋_GBK"/>
          <w:bCs/>
          <w:color w:val="000000"/>
          <w:sz w:val="28"/>
          <w:szCs w:val="28"/>
        </w:rPr>
        <w:outlineLvl w:val="3"/>
      </w:pPr>
      <w:r/>
      <w:bookmarkStart w:id="154" w:name="_Toc513029238"/>
      <w:r/>
      <w:bookmarkStart w:id="155" w:name="_Toc16938554"/>
      <w:r/>
      <w:bookmarkStart w:id="156" w:name="_Toc20823310"/>
      <w:r>
        <w:rPr>
          <w:rFonts w:hint="eastAsia" w:ascii="方正仿宋_GBK" w:hAnsi="方正仿宋_GBK" w:eastAsia="方正仿宋_GBK" w:cs="方正仿宋_GBK"/>
          <w:bCs/>
          <w:color w:val="000000"/>
          <w:sz w:val="28"/>
          <w:szCs w:val="28"/>
        </w:rPr>
        <w:t xml:space="preserve">27</w:t>
      </w:r>
      <w:bookmarkEnd w:id="154"/>
      <w:r>
        <w:rPr>
          <w:rFonts w:hint="eastAsia" w:ascii="方正仿宋_GBK" w:hAnsi="方正仿宋_GBK" w:eastAsia="方正仿宋_GBK" w:cs="方正仿宋_GBK"/>
          <w:bCs/>
          <w:color w:val="000000"/>
          <w:sz w:val="28"/>
          <w:szCs w:val="28"/>
        </w:rPr>
        <w:t xml:space="preserve">.确定</w:t>
      </w:r>
      <w:bookmarkEnd w:id="155"/>
      <w:r/>
      <w:bookmarkEnd w:id="156"/>
      <w:r>
        <w:rPr>
          <w:rFonts w:hint="eastAsia" w:ascii="方正仿宋_GBK" w:hAnsi="方正仿宋_GBK" w:eastAsia="方正仿宋_GBK" w:cs="方正仿宋_GBK"/>
          <w:bCs/>
          <w:color w:val="000000"/>
          <w:sz w:val="28"/>
          <w:szCs w:val="28"/>
        </w:rPr>
        <w:t xml:space="preserve">中标单位</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采购人应根据评标委员会推荐的中标候选人确定中标供应商。</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p>
    <w:p>
      <w:pPr>
        <w:ind w:firstLine="560"/>
        <w:spacing w:line="400" w:lineRule="exact"/>
        <w:rPr>
          <w:rFonts w:hint="eastAsia" w:ascii="方正仿宋_GBK" w:hAnsi="方正仿宋_GBK" w:eastAsia="方正仿宋_GBK" w:cs="方正仿宋_GBK"/>
          <w:color w:val="000000"/>
          <w:sz w:val="28"/>
          <w:szCs w:val="28"/>
        </w:rPr>
      </w:pPr>
      <w:r/>
      <w:bookmarkStart w:id="157" w:name="_Toc200451960"/>
      <w:r>
        <w:rPr>
          <w:rFonts w:hint="eastAsia" w:ascii="方正仿宋_GBK" w:hAnsi="方正仿宋_GBK" w:eastAsia="方正仿宋_GBK" w:cs="方正仿宋_GBK"/>
          <w:color w:val="000000"/>
          <w:sz w:val="28"/>
          <w:szCs w:val="28"/>
        </w:rPr>
        <w:t xml:space="preserve">27.5 有下列情形之一的，视为投标人串通投标，投标无效：</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28.质疑处理</w:t>
      </w:r>
      <w:bookmarkEnd w:id="157"/>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29.中标通知书</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keepNext/>
        <w:spacing w:line="400" w:lineRule="exact"/>
        <w:rPr>
          <w:rFonts w:hint="eastAsia" w:ascii="方正黑体_GBK" w:hAnsi="方正黑体_GBK" w:eastAsia="方正黑体_GBK" w:cs="方正黑体_GBK"/>
          <w:color w:val="000000"/>
          <w:sz w:val="28"/>
          <w:szCs w:val="28"/>
        </w:rPr>
        <w:outlineLvl w:val="0"/>
      </w:pPr>
      <w:r/>
      <w:bookmarkStart w:id="158" w:name="_Toc120614220"/>
      <w:r/>
      <w:bookmarkStart w:id="159" w:name="_Toc20823308"/>
      <w:r/>
      <w:bookmarkStart w:id="160" w:name="_Toc513029236"/>
      <w:r/>
      <w:bookmarkStart w:id="161" w:name="_Toc16938552"/>
      <w:r>
        <w:rPr>
          <w:rFonts w:hint="eastAsia" w:ascii="方正黑体_GBK" w:hAnsi="方正黑体_GBK" w:eastAsia="方正黑体_GBK" w:cs="方正黑体_GBK"/>
          <w:color w:val="000000"/>
          <w:sz w:val="28"/>
          <w:szCs w:val="28"/>
        </w:rPr>
        <w:t xml:space="preserve">七、授予合同</w:t>
      </w:r>
      <w:bookmarkEnd w:id="158"/>
      <w:r/>
      <w:bookmarkEnd w:id="159"/>
      <w:r/>
      <w:bookmarkEnd w:id="160"/>
      <w:r/>
      <w:bookmarkEnd w:id="161"/>
      <w:r/>
      <w:r/>
    </w:p>
    <w:p>
      <w:pPr>
        <w:ind w:firstLine="560"/>
        <w:spacing w:line="400" w:lineRule="exact"/>
        <w:rPr>
          <w:rFonts w:hint="eastAsia" w:ascii="方正仿宋_GBK" w:hAnsi="方正仿宋_GBK" w:eastAsia="方正仿宋_GBK" w:cs="方正仿宋_GBK"/>
          <w:color w:val="000000"/>
          <w:sz w:val="28"/>
          <w:szCs w:val="28"/>
        </w:rPr>
      </w:pPr>
      <w:r/>
      <w:bookmarkStart w:id="162" w:name="_Toc513029237"/>
      <w:r/>
      <w:bookmarkStart w:id="163" w:name="_Toc16938553"/>
      <w:r/>
      <w:bookmarkStart w:id="164" w:name="_Toc20823309"/>
      <w:r>
        <w:rPr>
          <w:rFonts w:hint="eastAsia" w:ascii="方正仿宋_GBK" w:hAnsi="方正仿宋_GBK" w:eastAsia="方正仿宋_GBK" w:cs="方正仿宋_GBK"/>
          <w:color w:val="000000"/>
          <w:sz w:val="28"/>
          <w:szCs w:val="28"/>
        </w:rPr>
        <w:t xml:space="preserve">30.签订合同</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31.货物（包含与货物相关的服务）的追加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r/>
      <w:bookmarkEnd w:id="163"/>
      <w:r/>
      <w:bookmarkEnd w:id="164"/>
      <w:r/>
      <w:r/>
    </w:p>
    <w:p>
      <w:pPr>
        <w:ind w:firstLine="560"/>
        <w:spacing w:line="400" w:lineRule="exact"/>
        <w:rPr>
          <w:rFonts w:hint="eastAsia" w:ascii="方正仿宋_GBK" w:hAnsi="方正仿宋_GBK" w:eastAsia="方正仿宋_GBK" w:cs="方正仿宋_GBK"/>
          <w:color w:val="000000"/>
          <w:sz w:val="28"/>
          <w:szCs w:val="28"/>
        </w:rPr>
      </w:pPr>
      <w:r/>
      <w:bookmarkStart w:id="165" w:name="_Toc513029242"/>
      <w:r/>
      <w:bookmarkStart w:id="166" w:name="_Toc16938558"/>
      <w:r/>
      <w:bookmarkStart w:id="167" w:name="_Toc120614221"/>
      <w:r/>
      <w:bookmarkStart w:id="168" w:name="_Toc479757207"/>
      <w:r/>
      <w:bookmarkStart w:id="169" w:name="_Toc20823314"/>
      <w:r>
        <w:rPr>
          <w:rFonts w:hint="eastAsia" w:ascii="方正仿宋_GBK" w:hAnsi="方正仿宋_GBK" w:eastAsia="方正仿宋_GBK" w:cs="方正仿宋_GBK"/>
          <w:color w:val="000000"/>
          <w:sz w:val="28"/>
          <w:szCs w:val="28"/>
        </w:rPr>
        <w:t xml:space="preserve">32.政府采购履约资金扶持政策</w:t>
      </w:r>
      <w:r/>
    </w:p>
    <w:p>
      <w:pPr>
        <w:ind w:firstLine="560"/>
        <w:spacing w:line="400" w:lineRule="exact"/>
        <w:rPr>
          <w:rFonts w:hint="eastAsia" w:ascii="黑体" w:eastAsia="黑体"/>
          <w:bCs/>
          <w:color w:val="000000"/>
          <w:sz w:val="44"/>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spacing w:line="66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color w:val="000000"/>
          <w:sz w:val="28"/>
          <w:szCs w:val="28"/>
        </w:rPr>
        <w:t xml:space="preserve">文本</w:t>
      </w:r>
      <w:r/>
    </w:p>
    <w:p>
      <w:pPr>
        <w:pStyle w:val="982"/>
        <w:jc w:val="center"/>
        <w:spacing w:line="660" w:lineRule="exact"/>
        <w:rPr>
          <w:rFonts w:hint="eastAsia" w:ascii="方正黑体_GBK" w:hAnsi="方正黑体_GBK" w:eastAsia="方正黑体_GBK" w:cs="方正黑体_GBK"/>
          <w:spacing w:val="-20"/>
        </w:rPr>
      </w:pPr>
      <w:r/>
      <w:bookmarkStart w:id="170" w:name="_Hlt16619350"/>
      <w:r/>
      <w:bookmarkStart w:id="171" w:name="_Toc16938590"/>
      <w:r/>
      <w:bookmarkStart w:id="172" w:name="_Toc120614244"/>
      <w:r/>
      <w:bookmarkStart w:id="173" w:name="_Toc20823346"/>
      <w:r/>
      <w:bookmarkStart w:id="174" w:name="_Toc462564139"/>
      <w:r/>
      <w:bookmarkStart w:id="175" w:name="_Toc479757211"/>
      <w:r>
        <w:rPr>
          <w:rFonts w:hint="eastAsia" w:ascii="方正黑体_GBK" w:hAnsi="方正黑体_GBK" w:eastAsia="方正黑体_GBK" w:cs="方正黑体_GBK"/>
          <w:spacing w:val="-20"/>
        </w:rPr>
        <w:t xml:space="preserve">财政部 政府采购货物买卖合同（试行）</w:t>
      </w:r>
      <w:r/>
    </w:p>
    <w:p>
      <w:pPr>
        <w:pStyle w:val="982"/>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ascii="宋体" w:hAnsi="宋体" w:cs="宋体"/>
          <w:b/>
          <w:bCs/>
          <w:spacing w:val="-20"/>
          <w:sz w:val="28"/>
          <w:szCs w:val="28"/>
        </w:rPr>
      </w:pPr>
      <w:r>
        <w:rPr>
          <w:rFonts w:ascii="宋体" w:hAnsi="宋体" w:cs="宋体"/>
          <w:b/>
          <w:bCs/>
          <w:spacing w:val="-20"/>
          <w:sz w:val="28"/>
          <w:szCs w:val="28"/>
        </w:rPr>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rFonts w:eastAsia="黑体"/>
          <w:sz w:val="28"/>
          <w:szCs w:val="28"/>
        </w:rPr>
      </w:pPr>
      <w:r>
        <w:rPr>
          <w:rFonts w:eastAsia="黑体"/>
          <w:sz w:val="28"/>
          <w:szCs w:val="28"/>
        </w:rPr>
      </w:r>
      <w:r/>
    </w:p>
    <w:p>
      <w:pP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p>
    <w:p>
      <w:pPr>
        <w:pStyle w:val="953"/>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984"/>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984"/>
        <w:numPr>
          <w:ilvl w:val="0"/>
          <w:numId w:val="6"/>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984"/>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984"/>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64"/>
        <w:ind w:firstLine="560"/>
        <w:jc w:val="both"/>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64"/>
        <w:ind w:firstLine="560"/>
        <w:jc w:val="both"/>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064"/>
        <w:ind w:firstLine="560"/>
        <w:jc w:val="both"/>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64"/>
        <w:ind w:firstLine="560"/>
        <w:jc w:val="both"/>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64"/>
        <w:ind w:firstLine="840"/>
        <w:jc w:val="both"/>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ind w:firstLine="48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þ</w:t>
      </w:r>
      <w:r>
        <w:rPr>
          <w:rFonts w:hint="eastAsia" w:ascii="方正仿宋_GBK" w:hAnsi="方正仿宋_GBK" w:eastAsia="方正仿宋_GBK" w:cs="方正仿宋_GBK"/>
          <w:sz w:val="28"/>
          <w:szCs w:val="28"/>
        </w:rPr>
        <w:t xml:space="preserve">分期付款：</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（1）合同签订后15个工作日内，甲方应甲方以银行转账方式向乙方支付合同设备金额的30%作为预付款。</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（2）项目安装调试完成通过验收合格，并收到发票后10个工作日内付清所有合同款。</w:t>
      </w:r>
      <w:r/>
    </w:p>
    <w:p>
      <w:pPr>
        <w:ind w:firstLine="480"/>
        <w:rPr>
          <w:rFonts w:ascii="宋体" w:hAnsi="宋体" w:cs="宋体"/>
          <w:sz w:val="24"/>
        </w:rPr>
      </w:pPr>
      <w:r>
        <w:rPr>
          <w:rFonts w:hint="eastAsia" w:ascii="宋体" w:hAnsi="宋体" w:cs="宋体"/>
          <w:sz w:val="24"/>
        </w:rPr>
        <w:t xml:space="preserve">以上均不计息。</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 否</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32"/>
        <w:jc w:val="both"/>
        <w:spacing w:line="400" w:lineRule="exact"/>
        <w:rPr>
          <w:sz w:val="28"/>
          <w:szCs w:val="28"/>
          <w:lang w:eastAsia="zh-CN"/>
        </w:rPr>
      </w:pPr>
      <w:r>
        <w:rPr>
          <w:sz w:val="28"/>
          <w:szCs w:val="28"/>
          <w:lang w:eastAsia="zh-CN"/>
        </w:rPr>
      </w:r>
      <w:r/>
    </w:p>
    <w:tbl>
      <w:tblPr>
        <w:tblStyle w:val="78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W w:w="394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666" w:type="dxa"/>
            <w:vAlign w:val="center"/>
            <w:vMerge w:val="restart"/>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W w:w="126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W w:w="1264" w:type="dxa"/>
            <w:vAlign w:val="center"/>
            <w:textDirection w:val="lrTb"/>
            <w:noWrap w:val="false"/>
          </w:tcPr>
          <w:p>
            <w:pP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84"/>
              <w:ind w:left="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953"/>
        <w:spacing w:line="400" w:lineRule="exact"/>
        <w:rPr>
          <w:rFonts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（1）采购人（以下简称甲方）是指使用财政性资金，通过政府采购方式向供应商购买货物及其相关服务的国家机关、事业单位、团体组织。</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（2）供应商（以下简称乙方）是指参加政府采购活动并且中标（成交），向采购人提供合同约定的货物及其相关服务的法人、非法人组织或者自然人。</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64"/>
        <w:numPr>
          <w:ilvl w:val="0"/>
          <w:numId w:val="7"/>
        </w:numPr>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 经营状况严重恶化；2. 转移财产、抽逃资金，以逃避债务；3. 丧失商业信誉；4. 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64"/>
        <w:numPr>
          <w:ilvl w:val="0"/>
          <w:numId w:val="8"/>
        </w:numPr>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64"/>
        <w:ind w:firstLine="560"/>
        <w:jc w:val="both"/>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乙方不得将合同转包或分包给其他供应商。</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本合同一方给另一方的通知均应采用书面形式，传真或快递送到本合同中规定的对方的地址和办理签收手续。</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64"/>
        <w:ind w:firstLine="56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953"/>
        <w:spacing w:line="40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p>
    <w:tbl>
      <w:tblPr>
        <w:tblStyle w:val="78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64"/>
              <w:ind w:firstLine="0"/>
              <w:jc w:val="both"/>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W w:w="3065" w:type="dxa"/>
            <w:vAlign w:val="center"/>
            <w:textDirection w:val="lrTb"/>
            <w:noWrap w:val="false"/>
          </w:tcPr>
          <w:p>
            <w:pPr>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82"/>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w:t>
      </w:r>
      <w:bookmarkEnd w:id="170"/>
      <w:r>
        <w:rPr>
          <w:rFonts w:hint="eastAsia" w:ascii="黑体" w:hAnsi="黑体" w:eastAsia="黑体"/>
          <w:b w:val="0"/>
          <w:bCs w:val="0"/>
          <w:sz w:val="28"/>
          <w:szCs w:val="28"/>
        </w:rPr>
        <w:t xml:space="preserve">四章 采购需求</w:t>
      </w:r>
      <w:bookmarkEnd w:id="171"/>
      <w:r/>
      <w:bookmarkEnd w:id="172"/>
      <w:r/>
      <w:bookmarkEnd w:id="173"/>
      <w:r/>
      <w:r/>
    </w:p>
    <w:p>
      <w:pPr>
        <w:pStyle w:val="953"/>
        <w:jc w:val="both"/>
        <w:spacing w:line="400" w:lineRule="exact"/>
        <w:rPr>
          <w:rFonts w:hint="eastAsia" w:ascii="黑体" w:hAnsi="黑体" w:eastAsia="黑体"/>
          <w:b w:val="0"/>
          <w:bCs w:val="0"/>
          <w:sz w:val="28"/>
          <w:szCs w:val="28"/>
        </w:rPr>
      </w:pPr>
      <w:r/>
      <w:bookmarkStart w:id="176" w:name="_Toc26554093"/>
      <w:r/>
      <w:bookmarkStart w:id="177" w:name="_Toc49090575"/>
      <w:r>
        <w:rPr>
          <w:rFonts w:hint="eastAsia" w:ascii="黑体" w:hAnsi="黑体" w:eastAsia="黑体"/>
          <w:b w:val="0"/>
          <w:bCs w:val="0"/>
          <w:sz w:val="28"/>
          <w:szCs w:val="28"/>
        </w:rPr>
        <w:t xml:space="preserve">一、采购标的清单</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11"/>
        <w:gridCol w:w="2913"/>
        <w:gridCol w:w="4236"/>
      </w:tblGrid>
      <w:tr>
        <w:trPr>
          <w:cantSplit/>
          <w:jc w:val="center"/>
          <w:trHeight w:val="701"/>
        </w:trPr>
        <w:tc>
          <w:tcPr>
            <w:tcW w:w="827"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1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423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827" w:type="dxa"/>
            <w:vAlign w:val="center"/>
            <w:vMerge w:val="restart"/>
            <w:textDirection w:val="lrTb"/>
            <w:noWrap w:val="false"/>
          </w:tcPr>
          <w:p>
            <w:pPr>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1</w:t>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13"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激光投影机</w:t>
            </w:r>
            <w:r/>
          </w:p>
        </w:tc>
        <w:tc>
          <w:tcPr>
            <w:tcW w:w="4236" w:type="dxa"/>
            <w:vAlign w:val="center"/>
            <w:textDirection w:val="lrTb"/>
            <w:noWrap w:val="false"/>
          </w:tcPr>
          <w:p>
            <w:pPr>
              <w:jc w:val="center"/>
              <w:widowControl/>
              <w:rPr>
                <w:rFonts w:hint="eastAsia" w:eastAsia="方正仿宋_GBK"/>
                <w:sz w:val="28"/>
                <w:szCs w:val="28"/>
              </w:rPr>
            </w:pPr>
            <w:r>
              <w:rPr>
                <w:rFonts w:hint="eastAsia" w:ascii="宋体" w:hAnsi="宋体" w:cs="宋体"/>
                <w:color w:val="000000"/>
                <w:sz w:val="22"/>
                <w:lang w:bidi="ar"/>
              </w:rPr>
              <w:t xml:space="preserve">工业</w:t>
            </w:r>
            <w:r/>
          </w:p>
        </w:tc>
      </w:tr>
      <w:tr>
        <w:trPr>
          <w:cantSplit/>
          <w:jc w:val="center"/>
          <w:trHeight w:val="235"/>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高清投影幕布</w:t>
            </w:r>
            <w:r/>
          </w:p>
        </w:tc>
        <w:tc>
          <w:tcPr>
            <w:tcW w:w="4236" w:type="dxa"/>
            <w:vAlign w:val="center"/>
            <w:textDirection w:val="lrTb"/>
            <w:noWrap w:val="false"/>
          </w:tcPr>
          <w:p>
            <w:pPr>
              <w:jc w:val="center"/>
              <w:widowControl/>
              <w:rPr>
                <w:rFonts w:eastAsia="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辅显电视机</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扩声系统主机</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讲台桌面鹅颈麦克风</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红外无线麦克风</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红外接收器</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线阵列音柱</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中控主机</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中控面板</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2913"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教师机主机</w:t>
            </w:r>
            <w:r/>
          </w:p>
          <w:p>
            <w:pPr>
              <w:jc w:val="center"/>
              <w:spacing w:line="400" w:lineRule="exact"/>
              <w:rPr>
                <w:rFonts w:hint="eastAsia" w:eastAsia="方正仿宋_GBK"/>
                <w:sz w:val="28"/>
                <w:szCs w:val="28"/>
              </w:rPr>
            </w:pPr>
            <w:r>
              <w:rPr>
                <w:rFonts w:hint="eastAsia" w:eastAsia="方正仿宋_GBK"/>
                <w:sz w:val="28"/>
                <w:szCs w:val="28"/>
              </w:rPr>
              <w:t xml:space="preserve">（塔式工作站）</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电容触摸屏</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highlight w:val="yellow"/>
              </w:rPr>
            </w:pPr>
            <w:r>
              <w:rPr>
                <w:rFonts w:hint="eastAsia" w:ascii="宋体" w:hAnsi="宋体" w:cs="宋体"/>
                <w:color w:val="000000"/>
                <w:sz w:val="22"/>
                <w:lang w:bidi="ar"/>
              </w:rPr>
              <w:t xml:space="preserve">工业</w:t>
            </w:r>
            <w:r/>
          </w:p>
        </w:tc>
      </w:tr>
      <w:tr>
        <w:trPr>
          <w:cantSplit/>
          <w:jc w:val="center"/>
          <w:trHeight w:val="222"/>
        </w:trPr>
        <w:tc>
          <w:tcPr>
            <w:tcW w:w="827" w:type="dxa"/>
            <w:vAlign w:val="top"/>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1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2913" w:type="dxa"/>
            <w:vAlign w:val="center"/>
            <w:textDirection w:val="lrTb"/>
            <w:noWrap w:val="false"/>
          </w:tcPr>
          <w:p>
            <w:pPr>
              <w:jc w:val="center"/>
              <w:spacing w:line="400" w:lineRule="exact"/>
              <w:rPr>
                <w:rFonts w:hint="eastAsia" w:eastAsia="方正仿宋_GBK"/>
                <w:sz w:val="28"/>
                <w:szCs w:val="28"/>
              </w:rPr>
            </w:pPr>
            <w:r>
              <w:rPr>
                <w:rFonts w:hint="eastAsia" w:eastAsia="方正仿宋_GBK"/>
                <w:sz w:val="28"/>
                <w:szCs w:val="28"/>
              </w:rPr>
              <w:t xml:space="preserve">服务器</w:t>
            </w:r>
            <w:r/>
          </w:p>
        </w:tc>
        <w:tc>
          <w:tcPr>
            <w:tcW w:w="4236" w:type="dxa"/>
            <w:vAlign w:val="center"/>
            <w:textDirection w:val="lrTb"/>
            <w:noWrap w:val="false"/>
          </w:tcPr>
          <w:p>
            <w:pPr>
              <w:jc w:val="center"/>
              <w:widowControl/>
              <w:rPr>
                <w:rFonts w:hint="eastAsia" w:ascii="方正仿宋_GBK" w:hAnsi="方正仿宋_GBK" w:eastAsia="方正仿宋_GBK" w:cs="方正仿宋_GBK"/>
                <w:sz w:val="28"/>
                <w:szCs w:val="28"/>
                <w:highlight w:val="yellow"/>
              </w:rPr>
            </w:pPr>
            <w:r>
              <w:rPr>
                <w:rFonts w:hint="eastAsia" w:ascii="宋体" w:hAnsi="宋体" w:cs="宋体"/>
                <w:color w:val="000000"/>
                <w:sz w:val="22"/>
                <w:lang w:bidi="ar"/>
              </w:rPr>
              <w:t xml:space="preserve">工业</w:t>
            </w:r>
            <w:r/>
          </w:p>
        </w:tc>
      </w:tr>
    </w:tbl>
    <w:p>
      <w:pPr>
        <w:pStyle w:val="953"/>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二、政府采购中实施本国产品标准及相关政策</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3"/>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p>
    <w:tbl>
      <w:tblPr>
        <w:tblStyle w:val="782"/>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179"/>
        <w:gridCol w:w="736"/>
        <w:gridCol w:w="706"/>
        <w:gridCol w:w="5721"/>
      </w:tblGrid>
      <w:tr>
        <w:trPr>
          <w:trHeight w:val="500"/>
        </w:trPr>
        <w:tc>
          <w:tcPr>
            <w:tcW w:w="713" w:type="dxa"/>
            <w:vAlign w:val="center"/>
            <w:textDirection w:val="lrTb"/>
            <w:noWrap w:val="false"/>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W w:w="1179" w:type="dxa"/>
            <w:vAlign w:val="center"/>
            <w:textDirection w:val="lrTb"/>
            <w:noWrap w:val="false"/>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W w:w="736" w:type="dxa"/>
            <w:vAlign w:val="center"/>
            <w:textDirection w:val="lrTb"/>
            <w:noWrap w:val="false"/>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W w:w="706" w:type="dxa"/>
            <w:vAlign w:val="center"/>
            <w:textDirection w:val="lrTb"/>
            <w:noWrap w:val="false"/>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W w:w="5721" w:type="dxa"/>
            <w:vAlign w:val="center"/>
            <w:textDirection w:val="lrTb"/>
            <w:noWrap/>
          </w:tcPr>
          <w:p>
            <w:pPr>
              <w:widowControl/>
              <w:rPr>
                <w:rFonts w:hint="eastAsia" w:ascii="宋体" w:hAnsi="宋体" w:cs="宋体"/>
                <w:b/>
                <w:bCs/>
                <w:color w:val="000000"/>
                <w:szCs w:val="21"/>
              </w:rPr>
            </w:pPr>
            <w:r>
              <w:rPr>
                <w:rFonts w:hint="eastAsia" w:ascii="宋体" w:hAnsi="宋体" w:cs="宋体"/>
                <w:b/>
                <w:bCs/>
                <w:color w:val="000000"/>
                <w:szCs w:val="21"/>
                <w:lang w:bidi="ar"/>
              </w:rPr>
              <w:t xml:space="preserve">技术参数</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激光投影机</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23</w:t>
            </w:r>
            <w:r/>
          </w:p>
        </w:tc>
        <w:tc>
          <w:tcPr>
            <w:tcW w:w="5721" w:type="dxa"/>
            <w:vAlign w:val="center"/>
            <w:textDirection w:val="lrTb"/>
            <w:noWrap w:val="false"/>
          </w:tcPr>
          <w:p>
            <w:pPr>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1.激光光源，光源寿命≥20000小时（标准模式），3LCD投影技术，亮度≥5200流明（符合ISO21118标准）；（投标人须提供产品彩页、官网截图、软件产品功能截图，且加盖公章，提供其中之一即可。）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2.▲液晶面板尺寸&gt;0.65英寸，搭载微透镜技术；分辨率≥1920*1200，动态对比度≥2500000:1；（投标人须提供产品彩页、官网截图、软件产品功能截图，且加盖公章，提供其中之一即可。）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3.接口配备：≥2个HDMI、≥1个HDBaseT接口、≥1个USB、≥1个RS-232C、≥1个RJ45；</w:t>
            </w:r>
            <w:r/>
          </w:p>
          <w:p>
            <w:pPr>
              <w:ind w:left="-105" w:right="-105"/>
              <w:widowControl/>
              <w:rPr>
                <w:rFonts w:hint="eastAsia" w:ascii="宋体" w:hAnsi="宋体" w:cs="宋体"/>
                <w:sz w:val="20"/>
                <w:szCs w:val="20"/>
              </w:rPr>
            </w:pPr>
            <w:r>
              <w:rPr>
                <w:rFonts w:hint="eastAsia" w:ascii="宋体" w:hAnsi="宋体" w:cs="宋体"/>
                <w:sz w:val="20"/>
                <w:szCs w:val="20"/>
              </w:rPr>
              <w:t xml:space="preserve">4.镜头光学变焦≥1.6 倍；</w:t>
            </w:r>
            <w:r/>
          </w:p>
          <w:p>
            <w:pPr>
              <w:ind w:left="-105" w:right="-105"/>
              <w:widowControl/>
              <w:rPr>
                <w:rFonts w:hint="eastAsia" w:ascii="宋体" w:hAnsi="宋体" w:cs="宋体"/>
                <w:sz w:val="20"/>
                <w:szCs w:val="20"/>
              </w:rPr>
            </w:pPr>
            <w:r>
              <w:rPr>
                <w:rFonts w:hint="eastAsia" w:ascii="宋体" w:hAnsi="宋体" w:cs="宋体"/>
                <w:sz w:val="20"/>
                <w:szCs w:val="20"/>
              </w:rPr>
              <w:t xml:space="preserve">5.镜头居中设计，镜头可垂直、水平位移；</w:t>
            </w:r>
            <w:r/>
          </w:p>
          <w:p>
            <w:pPr>
              <w:ind w:left="-105" w:right="-105"/>
              <w:widowControl/>
              <w:rPr>
                <w:rFonts w:hint="eastAsia" w:ascii="宋体" w:hAnsi="宋体" w:cs="宋体"/>
                <w:sz w:val="20"/>
                <w:szCs w:val="20"/>
              </w:rPr>
            </w:pPr>
            <w:r>
              <w:rPr>
                <w:rFonts w:hint="eastAsia" w:ascii="宋体" w:hAnsi="宋体" w:cs="宋体"/>
                <w:sz w:val="20"/>
                <w:szCs w:val="20"/>
              </w:rPr>
              <w:t xml:space="preserve">6.支持恒定亮度输出模式；</w:t>
            </w:r>
            <w:r/>
          </w:p>
          <w:p>
            <w:pPr>
              <w:ind w:left="-105" w:right="-105"/>
              <w:widowControl/>
              <w:rPr>
                <w:rFonts w:hint="eastAsia" w:ascii="宋体" w:hAnsi="宋体" w:cs="宋体"/>
                <w:sz w:val="20"/>
                <w:szCs w:val="20"/>
              </w:rPr>
            </w:pPr>
            <w:r>
              <w:rPr>
                <w:rFonts w:hint="eastAsia" w:ascii="宋体" w:hAnsi="宋体" w:cs="宋体"/>
                <w:sz w:val="20"/>
                <w:szCs w:val="20"/>
              </w:rPr>
              <w:t xml:space="preserve">7.支持快速启动，≤10秒迅速开机，无需等待；</w:t>
            </w:r>
            <w:r/>
          </w:p>
          <w:p>
            <w:pPr>
              <w:ind w:left="-105" w:right="-105"/>
              <w:widowControl/>
              <w:rPr>
                <w:rFonts w:hint="eastAsia" w:ascii="宋体" w:hAnsi="宋体" w:cs="宋体"/>
                <w:color w:val="000000"/>
                <w:szCs w:val="21"/>
              </w:rPr>
            </w:pPr>
            <w:r>
              <w:rPr>
                <w:rFonts w:hint="eastAsia" w:ascii="宋体" w:hAnsi="宋体" w:cs="宋体"/>
                <w:sz w:val="20"/>
                <w:szCs w:val="20"/>
              </w:rPr>
              <w:t xml:space="preserve">8.专业防尘过滤网≥20000小时。</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高清投影幕布</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块</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12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1.幕体规格：16:10 比例电动玻纤幕，按现场需求定制，单幅幕面最大定制尺寸不超过 150 英寸，玻纤涂层幕面，电动收放结构；</w:t>
            </w:r>
            <w:r/>
          </w:p>
          <w:p>
            <w:pPr>
              <w:ind w:left="-105" w:right="-105"/>
              <w:widowControl/>
              <w:rPr>
                <w:rFonts w:hint="eastAsia" w:ascii="宋体" w:hAnsi="宋体" w:cs="宋体"/>
                <w:sz w:val="20"/>
                <w:szCs w:val="20"/>
              </w:rPr>
            </w:pPr>
            <w:r>
              <w:rPr>
                <w:rFonts w:hint="eastAsia" w:ascii="宋体" w:hAnsi="宋体" w:cs="宋体"/>
                <w:sz w:val="20"/>
                <w:szCs w:val="20"/>
              </w:rPr>
              <w:t xml:space="preserve">2.光学性能：幕面亮度系数≥1.0，有效散射角＞150°，幕面解像力≥125 线对 /mm，色温差≤150K；</w:t>
            </w:r>
            <w:r/>
          </w:p>
          <w:p>
            <w:pPr>
              <w:ind w:left="-105" w:right="-105"/>
              <w:widowControl/>
              <w:rPr>
                <w:rFonts w:hint="eastAsia" w:ascii="宋体" w:hAnsi="宋体" w:cs="宋体"/>
                <w:sz w:val="20"/>
                <w:szCs w:val="20"/>
              </w:rPr>
            </w:pPr>
            <w:r>
              <w:rPr>
                <w:rFonts w:hint="eastAsia" w:ascii="宋体" w:hAnsi="宋体" w:cs="宋体"/>
                <w:sz w:val="20"/>
                <w:szCs w:val="20"/>
              </w:rPr>
              <w:t xml:space="preserve">3.环保阻燃：幕布基材及表面涂层环保阻燃，甲醛含量≤15mg/kg，幕面阻燃性能达到 B2 级及以上；</w:t>
            </w:r>
            <w:r/>
          </w:p>
          <w:p>
            <w:pPr>
              <w:ind w:left="-105" w:right="-105"/>
              <w:widowControl/>
              <w:rPr>
                <w:rFonts w:hint="eastAsia" w:ascii="宋体" w:hAnsi="宋体" w:cs="宋体"/>
                <w:color w:val="000000"/>
                <w:szCs w:val="21"/>
              </w:rPr>
            </w:pPr>
            <w:r>
              <w:rPr>
                <w:rFonts w:hint="eastAsia" w:ascii="宋体" w:hAnsi="宋体" w:cs="宋体"/>
                <w:sz w:val="20"/>
                <w:szCs w:val="20"/>
              </w:rPr>
              <w:t xml:space="preserve">4.驱动系统：采用优质管状静音驱动电机，具备墙面手动开关启停功能，预留 RS485 通讯接口，可接入中控系统实现联动控制。</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辅显电视机</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44</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rPr>
              <w:t xml:space="preserve">■</w:t>
            </w:r>
            <w:r>
              <w:rPr>
                <w:rFonts w:hint="eastAsia" w:ascii="宋体" w:hAnsi="宋体" w:cs="宋体"/>
                <w:sz w:val="20"/>
                <w:szCs w:val="20"/>
              </w:rPr>
              <w:t xml:space="preserve">液晶屏尺寸≥75寸，显示比例16:9，屏幕分辨率≥3840*2160，屏幕亮度≥350cd/㎡，静态对比度≥1000:1；（投标人须提供产品彩页、官网截图、软件产品功能截图，且加盖公章，提供其中之一即可。）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2.整机采用不低于安卓9.0系统，内置CPU性能≥四核A35，RAM≥2G，ROM≥32G；</w:t>
            </w:r>
            <w:r/>
          </w:p>
          <w:p>
            <w:pPr>
              <w:ind w:left="-105" w:right="-105"/>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rPr>
              <w:t xml:space="preserve">■</w:t>
            </w:r>
            <w:r>
              <w:rPr>
                <w:rFonts w:hint="eastAsia" w:ascii="宋体" w:hAnsi="宋体" w:cs="宋体"/>
                <w:sz w:val="20"/>
                <w:szCs w:val="20"/>
              </w:rPr>
              <w:t xml:space="preserve">I/O接口：≥2路HDMI IN，≥2路 USB接口，≥1路LINE OUT，≥1路RJ45 IN，≥1路RS232；（投标人须提供产品彩页、官网截图、软件产品功能截图，且加盖公章，提供其中之一即可。）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4.色域≥90%DCI-P3，可视角度：≥178°；</w:t>
            </w:r>
            <w:r/>
          </w:p>
          <w:p>
            <w:pPr>
              <w:ind w:left="-105" w:right="-105"/>
              <w:widowControl/>
              <w:rPr>
                <w:rFonts w:hint="eastAsia" w:ascii="宋体" w:hAnsi="宋体" w:cs="宋体"/>
                <w:sz w:val="20"/>
                <w:szCs w:val="20"/>
              </w:rPr>
            </w:pPr>
            <w:r>
              <w:rPr>
                <w:rFonts w:hint="eastAsia" w:ascii="宋体" w:hAnsi="宋体" w:cs="宋体"/>
                <w:sz w:val="20"/>
                <w:szCs w:val="20"/>
              </w:rPr>
              <w:t xml:space="preserve">5.开机无广告，可定制开机画面；</w:t>
            </w:r>
            <w:r/>
          </w:p>
          <w:p>
            <w:pPr>
              <w:ind w:left="-105" w:right="-105"/>
              <w:widowControl/>
              <w:rPr>
                <w:rFonts w:hint="eastAsia" w:ascii="宋体" w:hAnsi="宋体" w:cs="宋体"/>
                <w:sz w:val="20"/>
                <w:szCs w:val="20"/>
              </w:rPr>
            </w:pPr>
            <w:r>
              <w:rPr>
                <w:rFonts w:hint="eastAsia" w:ascii="宋体" w:hAnsi="宋体" w:cs="宋体"/>
                <w:sz w:val="20"/>
                <w:szCs w:val="20"/>
              </w:rPr>
              <w:t xml:space="preserve">6.为方便对设备进行统一管控，需对接中控系统，实现对设备进行开关机等操作。</w:t>
            </w:r>
            <w:r/>
          </w:p>
          <w:p>
            <w:pPr>
              <w:ind w:left="-105" w:right="-105"/>
              <w:widowControl/>
              <w:rPr>
                <w:rFonts w:ascii="宋体" w:hAnsi="宋体" w:cs="宋体"/>
                <w:sz w:val="20"/>
                <w:szCs w:val="20"/>
              </w:rPr>
            </w:pPr>
            <w:r>
              <w:rPr>
                <w:rFonts w:hint="eastAsia" w:ascii="宋体" w:hAnsi="宋体" w:cs="宋体"/>
                <w:i/>
                <w:iCs/>
                <w:sz w:val="20"/>
                <w:szCs w:val="20"/>
                <w:u w:val="single"/>
              </w:rPr>
              <w:t xml:space="preserve">7.须具备中国国家强制性产品CCC认证和国家确定的认证机构出具的、处于有效期之内的节能产品认证，提供认证证书</w:t>
            </w:r>
            <w:r>
              <w:rPr>
                <w:rFonts w:hint="eastAsia" w:ascii="宋体" w:hAnsi="宋体" w:cs="宋体"/>
                <w:sz w:val="20"/>
                <w:szCs w:val="20"/>
              </w:rPr>
              <w:t xml:space="preserve">。</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W w:w="1179" w:type="dxa"/>
            <w:vAlign w:val="center"/>
            <w:textDirection w:val="lrTb"/>
            <w:noWrap/>
          </w:tcPr>
          <w:p>
            <w:pPr>
              <w:ind w:left="-105" w:right="-105"/>
              <w:widowControl/>
              <w:rPr>
                <w:rFonts w:hint="eastAsia" w:ascii="宋体" w:hAnsi="宋体" w:cs="宋体"/>
                <w:color w:val="000000"/>
                <w:szCs w:val="21"/>
              </w:rPr>
            </w:pPr>
            <w:r>
              <w:rPr>
                <w:rFonts w:hint="eastAsia" w:ascii="宋体" w:hAnsi="宋体" w:cs="宋体"/>
                <w:sz w:val="20"/>
                <w:szCs w:val="20"/>
              </w:rPr>
              <w:t xml:space="preserve">扩声系统主机</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1.采用红外音频传输及控制技术，载波频率需≥2通道，≥1路接收器接口；内置功放，须具备≥2 个扬声器接口，最大输出功率≥60 W×2只（8Ω），≥1路线路输入，≥1路线路输出；（投标人须提供产品彩页、官网截图、软件产品功能截图，且加盖公章，提供其中之一即可。）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2.频率响应：主机－主机≥50 Hz ~20 kHz，麦克风－主机≥100 Hz ~ 20 kHz，信噪比≥85 dBA ，总谐波失真≤0.06% ，动态范围≥90 dB；</w:t>
            </w:r>
            <w:r/>
          </w:p>
          <w:p>
            <w:pPr>
              <w:ind w:left="-105" w:right="-105"/>
              <w:widowControl/>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rPr>
              <w:t xml:space="preserve">■</w:t>
            </w:r>
            <w:r>
              <w:rPr>
                <w:rFonts w:hint="eastAsia" w:ascii="宋体" w:hAnsi="宋体" w:cs="宋体"/>
                <w:sz w:val="20"/>
                <w:szCs w:val="20"/>
              </w:rPr>
              <w:t xml:space="preserve">主机需分别具备全局音量、高音、低音、线路输入的独立音量调节旋钮；（投标人须提供产品彩页、官网截图、软件产品功能截图，且加盖公章，提供其中之一即可。）</w:t>
            </w:r>
            <w:r/>
          </w:p>
          <w:p>
            <w:pPr>
              <w:ind w:left="-105" w:right="-105"/>
              <w:widowControl/>
              <w:rPr>
                <w:rFonts w:hint="eastAsia" w:ascii="宋体" w:hAnsi="宋体" w:cs="宋体"/>
                <w:color w:val="000000"/>
                <w:szCs w:val="21"/>
              </w:rPr>
            </w:pPr>
            <w:r>
              <w:rPr>
                <w:rFonts w:hint="eastAsia" w:ascii="宋体" w:hAnsi="宋体" w:cs="宋体"/>
                <w:sz w:val="20"/>
                <w:szCs w:val="20"/>
              </w:rPr>
              <w:t xml:space="preserve">4.具备啸叫抑制功能；</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W w:w="1179" w:type="dxa"/>
            <w:vAlign w:val="center"/>
            <w:textDirection w:val="lrTb"/>
            <w:noWrap/>
          </w:tcPr>
          <w:p>
            <w:pPr>
              <w:ind w:left="-105" w:right="-105"/>
              <w:widowControl/>
              <w:rPr>
                <w:rFonts w:hint="eastAsia" w:ascii="宋体" w:hAnsi="宋体" w:cs="宋体"/>
                <w:color w:val="000000"/>
                <w:szCs w:val="21"/>
              </w:rPr>
            </w:pPr>
            <w:r>
              <w:rPr>
                <w:rFonts w:hint="eastAsia" w:ascii="宋体" w:hAnsi="宋体" w:cs="宋体"/>
                <w:sz w:val="20"/>
                <w:szCs w:val="20"/>
              </w:rPr>
              <w:t xml:space="preserve">讲台桌面鹅颈麦克风</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1.鹅颈麦克风话筒杆长度根据使用场景可选；</w:t>
            </w:r>
            <w:r/>
          </w:p>
          <w:p>
            <w:pPr>
              <w:ind w:left="-105" w:right="-105"/>
              <w:widowControl/>
              <w:rPr>
                <w:rFonts w:hint="eastAsia" w:ascii="宋体" w:hAnsi="宋体" w:cs="宋体"/>
                <w:sz w:val="20"/>
                <w:szCs w:val="20"/>
              </w:rPr>
            </w:pPr>
            <w:r>
              <w:rPr>
                <w:rFonts w:hint="eastAsia" w:ascii="宋体" w:hAnsi="宋体" w:cs="宋体"/>
                <w:sz w:val="20"/>
                <w:szCs w:val="20"/>
              </w:rPr>
              <w:t xml:space="preserve">2.鹅颈麦克风具备开/关按键；</w:t>
            </w:r>
            <w:r/>
          </w:p>
          <w:p>
            <w:pPr>
              <w:ind w:left="-105" w:right="-105"/>
              <w:widowControl/>
              <w:rPr>
                <w:rFonts w:hint="eastAsia" w:ascii="宋体" w:hAnsi="宋体" w:cs="宋体"/>
                <w:sz w:val="20"/>
                <w:szCs w:val="20"/>
              </w:rPr>
            </w:pPr>
            <w:r>
              <w:rPr>
                <w:rFonts w:hint="eastAsia" w:ascii="宋体" w:hAnsi="宋体" w:cs="宋体"/>
                <w:sz w:val="20"/>
                <w:szCs w:val="20"/>
              </w:rPr>
              <w:t xml:space="preserve">3.频率响应：≥ 80 Hz～20 kHz；</w:t>
            </w:r>
            <w:r/>
          </w:p>
          <w:p>
            <w:pPr>
              <w:ind w:left="-105" w:right="-105"/>
              <w:widowControl/>
              <w:rPr>
                <w:rFonts w:hint="eastAsia" w:ascii="宋体" w:hAnsi="宋体" w:cs="宋体"/>
                <w:sz w:val="20"/>
                <w:szCs w:val="20"/>
              </w:rPr>
            </w:pPr>
            <w:r>
              <w:rPr>
                <w:rFonts w:hint="eastAsia" w:ascii="宋体" w:hAnsi="宋体" w:cs="宋体"/>
                <w:sz w:val="20"/>
                <w:szCs w:val="20"/>
              </w:rPr>
              <w:t xml:space="preserve">4.指向类型：心型指向；指向性前后比：1 kHz 下，0°/180° ≥20 dB；</w:t>
            </w:r>
            <w:r/>
          </w:p>
          <w:p>
            <w:pPr>
              <w:ind w:left="-105" w:right="-105"/>
              <w:widowControl/>
              <w:rPr>
                <w:rFonts w:hint="eastAsia" w:ascii="宋体" w:hAnsi="宋体" w:cs="宋体"/>
                <w:sz w:val="20"/>
                <w:szCs w:val="20"/>
              </w:rPr>
            </w:pPr>
            <w:r>
              <w:rPr>
                <w:rFonts w:hint="eastAsia" w:ascii="宋体" w:hAnsi="宋体" w:cs="宋体"/>
                <w:sz w:val="20"/>
                <w:szCs w:val="20"/>
              </w:rPr>
              <w:t xml:space="preserve">5.灵敏度 :-40 ～-46dBV/Pa；</w:t>
            </w:r>
            <w:r/>
          </w:p>
          <w:p>
            <w:pPr>
              <w:ind w:left="-105" w:right="-105"/>
              <w:widowControl/>
              <w:rPr>
                <w:rFonts w:hint="eastAsia" w:ascii="宋体" w:hAnsi="宋体" w:cs="宋体"/>
                <w:sz w:val="20"/>
                <w:szCs w:val="20"/>
              </w:rPr>
            </w:pPr>
            <w:r>
              <w:rPr>
                <w:rFonts w:hint="eastAsia" w:ascii="宋体" w:hAnsi="宋体" w:cs="宋体"/>
                <w:sz w:val="20"/>
                <w:szCs w:val="20"/>
              </w:rPr>
              <w:t xml:space="preserve">6.等效噪声 ≤20 dBA (SPL）；</w:t>
            </w:r>
            <w:r/>
          </w:p>
          <w:p>
            <w:pPr>
              <w:ind w:left="-105" w:right="-105"/>
              <w:widowControl/>
              <w:rPr>
                <w:rFonts w:hint="eastAsia" w:ascii="宋体" w:hAnsi="宋体" w:cs="宋体"/>
                <w:sz w:val="20"/>
                <w:szCs w:val="20"/>
              </w:rPr>
            </w:pPr>
            <w:r>
              <w:rPr>
                <w:rFonts w:hint="eastAsia" w:ascii="宋体" w:hAnsi="宋体" w:cs="宋体"/>
                <w:sz w:val="20"/>
                <w:szCs w:val="20"/>
              </w:rPr>
              <w:t xml:space="preserve">7.最大声压级：≥110 dB(THD＜3%) ；</w:t>
            </w:r>
            <w:r/>
          </w:p>
          <w:p>
            <w:pPr>
              <w:ind w:left="-105" w:right="-105"/>
              <w:widowControl/>
              <w:rPr>
                <w:rFonts w:hint="eastAsia" w:ascii="宋体" w:hAnsi="宋体" w:cs="宋体"/>
                <w:sz w:val="20"/>
                <w:szCs w:val="20"/>
              </w:rPr>
            </w:pPr>
            <w:r>
              <w:rPr>
                <w:rFonts w:hint="eastAsia" w:ascii="宋体" w:hAnsi="宋体" w:cs="宋体"/>
                <w:sz w:val="20"/>
                <w:szCs w:val="20"/>
              </w:rPr>
              <w:t xml:space="preserve">8.▲配置无线麦克风充电底座，可对无线麦克风进行充电。无线麦克风充电座内置电子锁，配合无线麦克风电子锁锁口，可通过中控RS232控制进行话筒安全管理，实现“上课解锁、下课加锁”，方便管理，避免丢失。（如无电子锁功能，可提供承诺书（格式自拟），承诺免费质保期内无线麦克风如有遗失，免费提供同型号无线麦克风，数量不限。）（投标人须提供产品彩页、官网截图、软件产品功能截图，且加盖公章，提供其中之一即可。）</w:t>
            </w:r>
            <w:r/>
          </w:p>
          <w:p>
            <w:pPr>
              <w:ind w:left="-105" w:right="-105"/>
              <w:widowControl/>
              <w:rPr>
                <w:rFonts w:hint="eastAsia" w:ascii="宋体" w:hAnsi="宋体" w:cs="宋体"/>
                <w:color w:val="000000"/>
                <w:szCs w:val="21"/>
              </w:rPr>
            </w:pPr>
            <w:r>
              <w:rPr>
                <w:rFonts w:hint="eastAsia" w:ascii="宋体" w:hAnsi="宋体" w:cs="宋体"/>
                <w:sz w:val="20"/>
                <w:szCs w:val="20"/>
              </w:rPr>
              <w:t xml:space="preserve">9.</w:t>
            </w:r>
            <w:r>
              <w:rPr>
                <w:rFonts w:hint="eastAsia" w:ascii="宋体" w:hAnsi="宋体" w:cs="宋体"/>
              </w:rPr>
              <w:t xml:space="preserve">■</w:t>
            </w:r>
            <w:r>
              <w:rPr>
                <w:rFonts w:hint="eastAsia" w:ascii="宋体" w:hAnsi="宋体" w:cs="宋体"/>
                <w:sz w:val="20"/>
                <w:szCs w:val="20"/>
              </w:rPr>
              <w:t xml:space="preserve">具备配套的音频管理平台软件，采用 B/S 架构，支持多个管理用户同时登录；管理平台显示所有设备的详细信息，包括连接状态、充电状态、话筒归还状态、设备名称、Mac 地址、IP 地址、最近访问时间、所在教室等信息。同时显示当前在线及离线设备的数量、充电中及未充电话筒数量等。（投标人须提供产品彩页、官网截图、软件产品功能截图，且加盖公章，提供其中之一即可。）</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红外无线麦克风</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支</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30</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1.采用红外音频传输技术，无需对频，即开即用，简单方便；</w:t>
            </w:r>
            <w:r/>
          </w:p>
          <w:p>
            <w:pPr>
              <w:ind w:left="-105" w:right="-105"/>
              <w:widowControl/>
              <w:rPr>
                <w:rFonts w:hint="eastAsia" w:ascii="宋体" w:hAnsi="宋体" w:cs="宋体"/>
                <w:sz w:val="20"/>
                <w:szCs w:val="20"/>
              </w:rPr>
            </w:pPr>
            <w:r>
              <w:rPr>
                <w:rFonts w:hint="eastAsia" w:ascii="宋体" w:hAnsi="宋体" w:cs="宋体"/>
                <w:sz w:val="20"/>
                <w:szCs w:val="20"/>
              </w:rPr>
              <w:t xml:space="preserve">2.具有手持、颈挂等两种以上使用方式；</w:t>
            </w:r>
            <w:r/>
          </w:p>
          <w:p>
            <w:pPr>
              <w:ind w:left="-105" w:right="-105"/>
              <w:widowControl/>
              <w:rPr>
                <w:rFonts w:hint="eastAsia" w:ascii="宋体" w:hAnsi="宋体" w:cs="宋体"/>
                <w:sz w:val="20"/>
                <w:szCs w:val="20"/>
              </w:rPr>
            </w:pPr>
            <w:r>
              <w:rPr>
                <w:rFonts w:hint="eastAsia" w:ascii="宋体" w:hAnsi="宋体" w:cs="宋体"/>
                <w:sz w:val="20"/>
                <w:szCs w:val="20"/>
              </w:rPr>
              <w:t xml:space="preserve">3.▲内置可充电锂电池，持续工作时间≥6小时，话筒不使用时，能够自动关闭红外信号发射，达到智能管理电量的效果。（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4.抗干扰能力强，必须不受高频驱动光源（如教室灯光）及阳光直射的干扰，可正常工作于强光环境下；</w:t>
            </w:r>
            <w:r/>
          </w:p>
          <w:p>
            <w:pPr>
              <w:ind w:left="-105" w:right="-105"/>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rPr>
              <w:t xml:space="preserve">■</w:t>
            </w:r>
            <w:r>
              <w:rPr>
                <w:rFonts w:hint="eastAsia" w:ascii="宋体" w:hAnsi="宋体" w:cs="宋体"/>
                <w:sz w:val="20"/>
                <w:szCs w:val="20"/>
              </w:rPr>
              <w:t xml:space="preserve">无线麦克风支持充电座充电和USB充电两种方式，具备PPT翻页功能和内置激光笔功能；（投标人须提供产品彩页、官网截图、软件产品功能截图，且加盖公章，提供其中之一即可。）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6.麦克风指向类型：心型指向；</w:t>
            </w:r>
            <w:r/>
          </w:p>
          <w:p>
            <w:pPr>
              <w:ind w:left="-105" w:right="-105"/>
              <w:widowControl/>
              <w:rPr>
                <w:rFonts w:hint="eastAsia" w:ascii="宋体" w:hAnsi="宋体" w:cs="宋体"/>
                <w:sz w:val="20"/>
                <w:szCs w:val="20"/>
              </w:rPr>
            </w:pPr>
            <w:r>
              <w:rPr>
                <w:rFonts w:hint="eastAsia" w:ascii="宋体" w:hAnsi="宋体" w:cs="宋体"/>
                <w:sz w:val="20"/>
                <w:szCs w:val="20"/>
              </w:rPr>
              <w:t xml:space="preserve">7.灵敏度：-40 ～-46dBV/Pa</w:t>
            </w:r>
            <w:r/>
          </w:p>
          <w:p>
            <w:pPr>
              <w:ind w:left="-105" w:right="-105"/>
              <w:widowControl/>
              <w:rPr>
                <w:rFonts w:hint="eastAsia" w:ascii="宋体" w:hAnsi="宋体" w:cs="宋体"/>
                <w:sz w:val="20"/>
                <w:szCs w:val="20"/>
              </w:rPr>
            </w:pPr>
            <w:r>
              <w:rPr>
                <w:rFonts w:hint="eastAsia" w:ascii="宋体" w:hAnsi="宋体" w:cs="宋体"/>
                <w:sz w:val="20"/>
                <w:szCs w:val="20"/>
              </w:rPr>
              <w:t xml:space="preserve">8.频率响应：≥ 80 Hz～20 kHz；</w:t>
            </w:r>
            <w:r/>
          </w:p>
          <w:p>
            <w:pPr>
              <w:ind w:left="-105" w:right="-105"/>
              <w:widowControl/>
              <w:rPr>
                <w:rFonts w:hint="eastAsia" w:ascii="宋体" w:hAnsi="宋体" w:cs="宋体"/>
                <w:sz w:val="20"/>
                <w:szCs w:val="20"/>
              </w:rPr>
            </w:pPr>
            <w:r>
              <w:rPr>
                <w:rFonts w:hint="eastAsia" w:ascii="宋体" w:hAnsi="宋体" w:cs="宋体"/>
                <w:sz w:val="20"/>
                <w:szCs w:val="20"/>
              </w:rPr>
              <w:t xml:space="preserve">9.等效噪声 ≤20 dBA (SPL）；</w:t>
            </w:r>
            <w:r/>
          </w:p>
          <w:p>
            <w:pPr>
              <w:ind w:left="-105" w:right="-105"/>
              <w:widowControl/>
              <w:rPr>
                <w:rFonts w:hint="eastAsia" w:ascii="宋体" w:hAnsi="宋体" w:cs="宋体"/>
                <w:sz w:val="20"/>
                <w:szCs w:val="20"/>
              </w:rPr>
            </w:pPr>
            <w:r>
              <w:rPr>
                <w:rFonts w:hint="eastAsia" w:ascii="宋体" w:hAnsi="宋体" w:cs="宋体"/>
                <w:sz w:val="20"/>
                <w:szCs w:val="20"/>
              </w:rPr>
              <w:t xml:space="preserve">10.最大声压级：≥110 dB(THD＜3%) ；</w:t>
            </w:r>
            <w:r/>
          </w:p>
          <w:p>
            <w:pPr>
              <w:ind w:left="-105" w:right="-105"/>
              <w:widowControl/>
              <w:rPr>
                <w:rFonts w:hint="eastAsia" w:ascii="宋体" w:hAnsi="宋体" w:cs="宋体"/>
                <w:color w:val="000000"/>
                <w:szCs w:val="21"/>
              </w:rPr>
            </w:pPr>
            <w:r>
              <w:rPr>
                <w:rFonts w:hint="eastAsia" w:ascii="宋体" w:hAnsi="宋体" w:cs="宋体"/>
                <w:sz w:val="20"/>
                <w:szCs w:val="20"/>
              </w:rPr>
              <w:t xml:space="preserve">11.</w:t>
            </w:r>
            <w:r>
              <w:rPr>
                <w:rFonts w:hint="eastAsia" w:ascii="宋体" w:hAnsi="宋体" w:cs="宋体"/>
              </w:rPr>
              <w:t xml:space="preserve">■</w:t>
            </w:r>
            <w:r>
              <w:rPr>
                <w:rFonts w:hint="eastAsia" w:ascii="宋体" w:hAnsi="宋体" w:cs="宋体"/>
                <w:sz w:val="20"/>
                <w:szCs w:val="20"/>
              </w:rPr>
              <w:t xml:space="preserve">扩展性能强，支持外部3.5mm音频输入，与其他音频设备（如头戴式麦克风、笔记本、手机等）使用，教师使用便捷。（投标人须提供产品彩页、官网截图、软件产品功能截图，且加盖公章，提供其中之一即可。）</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W w:w="1179" w:type="dxa"/>
            <w:vAlign w:val="center"/>
            <w:textDirection w:val="lrTb"/>
            <w:noWrap/>
          </w:tcPr>
          <w:p>
            <w:pPr>
              <w:ind w:left="-105" w:right="-105"/>
              <w:widowControl/>
              <w:rPr>
                <w:rFonts w:hint="eastAsia" w:ascii="宋体" w:hAnsi="宋体" w:cs="宋体"/>
                <w:color w:val="000000"/>
                <w:szCs w:val="21"/>
              </w:rPr>
            </w:pPr>
            <w:r>
              <w:rPr>
                <w:rFonts w:hint="eastAsia" w:ascii="宋体" w:hAnsi="宋体" w:cs="宋体"/>
                <w:sz w:val="20"/>
                <w:szCs w:val="20"/>
              </w:rPr>
              <w:t xml:space="preserve">红外接收器</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个</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56</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1.采用红外音频传输技术，搭配红外无线麦克风使用；</w:t>
            </w:r>
            <w:r/>
          </w:p>
          <w:p>
            <w:pPr>
              <w:ind w:left="-105" w:right="-105"/>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rPr>
              <w:t xml:space="preserve">■</w:t>
            </w:r>
            <w:r>
              <w:rPr>
                <w:rFonts w:hint="eastAsia" w:ascii="宋体" w:hAnsi="宋体" w:cs="宋体"/>
                <w:sz w:val="20"/>
                <w:szCs w:val="20"/>
              </w:rPr>
              <w:t xml:space="preserve">双通道接收设计，可同时配套两支红外无线麦克风使用，双路信号独立解码、独立输出；（投标人须提供产品彩页、官网截图、软件产品功能截图，且加盖公章，提供其中之一即可。）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3.接收角度：水平360°，辐射距离≥12米；</w:t>
            </w:r>
            <w:r/>
          </w:p>
          <w:p>
            <w:pPr>
              <w:ind w:left="-105" w:right="-105"/>
              <w:widowControl/>
              <w:rPr>
                <w:rFonts w:hint="eastAsia" w:ascii="宋体" w:hAnsi="宋体" w:cs="宋体"/>
                <w:sz w:val="20"/>
                <w:szCs w:val="20"/>
              </w:rPr>
            </w:pPr>
            <w:r>
              <w:rPr>
                <w:rFonts w:hint="eastAsia" w:ascii="宋体" w:hAnsi="宋体" w:cs="宋体"/>
                <w:sz w:val="20"/>
                <w:szCs w:val="20"/>
              </w:rPr>
              <w:t xml:space="preserve">4.设备内部音频调制载波频率范围≥1MHz～4MHz；</w:t>
            </w:r>
            <w:r/>
          </w:p>
          <w:p>
            <w:pPr>
              <w:ind w:left="-105" w:right="-105"/>
              <w:widowControl/>
              <w:rPr>
                <w:rFonts w:hint="eastAsia" w:ascii="宋体" w:hAnsi="宋体" w:cs="宋体"/>
                <w:color w:val="000000"/>
                <w:szCs w:val="21"/>
              </w:rPr>
            </w:pPr>
            <w:r>
              <w:rPr>
                <w:rFonts w:hint="eastAsia" w:ascii="宋体" w:hAnsi="宋体" w:cs="宋体"/>
                <w:sz w:val="20"/>
                <w:szCs w:val="20"/>
              </w:rPr>
              <w:t xml:space="preserve">5.具备强抗光干扰素力，不受室内日光灯、LED 灯、自然光影响，有效屏蔽周边电磁、射频信号干扰，接收数据稳定不断频，工作稳定。</w:t>
            </w:r>
            <w:r/>
          </w:p>
        </w:tc>
      </w:tr>
      <w:tr>
        <w:trPr>
          <w:trHeight w:val="9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线阵列音柱</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个</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44</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1.专业级线阵列音柱，声场覆盖均匀，传声增益更高而不易啸叫；</w:t>
            </w:r>
            <w:r/>
          </w:p>
          <w:p>
            <w:pPr>
              <w:ind w:left="-105" w:right="-105"/>
              <w:widowControl/>
              <w:rPr>
                <w:rFonts w:hint="eastAsia" w:ascii="宋体" w:hAnsi="宋体" w:cs="宋体"/>
                <w:sz w:val="20"/>
                <w:szCs w:val="20"/>
              </w:rPr>
            </w:pPr>
            <w:r>
              <w:rPr>
                <w:rFonts w:hint="eastAsia" w:ascii="宋体" w:hAnsi="宋体" w:cs="宋体"/>
                <w:sz w:val="20"/>
                <w:szCs w:val="20"/>
              </w:rPr>
              <w:t xml:space="preserve">2.标称阻抗：4Ω～8Ω，额定功率≥60W；</w:t>
            </w:r>
            <w:r/>
          </w:p>
          <w:p>
            <w:pPr>
              <w:ind w:left="-105" w:right="-105"/>
              <w:widowControl/>
              <w:rPr>
                <w:rFonts w:hint="eastAsia" w:ascii="宋体" w:hAnsi="宋体" w:cs="宋体"/>
                <w:sz w:val="20"/>
                <w:szCs w:val="20"/>
              </w:rPr>
            </w:pPr>
            <w:r>
              <w:rPr>
                <w:rFonts w:hint="eastAsia" w:ascii="宋体" w:hAnsi="宋体" w:cs="宋体"/>
                <w:sz w:val="20"/>
                <w:szCs w:val="20"/>
              </w:rPr>
              <w:t xml:space="preserve">3.频率响应：≥ 80 Hz～18 kHz；</w:t>
            </w:r>
            <w:r/>
          </w:p>
          <w:p>
            <w:pPr>
              <w:ind w:left="-105" w:right="-105"/>
              <w:widowControl/>
              <w:rPr>
                <w:rFonts w:hint="eastAsia" w:ascii="宋体" w:hAnsi="宋体" w:cs="宋体"/>
                <w:sz w:val="20"/>
                <w:szCs w:val="20"/>
              </w:rPr>
            </w:pPr>
            <w:r>
              <w:rPr>
                <w:rFonts w:hint="eastAsia" w:ascii="宋体" w:hAnsi="宋体" w:cs="宋体"/>
                <w:sz w:val="20"/>
                <w:szCs w:val="20"/>
              </w:rPr>
              <w:t xml:space="preserve">4. 灵敏度≥90dB（1W/1M）</w:t>
            </w:r>
            <w:r/>
          </w:p>
          <w:p>
            <w:pPr>
              <w:ind w:left="-105" w:right="-105"/>
              <w:widowControl/>
              <w:rPr>
                <w:rFonts w:hint="eastAsia" w:ascii="宋体" w:hAnsi="宋体" w:cs="宋体"/>
                <w:sz w:val="20"/>
                <w:szCs w:val="20"/>
              </w:rPr>
            </w:pPr>
            <w:r>
              <w:rPr>
                <w:rFonts w:hint="eastAsia" w:ascii="宋体" w:hAnsi="宋体" w:cs="宋体"/>
                <w:sz w:val="20"/>
                <w:szCs w:val="20"/>
              </w:rPr>
              <w:t xml:space="preserve">5.声压级≥110dB（1W/1M）；</w:t>
            </w:r>
            <w:r/>
          </w:p>
          <w:p>
            <w:pPr>
              <w:ind w:left="-105" w:right="-105"/>
              <w:widowControl/>
              <w:rPr>
                <w:rFonts w:hint="eastAsia" w:ascii="宋体" w:hAnsi="宋体" w:cs="宋体"/>
                <w:sz w:val="20"/>
                <w:szCs w:val="20"/>
              </w:rPr>
            </w:pPr>
            <w:r>
              <w:rPr>
                <w:rFonts w:hint="eastAsia" w:ascii="宋体" w:hAnsi="宋体" w:cs="宋体"/>
                <w:sz w:val="20"/>
                <w:szCs w:val="20"/>
              </w:rPr>
              <w:t xml:space="preserve">6.水平指向角：≥120°、垂直指向角：≤30°；</w:t>
            </w:r>
            <w:r/>
          </w:p>
          <w:p>
            <w:pPr>
              <w:ind w:left="-105" w:right="-105"/>
              <w:widowControl/>
              <w:rPr>
                <w:rFonts w:hint="eastAsia" w:ascii="宋体" w:hAnsi="宋体" w:cs="宋体"/>
                <w:sz w:val="20"/>
                <w:szCs w:val="20"/>
              </w:rPr>
            </w:pPr>
            <w:r>
              <w:rPr>
                <w:rFonts w:hint="eastAsia" w:ascii="宋体" w:hAnsi="宋体" w:cs="宋体"/>
                <w:sz w:val="20"/>
                <w:szCs w:val="20"/>
              </w:rPr>
              <w:t xml:space="preserve">7.1kHz 额定功率下总谐波失真≤1%；</w:t>
            </w:r>
            <w:r/>
          </w:p>
          <w:p>
            <w:pPr>
              <w:ind w:left="-105" w:right="-105"/>
              <w:widowControl/>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rPr>
              <w:t xml:space="preserve">■</w:t>
            </w:r>
            <w:r>
              <w:rPr>
                <w:rFonts w:hint="eastAsia" w:ascii="宋体" w:hAnsi="宋体" w:cs="宋体"/>
                <w:sz w:val="20"/>
                <w:szCs w:val="20"/>
              </w:rPr>
              <w:t xml:space="preserve">内置高精度二分频或内置≥3个全频扬声器单元，频响衔接流畅；（投标人须提供产品彩页、官网截图、软件产品功能截图，且加盖公章，提供其中之一即可。）</w:t>
            </w:r>
            <w:r/>
          </w:p>
          <w:p>
            <w:pPr>
              <w:ind w:left="-105" w:right="-105"/>
              <w:widowControl/>
              <w:rPr>
                <w:rFonts w:hint="eastAsia" w:ascii="宋体" w:hAnsi="宋体" w:cs="宋体"/>
                <w:color w:val="000000"/>
                <w:szCs w:val="21"/>
              </w:rPr>
            </w:pPr>
            <w:r>
              <w:rPr>
                <w:rFonts w:hint="eastAsia" w:ascii="宋体" w:hAnsi="宋体" w:cs="宋体"/>
                <w:sz w:val="20"/>
                <w:szCs w:val="20"/>
              </w:rPr>
              <w:t xml:space="preserve">9.</w:t>
            </w:r>
            <w:r>
              <w:rPr>
                <w:rFonts w:hint="eastAsia" w:ascii="宋体" w:hAnsi="宋体" w:cs="宋体"/>
              </w:rPr>
              <w:t xml:space="preserve">■</w:t>
            </w:r>
            <w:r>
              <w:rPr>
                <w:rFonts w:hint="eastAsia" w:ascii="宋体" w:hAnsi="宋体" w:cs="宋体"/>
                <w:sz w:val="20"/>
                <w:szCs w:val="20"/>
              </w:rPr>
              <w:t xml:space="preserve">箱体具有防尘防水功能，标配多角度可调安装支架，适配教室壁挂/吊装。（投标人须提供产品彩页、官网截图、软件产品功能截图，且加盖公章，提供其中之一即可。）</w:t>
            </w:r>
            <w:r/>
          </w:p>
        </w:tc>
      </w:tr>
      <w:tr>
        <w:trPr>
          <w:trHeight w:val="500"/>
        </w:trPr>
        <w:tc>
          <w:tcPr>
            <w:tcW w:w="713" w:type="dxa"/>
            <w:vAlign w:val="center"/>
            <w:textDirection w:val="lrTb"/>
            <w:noWrap w:val="false"/>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tcW w:w="1179"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中控主机</w:t>
            </w:r>
            <w:r/>
          </w:p>
        </w:tc>
        <w:tc>
          <w:tcPr>
            <w:tcW w:w="736"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1.标准机柜架式，内置LINUX等操作系统，支持在线升级与web配置，系统具备场景配置能力；</w:t>
            </w:r>
            <w:r/>
          </w:p>
          <w:p>
            <w:pPr>
              <w:ind w:left="-105" w:right="-105"/>
              <w:widowControl/>
              <w:rPr>
                <w:rFonts w:hint="eastAsia" w:ascii="宋体" w:hAnsi="宋体" w:cs="宋体"/>
                <w:sz w:val="20"/>
                <w:szCs w:val="20"/>
              </w:rPr>
            </w:pPr>
            <w:r>
              <w:rPr>
                <w:rFonts w:hint="eastAsia" w:ascii="宋体" w:hAnsi="宋体" w:cs="宋体"/>
                <w:sz w:val="20"/>
                <w:szCs w:val="20"/>
              </w:rPr>
              <w:t xml:space="preserve">2.▲支持本地中控面板及管理平台远程控制教学设备（计算机、投影机等）开关机、信号切换、幕布升降、音量调节等操作，支持管理平台远程锁定、解锁中控面板，锁定期间禁用中控面板控制功能；（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3.▲通讯与控制接口：需具备≥4个RS232接口，≥1个RS485接口，≥2个IO接口；≥4路RJ45网口，支持12V供电；（投标人须提供产品彩页、官网截图、软件产品功能截图，且加盖公章，提供其中之一即可。）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4.音视频接口：≥1个HDBaseT输出接口（可单独配置独立HDBaseT模块），HDMI输入接口≥4，HDMI输出接口≥6。输入和输出接口均支持4K高清分辨率；≥1路3.5mm音频输入，≥2路3.5mm音频输出；</w:t>
            </w:r>
            <w:r/>
          </w:p>
          <w:p>
            <w:pPr>
              <w:ind w:left="-105" w:right="-105"/>
              <w:widowControl/>
              <w:rPr>
                <w:rFonts w:hint="eastAsia" w:ascii="宋体" w:hAnsi="宋体" w:cs="宋体"/>
                <w:sz w:val="20"/>
                <w:szCs w:val="20"/>
              </w:rPr>
            </w:pPr>
            <w:r>
              <w:rPr>
                <w:rFonts w:hint="eastAsia" w:ascii="宋体" w:hAnsi="宋体" w:cs="宋体"/>
                <w:sz w:val="20"/>
                <w:szCs w:val="20"/>
              </w:rPr>
              <w:t xml:space="preserve">5.电源控制端口（可单独配置独立时序电源模块）：支持220V电源输入，需具备≥1路220V幕布控制端口，需具备≥3路220V电源输出，可设置时序供电/断电；如是单独配置的时序电源模块，还需配置相关接口与中控主机对接，支持复位按键、状态查询、能耗统计及上报等功能；</w:t>
            </w:r>
            <w:r/>
          </w:p>
          <w:p>
            <w:pPr>
              <w:ind w:left="-105" w:right="-105"/>
              <w:widowControl/>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rPr>
              <w:t xml:space="preserve">■</w:t>
            </w:r>
            <w:r>
              <w:rPr>
                <w:rFonts w:hint="eastAsia" w:ascii="宋体" w:hAnsi="宋体" w:cs="宋体"/>
                <w:sz w:val="20"/>
                <w:szCs w:val="20"/>
              </w:rPr>
              <w:t xml:space="preserve">可编程配置：需支持WEB端设置，通过浏览器设置平台网络远程配置，支持终端设备IP地址、MAC地址、设备型号、位置等信息扫描，支持远程固件升级；需支持主机IP地址设置，支持DHCP自动获取IP地址和静态IP地址设置，支持设备位置管理，支持设备安装位置添加、删除、绑定等管理，支持按不同学校、校区、楼栋、楼层位置云端配置数据备份，支持按需求设置控制功能键码、功能序列，支持配置文件一键下发，支持程序配置日志查询；（投标人须提供产品彩页、官网截图、软件产品功能截图，且加盖公章，提供其中之一即可。）</w:t>
            </w:r>
            <w:r/>
          </w:p>
          <w:p>
            <w:pPr>
              <w:ind w:left="-105" w:right="-105"/>
              <w:widowControl/>
              <w:rPr>
                <w:rFonts w:hint="eastAsia" w:ascii="宋体" w:hAnsi="宋体" w:cs="宋体"/>
                <w:color w:val="000000"/>
                <w:szCs w:val="21"/>
                <w:lang w:bidi="ar"/>
              </w:rPr>
            </w:pPr>
            <w:r>
              <w:rPr>
                <w:rFonts w:hint="eastAsia" w:ascii="宋体" w:hAnsi="宋体" w:cs="宋体"/>
                <w:sz w:val="20"/>
                <w:szCs w:val="20"/>
              </w:rPr>
              <w:t xml:space="preserve">7.集成物联网关功能，可扩展无线物联模块≥30路，支持本机能耗检测，支持绑定智能配电模块实现强电管理，具备网络中控功能，支持电教设备的本地或远程控制。配合中控管理平台、手机端APP（或微信小程序）可远程对终端设备及物联模块进行手动、定时、集控管理。</w:t>
            </w:r>
            <w:r/>
          </w:p>
        </w:tc>
      </w:tr>
      <w:tr>
        <w:trPr>
          <w:trHeight w:val="500"/>
        </w:trPr>
        <w:tc>
          <w:tcPr>
            <w:tcW w:w="713" w:type="dxa"/>
            <w:vAlign w:val="center"/>
            <w:textDirection w:val="lrTb"/>
            <w:noWrap w:val="false"/>
          </w:tcPr>
          <w:p>
            <w:pPr>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W w:w="1179"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中控面板</w:t>
            </w:r>
            <w:r/>
          </w:p>
        </w:tc>
        <w:tc>
          <w:tcPr>
            <w:tcW w:w="736"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lang w:bidi="ar"/>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1.▲操作系统：Android 11 及以上版本；处理器：≥四核1.8GHz ；存储配置：≥2G内存，≥4G存储；显示：≥10英寸电容触控屏；分辨率：≥1024x768；对比度：≥800:1；亮度≥350cd/m²；≥1路LAN网络端口，≥1个RS485接口或与中控主机有配合使用的接口；（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rPr>
              <w:t xml:space="preserve">■</w:t>
            </w:r>
            <w:r>
              <w:rPr>
                <w:rFonts w:hint="eastAsia" w:ascii="宋体" w:hAnsi="宋体" w:cs="宋体"/>
                <w:sz w:val="20"/>
                <w:szCs w:val="20"/>
              </w:rPr>
              <w:t xml:space="preserve">中控面板集成摄像头、IC卡读卡器、内置扬声器、拾音器；（投标人须提供产品彩页、官网截图、软件产品功能截图，且加盖公章，提供其中之一即可。）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3.显示背景、操作界面和功能按键可根据用户需求自定义编程配置，支持联动控制编程，支持个性化图片、图标、颜色配置，支持锁屏背景图设置；4.中控面板通讯接口需支持RJ45 POE模块方式，支持网线连接主机实现通讯，不需配置单独电源。</w:t>
            </w:r>
            <w:r/>
          </w:p>
          <w:p>
            <w:pPr>
              <w:ind w:left="-105" w:right="-105"/>
              <w:widowControl/>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rPr>
              <w:t xml:space="preserve">■</w:t>
            </w:r>
            <w:r>
              <w:rPr>
                <w:rFonts w:hint="eastAsia" w:ascii="宋体" w:hAnsi="宋体" w:cs="宋体"/>
                <w:sz w:val="20"/>
                <w:szCs w:val="20"/>
              </w:rPr>
              <w:t xml:space="preserve">需支持通过中控平台网络远程配置，支持IP地址、MAC地址扫描，支持IP地址设置，支持远程固件升级；需支持配置程序云端备份；（投标人须提供产品彩页、官网截图、软件产品功能截图，且加盖公章，提供其中之一即可。）</w:t>
            </w:r>
            <w:r/>
          </w:p>
          <w:p>
            <w:pPr>
              <w:ind w:left="-105" w:right="-105"/>
              <w:widowControl/>
              <w:rPr>
                <w:rFonts w:hint="eastAsia" w:ascii="宋体" w:hAnsi="宋体" w:cs="宋体"/>
                <w:color w:val="000000"/>
                <w:szCs w:val="21"/>
                <w:lang w:bidi="ar"/>
              </w:rPr>
            </w:pPr>
            <w:r>
              <w:rPr>
                <w:rFonts w:hint="eastAsia" w:ascii="宋体" w:hAnsi="宋体" w:cs="宋体"/>
                <w:sz w:val="20"/>
                <w:szCs w:val="20"/>
              </w:rPr>
              <w:t xml:space="preserve">6.支持脱网工作模式，在没有网络的情况下，与中控主机配合可设置为密码解锁、自动解锁等方式进行正常教学使用；</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中控管理平台软件</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套</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1</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本平台为高校教室智慧中控管理系统，平台需采用B/S架构，支持Web界面登录，可通过标准浏览器实现系统所有功能和操作，无需额外安装客户端，确保跨平台兼容性与便捷性；支持云端/本地部署，支持数据库备份与恢复；</w:t>
            </w:r>
            <w:r/>
          </w:p>
          <w:p>
            <w:pPr>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2.平台需对接学校教务系统、统一身份认证等智慧校园平台，自动获取包含但不限于以下数据：教室数据、教师数据、课程表数据、教室预约借用数据等数据；（投标人需提供加盖公章的承诺（格式自拟）。投标人需承诺，涉及对接开发所产生的相关费用均由投标人负责，采购人将不再另行支付。）</w:t>
            </w:r>
            <w:r/>
          </w:p>
          <w:p>
            <w:pPr>
              <w:ind w:left="-105" w:right="-105"/>
              <w:widowControl/>
              <w:rPr>
                <w:rFonts w:hint="eastAsia" w:ascii="宋体" w:hAnsi="宋体" w:cs="宋体"/>
                <w:sz w:val="20"/>
                <w:szCs w:val="20"/>
              </w:rPr>
            </w:pPr>
            <w:r>
              <w:rPr>
                <w:rFonts w:hint="eastAsia" w:ascii="宋体" w:hAnsi="宋体" w:cs="宋体"/>
                <w:sz w:val="20"/>
                <w:szCs w:val="20"/>
              </w:rPr>
              <w:t xml:space="preserve">3.平台需要具备完善的多用户、多角色管理体系，支持对用户的基础信息的全面配置与管理，包括但不限于用户名称、登录编号、登录密码、精细化权限角色（管理员、教师、运维等）、隶属部门、IC卡号、工号、手机号、性别等；</w:t>
            </w:r>
            <w:r/>
          </w:p>
          <w:p>
            <w:pPr>
              <w:ind w:left="-105" w:right="-105"/>
              <w:widowControl/>
              <w:rPr>
                <w:rFonts w:hint="eastAsia" w:ascii="宋体" w:hAnsi="宋体" w:cs="宋体"/>
                <w:sz w:val="20"/>
                <w:szCs w:val="20"/>
              </w:rPr>
            </w:pPr>
            <w:r>
              <w:rPr>
                <w:rFonts w:hint="eastAsia" w:ascii="宋体" w:hAnsi="宋体" w:cs="宋体"/>
                <w:sz w:val="20"/>
                <w:szCs w:val="20"/>
              </w:rPr>
              <w:t xml:space="preserve">4.平台须具备教室基础信息配置管理，涵盖学校名称、校区、教学楼、楼号、教室编号、教室名称、教室类型等教室基础信息的配置与管理，需支持数据的添加、修改、删除和查询等操作；</w:t>
            </w:r>
            <w:r/>
          </w:p>
          <w:p>
            <w:pPr>
              <w:ind w:left="-105" w:right="-105"/>
              <w:widowControl/>
              <w:rPr>
                <w:rFonts w:hint="eastAsia" w:ascii="宋体" w:hAnsi="宋体" w:cs="宋体"/>
                <w:sz w:val="20"/>
                <w:szCs w:val="20"/>
              </w:rPr>
            </w:pPr>
            <w:r>
              <w:rPr>
                <w:rFonts w:hint="eastAsia" w:ascii="宋体" w:hAnsi="宋体" w:cs="宋体"/>
                <w:sz w:val="20"/>
                <w:szCs w:val="20"/>
              </w:rPr>
              <w:t xml:space="preserve">5.平台须具备教室设备基础信息管理，包括智能控制终端主机、投影机、教学电脑、网络摄像机、扩声设备等设备信息的添加、批量导入、导出与修改；</w:t>
            </w:r>
            <w:r/>
          </w:p>
          <w:p>
            <w:pPr>
              <w:ind w:left="-105" w:right="-105"/>
              <w:widowControl/>
              <w:rPr>
                <w:rFonts w:hint="eastAsia" w:ascii="宋体" w:hAnsi="宋体" w:cs="宋体"/>
                <w:sz w:val="20"/>
                <w:szCs w:val="20"/>
              </w:rPr>
            </w:pPr>
            <w:r>
              <w:rPr>
                <w:rFonts w:hint="eastAsia" w:ascii="宋体" w:hAnsi="宋体" w:cs="宋体"/>
                <w:sz w:val="20"/>
                <w:szCs w:val="20"/>
              </w:rPr>
              <w:t xml:space="preserve">6.平台须具备实时监测各教室设备运行状态，通过图形化方式直观呈现教室与设备状态（包括在用、空闲、离线等），需支持不同状态筛选；</w:t>
            </w:r>
            <w:r/>
          </w:p>
          <w:p>
            <w:pPr>
              <w:ind w:left="-105" w:right="-105"/>
              <w:widowControl/>
              <w:rPr>
                <w:rFonts w:hint="eastAsia" w:ascii="宋体" w:hAnsi="宋体" w:cs="宋体"/>
                <w:i/>
                <w:iCs/>
                <w:sz w:val="20"/>
                <w:szCs w:val="20"/>
                <w:u w:val="single"/>
              </w:rPr>
            </w:pPr>
            <w:r>
              <w:rPr>
                <w:rFonts w:hint="eastAsia" w:ascii="宋体" w:hAnsi="宋体" w:cs="宋体"/>
                <w:i/>
                <w:iCs/>
                <w:sz w:val="20"/>
                <w:szCs w:val="20"/>
                <w:u w:val="single"/>
              </w:rPr>
              <w:t xml:space="preserve">7.平台须具备远程实时可视化控制功能，支持对单个或多个教室执行：教学设备开关机、幕布升降、信号切换、音量调节等操作；（投标人须提供加盖公章承诺（格式自拟），承诺支持中标后功能测试。）</w:t>
            </w:r>
            <w:r/>
          </w:p>
          <w:p>
            <w:pPr>
              <w:ind w:left="-105" w:right="-105"/>
              <w:widowControl/>
              <w:rPr>
                <w:rFonts w:hint="eastAsia" w:ascii="宋体" w:hAnsi="宋体" w:cs="宋体"/>
                <w:sz w:val="20"/>
                <w:szCs w:val="20"/>
              </w:rPr>
            </w:pPr>
            <w:r>
              <w:rPr>
                <w:rFonts w:hint="eastAsia" w:ascii="宋体" w:hAnsi="宋体" w:cs="宋体"/>
                <w:sz w:val="20"/>
                <w:szCs w:val="20"/>
              </w:rPr>
              <w:t xml:space="preserve">8.平台须具备远程接管讲台电脑功能，支持对中控主机所连接的电脑进行 Windows桌面的远程监控和远程控制功能；</w:t>
            </w:r>
            <w:r/>
          </w:p>
          <w:p>
            <w:pPr>
              <w:ind w:left="-105" w:right="-105"/>
              <w:widowControl/>
              <w:rPr>
                <w:rFonts w:hint="eastAsia" w:ascii="宋体" w:hAnsi="宋体" w:cs="宋体"/>
                <w:sz w:val="20"/>
                <w:szCs w:val="20"/>
              </w:rPr>
            </w:pPr>
            <w:r>
              <w:rPr>
                <w:rFonts w:hint="eastAsia" w:ascii="宋体" w:hAnsi="宋体" w:cs="宋体"/>
                <w:sz w:val="20"/>
                <w:szCs w:val="20"/>
              </w:rPr>
              <w:t xml:space="preserve">9.平台支持批量下课一键关机功能，可在设置时间或管理员手动操作时批量关闭所有教室的所有设备，杜绝浪费和安全隐患；</w:t>
            </w:r>
            <w:r/>
          </w:p>
          <w:p>
            <w:pPr>
              <w:ind w:left="-105" w:right="-105"/>
              <w:widowControl/>
              <w:rPr>
                <w:rFonts w:hint="eastAsia" w:ascii="宋体" w:hAnsi="宋体" w:cs="宋体"/>
                <w:sz w:val="20"/>
                <w:szCs w:val="20"/>
              </w:rPr>
            </w:pPr>
            <w:r>
              <w:rPr>
                <w:rFonts w:hint="eastAsia" w:ascii="宋体" w:hAnsi="宋体" w:cs="宋体"/>
                <w:sz w:val="20"/>
                <w:szCs w:val="20"/>
              </w:rPr>
              <w:t xml:space="preserve">10.平台支持实时弹窗告警功能，出现以下：设备离线、故障、断电、环境参数异常、非授权人员操作等问题时，平台弹出弹窗，并能推送信息到绑定的管理员微信或钉钉账号实现实时消息提醒；</w:t>
            </w:r>
            <w:r/>
          </w:p>
          <w:p>
            <w:pPr>
              <w:ind w:left="-105" w:right="-105"/>
              <w:widowControl/>
              <w:rPr>
                <w:rFonts w:hint="eastAsia" w:ascii="宋体" w:hAnsi="宋体" w:cs="宋体"/>
                <w:sz w:val="20"/>
                <w:szCs w:val="20"/>
              </w:rPr>
            </w:pPr>
            <w:r>
              <w:rPr>
                <w:rFonts w:hint="eastAsia" w:ascii="宋体" w:hAnsi="宋体" w:cs="宋体"/>
                <w:sz w:val="20"/>
                <w:szCs w:val="20"/>
              </w:rPr>
              <w:t xml:space="preserve">11.平台支持师生一键报修功能，可以在中控面板或微信进行一键报修，自动上传：教室号，故障设备、故障描述等，实时推送给运维人员、管理员，报修流程全程有记录，实现闭环管理，报修数据有图表分析；</w:t>
            </w:r>
            <w:r/>
          </w:p>
          <w:p>
            <w:pPr>
              <w:ind w:left="-105" w:right="-105"/>
              <w:widowControl/>
              <w:rPr>
                <w:rFonts w:hint="eastAsia" w:ascii="宋体" w:hAnsi="宋体" w:cs="宋体"/>
                <w:sz w:val="20"/>
                <w:szCs w:val="20"/>
              </w:rPr>
            </w:pPr>
            <w:r>
              <w:rPr>
                <w:rFonts w:hint="eastAsia" w:ascii="宋体" w:hAnsi="宋体" w:cs="宋体"/>
                <w:sz w:val="20"/>
                <w:szCs w:val="20"/>
              </w:rPr>
              <w:t xml:space="preserve">12.平台需兼容第三方设备，与现有主流中控设备、门禁、灯光、空调、投影、幕布、音响、电脑、摄像头、环境传感器无缝对接；开放标准API接口，支持后续扩展，支持主流品牌设备协议（含 RS232/485、TCP/IP、HDMI、网络 IO、中控协议等）；</w:t>
            </w:r>
            <w:r/>
          </w:p>
          <w:p>
            <w:pPr>
              <w:ind w:left="-105" w:right="-105"/>
              <w:widowControl/>
              <w:rPr>
                <w:rFonts w:hint="eastAsia" w:ascii="宋体" w:hAnsi="宋体" w:cs="宋体"/>
                <w:sz w:val="20"/>
                <w:szCs w:val="20"/>
              </w:rPr>
            </w:pPr>
            <w:r>
              <w:rPr>
                <w:rFonts w:hint="eastAsia" w:ascii="宋体" w:hAnsi="宋体" w:cs="宋体"/>
                <w:sz w:val="20"/>
                <w:szCs w:val="20"/>
              </w:rPr>
              <w:t xml:space="preserve">13.可在紧急情况或其他需求时将信息（信息包含但不限于图片、音频、视频）推送至教室多媒体系统，并自动将其从音箱与投影中播出。</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多媒体讲台改造</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项</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1.拆除原显示器支架及玻璃，安装新显示器支架；</w:t>
            </w:r>
            <w:r/>
          </w:p>
          <w:p>
            <w:pPr>
              <w:ind w:left="-105" w:right="-105"/>
              <w:widowControl/>
              <w:rPr>
                <w:rFonts w:hint="eastAsia" w:ascii="宋体" w:hAnsi="宋体" w:cs="宋体"/>
                <w:sz w:val="20"/>
                <w:szCs w:val="20"/>
              </w:rPr>
            </w:pPr>
            <w:r>
              <w:rPr>
                <w:rFonts w:hint="eastAsia" w:ascii="宋体" w:hAnsi="宋体" w:cs="宋体"/>
                <w:sz w:val="20"/>
                <w:szCs w:val="20"/>
              </w:rPr>
              <w:t xml:space="preserve">2.拆除原有中控面板，定制新中控面板支架托盘；</w:t>
            </w:r>
            <w:r/>
          </w:p>
          <w:p>
            <w:pPr>
              <w:ind w:left="-105" w:right="-105"/>
              <w:widowControl/>
              <w:rPr>
                <w:rFonts w:hint="eastAsia" w:ascii="宋体" w:hAnsi="宋体" w:cs="宋体"/>
                <w:sz w:val="20"/>
                <w:szCs w:val="20"/>
              </w:rPr>
            </w:pPr>
            <w:r>
              <w:rPr>
                <w:rFonts w:hint="eastAsia" w:ascii="宋体" w:hAnsi="宋体" w:cs="宋体"/>
                <w:sz w:val="20"/>
                <w:szCs w:val="20"/>
              </w:rPr>
              <w:t xml:space="preserve">3.安装杯托，开孔走线槽等。</w:t>
            </w:r>
            <w:r/>
          </w:p>
          <w:p>
            <w:pPr>
              <w:ind w:left="-105" w:right="-105"/>
              <w:widowControl/>
              <w:rPr>
                <w:rFonts w:hint="eastAsia" w:ascii="宋体" w:hAnsi="宋体" w:cs="宋体"/>
                <w:color w:val="000000"/>
                <w:szCs w:val="21"/>
              </w:rPr>
            </w:pPr>
            <w:r>
              <w:rPr>
                <w:rFonts w:hint="eastAsia" w:ascii="宋体" w:hAnsi="宋体" w:cs="宋体"/>
                <w:sz w:val="20"/>
                <w:szCs w:val="20"/>
              </w:rPr>
              <w:t xml:space="preserve">4.安装86型5孔面板带USB+type-C接口，充电功率≥20W。</w:t>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W w:w="1179" w:type="dxa"/>
            <w:vAlign w:val="center"/>
            <w:textDirection w:val="lrTb"/>
            <w:noWrap w:val="false"/>
          </w:tcPr>
          <w:p>
            <w:pPr>
              <w:ind w:left="-105" w:right="-105"/>
              <w:widowControl/>
              <w:rPr>
                <w:rFonts w:ascii="宋体" w:hAnsi="宋体" w:cs="宋体"/>
                <w:sz w:val="20"/>
                <w:szCs w:val="20"/>
              </w:rPr>
            </w:pPr>
            <w:r>
              <w:rPr>
                <w:rFonts w:hint="eastAsia" w:ascii="宋体" w:hAnsi="宋体" w:cs="宋体"/>
                <w:sz w:val="20"/>
                <w:szCs w:val="20"/>
              </w:rPr>
              <w:t xml:space="preserve">教师机主机</w:t>
            </w:r>
            <w:r/>
          </w:p>
          <w:p>
            <w:pPr>
              <w:ind w:left="-105" w:right="-105"/>
              <w:widowControl/>
              <w:rPr>
                <w:rFonts w:hint="eastAsia" w:ascii="宋体" w:hAnsi="宋体" w:cs="宋体"/>
                <w:color w:val="000000"/>
                <w:szCs w:val="21"/>
              </w:rPr>
            </w:pPr>
            <w:r>
              <w:rPr>
                <w:rFonts w:hint="eastAsia" w:ascii="宋体" w:hAnsi="宋体" w:cs="宋体"/>
                <w:sz w:val="20"/>
                <w:szCs w:val="20"/>
              </w:rPr>
              <w:t xml:space="preserve">（工作站）</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23</w:t>
            </w:r>
            <w:r/>
          </w:p>
        </w:tc>
        <w:tc>
          <w:tcPr>
            <w:tcW w:w="5721" w:type="dxa"/>
            <w:vAlign w:val="center"/>
            <w:textDirection w:val="lrTb"/>
            <w:noWrap w:val="false"/>
          </w:tcPr>
          <w:p>
            <w:pPr>
              <w:ind w:right="-105"/>
              <w:widowControl/>
              <w:rPr>
                <w:rFonts w:hint="eastAsia" w:ascii="宋体" w:hAnsi="宋体" w:cs="宋体"/>
                <w:color w:val="000000"/>
                <w:szCs w:val="21"/>
              </w:rPr>
            </w:pPr>
            <w:r/>
            <w:bookmarkStart w:id="178" w:name="OLE_LINK2"/>
            <w:r/>
            <w:bookmarkStart w:id="179" w:name="OLE_LINK1"/>
            <w:r>
              <w:rPr>
                <w:rFonts w:hint="eastAsia" w:ascii="宋体" w:hAnsi="宋体" w:cs="宋体"/>
                <w:color w:val="000000"/>
                <w:szCs w:val="21"/>
              </w:rPr>
              <w:t xml:space="preserve">详见其他要求：1.《教师机主机（工作站）采购需求》</w:t>
            </w:r>
            <w:bookmarkEnd w:id="178"/>
            <w:r/>
            <w:bookmarkEnd w:id="179"/>
            <w:r/>
            <w:r/>
          </w:p>
        </w:tc>
      </w:tr>
      <w:tr>
        <w:trPr>
          <w:trHeight w:val="500"/>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电容触摸屏</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left="-105" w:right="-105"/>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rPr>
              <w:t xml:space="preserve">■</w:t>
            </w:r>
            <w:r>
              <w:rPr>
                <w:rFonts w:hint="eastAsia" w:ascii="宋体" w:hAnsi="宋体" w:cs="宋体"/>
                <w:sz w:val="20"/>
                <w:szCs w:val="20"/>
              </w:rPr>
              <w:t xml:space="preserve">采用≥23.8英寸电容触摸屏，支持≥10点触摸，触摸精准、书写流畅、运行稳定，16:9，显示分辨率≥1920*1080，可视范围≥178°，外覆钢化玻璃，面板硬度≥7H；（投标人须提供产品彩页、官网截图、软件产品功能截图，且加盖公章，提供其中之一即可。）</w:t>
            </w:r>
            <w:r/>
          </w:p>
          <w:p>
            <w:pPr>
              <w:ind w:left="-105" w:right="-105"/>
              <w:widowControl/>
              <w:rPr>
                <w:rFonts w:hint="eastAsia" w:ascii="宋体" w:hAnsi="宋体" w:cs="宋体"/>
                <w:sz w:val="20"/>
                <w:szCs w:val="20"/>
              </w:rPr>
            </w:pPr>
            <w:r>
              <w:rPr>
                <w:rFonts w:hint="eastAsia" w:ascii="宋体" w:hAnsi="宋体" w:cs="宋体"/>
                <w:sz w:val="20"/>
                <w:szCs w:val="20"/>
              </w:rPr>
              <w:t xml:space="preserve">2.接口：≥1个HDMI接口，≥1个VGA接口，≥1个 上行接口，≥1个USB3.2接口；</w:t>
            </w:r>
            <w:r/>
          </w:p>
          <w:p>
            <w:pPr>
              <w:ind w:left="-105" w:right="-105"/>
              <w:widowControl/>
              <w:rPr>
                <w:rFonts w:hint="eastAsia" w:ascii="宋体" w:hAnsi="宋体" w:cs="宋体"/>
                <w:sz w:val="20"/>
                <w:szCs w:val="20"/>
              </w:rPr>
            </w:pPr>
            <w:r>
              <w:rPr>
                <w:rFonts w:hint="eastAsia" w:ascii="宋体" w:hAnsi="宋体" w:cs="宋体"/>
                <w:sz w:val="20"/>
                <w:szCs w:val="20"/>
              </w:rPr>
              <w:t xml:space="preserve">3.支持VESA（100mm*100mm）安装；</w:t>
            </w:r>
            <w:r/>
          </w:p>
        </w:tc>
      </w:tr>
      <w:tr>
        <w:trPr>
          <w:trHeight w:val="527"/>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W w:w="1179"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服务器</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台</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1</w:t>
            </w:r>
            <w:r/>
          </w:p>
        </w:tc>
        <w:tc>
          <w:tcPr>
            <w:tcW w:w="5721"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详见其他要求：2.《服务器采购需求》</w:t>
            </w:r>
            <w:r/>
          </w:p>
        </w:tc>
      </w:tr>
      <w:tr>
        <w:trPr>
          <w:trHeight w:val="2226"/>
        </w:trPr>
        <w:tc>
          <w:tcPr>
            <w:tcW w:w="71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tcW w:w="1179" w:type="dxa"/>
            <w:vAlign w:val="center"/>
            <w:textDirection w:val="lrTb"/>
            <w:noWrap w:val="false"/>
          </w:tcPr>
          <w:p>
            <w:pPr>
              <w:ind w:left="-105" w:right="-105"/>
              <w:widowControl/>
              <w:rPr>
                <w:rFonts w:ascii="宋体" w:hAnsi="宋体" w:cs="宋体"/>
                <w:color w:val="000000"/>
                <w:szCs w:val="21"/>
              </w:rPr>
            </w:pPr>
            <w:r>
              <w:rPr>
                <w:rFonts w:hint="eastAsia" w:ascii="宋体" w:hAnsi="宋体" w:cs="宋体"/>
                <w:color w:val="000000"/>
                <w:szCs w:val="21"/>
              </w:rPr>
              <w:t xml:space="preserve">安装调试</w:t>
            </w:r>
            <w:r/>
          </w:p>
        </w:tc>
        <w:tc>
          <w:tcPr>
            <w:tcW w:w="73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套</w:t>
            </w:r>
            <w:r/>
          </w:p>
        </w:tc>
        <w:tc>
          <w:tcPr>
            <w:tcW w:w="706" w:type="dxa"/>
            <w:vAlign w:val="center"/>
            <w:textDirection w:val="lrTb"/>
            <w:noWrap w:val="false"/>
          </w:tcPr>
          <w:p>
            <w:pPr>
              <w:ind w:left="-105" w:right="-105"/>
              <w:widowControl/>
              <w:rPr>
                <w:rFonts w:hint="eastAsia" w:ascii="宋体" w:hAnsi="宋体" w:cs="宋体"/>
                <w:color w:val="000000"/>
                <w:szCs w:val="21"/>
              </w:rPr>
            </w:pPr>
            <w:r>
              <w:rPr>
                <w:rFonts w:hint="eastAsia" w:ascii="宋体" w:hAnsi="宋体" w:cs="宋体"/>
                <w:sz w:val="20"/>
                <w:szCs w:val="20"/>
              </w:rPr>
              <w:t xml:space="preserve">22</w:t>
            </w:r>
            <w:r/>
          </w:p>
        </w:tc>
        <w:tc>
          <w:tcPr>
            <w:tcW w:w="5721" w:type="dxa"/>
            <w:vAlign w:val="center"/>
            <w:textDirection w:val="lrTb"/>
            <w:noWrap w:val="false"/>
          </w:tcPr>
          <w:p>
            <w:pPr>
              <w:ind w:right="-105"/>
              <w:widowControl/>
              <w:rPr>
                <w:rFonts w:hint="eastAsia" w:ascii="宋体" w:hAnsi="宋体" w:cs="宋体"/>
                <w:sz w:val="20"/>
                <w:szCs w:val="20"/>
              </w:rPr>
            </w:pPr>
            <w:r>
              <w:rPr>
                <w:rFonts w:hint="eastAsia" w:ascii="宋体" w:hAnsi="宋体" w:cs="宋体"/>
                <w:sz w:val="20"/>
                <w:szCs w:val="20"/>
              </w:rPr>
              <w:t xml:space="preserve">1.设备安装与调试：中标方须负责清单内所有设备的现场安装（包含并不限于音视频分配器、8口千兆交换机、吊架、支架、网线、音箱线、话筒线、视频线、设备连接线、线管、线槽、配件等）、系统联调及功能验证，确保设备按技术参数正常运行。</w:t>
            </w:r>
            <w:r/>
          </w:p>
          <w:p>
            <w:pPr>
              <w:ind w:right="-105"/>
              <w:widowControl/>
              <w:rPr>
                <w:rFonts w:hint="eastAsia" w:ascii="宋体" w:hAnsi="宋体" w:cs="宋体"/>
                <w:color w:val="c00000"/>
                <w:sz w:val="20"/>
                <w:szCs w:val="20"/>
                <w:highlight w:val="yellow"/>
              </w:rPr>
            </w:pPr>
            <w:r>
              <w:rPr>
                <w:rFonts w:hint="eastAsia" w:ascii="宋体" w:hAnsi="宋体" w:cs="宋体"/>
                <w:sz w:val="20"/>
                <w:szCs w:val="20"/>
              </w:rPr>
              <w:t xml:space="preserve">2.旧设备拆除：同步完成原有教学设备的安全拆除及场地清理，拆除后的设备按甲方要求集中堆放移交给甲方，拆除过程须符合国家安全规范，施工过程</w:t>
            </w:r>
            <w:r>
              <w:rPr>
                <w:rFonts w:hint="eastAsia" w:ascii="宋体" w:hAnsi="宋体" w:cs="宋体"/>
                <w:sz w:val="20"/>
                <w:szCs w:val="20"/>
                <w:lang w:val="zh-CN"/>
              </w:rPr>
              <w:t xml:space="preserve">中损坏、污染的</w:t>
            </w:r>
            <w:r>
              <w:rPr>
                <w:rFonts w:hint="eastAsia" w:ascii="宋体" w:hAnsi="宋体" w:cs="宋体"/>
                <w:sz w:val="20"/>
                <w:szCs w:val="20"/>
              </w:rPr>
              <w:t xml:space="preserve">建筑装修面层</w:t>
            </w:r>
            <w:r>
              <w:rPr>
                <w:rFonts w:hint="eastAsia" w:ascii="宋体" w:hAnsi="宋体" w:cs="宋体"/>
                <w:sz w:val="20"/>
                <w:szCs w:val="20"/>
                <w:lang w:val="zh-CN"/>
              </w:rPr>
              <w:t xml:space="preserve">，必须恢复出新</w:t>
            </w:r>
            <w:r>
              <w:rPr>
                <w:rFonts w:hint="eastAsia" w:ascii="宋体" w:hAnsi="宋体" w:cs="宋体"/>
                <w:sz w:val="20"/>
                <w:szCs w:val="20"/>
              </w:rPr>
              <w:t xml:space="preserve">。</w:t>
            </w:r>
            <w:r/>
          </w:p>
        </w:tc>
      </w:tr>
    </w:tbl>
    <w:p>
      <w:pPr>
        <w:spacing w:line="360" w:lineRule="auto"/>
        <w:rPr>
          <w:rFonts w:hint="eastAsia"/>
          <w:b/>
          <w:sz w:val="24"/>
          <w:szCs w:val="24"/>
        </w:rPr>
        <w:outlineLvl w:val="1"/>
      </w:pPr>
      <w:r>
        <w:rPr>
          <w:rFonts w:hint="eastAsia"/>
          <w:b/>
          <w:sz w:val="24"/>
          <w:szCs w:val="24"/>
        </w:rPr>
      </w:r>
      <w:r/>
    </w:p>
    <w:p>
      <w:pPr>
        <w:ind w:left="420"/>
        <w:spacing w:line="360" w:lineRule="auto"/>
        <w:rPr>
          <w:rFonts w:hint="eastAsia"/>
          <w:b/>
          <w:sz w:val="24"/>
          <w:szCs w:val="24"/>
        </w:rPr>
        <w:outlineLvl w:val="1"/>
      </w:pPr>
      <w:r>
        <w:rPr>
          <w:rFonts w:hint="eastAsia"/>
          <w:b/>
          <w:sz w:val="24"/>
          <w:szCs w:val="24"/>
        </w:rPr>
        <w:t xml:space="preserve">其他要求：</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1.《教师机主机（工作站）采购需求》（不</w:t>
      </w:r>
      <w:r>
        <w:rPr>
          <w:rFonts w:ascii="仿宋" w:hAnsi="仿宋" w:eastAsia="仿宋" w:cs="仿宋"/>
          <w:bCs/>
          <w:sz w:val="28"/>
          <w:szCs w:val="28"/>
          <w:lang w:bidi="ar"/>
        </w:rPr>
        <w:t xml:space="preserve">含</w:t>
      </w:r>
      <w:r>
        <w:rPr>
          <w:rFonts w:hint="eastAsia" w:ascii="仿宋" w:hAnsi="仿宋" w:eastAsia="仿宋" w:cs="仿宋"/>
          <w:bCs/>
          <w:sz w:val="28"/>
          <w:szCs w:val="28"/>
          <w:lang w:bidi="ar"/>
        </w:rPr>
        <w:t xml:space="preserve">显示器）</w:t>
      </w:r>
      <w:r/>
    </w:p>
    <w:tbl>
      <w:tblPr>
        <w:tblStyle w:val="782"/>
        <w:tblW w:w="8217" w:type="dxa"/>
        <w:jc w:val="center"/>
        <w:tblLayout w:type="autofit"/>
        <w:tblCellMar>
          <w:left w:w="108" w:type="dxa"/>
          <w:top w:w="0" w:type="dxa"/>
          <w:right w:w="108" w:type="dxa"/>
          <w:bottom w:w="0" w:type="dxa"/>
        </w:tblCellMar>
        <w:tblLook w:val="04A0" w:firstRow="1" w:lastRow="0" w:firstColumn="1" w:lastColumn="0" w:noHBand="0" w:noVBand="1"/>
      </w:tblPr>
      <w:tblGrid>
        <w:gridCol w:w="622"/>
        <w:gridCol w:w="1058"/>
        <w:gridCol w:w="1250"/>
        <w:gridCol w:w="1390"/>
        <w:gridCol w:w="3897"/>
      </w:tblGrid>
      <w:tr>
        <w:trPr>
          <w:jc w:val="center"/>
          <w:trHeight w:val="27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指标要求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CPU规格</w:t>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CPU信息</w:t>
            </w:r>
            <w:r/>
          </w:p>
        </w:tc>
        <w:tc>
          <w:tcPr>
            <w:shd w:val="clear" w:color="000000" w:fill="ffffff"/>
            <w:tcBorders>
              <w:top w:val="non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b/>
                <w:bCs/>
                <w:sz w:val="18"/>
                <w:szCs w:val="18"/>
              </w:rPr>
            </w:pPr>
            <w:r>
              <w:rPr>
                <w:rFonts w:hint="eastAsia" w:ascii="宋体" w:hAnsi="宋体" w:cs="宋体"/>
                <w:i/>
                <w:iCs/>
                <w:sz w:val="18"/>
                <w:szCs w:val="18"/>
                <w:u w:val="single"/>
              </w:rPr>
              <w:t xml:space="preserve">物理核心数≥20个；处理器全局最大睿频≥5.</w:t>
            </w:r>
            <w:r>
              <w:rPr>
                <w:rFonts w:ascii="宋体" w:hAnsi="宋体" w:cs="宋体"/>
                <w:i/>
                <w:iCs/>
                <w:sz w:val="18"/>
                <w:szCs w:val="18"/>
                <w:u w:val="single"/>
              </w:rPr>
              <w:t xml:space="preserve">2</w:t>
            </w:r>
            <w:r>
              <w:rPr>
                <w:rFonts w:hint="eastAsia" w:ascii="宋体" w:hAnsi="宋体" w:cs="宋体"/>
                <w:i/>
                <w:iCs/>
                <w:sz w:val="18"/>
                <w:szCs w:val="18"/>
                <w:u w:val="single"/>
              </w:rPr>
              <w:t xml:space="preserve">GHz，线程数≥20个线程；三级缓存≥30MB，二级缓存≥36MB；原生支持内存最高速率 ≥DDR5 6400MT/s，通道数≥2，位宽≥64bit；内置集成核显；基础功耗≤70W，最大睿频功耗≤1</w:t>
            </w:r>
            <w:r>
              <w:rPr>
                <w:rFonts w:ascii="宋体" w:hAnsi="宋体" w:cs="宋体"/>
                <w:i/>
                <w:iCs/>
                <w:sz w:val="18"/>
                <w:szCs w:val="18"/>
                <w:u w:val="single"/>
              </w:rPr>
              <w:t xml:space="preserve">90</w:t>
            </w:r>
            <w:r>
              <w:rPr>
                <w:rFonts w:hint="eastAsia" w:ascii="宋体" w:hAnsi="宋体" w:cs="宋体"/>
                <w:i/>
                <w:iCs/>
                <w:sz w:val="18"/>
                <w:szCs w:val="18"/>
                <w:u w:val="single"/>
              </w:rPr>
              <w:t xml:space="preserve">W；内置独立硬件 NPU 神经网络处理单元，INT8 峰值算力≥30 TOPS；</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ascii="宋体" w:hAnsi="宋体" w:cs="宋体"/>
                <w:sz w:val="18"/>
                <w:szCs w:val="18"/>
              </w:rPr>
            </w:r>
            <w:r/>
          </w:p>
          <w:p>
            <w:pPr>
              <w:jc w:val="center"/>
              <w:widowControl/>
              <w:rPr>
                <w:rFonts w:ascii="宋体" w:hAnsi="宋体" w:cs="宋体"/>
                <w:sz w:val="18"/>
                <w:szCs w:val="18"/>
              </w:rPr>
            </w:pPr>
            <w:r>
              <w:rPr>
                <w:rFonts w:hint="eastAsia" w:ascii="宋体" w:hAnsi="宋体" w:cs="宋体"/>
                <w:sz w:val="18"/>
                <w:szCs w:val="18"/>
              </w:rPr>
              <w:t xml:space="preserve">内存规格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内存配置容量</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≥16GB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支持DDR5 4800 及以上内存类型</w:t>
            </w:r>
            <w:r/>
          </w:p>
        </w:tc>
      </w:tr>
      <w:tr>
        <w:trPr>
          <w:jc w:val="center"/>
          <w:trHeight w:val="1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内存条配置数量（板载内存不涉及）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主板规格</w:t>
            </w:r>
            <w:r/>
          </w:p>
          <w:p>
            <w:pPr>
              <w:jc w:val="center"/>
              <w:widowControl/>
              <w:rPr>
                <w:rFonts w:ascii="宋体" w:hAnsi="宋体" w:cs="宋体"/>
                <w:color w:val="ff0000"/>
                <w:sz w:val="18"/>
                <w:szCs w:val="18"/>
              </w:rPr>
            </w:pPr>
            <w:r>
              <w:rPr>
                <w:rFonts w:ascii="宋体" w:hAnsi="宋体" w:cs="宋体"/>
                <w:color w:val="ff0000"/>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主板集成模块</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集成资源扩展模块、计算处理模块、音频扩展模块等，主板的互联拓扑可通过处理器或交换电路实现</w:t>
            </w:r>
            <w:r/>
          </w:p>
        </w:tc>
      </w:tr>
      <w:tr>
        <w:trPr>
          <w:jc w:val="center"/>
          <w:trHeight w:val="74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主板支持的CPU和内存情况</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支持第15代酷睿处理器（LGA 1851接口），PCI Express 通道数≥20，原生支持内存最高速率 ≥DDR5 6400MT/s</w:t>
            </w:r>
            <w:r>
              <w:rPr>
                <w:rFonts w:ascii="宋体" w:hAnsi="宋体" w:cs="宋体"/>
                <w:i/>
                <w:iCs/>
                <w:sz w:val="18"/>
                <w:szCs w:val="18"/>
                <w:u w:val="single"/>
              </w:rPr>
              <w:t xml:space="preserve"> </w:t>
            </w:r>
            <w:r/>
          </w:p>
        </w:tc>
      </w:tr>
      <w:tr>
        <w:trPr>
          <w:jc w:val="center"/>
          <w:trHeight w:val="5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主板内置PCIe插槽数量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b/>
                <w:bCs/>
                <w:sz w:val="18"/>
                <w:szCs w:val="18"/>
              </w:rPr>
            </w:pPr>
            <w:r>
              <w:rPr>
                <w:rFonts w:hint="eastAsia" w:ascii="宋体" w:hAnsi="宋体" w:cs="宋体"/>
                <w:sz w:val="18"/>
                <w:szCs w:val="18"/>
                <w:lang w:bidi="ar"/>
              </w:rPr>
              <w:t xml:space="preserve">支持数量≥3，其中至少包括一个PCIex16和一个</w:t>
            </w:r>
            <w:r>
              <w:rPr>
                <w:rFonts w:ascii="宋体" w:hAnsi="宋体" w:cs="宋体"/>
                <w:sz w:val="18"/>
                <w:szCs w:val="18"/>
                <w:lang w:bidi="ar"/>
              </w:rPr>
              <w:t xml:space="preserve">PCIex8</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特殊孔位及接口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a）预留满足 USB3.0 数据传输规范的接口，工作电压5V，最大过电流应不小于 3A；</w:t>
            </w:r>
            <w:r>
              <w:rPr>
                <w:rFonts w:hint="eastAsia" w:ascii="宋体" w:hAnsi="宋体" w:cs="宋体"/>
                <w:sz w:val="18"/>
                <w:szCs w:val="18"/>
                <w:lang w:bidi="ar"/>
              </w:rPr>
              <w:br w:type="textWrapping" w:clear="all"/>
            </w:r>
            <w:r>
              <w:rPr>
                <w:rFonts w:hint="eastAsia" w:ascii="宋体" w:hAnsi="宋体" w:cs="宋体"/>
                <w:sz w:val="18"/>
                <w:szCs w:val="18"/>
                <w:lang w:bidi="ar"/>
              </w:rPr>
              <w:t xml:space="preserve">b) 预留多功能导入装置板卡安装孔位，采用内置方式与主机一体化集成，容量不小于145mm×125mm×16.5mm（长×宽×高）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主板其他内置接口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预留≥2个S</w:t>
            </w:r>
            <w:r>
              <w:rPr>
                <w:rFonts w:ascii="宋体" w:hAnsi="宋体" w:cs="宋体"/>
                <w:i/>
                <w:iCs/>
                <w:sz w:val="18"/>
                <w:szCs w:val="18"/>
                <w:u w:val="single"/>
              </w:rPr>
              <w:t xml:space="preserve">ATA 3.0</w:t>
            </w:r>
            <w:r>
              <w:rPr>
                <w:rFonts w:hint="eastAsia" w:ascii="宋体" w:hAnsi="宋体" w:cs="宋体"/>
                <w:i/>
                <w:iCs/>
                <w:sz w:val="18"/>
                <w:szCs w:val="18"/>
                <w:u w:val="single"/>
              </w:rPr>
              <w:t xml:space="preserve">接口、≥2个M.2（</w:t>
            </w:r>
            <w:r>
              <w:rPr>
                <w:rFonts w:ascii="宋体" w:hAnsi="宋体" w:cs="宋体"/>
                <w:i/>
                <w:iCs/>
                <w:sz w:val="18"/>
                <w:szCs w:val="18"/>
                <w:u w:val="single"/>
              </w:rPr>
              <w:t xml:space="preserve">2280</w:t>
            </w:r>
            <w:r>
              <w:rPr>
                <w:rFonts w:hint="eastAsia" w:ascii="宋体" w:hAnsi="宋体" w:cs="宋体"/>
                <w:i/>
                <w:iCs/>
                <w:sz w:val="18"/>
                <w:szCs w:val="18"/>
                <w:u w:val="single"/>
              </w:rPr>
              <w:t xml:space="preserve">，N</w:t>
            </w:r>
            <w:r>
              <w:rPr>
                <w:rFonts w:ascii="宋体" w:hAnsi="宋体" w:cs="宋体"/>
                <w:i/>
                <w:iCs/>
                <w:sz w:val="18"/>
                <w:szCs w:val="18"/>
                <w:u w:val="single"/>
              </w:rPr>
              <w:t xml:space="preserve">VM</w:t>
            </w:r>
            <w:r>
              <w:rPr>
                <w:rFonts w:hint="eastAsia" w:ascii="宋体" w:hAnsi="宋体" w:cs="宋体"/>
                <w:i/>
                <w:iCs/>
                <w:sz w:val="18"/>
                <w:szCs w:val="18"/>
                <w:u w:val="single"/>
              </w:rPr>
              <w:t xml:space="preserve">e协议）接口，原生USB 接口≥</w:t>
            </w:r>
            <w:r>
              <w:rPr>
                <w:rFonts w:ascii="宋体" w:hAnsi="宋体" w:cs="宋体"/>
                <w:i/>
                <w:iCs/>
                <w:sz w:val="18"/>
                <w:szCs w:val="18"/>
                <w:u w:val="single"/>
              </w:rPr>
              <w:t xml:space="preserve">6</w:t>
            </w:r>
            <w:r>
              <w:rPr>
                <w:rFonts w:hint="eastAsia" w:ascii="宋体" w:hAnsi="宋体" w:cs="宋体"/>
                <w:i/>
                <w:iCs/>
                <w:sz w:val="18"/>
                <w:szCs w:val="18"/>
                <w:u w:val="single"/>
              </w:rPr>
              <w:t xml:space="preserve">个USB接口（其中至少</w:t>
            </w:r>
            <w:r>
              <w:rPr>
                <w:rFonts w:ascii="宋体" w:hAnsi="宋体" w:cs="宋体"/>
                <w:i/>
                <w:iCs/>
                <w:sz w:val="18"/>
                <w:szCs w:val="18"/>
                <w:u w:val="single"/>
              </w:rPr>
              <w:t xml:space="preserve">4</w:t>
            </w:r>
            <w:r>
              <w:rPr>
                <w:rFonts w:hint="eastAsia" w:ascii="宋体" w:hAnsi="宋体" w:cs="宋体"/>
                <w:i/>
                <w:iCs/>
                <w:sz w:val="18"/>
                <w:szCs w:val="18"/>
                <w:u w:val="single"/>
              </w:rPr>
              <w:t xml:space="preserve">个USB 3.</w:t>
            </w:r>
            <w:r>
              <w:rPr>
                <w:rFonts w:ascii="宋体" w:hAnsi="宋体" w:cs="宋体"/>
                <w:i/>
                <w:iCs/>
                <w:sz w:val="18"/>
                <w:szCs w:val="18"/>
                <w:u w:val="single"/>
              </w:rPr>
              <w:t xml:space="preserve">0</w:t>
            </w:r>
            <w:r>
              <w:rPr>
                <w:rFonts w:hint="eastAsia" w:ascii="宋体" w:hAnsi="宋体" w:cs="宋体"/>
                <w:i/>
                <w:iCs/>
                <w:sz w:val="18"/>
                <w:szCs w:val="18"/>
                <w:u w:val="single"/>
              </w:rPr>
              <w:t xml:space="preserve">及以上接口)</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单内存插槽最大可支持容量（板载内存不涉及）</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≥32GB</w:t>
            </w:r>
            <w:r/>
          </w:p>
        </w:tc>
      </w:tr>
      <w:tr>
        <w:trPr>
          <w:jc w:val="center"/>
          <w:trHeight w:val="4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内存插槽满配时提供的最高内存总容量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≥128GB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ascii="宋体" w:hAnsi="宋体" w:cs="宋体"/>
                <w:sz w:val="18"/>
                <w:szCs w:val="18"/>
              </w:rPr>
            </w:r>
            <w:r/>
          </w:p>
          <w:p>
            <w:pPr>
              <w:jc w:val="center"/>
              <w:widowControl/>
              <w:rPr>
                <w:rFonts w:ascii="宋体" w:hAnsi="宋体" w:cs="宋体"/>
                <w:sz w:val="18"/>
                <w:szCs w:val="18"/>
              </w:rPr>
            </w:pPr>
            <w:r>
              <w:rPr>
                <w:rFonts w:hint="eastAsia" w:ascii="宋体" w:hAnsi="宋体" w:cs="宋体"/>
                <w:sz w:val="18"/>
                <w:szCs w:val="18"/>
              </w:rPr>
              <w:t xml:space="preserve">存储设备规格</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固态盘数量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≥1个</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固态存储容量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512</w:t>
            </w:r>
            <w:r>
              <w:rPr>
                <w:rFonts w:hint="eastAsia" w:ascii="宋体" w:hAnsi="宋体" w:cs="宋体"/>
                <w:i/>
                <w:iCs/>
                <w:sz w:val="18"/>
                <w:szCs w:val="18"/>
                <w:u w:val="single"/>
              </w:rPr>
              <w:t xml:space="preserve">GB M.2 NVME 固态硬盘</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个</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机械硬盘总容量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TB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机械硬盘转速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黑体" w:hAnsi="宋体" w:eastAsia="黑体" w:cs="黑体"/>
                <w:i/>
                <w:iCs/>
                <w:color w:val="000000"/>
                <w:sz w:val="18"/>
                <w:szCs w:val="18"/>
                <w:u w:val="single"/>
                <w:lang w:bidi="ar"/>
              </w:rPr>
              <w:t xml:space="preserve">7200rpm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机械硬盘接口协议</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支持SATA3.0及以上或SAS3.0及以上接口</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机械硬盘形态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2.5英寸或3.5英寸等</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UFS/SATA/PCIe/NVMe等类型接口协议</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b/>
                <w:bCs/>
                <w:sz w:val="18"/>
                <w:szCs w:val="18"/>
              </w:rPr>
            </w:pPr>
            <w:r>
              <w:rPr>
                <w:rFonts w:hint="eastAsia" w:ascii="宋体" w:hAnsi="宋体" w:cs="宋体"/>
                <w:i/>
                <w:iCs/>
                <w:sz w:val="18"/>
                <w:szCs w:val="18"/>
                <w:u w:val="single"/>
              </w:rPr>
              <w:t xml:space="preserve">采用插卡或板载等形态，可选用符合M.2或2.5寸SATA或mSATA等标准的插卡形态</w:t>
            </w:r>
            <w:r/>
          </w:p>
        </w:tc>
      </w:tr>
      <w:tr>
        <w:trPr>
          <w:jc w:val="center"/>
          <w:trHeight w:val="2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存储设备扩展盘位</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w:t>
            </w:r>
            <w:r>
              <w:rPr>
                <w:rFonts w:ascii="宋体" w:hAnsi="宋体" w:cs="宋体"/>
                <w:sz w:val="18"/>
                <w:szCs w:val="18"/>
                <w:lang w:bidi="ar"/>
              </w:rPr>
              <w:t xml:space="preserve">2</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a)固态盘应符合SJ/T11654相关规定；</w:t>
            </w:r>
            <w:r>
              <w:rPr>
                <w:rFonts w:hint="eastAsia" w:ascii="宋体" w:hAnsi="宋体" w:cs="宋体"/>
                <w:i/>
                <w:iCs/>
                <w:sz w:val="18"/>
                <w:szCs w:val="18"/>
                <w:u w:val="single"/>
              </w:rPr>
              <w:br w:type="textWrapping" w:clear="all"/>
            </w:r>
            <w:r>
              <w:rPr>
                <w:rFonts w:hint="eastAsia" w:ascii="宋体" w:hAnsi="宋体" w:cs="宋体"/>
                <w:i/>
                <w:iCs/>
                <w:sz w:val="18"/>
                <w:szCs w:val="18"/>
                <w:u w:val="single"/>
              </w:rPr>
              <w:t xml:space="preserve">b)机械硬盘准备时间应不大于30s；侧面固定螺丝孔数量可为4孔或6孔；工作状态环境温度应满足5℃~55℃；其它参数应符合GB/T12628相关规定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显卡规格</w:t>
            </w:r>
            <w:r/>
          </w:p>
          <w:p>
            <w:pPr>
              <w:jc w:val="center"/>
              <w:widowControl/>
              <w:rPr>
                <w:rFonts w:ascii="宋体" w:hAnsi="宋体" w:cs="宋体"/>
                <w:color w:val="ff0000"/>
                <w:sz w:val="18"/>
                <w:szCs w:val="18"/>
              </w:rPr>
            </w:pPr>
            <w:r>
              <w:rPr>
                <w:rFonts w:ascii="宋体" w:hAnsi="宋体" w:cs="宋体"/>
                <w:color w:val="ff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highlight w:val="none"/>
                <w:u w:val="single"/>
              </w:rPr>
            </w:pPr>
            <w:r>
              <w:rPr>
                <w:rFonts w:hint="eastAsia" w:ascii="宋体" w:hAnsi="宋体" w:cs="宋体"/>
                <w:i/>
                <w:iCs/>
                <w:sz w:val="18"/>
                <w:szCs w:val="18"/>
                <w:highlight w:val="none"/>
                <w:u w:val="single"/>
              </w:rPr>
              <w:t xml:space="preserve">集成显卡</w:t>
            </w:r>
            <w:r/>
          </w:p>
        </w:tc>
      </w:tr>
      <w:tr>
        <w:trPr>
          <w:jc w:val="center"/>
          <w:trHeight w:val="31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p>
        </w:tc>
      </w:tr>
      <w:tr>
        <w:trPr>
          <w:jc w:val="center"/>
          <w:trHeight w:val="2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独立显卡显存位宽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独立显卡显存容量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val="0"/>
                <w:iCs w:val="0"/>
                <w:sz w:val="18"/>
                <w:szCs w:val="18"/>
                <w:u w:val="none"/>
              </w:rPr>
            </w:pPr>
            <w:r>
              <w:rPr>
                <w:rFonts w:hint="eastAsia" w:ascii="宋体" w:hAnsi="宋体" w:cs="宋体"/>
                <w:i w:val="0"/>
                <w:iCs w:val="0"/>
                <w:sz w:val="18"/>
                <w:szCs w:val="18"/>
                <w:u w:val="none"/>
              </w:rPr>
              <w:t xml:space="preserve">无要求（本次购买的是集成显卡）</w:t>
            </w:r>
            <w:r/>
          </w:p>
        </w:tc>
      </w:tr>
      <w:tr>
        <w:trPr>
          <w:jc w:val="center"/>
          <w:trHeight w:val="104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独立显卡接口协议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rPr>
                <w:rFonts w:hint="eastAsia" w:ascii="宋体" w:hAnsi="宋体" w:cs="宋体"/>
                <w:i w:val="0"/>
                <w:iCs w:val="0"/>
                <w:sz w:val="18"/>
                <w:szCs w:val="18"/>
                <w:u w:val="none"/>
              </w:rPr>
              <w:t xml:space="preserve">（本次购买的是集成显卡）</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显示设备规格</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显示屏屏占比</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无要求</w:t>
            </w:r>
            <w:r/>
          </w:p>
        </w:tc>
      </w:tr>
      <w:tr>
        <w:trPr>
          <w:jc w:val="center"/>
          <w:trHeight w:val="362"/>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显示屏分辨率</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显示屏像素密度</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显示屏可视角度</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rPr>
              <w:t xml:space="preserve">无要求</w:t>
            </w:r>
            <w:r/>
          </w:p>
        </w:tc>
      </w:tr>
      <w:tr>
        <w:trPr>
          <w:jc w:val="center"/>
          <w:trHeight w:val="14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显示屏尺寸</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显示屏屏幕比例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显示器外观颜色</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111"/>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b/>
                <w:bCs/>
                <w:i/>
                <w:iCs/>
                <w:sz w:val="18"/>
                <w:szCs w:val="18"/>
                <w:u w:val="single"/>
              </w:rPr>
            </w:pPr>
            <w:r>
              <w:rPr>
                <w:rFonts w:hint="eastAsia" w:ascii="宋体" w:hAnsi="宋体" w:cs="宋体"/>
                <w:sz w:val="18"/>
                <w:szCs w:val="18"/>
              </w:rPr>
              <w:t xml:space="preserve">显示屏防蓝光</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显示屏低频闪</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显示屏防炫目</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外设规格</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传声器数量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w:t>
            </w:r>
            <w:r>
              <w:rPr>
                <w:rFonts w:ascii="宋体" w:hAnsi="宋体" w:cs="宋体"/>
                <w:sz w:val="18"/>
                <w:szCs w:val="18"/>
                <w:lang w:bidi="ar"/>
              </w:rPr>
              <w:t xml:space="preserve">0</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摄像头数量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1</w:t>
            </w:r>
            <w:r>
              <w:rPr>
                <w:rFonts w:hint="eastAsia" w:ascii="宋体" w:hAnsi="宋体" w:cs="宋体"/>
                <w:i/>
                <w:iCs/>
                <w:sz w:val="18"/>
                <w:szCs w:val="18"/>
                <w:u w:val="single"/>
              </w:rPr>
              <w:t xml:space="preserve">个</w:t>
            </w:r>
            <w:r/>
          </w:p>
        </w:tc>
      </w:tr>
      <w:tr>
        <w:trPr>
          <w:jc w:val="center"/>
          <w:trHeight w:val="26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43</w:t>
            </w:r>
            <w:r/>
          </w:p>
        </w:tc>
        <w:tc>
          <w:tcPr>
            <w:shd w:val="clear" w:color="000000" w:fill="ffffff"/>
            <w:tcBorders>
              <w:top w:val="non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光驱数量</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≥0个</w:t>
            </w:r>
            <w:r/>
          </w:p>
        </w:tc>
      </w:tr>
      <w:tr>
        <w:trPr>
          <w:jc w:val="center"/>
          <w:trHeight w:val="90"/>
        </w:trPr>
        <w:tc>
          <w:tcPr>
            <w:shd w:val="clear" w:color="000000" w:fill="ffffff"/>
            <w:tcBorders>
              <w:top w:val="singl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44</w:t>
            </w:r>
            <w:r/>
          </w:p>
        </w:tc>
        <w:tc>
          <w:tcPr>
            <w:shd w:val="clear" w:color="000000" w:fill="ffffff"/>
            <w:tcBorders>
              <w:top w:val="single" w:color="000000" w:sz="4" w:space="0"/>
              <w:left w:val="none" w:color="000000" w:sz="4" w:space="0"/>
              <w:bottom w:val="non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键盘按键数目</w:t>
            </w:r>
            <w:r/>
          </w:p>
        </w:tc>
        <w:tc>
          <w:tcPr>
            <w:shd w:val="clear" w:color="000000" w:fill="ffffff"/>
            <w:tcBorders>
              <w:top w:val="single" w:color="000000" w:sz="4" w:space="0"/>
              <w:left w:val="none" w:color="000000" w:sz="4" w:space="0"/>
              <w:bottom w:val="non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101键/104键</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摄像头像素</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≥50 万</w:t>
            </w:r>
            <w:r/>
          </w:p>
        </w:tc>
      </w:tr>
      <w:tr>
        <w:trPr>
          <w:jc w:val="center"/>
          <w:trHeight w:val="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摄像头分辨率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≥800×600</w:t>
            </w:r>
            <w:r/>
          </w:p>
        </w:tc>
      </w:tr>
      <w:tr>
        <w:trPr>
          <w:jc w:val="center"/>
          <w:trHeight w:val="90"/>
        </w:trPr>
        <w:tc>
          <w:tcPr>
            <w:shd w:val="clear" w:color="000000" w:fill="ffffff"/>
            <w:tcBorders>
              <w:top w:val="none" w:color="000000" w:sz="4" w:space="0"/>
              <w:left w:val="single" w:color="000000" w:sz="4" w:space="0"/>
              <w:bottom w:val="non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non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扬声器功率</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 瓦/个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扬声器频率范围</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widowControl/>
              <w:rPr>
                <w:rFonts w:ascii="宋体" w:hAnsi="宋体" w:cs="宋体"/>
                <w:i/>
                <w:iCs/>
                <w:sz w:val="18"/>
                <w:szCs w:val="18"/>
                <w:u w:val="single"/>
              </w:rPr>
            </w:pPr>
            <w:r>
              <w:rPr>
                <w:rFonts w:hint="eastAsia" w:ascii="宋体" w:hAnsi="宋体" w:cs="宋体"/>
                <w:i/>
                <w:iCs/>
                <w:sz w:val="18"/>
                <w:szCs w:val="18"/>
                <w:u w:val="single"/>
              </w:rPr>
              <w:t xml:space="preserve">不低于（100Hz-8kHz）范围</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扬声器总谐波失真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谐波失真在 100Hz-7kHz 频率范围内不</w:t>
            </w:r>
            <w:r/>
          </w:p>
          <w:p>
            <w:pPr>
              <w:jc w:val="left"/>
              <w:widowControl/>
              <w:rPr>
                <w:rFonts w:ascii="宋体" w:hAnsi="宋体" w:cs="宋体"/>
                <w:sz w:val="18"/>
                <w:szCs w:val="18"/>
                <w:lang w:bidi="ar"/>
              </w:rPr>
            </w:pPr>
            <w:r>
              <w:rPr>
                <w:rFonts w:hint="eastAsia" w:ascii="宋体" w:hAnsi="宋体" w:cs="宋体"/>
                <w:sz w:val="18"/>
                <w:szCs w:val="18"/>
                <w:lang w:bidi="ar"/>
              </w:rPr>
              <w:t xml:space="preserve">高于 10%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扬声器最大声压级</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tcPr>
          <w:p>
            <w:pPr>
              <w:jc w:val="left"/>
              <w:widowControl/>
              <w:rPr>
                <w:rFonts w:ascii="宋体" w:hAnsi="宋体" w:cs="宋体"/>
                <w:sz w:val="18"/>
                <w:szCs w:val="18"/>
                <w:lang w:bidi="ar"/>
              </w:rPr>
            </w:pPr>
            <w:r>
              <w:rPr>
                <w:rFonts w:hint="eastAsia" w:ascii="宋体" w:hAnsi="宋体" w:cs="宋体"/>
                <w:sz w:val="18"/>
                <w:szCs w:val="18"/>
                <w:lang w:bidi="ar"/>
              </w:rPr>
              <w:t xml:space="preserve">最大声压级在粉红噪声播放场景下，工作距离处声压级不低于 70dB</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键盘连接方式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有线</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52</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键盘键程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2.3mm~4.0mm</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53</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键盘按键压力</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按键压力应在0.54N±0.14N</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黑色</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键盘外观结构、连接方式、主要功能、安全、电磁兼容性、可靠性应符合GB/T14081的相关规定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20"/>
                <w:szCs w:val="20"/>
                <w:u w:val="single"/>
              </w:rPr>
            </w:pPr>
            <w:r>
              <w:rPr>
                <w:rFonts w:hint="eastAsia" w:ascii="宋体" w:hAnsi="宋体" w:cs="宋体"/>
                <w:i/>
                <w:iCs/>
                <w:sz w:val="18"/>
                <w:szCs w:val="18"/>
                <w:u w:val="single"/>
              </w:rPr>
              <w:t xml:space="preserve">有线</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≥1.5米</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鼠标DPI分辨率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800~1600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黑色</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其它参数应符合GB/T26245的相关规定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内置光驱</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支持扩展内置光驱</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网络设备规格</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b/>
                <w:bCs/>
                <w:i/>
                <w:iCs/>
                <w:sz w:val="18"/>
                <w:szCs w:val="18"/>
                <w:u w:val="single"/>
              </w:rPr>
            </w:pPr>
            <w:r>
              <w:rPr>
                <w:rFonts w:hint="eastAsia" w:ascii="宋体" w:hAnsi="宋体" w:cs="宋体"/>
                <w:i/>
                <w:iCs/>
                <w:sz w:val="18"/>
                <w:szCs w:val="18"/>
                <w:u w:val="single"/>
              </w:rPr>
              <w:t xml:space="preserve">≥1 </w:t>
            </w:r>
            <w:r/>
          </w:p>
        </w:tc>
      </w:tr>
      <w:tr>
        <w:trPr>
          <w:jc w:val="center"/>
          <w:trHeight w:val="19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无线网卡及天线数量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单无线网卡天线数量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USB接口数量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i/>
                <w:iCs/>
                <w:sz w:val="18"/>
                <w:szCs w:val="18"/>
                <w:u w:val="single"/>
              </w:rPr>
              <w:t xml:space="preserve">≥9个，机箱前板至少包括：≥3个USB 3.</w:t>
            </w:r>
            <w:r>
              <w:rPr>
                <w:rFonts w:ascii="宋体" w:hAnsi="宋体" w:cs="宋体"/>
                <w:i/>
                <w:iCs/>
                <w:sz w:val="18"/>
                <w:szCs w:val="18"/>
                <w:u w:val="single"/>
              </w:rPr>
              <w:t xml:space="preserve">0</w:t>
            </w:r>
            <w:r>
              <w:rPr>
                <w:rFonts w:hint="eastAsia" w:ascii="宋体" w:hAnsi="宋体" w:cs="宋体"/>
                <w:i/>
                <w:iCs/>
                <w:sz w:val="18"/>
                <w:szCs w:val="18"/>
                <w:u w:val="single"/>
              </w:rPr>
              <w:t xml:space="preserve">及以上接口（其中至少1个USB Type-C）</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USB母座接口要求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机箱前面板额外预留2个专用USB母座接口孔位和1个通用A型USB母座接口孔位，采用横向排列中心间距应不小于27mm</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至少支持VGA、HDMI、DVI、DP、Type-C中2种显示接口</w:t>
            </w:r>
            <w:r/>
          </w:p>
        </w:tc>
      </w:tr>
      <w:tr>
        <w:trPr>
          <w:jc w:val="center"/>
          <w:trHeight w:val="20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w:t>
            </w:r>
            <w:r>
              <w:rPr>
                <w:rFonts w:ascii="宋体" w:hAnsi="宋体" w:cs="宋体"/>
                <w:i/>
                <w:iCs/>
                <w:sz w:val="18"/>
                <w:szCs w:val="18"/>
                <w:u w:val="single"/>
              </w:rPr>
              <w:t xml:space="preserve">2</w:t>
            </w:r>
            <w:r>
              <w:rPr>
                <w:rFonts w:hint="eastAsia" w:ascii="宋体" w:hAnsi="宋体" w:cs="宋体"/>
                <w:i/>
                <w:iCs/>
                <w:sz w:val="18"/>
                <w:szCs w:val="18"/>
                <w:u w:val="single"/>
              </w:rPr>
              <w:t xml:space="preserve">（前置≥1个）</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70</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存储卡接口数量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≥0</w:t>
            </w:r>
            <w:r/>
          </w:p>
        </w:tc>
      </w:tr>
      <w:tr>
        <w:trPr>
          <w:jc w:val="center"/>
          <w:trHeight w:val="130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71</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整机基础规格</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整机外观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a)产品表面不应有凹痕、划伤、裂缝、变形和污染等。表面涂层均匀，不应起泡、龟裂、脱落和磨损，金属零部件无锈蚀及其它机械损伤；</w:t>
            </w:r>
            <w:r/>
          </w:p>
          <w:p>
            <w:pPr>
              <w:widowControl/>
              <w:rPr>
                <w:rFonts w:ascii="宋体" w:hAnsi="宋体" w:cs="宋体"/>
                <w:i/>
                <w:iCs/>
                <w:sz w:val="18"/>
                <w:szCs w:val="18"/>
                <w:u w:val="single"/>
              </w:rPr>
            </w:pPr>
            <w:r>
              <w:rPr>
                <w:rFonts w:hint="eastAsia" w:ascii="宋体" w:hAnsi="宋体" w:cs="宋体"/>
                <w:i/>
                <w:iCs/>
                <w:sz w:val="18"/>
                <w:szCs w:val="18"/>
                <w:u w:val="single"/>
              </w:rPr>
              <w:t xml:space="preserve">b)产品表面说明功能的文字、符号、标志，应清晰、端正、牢固；</w:t>
            </w:r>
            <w:r/>
          </w:p>
          <w:p>
            <w:pPr>
              <w:widowControl/>
              <w:rPr>
                <w:rFonts w:ascii="宋体" w:hAnsi="宋体" w:cs="宋体"/>
                <w:i/>
                <w:iCs/>
                <w:sz w:val="18"/>
                <w:szCs w:val="18"/>
                <w:u w:val="single"/>
              </w:rPr>
            </w:pPr>
            <w:r>
              <w:rPr>
                <w:rFonts w:hint="eastAsia" w:ascii="宋体" w:hAnsi="宋体" w:cs="宋体"/>
                <w:i/>
                <w:iCs/>
                <w:sz w:val="18"/>
                <w:szCs w:val="18"/>
                <w:u w:val="single"/>
              </w:rPr>
              <w:t xml:space="preserve">c)宜在产品显著位置提供运行状态指示功能，并由供应商提供详细参数</w:t>
            </w:r>
            <w:r/>
          </w:p>
        </w:tc>
      </w:tr>
      <w:tr>
        <w:trPr>
          <w:jc w:val="center"/>
          <w:trHeight w:val="8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a)机箱应符合GB/T4208、GB/T26246的相关规定；</w:t>
            </w:r>
            <w:r/>
          </w:p>
          <w:p>
            <w:pPr>
              <w:widowControl/>
              <w:rPr>
                <w:rFonts w:ascii="宋体" w:hAnsi="宋体" w:cs="宋体"/>
                <w:i/>
                <w:iCs/>
                <w:sz w:val="18"/>
                <w:szCs w:val="18"/>
                <w:u w:val="single"/>
              </w:rPr>
            </w:pPr>
            <w:r>
              <w:rPr>
                <w:rFonts w:hint="eastAsia" w:ascii="宋体" w:hAnsi="宋体" w:cs="宋体"/>
                <w:i/>
                <w:iCs/>
                <w:sz w:val="18"/>
                <w:szCs w:val="18"/>
                <w:u w:val="single"/>
              </w:rPr>
              <w:t xml:space="preserve">b)产品内部结构应符合通用部件的安装需求；</w:t>
            </w:r>
            <w:r/>
          </w:p>
          <w:p>
            <w:pPr>
              <w:widowControl/>
              <w:rPr>
                <w:rFonts w:ascii="宋体" w:hAnsi="宋体" w:cs="宋体"/>
                <w:i/>
                <w:iCs/>
                <w:sz w:val="18"/>
                <w:szCs w:val="18"/>
                <w:u w:val="single"/>
              </w:rPr>
            </w:pPr>
            <w:r>
              <w:rPr>
                <w:rFonts w:hint="eastAsia" w:ascii="宋体" w:hAnsi="宋体" w:cs="宋体"/>
                <w:i/>
                <w:iCs/>
                <w:sz w:val="18"/>
                <w:szCs w:val="18"/>
                <w:u w:val="single"/>
              </w:rPr>
              <w:t xml:space="preserve">c)所有输入输出接口应符合相关国家或行业标准；</w:t>
            </w:r>
            <w:r/>
          </w:p>
          <w:p>
            <w:pPr>
              <w:widowControl/>
              <w:rPr>
                <w:rFonts w:ascii="宋体" w:hAnsi="宋体" w:cs="宋体"/>
                <w:i/>
                <w:iCs/>
                <w:sz w:val="18"/>
                <w:szCs w:val="18"/>
                <w:u w:val="single"/>
              </w:rPr>
            </w:pPr>
            <w:r>
              <w:rPr>
                <w:rFonts w:hint="eastAsia" w:ascii="宋体" w:hAnsi="宋体" w:cs="宋体"/>
                <w:i/>
                <w:iCs/>
                <w:sz w:val="18"/>
                <w:szCs w:val="18"/>
                <w:u w:val="single"/>
              </w:rPr>
              <w:t xml:space="preserve">d)产品零部件应紧固无松动，可插拔部件应可靠连接，开关、按钮和其它控制部件应灵活可靠，布局应方便使用；</w:t>
            </w:r>
            <w:r/>
          </w:p>
          <w:p>
            <w:pPr>
              <w:widowControl/>
              <w:rPr>
                <w:rFonts w:ascii="宋体" w:hAnsi="宋体" w:cs="宋体"/>
                <w:i/>
                <w:iCs/>
                <w:sz w:val="18"/>
                <w:szCs w:val="18"/>
                <w:u w:val="single"/>
              </w:rPr>
            </w:pPr>
            <w:r>
              <w:rPr>
                <w:rFonts w:hint="eastAsia" w:ascii="宋体" w:hAnsi="宋体" w:cs="宋体"/>
                <w:i/>
                <w:iCs/>
                <w:sz w:val="18"/>
                <w:szCs w:val="18"/>
                <w:u w:val="single"/>
              </w:rPr>
              <w:t xml:space="preserve">e)所有I/O连接器及需插接线缆的部位应预留采购人操作空间，方便插拔解锁与插拔线缆；</w:t>
            </w:r>
            <w:r/>
          </w:p>
          <w:p>
            <w:pPr>
              <w:widowControl/>
              <w:rPr>
                <w:rFonts w:ascii="宋体" w:hAnsi="宋体" w:cs="宋体"/>
                <w:i/>
                <w:iCs/>
                <w:sz w:val="18"/>
                <w:szCs w:val="18"/>
                <w:u w:val="single"/>
              </w:rPr>
            </w:pPr>
            <w:r>
              <w:rPr>
                <w:rFonts w:hint="eastAsia" w:ascii="宋体" w:hAnsi="宋体" w:cs="宋体"/>
                <w:i/>
                <w:iCs/>
                <w:sz w:val="18"/>
                <w:szCs w:val="18"/>
                <w:u w:val="single"/>
              </w:rPr>
              <w:t xml:space="preserve">f)可插拔板卡插槽部位应预留安装、拆卸或更换板卡空间；</w:t>
            </w:r>
            <w:r/>
          </w:p>
          <w:p>
            <w:pPr>
              <w:widowControl/>
              <w:rPr>
                <w:rFonts w:ascii="宋体" w:hAnsi="宋体" w:cs="宋体"/>
                <w:i/>
                <w:iCs/>
                <w:sz w:val="18"/>
                <w:szCs w:val="18"/>
                <w:u w:val="single"/>
              </w:rPr>
            </w:pPr>
            <w:r>
              <w:rPr>
                <w:rFonts w:hint="eastAsia" w:ascii="宋体" w:hAnsi="宋体" w:cs="宋体"/>
                <w:i/>
                <w:iCs/>
                <w:sz w:val="18"/>
                <w:szCs w:val="18"/>
                <w:u w:val="single"/>
              </w:rPr>
              <w:t xml:space="preserve">g)拆装可能接触到的金属剪口或金属尖角部位应做防划伤处理，以保证安全；</w:t>
            </w:r>
            <w:r/>
          </w:p>
          <w:p>
            <w:pPr>
              <w:widowControl/>
              <w:rPr>
                <w:rFonts w:ascii="宋体" w:hAnsi="宋体" w:cs="宋体"/>
                <w:i/>
                <w:iCs/>
                <w:sz w:val="18"/>
                <w:szCs w:val="18"/>
                <w:u w:val="single"/>
              </w:rPr>
            </w:pPr>
            <w:r>
              <w:rPr>
                <w:rFonts w:hint="eastAsia" w:ascii="宋体" w:hAnsi="宋体" w:cs="宋体"/>
                <w:i/>
                <w:iCs/>
                <w:sz w:val="18"/>
                <w:szCs w:val="18"/>
                <w:u w:val="single"/>
              </w:rPr>
              <w:t xml:space="preserve">h)整机内部走线应规整，固线结构和位置要合理可靠并做防割线处理，需便于理线和插拔操作，走线应不影响系统各主要部件组装和拆卸；</w:t>
            </w:r>
            <w:r/>
          </w:p>
          <w:p>
            <w:pPr>
              <w:widowControl/>
              <w:rPr>
                <w:rFonts w:ascii="宋体" w:hAnsi="宋体" w:cs="宋体"/>
                <w:i/>
                <w:iCs/>
                <w:sz w:val="18"/>
                <w:szCs w:val="18"/>
                <w:u w:val="single"/>
              </w:rPr>
            </w:pPr>
            <w:r>
              <w:rPr>
                <w:rFonts w:hint="eastAsia" w:ascii="宋体" w:hAnsi="宋体" w:cs="宋体"/>
                <w:i/>
                <w:iCs/>
                <w:sz w:val="18"/>
                <w:szCs w:val="18"/>
                <w:u w:val="single"/>
              </w:rPr>
              <w:t xml:space="preserve">i)如需通过孔走线，过线孔应做防割线处理；</w:t>
            </w:r>
            <w:r/>
          </w:p>
          <w:p>
            <w:pPr>
              <w:widowControl/>
              <w:rPr>
                <w:rFonts w:ascii="宋体" w:hAnsi="宋体" w:cs="宋体"/>
                <w:i/>
                <w:iCs/>
                <w:sz w:val="18"/>
                <w:szCs w:val="18"/>
                <w:u w:val="single"/>
              </w:rPr>
            </w:pPr>
            <w:r>
              <w:rPr>
                <w:rFonts w:hint="eastAsia" w:ascii="宋体" w:hAnsi="宋体" w:cs="宋体"/>
                <w:i/>
                <w:iCs/>
                <w:sz w:val="18"/>
                <w:szCs w:val="18"/>
                <w:u w:val="single"/>
              </w:rPr>
              <w:t xml:space="preserve">j)各插头位置和插拔方向应合理，应做到插拔无障碍设计，具备防呆设计，有效避免误操作；</w:t>
            </w:r>
            <w:r/>
          </w:p>
          <w:p>
            <w:pPr>
              <w:widowControl/>
              <w:rPr>
                <w:rFonts w:ascii="宋体" w:hAnsi="宋体" w:cs="宋体"/>
                <w:i/>
                <w:iCs/>
                <w:sz w:val="18"/>
                <w:szCs w:val="18"/>
                <w:u w:val="single"/>
              </w:rPr>
            </w:pPr>
            <w:r>
              <w:rPr>
                <w:rFonts w:hint="eastAsia" w:ascii="宋体" w:hAnsi="宋体" w:cs="宋体"/>
                <w:i/>
                <w:iCs/>
                <w:sz w:val="18"/>
                <w:szCs w:val="18"/>
                <w:u w:val="single"/>
              </w:rPr>
              <w:t xml:space="preserve">k)各主要部件拆装无障碍，使用常规工具拆装，无特殊拆装工具需求；</w:t>
            </w:r>
            <w:r/>
          </w:p>
          <w:p>
            <w:pPr>
              <w:widowControl/>
              <w:rPr>
                <w:rFonts w:ascii="宋体" w:hAnsi="宋体" w:cs="宋体"/>
                <w:i/>
                <w:iCs/>
                <w:sz w:val="18"/>
                <w:szCs w:val="18"/>
                <w:u w:val="single"/>
              </w:rPr>
            </w:pPr>
            <w:r>
              <w:rPr>
                <w:rFonts w:hint="eastAsia" w:ascii="宋体" w:hAnsi="宋体" w:cs="宋体"/>
                <w:i/>
                <w:iCs/>
                <w:sz w:val="18"/>
                <w:szCs w:val="18"/>
                <w:u w:val="single"/>
              </w:rPr>
              <w:t xml:space="preserve">l)各主要部件拆装步骤要少，各自拆装需避免相互干扰；</w:t>
            </w:r>
            <w:r/>
          </w:p>
          <w:p>
            <w:pPr>
              <w:widowControl/>
              <w:rPr>
                <w:rFonts w:ascii="宋体" w:hAnsi="宋体" w:cs="宋体"/>
                <w:i/>
                <w:iCs/>
                <w:sz w:val="18"/>
                <w:szCs w:val="18"/>
                <w:u w:val="single"/>
              </w:rPr>
            </w:pPr>
            <w:r>
              <w:rPr>
                <w:rFonts w:hint="eastAsia" w:ascii="宋体" w:hAnsi="宋体" w:cs="宋体"/>
                <w:i/>
                <w:iCs/>
                <w:sz w:val="18"/>
                <w:szCs w:val="18"/>
                <w:u w:val="single"/>
              </w:rPr>
              <w:t xml:space="preserve">m)对于整机或零部件外表面为高亮面的，应粘贴保护膜，保护膜需粘贴牢固，运输、组装等过程不易脱落，撕下无残留；</w:t>
            </w:r>
            <w:r/>
          </w:p>
          <w:p>
            <w:pPr>
              <w:widowControl/>
              <w:rPr>
                <w:rFonts w:ascii="宋体" w:hAnsi="宋体" w:cs="宋体"/>
                <w:i/>
                <w:iCs/>
                <w:sz w:val="18"/>
                <w:szCs w:val="18"/>
                <w:u w:val="single"/>
              </w:rPr>
            </w:pPr>
            <w:r>
              <w:rPr>
                <w:rFonts w:hint="eastAsia" w:ascii="宋体" w:hAnsi="宋体" w:cs="宋体"/>
                <w:i/>
                <w:iCs/>
                <w:sz w:val="18"/>
                <w:szCs w:val="18"/>
                <w:u w:val="single"/>
              </w:rPr>
              <w:t xml:space="preserve">n)其它要求应符合GB/T9813.1的相关规定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机箱防护要求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机箱应符合GB/T4208中IP20防护要求</w:t>
            </w:r>
            <w:r/>
          </w:p>
        </w:tc>
      </w:tr>
      <w:tr>
        <w:trPr>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整机噪音</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产品工作在空闲状态下，产品的声功率级应不超过4.5 Bel</w:t>
            </w:r>
            <w:r/>
          </w:p>
        </w:tc>
      </w:tr>
      <w:tr>
        <w:trPr>
          <w:jc w:val="center"/>
          <w:trHeight w:val="18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整机散热</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pStyle w:val="978"/>
              <w:rPr>
                <w:rFonts w:ascii="宋体" w:hAnsi="宋体" w:cs="宋体"/>
                <w:i/>
                <w:iCs/>
                <w:sz w:val="18"/>
                <w:szCs w:val="18"/>
                <w:u w:val="single"/>
              </w:rPr>
            </w:pPr>
            <w:r>
              <w:rPr>
                <w:rFonts w:hint="eastAsia" w:ascii="宋体" w:hAnsi="宋体" w:cs="宋体"/>
                <w:i/>
                <w:iCs/>
                <w:sz w:val="18"/>
                <w:szCs w:val="18"/>
                <w:u w:val="single"/>
              </w:rPr>
              <w:t xml:space="preserve">在环境温度25℃及处理器满载情况下，产品表面温度应符合如下要求：</w:t>
            </w:r>
            <w:r/>
          </w:p>
          <w:p>
            <w:pPr>
              <w:pStyle w:val="978"/>
              <w:rPr>
                <w:rFonts w:ascii="宋体" w:hAnsi="宋体" w:cs="宋体"/>
                <w:i/>
                <w:iCs/>
                <w:sz w:val="18"/>
                <w:szCs w:val="18"/>
                <w:u w:val="single"/>
              </w:rPr>
            </w:pPr>
            <w:r>
              <w:rPr>
                <w:rFonts w:hint="eastAsia" w:ascii="宋体" w:hAnsi="宋体" w:cs="宋体"/>
                <w:i/>
                <w:iCs/>
                <w:sz w:val="18"/>
                <w:szCs w:val="18"/>
                <w:u w:val="single"/>
              </w:rPr>
              <w:t xml:space="preserve">a)出风口在机箱后面板情况下，出风口温度不高于55℃；</w:t>
            </w:r>
            <w:r/>
          </w:p>
          <w:p>
            <w:pPr>
              <w:pStyle w:val="978"/>
              <w:rPr>
                <w:rStyle w:val="1027"/>
              </w:rPr>
            </w:pPr>
            <w:r>
              <w:rPr>
                <w:rFonts w:hint="eastAsia" w:ascii="宋体" w:hAnsi="宋体" w:cs="宋体"/>
                <w:i/>
                <w:iCs/>
                <w:sz w:val="18"/>
                <w:szCs w:val="18"/>
                <w:u w:val="single"/>
              </w:rPr>
              <w:t xml:space="preserve">b)可触及面温度不高于45℃；</w:t>
            </w:r>
            <w:r/>
          </w:p>
          <w:p>
            <w:pPr>
              <w:pStyle w:val="978"/>
              <w:rPr>
                <w:rStyle w:val="1027"/>
                <w:rFonts w:hint="eastAsia"/>
              </w:rPr>
            </w:pPr>
            <w:r>
              <w:rPr>
                <w:rFonts w:hint="eastAsia"/>
              </w:rPr>
              <w:t xml:space="preserve">（本项目工作站只有主机，未配置显示器，因此对“显示器表面温度”不做要求）</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76</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产品能效限定值应达到GB28380-2012标准中能效等级2级及以上</w:t>
            </w:r>
            <w:r/>
          </w:p>
        </w:tc>
      </w:tr>
      <w:tr>
        <w:trPr>
          <w:jc w:val="center"/>
          <w:trHeight w:val="9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金属</w:t>
            </w:r>
            <w:r/>
          </w:p>
        </w:tc>
      </w:tr>
      <w:tr>
        <w:trPr>
          <w:jc w:val="center"/>
          <w:trHeight w:val="17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灰色/黑色等商务色系</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产品规格</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机箱体积应不大于40L，不小于17L</w:t>
            </w:r>
            <w:r/>
          </w:p>
        </w:tc>
      </w:tr>
      <w:tr>
        <w:trPr>
          <w:jc w:val="center"/>
          <w:trHeight w:val="327"/>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color w:val="ff0000"/>
                <w:sz w:val="18"/>
                <w:szCs w:val="18"/>
              </w:rPr>
            </w:pPr>
            <w:r>
              <w:rPr>
                <w:rFonts w:hint="eastAsia" w:ascii="宋体" w:hAnsi="宋体" w:cs="宋体"/>
                <w:sz w:val="18"/>
                <w:szCs w:val="18"/>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CPU物理核数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≥20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CPU主频</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性能核基础频率≥2.4GHz，能效核基础频率≥1.8GHz</w:t>
            </w:r>
            <w:r/>
          </w:p>
        </w:tc>
      </w:tr>
      <w:tr>
        <w:trPr>
          <w:jc w:val="center"/>
          <w:trHeight w:val="102"/>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≥3</w:t>
            </w:r>
            <w:r>
              <w:rPr>
                <w:rFonts w:ascii="宋体" w:hAnsi="宋体" w:cs="宋体"/>
                <w:i/>
                <w:iCs/>
                <w:sz w:val="18"/>
                <w:szCs w:val="18"/>
                <w:u w:val="single"/>
              </w:rPr>
              <w:t xml:space="preserve">0</w:t>
            </w:r>
            <w:r>
              <w:rPr>
                <w:rFonts w:hint="eastAsia" w:ascii="宋体" w:hAnsi="宋体" w:cs="宋体"/>
                <w:i/>
                <w:iCs/>
                <w:sz w:val="18"/>
                <w:szCs w:val="18"/>
                <w:u w:val="single"/>
              </w:rPr>
              <w:t xml:space="preserve">MB</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CPU支持的内存最高速率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≥6400MT/s</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i/>
                <w:iCs/>
                <w:sz w:val="18"/>
                <w:szCs w:val="18"/>
                <w:u w:val="single"/>
                <w:lang w:bidi="ar"/>
              </w:rPr>
            </w:pPr>
            <w:r>
              <w:rPr>
                <w:rFonts w:hint="eastAsia" w:ascii="宋体" w:hAnsi="宋体" w:cs="宋体"/>
                <w:i/>
                <w:iCs/>
                <w:sz w:val="18"/>
                <w:szCs w:val="18"/>
                <w:u w:val="single"/>
                <w:lang w:bidi="ar"/>
              </w:rPr>
              <w:t xml:space="preserve">≥4800MT/s</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≥2560×1440</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显卡显示芯片核心频率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ascii="宋体" w:hAnsi="宋体" w:cs="宋体"/>
                <w:i/>
                <w:iCs/>
                <w:sz w:val="18"/>
                <w:szCs w:val="18"/>
                <w:u w:val="single"/>
              </w:rPr>
              <w:t xml:space="preserve">≥800MHz</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显存等效频率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ascii="宋体" w:hAnsi="宋体" w:cs="宋体"/>
                <w:i/>
                <w:iCs/>
                <w:sz w:val="18"/>
                <w:szCs w:val="18"/>
                <w:u w:val="single"/>
              </w:rPr>
              <w:t xml:space="preserve">≥1600MT/s</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ascii="宋体" w:hAnsi="宋体" w:cs="宋体"/>
                <w:i/>
                <w:iCs/>
                <w:sz w:val="18"/>
                <w:szCs w:val="18"/>
                <w:u w:val="single"/>
              </w:rPr>
              <w:t xml:space="preserve">支持2块屏幕同时显示，分辨率应不低 于2560×1440</w:t>
            </w:r>
            <w:r/>
          </w:p>
        </w:tc>
      </w:tr>
      <w:tr>
        <w:trPr>
          <w:jc w:val="center"/>
          <w:trHeight w:val="20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显示屏刷新率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显示屏位深</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显示屏色域</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显示屏色准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显示屏响应时间</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显示屏亮度</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显示屏亮度一致性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188"/>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显示屏对比度</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网络设备性能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最高速率应不低于1000Mbps，应支持10Mbps、100Mbps、1000Mbps速率自适应</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支持无线网络通信技术协议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性能要求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无线网卡频宽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11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内存扩展接口(板载内存不涉及)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20"/>
                <w:szCs w:val="20"/>
                <w:u w:val="single"/>
              </w:rPr>
            </w:pPr>
            <w:r>
              <w:rPr>
                <w:rFonts w:hint="eastAsia" w:ascii="宋体" w:hAnsi="宋体" w:cs="宋体"/>
                <w:i/>
                <w:iCs/>
                <w:sz w:val="18"/>
                <w:szCs w:val="18"/>
                <w:u w:val="single"/>
              </w:rPr>
              <w:t xml:space="preserve">≥4个</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存储扩展接口(板载存储不涉及)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支持存储设备扩展接口≥2 个，如UFS3.0、SATA3.0、SAS3.0、M.2 等接口类型</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主板USB瞬间过流保护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支持有瞬间过流保护功能</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支持防静电保护功能</w:t>
            </w:r>
            <w:r/>
          </w:p>
        </w:tc>
      </w:tr>
      <w:tr>
        <w:trPr>
          <w:jc w:val="center"/>
          <w:trHeight w:val="15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I/O接口功能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显卡功能</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显卡外接显示接口</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显卡至少支持VGA、HDMI、DVI、DP、Type-C中2种显示接口</w:t>
            </w:r>
            <w:r/>
          </w:p>
        </w:tc>
      </w:tr>
      <w:tr>
        <w:trPr>
          <w:jc w:val="center"/>
          <w:trHeight w:val="26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独立显卡数量</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t xml:space="preserve">0</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显示设备功能</w:t>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显示器接口</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外设功能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摄像头物理隐私保护开关</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传声器降噪</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支持降噪功能</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键盘背光</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支持键盘背光</w:t>
            </w:r>
            <w:r/>
          </w:p>
        </w:tc>
      </w:tr>
      <w:tr>
        <w:trPr>
          <w:jc w:val="center"/>
          <w:trHeight w:val="27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光驱功能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通过SATA固态存储/PCIe固态存储/UFS固态存储/SATA硬磁盘等存储部件提供存储功能</w:t>
            </w:r>
            <w:r/>
          </w:p>
        </w:tc>
      </w:tr>
      <w:tr>
        <w:trPr>
          <w:jc w:val="center"/>
          <w:trHeight w:val="10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内置控制器固态存储加密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固态存储通过内置控制器硬件支持加密，不依赖处理器，保障数据安全性，但不得影响存储性能。</w:t>
            </w:r>
            <w:r/>
          </w:p>
          <w:p>
            <w:pPr>
              <w:jc w:val="left"/>
              <w:widowControl/>
              <w:rPr>
                <w:rFonts w:ascii="宋体" w:hAnsi="宋体" w:cs="宋体"/>
                <w:sz w:val="18"/>
                <w:szCs w:val="18"/>
                <w:lang w:bidi="ar"/>
              </w:rPr>
            </w:pPr>
            <w:r>
              <w:rPr>
                <w:rFonts w:hint="eastAsia" w:ascii="宋体" w:hAnsi="宋体" w:cs="宋体"/>
                <w:sz w:val="18"/>
                <w:szCs w:val="18"/>
                <w:lang w:bidi="ar"/>
              </w:rPr>
              <w:t xml:space="preserve">a)支持加密功能，且加密功能开启不影响SSD读写性能；</w:t>
            </w:r>
            <w:r/>
          </w:p>
          <w:p>
            <w:pPr>
              <w:jc w:val="left"/>
              <w:widowControl/>
              <w:rPr>
                <w:rFonts w:ascii="宋体" w:hAnsi="宋体" w:cs="宋体"/>
                <w:sz w:val="18"/>
                <w:szCs w:val="18"/>
                <w:lang w:bidi="ar"/>
              </w:rPr>
            </w:pPr>
            <w:r>
              <w:rPr>
                <w:rFonts w:hint="eastAsia" w:ascii="宋体" w:hAnsi="宋体" w:cs="宋体"/>
                <w:sz w:val="18"/>
                <w:szCs w:val="18"/>
                <w:lang w:bidi="ar"/>
              </w:rPr>
              <w:t xml:space="preserve">b)支持固件加密、安全启动和安全升级；</w:t>
            </w:r>
            <w:r/>
          </w:p>
          <w:p>
            <w:pPr>
              <w:jc w:val="left"/>
              <w:widowControl/>
              <w:rPr>
                <w:rFonts w:ascii="宋体" w:hAnsi="宋体" w:cs="宋体"/>
                <w:sz w:val="18"/>
                <w:szCs w:val="18"/>
                <w:lang w:bidi="ar"/>
              </w:rPr>
            </w:pPr>
            <w:r>
              <w:rPr>
                <w:rFonts w:hint="eastAsia" w:ascii="宋体" w:hAnsi="宋体" w:cs="宋体"/>
                <w:sz w:val="18"/>
                <w:szCs w:val="18"/>
                <w:lang w:bidi="ar"/>
              </w:rPr>
              <w:t xml:space="preserve">c)支持数据的安全擦除</w:t>
            </w:r>
            <w:r/>
          </w:p>
          <w:p>
            <w:pPr>
              <w:jc w:val="left"/>
              <w:widowControl/>
              <w:rPr>
                <w:rFonts w:ascii="宋体" w:hAnsi="宋体" w:cs="宋体"/>
                <w:sz w:val="18"/>
                <w:szCs w:val="18"/>
                <w:lang w:bidi="ar"/>
              </w:rPr>
            </w:pPr>
            <w:r>
              <w:rPr>
                <w:rFonts w:ascii="宋体" w:hAnsi="宋体" w:cs="宋体"/>
                <w:sz w:val="18"/>
                <w:szCs w:val="18"/>
                <w:lang w:bidi="ar"/>
              </w:rPr>
              <w:t xml:space="preserve">d)具有存储状态指示灯，并可通过不同显示方式给出数据读写状态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网络设备功能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a)支持网络连接、网络开启/关闭功能；</w:t>
            </w:r>
            <w:r/>
          </w:p>
          <w:p>
            <w:pPr>
              <w:widowControl/>
              <w:rPr>
                <w:rFonts w:ascii="宋体" w:hAnsi="宋体" w:cs="宋体"/>
                <w:i/>
                <w:iCs/>
                <w:sz w:val="18"/>
                <w:szCs w:val="18"/>
                <w:u w:val="single"/>
              </w:rPr>
            </w:pPr>
            <w:r>
              <w:rPr>
                <w:rFonts w:hint="eastAsia" w:ascii="宋体" w:hAnsi="宋体" w:cs="宋体"/>
                <w:i/>
                <w:iCs/>
                <w:sz w:val="18"/>
                <w:szCs w:val="18"/>
                <w:u w:val="single"/>
              </w:rPr>
              <w:t xml:space="preserve">b)支持访问网络和数据交换功能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无线网卡频段</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物理开关</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支持数据传输能力，并提供数据流量和异常日志记录功能</w:t>
            </w:r>
            <w:r/>
          </w:p>
        </w:tc>
      </w:tr>
      <w:tr>
        <w:trPr>
          <w:jc w:val="center"/>
          <w:trHeight w:val="10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支持RJ45接口</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无线网卡标准</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若配备无线网卡，产品应符合GB15629.11所有部分</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网络设备支持物理拆装，包括无线网卡和蓝牙模块等</w:t>
            </w:r>
            <w:r/>
          </w:p>
        </w:tc>
      </w:tr>
      <w:tr>
        <w:trPr>
          <w:jc w:val="center"/>
          <w:trHeight w:val="9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外部接口功能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支持3.5mm孔径3段式或4段式接口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视频接口类型</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至少支持VGA、HDMI、DVI、DP、Type-C中2种显示接口</w:t>
            </w:r>
            <w:r/>
          </w:p>
        </w:tc>
      </w:tr>
      <w:tr>
        <w:trPr>
          <w:jc w:val="center"/>
          <w:trHeight w:val="9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HDMI、DP、Type-C显示接口要求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若提供HDMI或DP或Type-C作为显示接口，应支持音频和视频同步输出</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a)支持串行接口，可实现GB/T6107的功能；</w:t>
            </w:r>
            <w:r/>
          </w:p>
          <w:p>
            <w:pPr>
              <w:jc w:val="left"/>
              <w:widowControl/>
              <w:rPr>
                <w:rFonts w:ascii="宋体" w:hAnsi="宋体" w:cs="宋体"/>
                <w:sz w:val="18"/>
                <w:szCs w:val="18"/>
                <w:lang w:bidi="ar"/>
              </w:rPr>
            </w:pPr>
            <w:r>
              <w:rPr>
                <w:rFonts w:hint="eastAsia" w:ascii="宋体" w:hAnsi="宋体" w:cs="宋体"/>
                <w:sz w:val="18"/>
                <w:szCs w:val="18"/>
                <w:lang w:bidi="ar"/>
              </w:rPr>
              <w:t xml:space="preserve">b)支持并行接口，可实现GB/T18235.1的功能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电源适配器电线组件应符合GB/T15934的要求，电源≥</w:t>
            </w:r>
            <w:r>
              <w:rPr>
                <w:rFonts w:ascii="宋体" w:hAnsi="宋体" w:cs="宋体"/>
                <w:i/>
                <w:iCs/>
                <w:sz w:val="18"/>
                <w:szCs w:val="18"/>
                <w:u w:val="single"/>
              </w:rPr>
              <w:t xml:space="preserve">50</w:t>
            </w:r>
            <w:r>
              <w:rPr>
                <w:rFonts w:hint="eastAsia" w:ascii="宋体" w:hAnsi="宋体" w:cs="宋体"/>
                <w:i/>
                <w:iCs/>
                <w:sz w:val="18"/>
                <w:szCs w:val="18"/>
                <w:u w:val="single"/>
              </w:rPr>
              <w:t xml:space="preserve">0W</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操作系统及软件功能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符合GB18030的相关规定</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支持操作系统备份及还原功能</w:t>
            </w:r>
            <w:r/>
          </w:p>
        </w:tc>
      </w:tr>
      <w:tr>
        <w:trPr>
          <w:jc w:val="center"/>
          <w:trHeight w:val="186"/>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支持备份及还原固件的功能</w:t>
            </w:r>
            <w:r/>
          </w:p>
        </w:tc>
      </w:tr>
      <w:tr>
        <w:trPr>
          <w:jc w:val="center"/>
          <w:trHeight w:val="365"/>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支持通过网络、闪存盘等方式对操作系统、驱动进行升级</w:t>
            </w:r>
            <w:r/>
          </w:p>
        </w:tc>
      </w:tr>
      <w:tr>
        <w:trPr>
          <w:jc w:val="center"/>
          <w:trHeight w:val="31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135</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固件升级</w:t>
            </w:r>
            <w:r/>
          </w:p>
        </w:tc>
        <w:tc>
          <w:tcPr>
            <w:shd w:val="clear" w:color="000000" w:fill="ffffff"/>
            <w:tcBorders>
              <w:top w:val="none" w:color="000000" w:sz="4" w:space="0"/>
              <w:left w:val="singl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支持通过网络、闪存盘等方式对固件进行升级</w:t>
            </w:r>
            <w:r/>
          </w:p>
        </w:tc>
      </w:tr>
      <w:tr>
        <w:trPr>
          <w:jc w:val="center"/>
          <w:trHeight w:val="198"/>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136</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BIOS支持关闭通讯接口</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支持BIOS关闭以太网及USB接口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137</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固件查看信息</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支持查看固件版本、内存信息、主板信息、处理器信息和系统时间信息等功能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支持设置启动顺序功能，并按照设置的启动顺序启动</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支持设置口令、修改口令、验证口令功能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支持网络引导启动和关闭功能</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生物识别功能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指纹识别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人脸识别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11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静脉识别</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硬件加速功能</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NPU/GPU等AI加速模块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支持NPU/GPU等AI加速模块</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视频编解码加速模块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功能要求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影像处理加速模块</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无要求</w:t>
            </w:r>
            <w:r/>
          </w:p>
        </w:tc>
      </w:tr>
      <w:tr>
        <w:trPr>
          <w:jc w:val="center"/>
          <w:trHeight w:val="30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存储设备可靠性</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TBW≥</w:t>
            </w:r>
            <w:r>
              <w:rPr>
                <w:rFonts w:ascii="宋体" w:hAnsi="宋体" w:cs="宋体"/>
                <w:i/>
                <w:iCs/>
                <w:sz w:val="18"/>
                <w:szCs w:val="18"/>
                <w:u w:val="single"/>
              </w:rPr>
              <w:t xml:space="preserve">15</w:t>
            </w:r>
            <w:r>
              <w:rPr>
                <w:rFonts w:hint="eastAsia" w:ascii="宋体" w:hAnsi="宋体" w:cs="宋体"/>
                <w:i/>
                <w:iCs/>
                <w:sz w:val="18"/>
                <w:szCs w:val="18"/>
                <w:u w:val="single"/>
              </w:rPr>
              <w:t xml:space="preserve">0TB（条件：5</w:t>
            </w:r>
            <w:r>
              <w:rPr>
                <w:rFonts w:ascii="宋体" w:hAnsi="宋体" w:cs="宋体"/>
                <w:i/>
                <w:iCs/>
                <w:sz w:val="18"/>
                <w:szCs w:val="18"/>
                <w:u w:val="single"/>
              </w:rPr>
              <w:t xml:space="preserve">12</w:t>
            </w:r>
            <w:r>
              <w:rPr>
                <w:rFonts w:hint="eastAsia" w:ascii="宋体" w:hAnsi="宋体" w:cs="宋体"/>
                <w:i/>
                <w:iCs/>
                <w:sz w:val="18"/>
                <w:szCs w:val="18"/>
                <w:u w:val="single"/>
              </w:rPr>
              <w:t xml:space="preserve">GB硬盘容量）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pStyle w:val="978"/>
              <w:rPr>
                <w:rFonts w:hint="eastAsia" w:ascii="宋体" w:hAnsi="宋体" w:cs="宋体"/>
                <w:i/>
                <w:iCs/>
                <w:sz w:val="18"/>
                <w:szCs w:val="18"/>
                <w:u w:val="single"/>
              </w:rPr>
            </w:pPr>
            <w:r>
              <w:rPr>
                <w:rFonts w:hint="eastAsia" w:ascii="宋体" w:hAnsi="宋体" w:cs="宋体"/>
                <w:i/>
                <w:iCs/>
                <w:sz w:val="18"/>
                <w:szCs w:val="18"/>
                <w:highlight w:val="none"/>
                <w:u w:val="single"/>
              </w:rPr>
              <w:t xml:space="preserve">通电时间</w:t>
            </w:r>
            <w:r>
              <w:rPr>
                <w:rFonts w:hint="eastAsia" w:ascii="宋体" w:hAnsi="宋体" w:cs="宋体"/>
                <w:i/>
                <w:iCs/>
                <w:sz w:val="18"/>
                <w:szCs w:val="18"/>
                <w:u w:val="single"/>
              </w:rPr>
              <w:t xml:space="preserve">≥</w:t>
            </w:r>
            <w:r>
              <w:rPr>
                <w:rFonts w:hint="eastAsia" w:ascii="宋体" w:hAnsi="宋体" w:cs="宋体"/>
                <w:i/>
                <w:iCs/>
                <w:sz w:val="18"/>
                <w:szCs w:val="18"/>
                <w:highlight w:val="none"/>
                <w:u w:val="single"/>
              </w:rPr>
              <w:t xml:space="preserve">5万小时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sz w:val="18"/>
                <w:szCs w:val="18"/>
              </w:rPr>
              <w:t xml:space="preserve">无要求</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外设可靠性</w:t>
            </w:r>
            <w:r/>
          </w:p>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≥1000万次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≥500万次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键盘鼠标所用线材经±60°弯折不低于3000次，功能、外观完好</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bookmarkStart w:id="180" w:name="OLE_LINK4"/>
            <w:r/>
            <w:bookmarkStart w:id="181" w:name="OLE_LINK3"/>
            <w:r>
              <w:rPr>
                <w:rFonts w:hint="eastAsia" w:ascii="宋体" w:hAnsi="宋体" w:cs="宋体"/>
                <w:i/>
                <w:iCs/>
                <w:sz w:val="18"/>
                <w:szCs w:val="18"/>
                <w:u w:val="single"/>
              </w:rPr>
              <w:t xml:space="preserve">≥</w:t>
            </w:r>
            <w:bookmarkEnd w:id="180"/>
            <w:r/>
            <w:bookmarkEnd w:id="181"/>
            <w:r>
              <w:rPr>
                <w:rFonts w:hint="eastAsia" w:ascii="宋体" w:hAnsi="宋体" w:cs="宋体"/>
                <w:i/>
                <w:iCs/>
                <w:sz w:val="18"/>
                <w:szCs w:val="18"/>
                <w:u w:val="single"/>
              </w:rPr>
              <w:t xml:space="preserve">4万小时</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154</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整机可靠性要求</w:t>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电磁兼容性要求的抗扰度</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符合GB/T9254.2的规定</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155</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环境条件要求的气候环境适应性</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符合GB/T9813.1中规定</w:t>
            </w:r>
            <w:r/>
          </w:p>
        </w:tc>
      </w:tr>
      <w:tr>
        <w:trPr>
          <w:jc w:val="center"/>
          <w:trHeight w:val="36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可靠性要求</w:t>
            </w:r>
            <w:r/>
          </w:p>
        </w:tc>
        <w:tc>
          <w:tcPr>
            <w:shd w:val="clear" w:color="000000" w:fill="ffffff"/>
            <w:tcBorders>
              <w:top w:val="non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MTBF测试</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MTBF(m1)≥</w:t>
            </w:r>
            <w:r>
              <w:rPr>
                <w:rFonts w:ascii="宋体" w:hAnsi="宋体" w:cs="宋体"/>
                <w:i/>
                <w:iCs/>
                <w:sz w:val="18"/>
                <w:szCs w:val="18"/>
                <w:u w:val="single"/>
              </w:rPr>
              <w:t xml:space="preserve">3</w:t>
            </w:r>
            <w:r>
              <w:rPr>
                <w:rFonts w:hint="eastAsia" w:ascii="宋体" w:hAnsi="宋体" w:cs="宋体"/>
                <w:i/>
                <w:iCs/>
                <w:sz w:val="18"/>
                <w:szCs w:val="18"/>
                <w:u w:val="single"/>
              </w:rPr>
              <w:t xml:space="preserve">万小时</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singl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常用软件兼容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支持流式软件、版式软件、浏览器、邮件采购人端、解压软件、多媒体、图形图像处理等常用软件</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兼容3个及以上厂商的数据库产品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兼容3个及以上厂商中间件产品</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兼容3个及以上厂商云计算及大数据平台</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包装及运输要求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符合GB/T9813.1和商品包装政府采购需求标准的相关规定</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供应商提供经自检测试工具</w:t>
            </w:r>
            <w:r/>
          </w:p>
        </w:tc>
      </w:tr>
      <w:tr>
        <w:trPr>
          <w:jc w:val="center"/>
          <w:trHeight w:val="45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服务响应</w:t>
            </w:r>
            <w:r/>
          </w:p>
        </w:tc>
        <w:tc>
          <w:tcPr>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提供产品</w:t>
            </w:r>
            <w:r>
              <w:rPr>
                <w:rFonts w:ascii="宋体" w:hAnsi="宋体" w:cs="宋体"/>
                <w:i/>
                <w:iCs/>
                <w:sz w:val="18"/>
                <w:szCs w:val="18"/>
                <w:u w:val="single"/>
              </w:rPr>
              <w:t xml:space="preserve">5</w:t>
            </w:r>
            <w:r>
              <w:rPr>
                <w:rFonts w:hint="eastAsia" w:ascii="宋体" w:hAnsi="宋体" w:cs="宋体"/>
                <w:i/>
                <w:iCs/>
                <w:sz w:val="18"/>
                <w:szCs w:val="18"/>
                <w:u w:val="single"/>
              </w:rPr>
              <w:t xml:space="preserve"> 年维保及上门服务（满足同城4 小时、异地 12 小时响应要求）；</w:t>
            </w:r>
            <w:r/>
          </w:p>
          <w:p>
            <w:pPr>
              <w:widowControl/>
              <w:rPr>
                <w:rFonts w:ascii="宋体" w:hAnsi="宋体" w:cs="宋体"/>
                <w:i/>
                <w:iCs/>
                <w:sz w:val="18"/>
                <w:szCs w:val="18"/>
                <w:u w:val="single"/>
              </w:rPr>
            </w:pPr>
            <w:r>
              <w:rPr>
                <w:rFonts w:hint="eastAsia" w:ascii="宋体" w:hAnsi="宋体" w:cs="宋体"/>
                <w:i/>
                <w:iCs/>
                <w:sz w:val="18"/>
                <w:szCs w:val="18"/>
                <w:u w:val="single"/>
              </w:rPr>
              <w:t xml:space="preserve">提供政企专线 7*24 在线服务；</w:t>
            </w:r>
            <w:r/>
          </w:p>
          <w:p>
            <w:pPr>
              <w:widowControl/>
              <w:rPr>
                <w:rFonts w:ascii="宋体" w:hAnsi="宋体" w:cs="宋体"/>
                <w:i/>
                <w:iCs/>
                <w:sz w:val="18"/>
                <w:szCs w:val="18"/>
                <w:u w:val="single"/>
              </w:rPr>
            </w:pPr>
            <w:r>
              <w:rPr>
                <w:rFonts w:hint="eastAsia" w:ascii="宋体" w:hAnsi="宋体" w:cs="宋体"/>
                <w:i/>
                <w:iCs/>
                <w:sz w:val="18"/>
                <w:szCs w:val="18"/>
                <w:u w:val="single"/>
              </w:rPr>
              <w:t xml:space="preserve">现场保障技术服务团队员，国内上门服务地级市覆盖率达 100%</w:t>
            </w:r>
            <w:r/>
          </w:p>
        </w:tc>
      </w:tr>
      <w:tr>
        <w:trPr>
          <w:jc w:val="center"/>
          <w:trHeight w:val="633"/>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168</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服务周期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支持产品延保≥3 年,提供每年延保服务报价,提供备件服务能力≥6 年（自购买之日起）</w:t>
            </w:r>
            <w:r/>
          </w:p>
        </w:tc>
      </w:tr>
      <w:tr>
        <w:trPr>
          <w:jc w:val="center"/>
          <w:trHeight w:val="362"/>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169</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预装操作系统</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预装符合桌面操作系统政府采购需求标准的正版操作系统</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170</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供应商提供培训材料、产品手册、培训视频等培训相关内容</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供应商提供典型问题解决说明文档或视频</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供应商提供上门升级部件/软件与扩容的增值服务</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整机质量服务要求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中标后提供免费服务周期（含换件和维修）应不小于</w:t>
            </w:r>
            <w:r>
              <w:rPr>
                <w:rFonts w:ascii="宋体" w:hAnsi="宋体" w:cs="宋体"/>
                <w:i/>
                <w:iCs/>
                <w:sz w:val="18"/>
                <w:szCs w:val="18"/>
                <w:u w:val="single"/>
              </w:rPr>
              <w:t xml:space="preserve">5</w:t>
            </w:r>
            <w:r>
              <w:rPr>
                <w:rFonts w:hint="eastAsia" w:ascii="宋体" w:hAnsi="宋体" w:cs="宋体"/>
                <w:i/>
                <w:iCs/>
                <w:sz w:val="18"/>
                <w:szCs w:val="18"/>
                <w:u w:val="single"/>
              </w:rPr>
              <w:t xml:space="preserve">年</w:t>
            </w:r>
            <w:r/>
          </w:p>
        </w:tc>
      </w:tr>
      <w:tr>
        <w:trPr>
          <w:jc w:val="center"/>
          <w:trHeight w:val="26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供应商提供产品合格证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供应商提供开箱组装/使用指导</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供应商提供驱动光盘或下载方式</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177</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供应商提供兼容适配软件下载渠道（光盘、网站）</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178</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服务要求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供应商提供跨架构平台的应用兼容工具，支持一种或者一种以上不同架构平台的应用</w:t>
            </w:r>
            <w:r/>
          </w:p>
        </w:tc>
      </w:tr>
      <w:tr>
        <w:trPr>
          <w:jc w:val="center"/>
          <w:trHeight w:val="7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179</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供应保障要求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color w:val="ff0000"/>
                <w:sz w:val="18"/>
                <w:szCs w:val="18"/>
              </w:rPr>
            </w:pPr>
            <w:r>
              <w:rPr>
                <w:rFonts w:hint="eastAsia" w:ascii="宋体" w:hAnsi="宋体" w:cs="宋体"/>
                <w:sz w:val="18"/>
                <w:szCs w:val="18"/>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供应商保障产品主要部件，提供6年的备件服务能力（自购买之日起），或提供可兼容原设备的升级换代产品</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180</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供应链质量</w:t>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当产品部件出现供应风险时，供应商应通知采购人并提供风险应对方案确保产品的服务保障</w:t>
            </w:r>
            <w:r/>
          </w:p>
        </w:tc>
      </w:tr>
      <w:tr>
        <w:trPr>
          <w:jc w:val="center"/>
          <w:trHeight w:val="52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181</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供应保障要求</w:t>
            </w:r>
            <w:r/>
          </w:p>
        </w:tc>
        <w:tc>
          <w:tcPr>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供应商提供供应链稳定承诺，确保产品的部件在产品服务周期内稳定供货</w:t>
            </w:r>
            <w:r/>
          </w:p>
        </w:tc>
      </w:tr>
      <w:tr>
        <w:trPr>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182</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single" w:color="000000" w:sz="4" w:space="0"/>
              <w:left w:val="none" w:color="000000" w:sz="4" w:space="0"/>
              <w:bottom w:val="single" w:color="000000" w:sz="4" w:space="0"/>
              <w:right w:val="single" w:color="000000" w:sz="4" w:space="0"/>
            </w:tcBorders>
            <w:tcW w:w="125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CPU和操作系统等关键部件应当符合安全可靠测评要求</w:t>
            </w:r>
            <w:r/>
          </w:p>
        </w:tc>
      </w:tr>
      <w:tr>
        <w:trPr>
          <w:jc w:val="center"/>
          <w:trHeight w:val="330"/>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183</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restart"/>
            <w:textDirection w:val="lrTb"/>
            <w:noWrap w:val="false"/>
          </w:tcPr>
          <w:p>
            <w:pPr>
              <w:jc w:val="center"/>
              <w:widowControl/>
              <w:rPr>
                <w:rFonts w:ascii="宋体" w:hAnsi="宋体" w:cs="宋体"/>
                <w:sz w:val="18"/>
                <w:szCs w:val="18"/>
              </w:rPr>
            </w:pPr>
            <w:r>
              <w:rPr>
                <w:rFonts w:ascii="宋体" w:hAnsi="宋体" w:cs="宋体"/>
                <w:sz w:val="18"/>
                <w:szCs w:val="18"/>
              </w:rPr>
            </w:r>
            <w:r/>
          </w:p>
          <w:p>
            <w:pPr>
              <w:jc w:val="center"/>
              <w:widowControl/>
              <w:rPr>
                <w:rFonts w:ascii="宋体" w:hAnsi="宋体" w:cs="宋体"/>
                <w:sz w:val="18"/>
                <w:szCs w:val="18"/>
              </w:rPr>
            </w:pPr>
            <w:r>
              <w:rPr>
                <w:rFonts w:ascii="宋体" w:hAnsi="宋体" w:cs="宋体"/>
                <w:sz w:val="18"/>
                <w:szCs w:val="18"/>
              </w:rPr>
            </w:r>
            <w:r/>
          </w:p>
          <w:p>
            <w:pPr>
              <w:jc w:val="center"/>
              <w:widowControl/>
              <w:rPr>
                <w:rFonts w:ascii="宋体" w:hAnsi="宋体" w:cs="宋体"/>
                <w:sz w:val="18"/>
                <w:szCs w:val="18"/>
              </w:rPr>
            </w:pPr>
            <w:r>
              <w:rPr>
                <w:rFonts w:hint="eastAsia" w:ascii="宋体" w:hAnsi="宋体" w:cs="宋体"/>
                <w:sz w:val="18"/>
                <w:szCs w:val="18"/>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CPU芯片应符合GM/T0008的相关规定，或芯片密码模块应符合GB/T 37092或GM/T 0028 的相关规定</w:t>
            </w:r>
            <w:r/>
          </w:p>
        </w:tc>
      </w:tr>
      <w:tr>
        <w:trPr>
          <w:jc w:val="center"/>
          <w:trHeight w:val="641"/>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184</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USB端口管控</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支持USB端口管控</w:t>
            </w:r>
            <w:r/>
          </w:p>
        </w:tc>
      </w:tr>
      <w:tr>
        <w:trPr>
          <w:jc w:val="center"/>
          <w:trHeight w:val="124"/>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185</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支持安全物理锁</w:t>
            </w:r>
            <w:r/>
          </w:p>
        </w:tc>
      </w:tr>
      <w:tr>
        <w:trPr>
          <w:jc w:val="center"/>
          <w:trHeight w:val="699"/>
        </w:trPr>
        <w:tc>
          <w:tcPr>
            <w:shd w:val="clear" w:color="000000" w:fill="ffffff"/>
            <w:tcBorders>
              <w:top w:val="non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186</w:t>
            </w:r>
            <w:r/>
          </w:p>
        </w:tc>
        <w:tc>
          <w:tcPr>
            <w:shd w:val="clear" w:color="000000" w:fill="ffffff"/>
            <w:tcBorders>
              <w:top w:val="non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a) 应符合GB/T 39276的5.2的规定；</w:t>
            </w:r>
            <w:r/>
          </w:p>
          <w:p>
            <w:pPr>
              <w:widowControl/>
              <w:rPr>
                <w:rFonts w:ascii="宋体" w:hAnsi="宋体" w:cs="宋体"/>
                <w:i/>
                <w:iCs/>
                <w:sz w:val="18"/>
                <w:szCs w:val="18"/>
                <w:u w:val="single"/>
              </w:rPr>
            </w:pPr>
            <w:r>
              <w:rPr>
                <w:rFonts w:hint="eastAsia" w:ascii="宋体" w:hAnsi="宋体" w:cs="宋体"/>
                <w:i/>
                <w:iCs/>
                <w:sz w:val="18"/>
                <w:szCs w:val="18"/>
                <w:u w:val="single"/>
              </w:rPr>
              <w:t xml:space="preserve">b) 生产厂商应建立漏洞跟踪表，保证产品版本涉及到的漏洞(如驱动程序等)可查看；</w:t>
            </w:r>
            <w:r/>
          </w:p>
          <w:p>
            <w:pPr>
              <w:widowControl/>
              <w:rPr>
                <w:rFonts w:ascii="宋体" w:hAnsi="宋体" w:cs="宋体"/>
                <w:i/>
                <w:iCs/>
                <w:sz w:val="18"/>
                <w:szCs w:val="18"/>
                <w:u w:val="single"/>
              </w:rPr>
            </w:pPr>
            <w:r>
              <w:rPr>
                <w:rFonts w:hint="eastAsia" w:ascii="宋体" w:hAnsi="宋体" w:cs="宋体"/>
                <w:i/>
                <w:iCs/>
                <w:sz w:val="18"/>
                <w:szCs w:val="18"/>
                <w:u w:val="single"/>
              </w:rPr>
              <w:t xml:space="preserve">c) 产品不得包含已知的恶意代码或漏洞，不存在未声明的指令、功能、接口</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187</w:t>
            </w:r>
            <w:r/>
          </w:p>
        </w:tc>
        <w:tc>
          <w:tcPr>
            <w:shd w:val="clear" w:color="000000" w:fill="ffffff"/>
            <w:tcBorders>
              <w:top w:val="single" w:color="000000" w:sz="4" w:space="0"/>
              <w:left w:val="singl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non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固件安全启动</w:t>
            </w:r>
            <w:r/>
          </w:p>
        </w:tc>
        <w:tc>
          <w:tcPr>
            <w:shd w:val="clear" w:color="000000" w:fill="ffffff"/>
            <w:tcBorders>
              <w:top w:val="single" w:color="000000" w:sz="4" w:space="0"/>
              <w:left w:val="singl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支持固件安全启动功能，固件启动过程中只有通过启动校验才能正常启动</w:t>
            </w:r>
            <w:r/>
          </w:p>
        </w:tc>
      </w:tr>
      <w:tr>
        <w:trPr>
          <w:jc w:val="center"/>
          <w:trHeight w:val="520"/>
        </w:trPr>
        <w:tc>
          <w:tcPr>
            <w:shd w:val="clear" w:color="000000" w:fill="ffffff"/>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188</w:t>
            </w:r>
            <w:r/>
          </w:p>
        </w:tc>
        <w:tc>
          <w:tcPr>
            <w:shd w:val="clear" w:color="000000" w:fill="ffffff"/>
            <w:tcBorders>
              <w:top w:val="single" w:color="000000" w:sz="4" w:space="0"/>
              <w:left w:val="none" w:color="000000" w:sz="4" w:space="0"/>
              <w:bottom w:val="single" w:color="000000" w:sz="4" w:space="0"/>
              <w:right w:val="single" w:color="000000" w:sz="4" w:space="0"/>
            </w:tcBorders>
            <w:tcW w:w="10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1250" w:type="dxa"/>
            <w:vAlign w:val="center"/>
            <w:vMerge w:val="continue"/>
            <w:textDirection w:val="lrTb"/>
            <w:noWrap w:val="false"/>
          </w:tcPr>
          <w:p>
            <w:pPr>
              <w:jc w:val="center"/>
              <w:widowControl/>
              <w:rPr>
                <w:rFonts w:ascii="宋体" w:hAnsi="宋体" w:cs="宋体"/>
                <w:sz w:val="18"/>
                <w:szCs w:val="18"/>
              </w:rPr>
            </w:pPr>
            <w:r>
              <w:rPr>
                <w:rFonts w:ascii="宋体" w:hAnsi="宋体" w:cs="宋体"/>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139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限用物质的限量要求</w:t>
            </w:r>
            <w:r/>
          </w:p>
        </w:tc>
        <w:tc>
          <w:tcPr>
            <w:shd w:val="clear" w:color="000000" w:fill="ffffff"/>
            <w:tcBorders>
              <w:top w:val="single" w:color="000000" w:sz="4" w:space="0"/>
              <w:left w:val="none" w:color="000000" w:sz="4" w:space="0"/>
              <w:bottom w:val="single" w:color="000000" w:sz="4" w:space="0"/>
              <w:right w:val="single" w:color="000000" w:sz="4" w:space="0"/>
            </w:tcBorders>
            <w:tcW w:w="3897" w:type="dxa"/>
            <w:vAlign w:val="center"/>
            <w:textDirection w:val="lrTb"/>
            <w:noWrap w:val="false"/>
          </w:tcPr>
          <w:p>
            <w:pPr>
              <w:widowControl/>
              <w:rPr>
                <w:rFonts w:ascii="宋体" w:hAnsi="宋体" w:cs="宋体"/>
                <w:i/>
                <w:iCs/>
                <w:sz w:val="18"/>
                <w:szCs w:val="18"/>
                <w:u w:val="single"/>
              </w:rPr>
            </w:pPr>
            <w:r>
              <w:rPr>
                <w:rFonts w:hint="eastAsia" w:ascii="宋体" w:hAnsi="宋体" w:cs="宋体"/>
                <w:i/>
                <w:iCs/>
                <w:sz w:val="18"/>
                <w:szCs w:val="18"/>
                <w:u w:val="single"/>
              </w:rPr>
              <w:t xml:space="preserve">符合GB/T26572中规定</w:t>
            </w:r>
            <w:r/>
          </w:p>
        </w:tc>
      </w:tr>
    </w:tbl>
    <w:p>
      <w:pPr>
        <w:spacing w:line="360" w:lineRule="auto"/>
        <w:rPr>
          <w:rFonts w:hint="eastAsia" w:ascii="宋体" w:hAnsi="宋体" w:cs="宋体"/>
          <w:b/>
          <w:iCs/>
          <w:color w:val="000000"/>
          <w:szCs w:val="21"/>
        </w:rPr>
      </w:pPr>
      <w:r>
        <w:rPr>
          <w:rFonts w:hint="eastAsia" w:ascii="宋体" w:hAnsi="宋体" w:cs="宋体"/>
          <w:b/>
          <w:bCs/>
          <w:iCs/>
          <w:color w:val="000000"/>
          <w:szCs w:val="21"/>
        </w:rPr>
        <w:t xml:space="preserve">说明：1.本次采购工作站只有主机，不采购配置显示器,故对“显示设备规格”、“显示设备性能”、“显示设备功能”、“显示设备可靠性”指标无指标要求。</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r>
      <w:r/>
    </w:p>
    <w:p>
      <w:pPr>
        <w:ind w:firstLine="560"/>
        <w:spacing w:line="400" w:lineRule="exact"/>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2.《服务器采购需求》</w:t>
      </w:r>
      <w:r/>
    </w:p>
    <w:p>
      <w:pPr>
        <w:spacing w:line="400" w:lineRule="exact"/>
        <w:rPr>
          <w:rFonts w:ascii="仿宋" w:hAnsi="仿宋" w:eastAsia="仿宋" w:cs="仿宋"/>
          <w:bCs/>
          <w:sz w:val="28"/>
          <w:szCs w:val="28"/>
          <w:lang w:bidi="ar"/>
        </w:rPr>
      </w:pPr>
      <w:r>
        <w:rPr>
          <w:rFonts w:hint="eastAsia" w:ascii="仿宋" w:hAnsi="仿宋" w:eastAsia="仿宋" w:cs="仿宋"/>
          <w:bCs/>
          <w:sz w:val="28"/>
          <w:szCs w:val="28"/>
          <w:lang w:bidi="ar"/>
        </w:rPr>
        <w:t xml:space="preserve">  </w:t>
      </w:r>
      <w:r/>
    </w:p>
    <w:tbl>
      <w:tblPr>
        <w:tblStyle w:val="782"/>
        <w:tblW w:w="816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031"/>
        <w:gridCol w:w="1227"/>
        <w:gridCol w:w="1391"/>
        <w:gridCol w:w="3871"/>
      </w:tblGrid>
      <w:tr>
        <w:trPr>
          <w:jc w:val="center"/>
          <w:trHeight w:val="909"/>
        </w:trPr>
        <w:tc>
          <w:tcPr>
            <w:tcW w:w="641" w:type="dxa"/>
            <w:vAlign w:val="center"/>
            <w:textDirection w:val="lrTb"/>
            <w:noWrap w:val="false"/>
          </w:tcPr>
          <w:p>
            <w:pPr>
              <w:pStyle w:val="1069"/>
              <w:ind w:left="105" w:right="105"/>
              <w:jc w:val="center"/>
              <w:spacing w:line="223" w:lineRule="auto"/>
            </w:pPr>
            <w:r>
              <w:rPr>
                <w:b/>
                <w:bCs/>
                <w:spacing w:val="-6"/>
              </w:rPr>
              <w:t xml:space="preserve">序号</w:t>
            </w:r>
            <w:r/>
          </w:p>
        </w:tc>
        <w:tc>
          <w:tcPr>
            <w:tcW w:w="1031" w:type="dxa"/>
            <w:vAlign w:val="center"/>
            <w:textDirection w:val="lrTb"/>
            <w:noWrap w:val="false"/>
          </w:tcPr>
          <w:p>
            <w:pPr>
              <w:pStyle w:val="1069"/>
              <w:ind w:left="105" w:right="105"/>
              <w:jc w:val="center"/>
              <w:spacing w:line="221" w:lineRule="auto"/>
            </w:pPr>
            <w:r>
              <w:rPr>
                <w:b/>
                <w:bCs/>
                <w:spacing w:val="-4"/>
              </w:rPr>
              <w:t xml:space="preserve">指标分类</w:t>
            </w:r>
            <w:r/>
          </w:p>
        </w:tc>
        <w:tc>
          <w:tcPr>
            <w:tcW w:w="1227" w:type="dxa"/>
            <w:vAlign w:val="center"/>
            <w:textDirection w:val="lrTb"/>
            <w:noWrap w:val="false"/>
          </w:tcPr>
          <w:p>
            <w:pPr>
              <w:pStyle w:val="1069"/>
              <w:ind w:left="105" w:right="105"/>
              <w:jc w:val="center"/>
              <w:spacing w:line="302" w:lineRule="auto"/>
              <w:rPr>
                <w:sz w:val="8"/>
                <w:szCs w:val="8"/>
              </w:rPr>
            </w:pPr>
            <w:r>
              <w:rPr>
                <w:b/>
                <w:bCs/>
                <w:spacing w:val="-7"/>
              </w:rPr>
              <w:t xml:space="preserve">一级</w:t>
            </w:r>
            <w:r>
              <w:rPr>
                <w:b/>
                <w:bCs/>
                <w:spacing w:val="-3"/>
                <w:position w:val="-1"/>
              </w:rPr>
              <w:t xml:space="preserve">指标</w:t>
            </w:r>
            <w:r/>
          </w:p>
        </w:tc>
        <w:tc>
          <w:tcPr>
            <w:tcW w:w="1391" w:type="dxa"/>
            <w:vAlign w:val="center"/>
            <w:textDirection w:val="lrTb"/>
            <w:noWrap w:val="false"/>
          </w:tcPr>
          <w:p>
            <w:pPr>
              <w:pStyle w:val="1069"/>
              <w:ind w:left="105" w:right="105"/>
              <w:jc w:val="center"/>
              <w:spacing w:line="234" w:lineRule="auto"/>
              <w:rPr>
                <w:sz w:val="8"/>
                <w:szCs w:val="8"/>
              </w:rPr>
            </w:pPr>
            <w:r>
              <w:rPr>
                <w:b/>
                <w:bCs/>
                <w:spacing w:val="-4"/>
              </w:rPr>
              <w:t xml:space="preserve">二级指标</w:t>
            </w:r>
            <w:r/>
          </w:p>
        </w:tc>
        <w:tc>
          <w:tcPr>
            <w:tcW w:w="3871" w:type="dxa"/>
            <w:vAlign w:val="center"/>
            <w:textDirection w:val="lrTb"/>
            <w:noWrap w:val="false"/>
          </w:tcPr>
          <w:p>
            <w:pPr>
              <w:pStyle w:val="1069"/>
              <w:ind w:left="105" w:right="105"/>
              <w:jc w:val="center"/>
              <w:spacing w:line="222" w:lineRule="auto"/>
            </w:pPr>
            <w:r>
              <w:rPr>
                <w:b/>
                <w:bCs/>
                <w:spacing w:val="-3"/>
              </w:rPr>
              <w:t xml:space="preserve">指标要求</w:t>
            </w:r>
            <w:r/>
          </w:p>
        </w:tc>
      </w:tr>
      <w:tr>
        <w:trPr>
          <w:jc w:val="center"/>
          <w:trHeight w:val="964"/>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1</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CPU规格</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CPU信息</w:t>
            </w:r>
            <w:r/>
          </w:p>
        </w:tc>
        <w:tc>
          <w:tcPr>
            <w:tcW w:w="3871" w:type="dxa"/>
            <w:vAlign w:val="center"/>
            <w:textDirection w:val="lrTb"/>
            <w:noWrap w:val="false"/>
          </w:tcPr>
          <w:p>
            <w:pPr>
              <w:ind w:left="105" w:right="105"/>
              <w:rPr>
                <w:sz w:val="18"/>
                <w:szCs w:val="18"/>
              </w:rPr>
            </w:pPr>
            <w:r>
              <w:rPr>
                <w:rFonts w:hint="eastAsia" w:ascii="宋体" w:hAnsi="宋体" w:cs="宋体"/>
                <w:i/>
                <w:iCs/>
                <w:sz w:val="18"/>
                <w:szCs w:val="18"/>
                <w:u w:val="single"/>
              </w:rPr>
              <w:t xml:space="preserve">配置2颗C</w:t>
            </w:r>
            <w:r>
              <w:rPr>
                <w:rFonts w:ascii="宋体" w:hAnsi="宋体" w:cs="宋体"/>
                <w:i/>
                <w:iCs/>
                <w:sz w:val="18"/>
                <w:szCs w:val="18"/>
                <w:u w:val="single"/>
              </w:rPr>
              <w:t xml:space="preserve">PU,</w:t>
            </w:r>
            <w:r>
              <w:rPr>
                <w:rFonts w:hint="eastAsia" w:ascii="宋体" w:hAnsi="宋体" w:cs="宋体"/>
                <w:i/>
                <w:iCs/>
                <w:sz w:val="18"/>
                <w:szCs w:val="18"/>
                <w:u w:val="single"/>
              </w:rPr>
              <w:t xml:space="preserve">单颗C</w:t>
            </w:r>
            <w:r>
              <w:rPr>
                <w:rFonts w:ascii="宋体" w:hAnsi="宋体" w:cs="宋体"/>
                <w:i/>
                <w:iCs/>
                <w:sz w:val="18"/>
                <w:szCs w:val="18"/>
                <w:u w:val="single"/>
              </w:rPr>
              <w:t xml:space="preserve">PU</w:t>
            </w:r>
            <w:r>
              <w:rPr>
                <w:rFonts w:hint="eastAsia" w:ascii="宋体" w:hAnsi="宋体" w:cs="宋体"/>
                <w:i/>
                <w:iCs/>
                <w:sz w:val="18"/>
                <w:szCs w:val="18"/>
                <w:u w:val="single"/>
              </w:rPr>
              <w:t xml:space="preserve">要求：≥16 核，≥32 线程，基准主频≥2.4GHz，三级缓存≥24MB，TDP功耗≤135W；最大支持≥6TB DDR4 2</w:t>
            </w:r>
            <w:r>
              <w:rPr>
                <w:rFonts w:ascii="宋体" w:hAnsi="宋体" w:cs="宋体"/>
                <w:i/>
                <w:iCs/>
                <w:sz w:val="18"/>
                <w:szCs w:val="18"/>
                <w:u w:val="single"/>
              </w:rPr>
              <w:t xml:space="preserve">400</w:t>
            </w:r>
            <w:r>
              <w:rPr>
                <w:rFonts w:hint="eastAsia" w:ascii="宋体" w:hAnsi="宋体" w:cs="宋体"/>
                <w:i/>
                <w:iCs/>
                <w:sz w:val="18"/>
                <w:szCs w:val="18"/>
                <w:u w:val="single"/>
              </w:rPr>
              <w:t xml:space="preserve">MT/s及以上内存，支持ECC纠错内存，≥8个内存通道；</w:t>
            </w:r>
            <w:r/>
          </w:p>
        </w:tc>
      </w:tr>
      <w:tr>
        <w:trPr>
          <w:jc w:val="center"/>
          <w:trHeight w:val="725"/>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主板规格</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主板支持的CPU和内存情况</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主板支持2颗服务器处理器，支持DDR4 2400MT/s及以上ECC纠错内存。</w:t>
            </w:r>
            <w:r/>
          </w:p>
        </w:tc>
      </w:tr>
      <w:tr>
        <w:trPr>
          <w:jc w:val="center"/>
          <w:trHeight w:val="725"/>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主板内存槽数量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非板载内存的可扩展插槽数量应不少于4个</w:t>
            </w:r>
            <w:r/>
          </w:p>
        </w:tc>
      </w:tr>
      <w:tr>
        <w:trPr>
          <w:jc w:val="center"/>
          <w:trHeight w:val="725"/>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主板存储接口</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至少支持SATA、SAS、M.2、U.2等存储接口中的1种</w:t>
            </w:r>
            <w:r/>
          </w:p>
        </w:tc>
      </w:tr>
      <w:tr>
        <w:trPr>
          <w:jc w:val="center"/>
          <w:trHeight w:val="965"/>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5</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PCIe插槽接口</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符合PCIe3.0或以上的高速串行计算机扩展总线标准，PCIe的接口速率与位宽需保证向下兼容</w:t>
            </w:r>
            <w:r/>
          </w:p>
        </w:tc>
      </w:tr>
      <w:tr>
        <w:trPr>
          <w:jc w:val="center"/>
          <w:trHeight w:val="1444"/>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6</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主板PCIe插槽数量及规格</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a)高度大于44.45mm双路或以上服务器PCIe插槽或接口应不少于5个；</w:t>
            </w:r>
            <w:r/>
          </w:p>
          <w:p>
            <w:pPr>
              <w:ind w:left="105" w:right="105"/>
              <w:rPr>
                <w:rFonts w:ascii="宋体" w:hAnsi="宋体" w:cs="宋体"/>
                <w:i/>
                <w:iCs/>
                <w:sz w:val="18"/>
                <w:szCs w:val="18"/>
                <w:u w:val="single"/>
              </w:rPr>
            </w:pPr>
            <w:r>
              <w:rPr>
                <w:rFonts w:ascii="宋体" w:hAnsi="宋体" w:cs="宋体"/>
                <w:i/>
                <w:iCs/>
                <w:sz w:val="18"/>
                <w:szCs w:val="18"/>
                <w:u w:val="single"/>
              </w:rPr>
              <w:t xml:space="preserve">b)单路服务器PCIe插槽或接口应不少于4个，可通过扩展卡进行插槽扩展</w:t>
            </w:r>
            <w:r/>
          </w:p>
        </w:tc>
      </w:tr>
      <w:tr>
        <w:trPr>
          <w:jc w:val="center"/>
          <w:trHeight w:val="589"/>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7</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板载网络接口</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板载网络接口不少于2个1GE网口</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8</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内存规格</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内存数量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≥4</w:t>
            </w:r>
            <w:r>
              <w:rPr>
                <w:rFonts w:hint="eastAsia" w:ascii="宋体" w:hAnsi="宋体" w:cs="宋体"/>
                <w:i/>
                <w:iCs/>
                <w:sz w:val="18"/>
                <w:szCs w:val="18"/>
                <w:u w:val="single"/>
              </w:rPr>
              <w:t xml:space="preserve">，内存总容量≥64GB</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9</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内存规格</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单条≥16GB，</w:t>
            </w:r>
            <w:r>
              <w:rPr>
                <w:rFonts w:ascii="宋体" w:hAnsi="宋体" w:cs="宋体"/>
                <w:i/>
                <w:iCs/>
                <w:sz w:val="18"/>
                <w:szCs w:val="18"/>
                <w:u w:val="single"/>
              </w:rPr>
              <w:t xml:space="preserve">≥DDR4</w:t>
            </w:r>
            <w:r>
              <w:rPr>
                <w:rFonts w:hint="eastAsia" w:ascii="宋体" w:hAnsi="宋体" w:cs="宋体"/>
                <w:i/>
                <w:iCs/>
                <w:sz w:val="18"/>
                <w:szCs w:val="18"/>
                <w:u w:val="single"/>
              </w:rPr>
              <w:t xml:space="preserve"> 3200MT/s。</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10</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内存通道</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支持多个内存接口通道，每个通道可支持1DPC或2DPC，当支持2DPC时，印制电路板上应具备插槽的序号标识，具体通道数应在随机文件中明确</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1</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存储规格</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硬磁盘实配容量</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配置≥2*480GB 企业级SSD系统盘，≥3*4TB HDD热拔插数据盘</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2</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硬盘实配数量</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≥2个SSD系统盘，≥3个HDD数据盘</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3</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spacing w:line="223" w:lineRule="auto"/>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硬盘插槽数量及规格</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a)供应商应给出配置的硬盘尺寸，如2.5英寸、3.5英寸硬磁盘；</w:t>
            </w:r>
            <w:r/>
          </w:p>
          <w:p>
            <w:pPr>
              <w:ind w:left="105" w:right="105"/>
              <w:rPr>
                <w:rFonts w:ascii="宋体" w:hAnsi="宋体" w:cs="宋体"/>
                <w:i/>
                <w:iCs/>
                <w:sz w:val="18"/>
                <w:szCs w:val="18"/>
                <w:u w:val="single"/>
              </w:rPr>
            </w:pPr>
            <w:r>
              <w:rPr>
                <w:rFonts w:ascii="宋体" w:hAnsi="宋体" w:cs="宋体"/>
                <w:i/>
                <w:iCs/>
                <w:sz w:val="18"/>
                <w:szCs w:val="18"/>
                <w:u w:val="single"/>
              </w:rPr>
              <w:t xml:space="preserve">b)机箱高度为88.9mm的服务器可支持的硬盘数量应不少于8块，机箱高度为44.45mm的服务器可支持的硬盘数量应不少于4块。</w:t>
            </w:r>
            <w:r/>
          </w:p>
          <w:p>
            <w:pPr>
              <w:ind w:left="105" w:right="105"/>
            </w:pPr>
            <w:r>
              <w:rPr>
                <w:rFonts w:ascii="宋体" w:hAnsi="宋体" w:cs="宋体"/>
                <w:i/>
                <w:iCs/>
                <w:sz w:val="18"/>
                <w:szCs w:val="18"/>
                <w:u w:val="single"/>
              </w:rPr>
              <w:t xml:space="preserve">c)存储型服务器可支持硬盘数量应不少于24块</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hint="eastAsia" w:ascii="宋体" w:hAnsi="宋体" w:eastAsia="宋体"/>
                <w:spacing w:val="-2"/>
              </w:rPr>
              <w:t xml:space="preserve">1</w:t>
            </w:r>
            <w:r>
              <w:rPr>
                <w:rFonts w:ascii="宋体" w:hAnsi="宋体" w:eastAsia="宋体"/>
                <w:spacing w:val="-2"/>
              </w:rPr>
              <w:t xml:space="preserve">4</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RAID卡规格（若支持RAID卡）</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RAID卡支持的SAS接口数</w:t>
            </w:r>
            <w:r/>
          </w:p>
        </w:tc>
        <w:tc>
          <w:tcPr>
            <w:tcW w:w="3871" w:type="dxa"/>
            <w:vAlign w:val="center"/>
            <w:textDirection w:val="lrTb"/>
            <w:noWrap w:val="false"/>
          </w:tcPr>
          <w:p>
            <w:pPr>
              <w:pStyle w:val="1069"/>
              <w:ind w:left="105" w:right="105"/>
              <w:spacing w:line="247" w:lineRule="auto"/>
            </w:pPr>
            <w:r>
              <w:rPr>
                <w:rFonts w:ascii="宋体" w:hAnsi="宋体" w:eastAsia="宋体"/>
                <w:spacing w:val="-3"/>
              </w:rPr>
              <w:t xml:space="preserve">≥8</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15</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网络规格</w:t>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网口速率和数量</w:t>
            </w:r>
            <w:r/>
          </w:p>
        </w:tc>
        <w:tc>
          <w:tcPr>
            <w:tcW w:w="3871" w:type="dxa"/>
            <w:vAlign w:val="center"/>
            <w:textDirection w:val="lrTb"/>
            <w:noWrap w:val="false"/>
          </w:tcPr>
          <w:p>
            <w:pPr>
              <w:ind w:left="105" w:right="105"/>
            </w:pPr>
            <w:r>
              <w:rPr>
                <w:rFonts w:hint="eastAsia" w:ascii="宋体" w:hAnsi="宋体" w:cs="宋体"/>
                <w:i/>
                <w:iCs/>
                <w:sz w:val="18"/>
                <w:szCs w:val="18"/>
                <w:u w:val="single"/>
              </w:rPr>
              <w:t xml:space="preserve">配置不少于2个</w:t>
            </w:r>
            <w:r>
              <w:rPr>
                <w:rFonts w:ascii="宋体" w:hAnsi="宋体" w:cs="宋体"/>
                <w:i/>
                <w:iCs/>
                <w:sz w:val="18"/>
                <w:szCs w:val="18"/>
                <w:u w:val="single"/>
              </w:rPr>
              <w:t xml:space="preserve">1GE</w:t>
            </w:r>
            <w:r>
              <w:rPr>
                <w:rFonts w:hint="eastAsia" w:ascii="宋体" w:hAnsi="宋体" w:cs="宋体"/>
                <w:i/>
                <w:iCs/>
                <w:sz w:val="18"/>
                <w:szCs w:val="18"/>
                <w:u w:val="single"/>
              </w:rPr>
              <w:t xml:space="preserve">以太网电口，配置不少于2个</w:t>
            </w:r>
            <w:r>
              <w:rPr>
                <w:rFonts w:ascii="宋体" w:hAnsi="宋体" w:cs="宋体"/>
                <w:i/>
                <w:iCs/>
                <w:sz w:val="18"/>
                <w:szCs w:val="18"/>
                <w:u w:val="single"/>
              </w:rPr>
              <w:t xml:space="preserve">10GE</w:t>
            </w:r>
            <w:r>
              <w:rPr>
                <w:rFonts w:hint="eastAsia" w:ascii="宋体" w:hAnsi="宋体" w:cs="宋体"/>
                <w:i/>
                <w:iCs/>
                <w:sz w:val="18"/>
                <w:szCs w:val="18"/>
                <w:u w:val="single"/>
              </w:rPr>
              <w:t xml:space="preserve">光口（含万兆光模块）。</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16</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外部接口规格</w:t>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显示接口</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显示接口类型应不少于1种，如：VGA、DP、HDMI等</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17</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USB接口</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配备≥4个USB接口，其中≥2个USB3.0 及以上接口。</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18</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电源规格</w:t>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电源冗余模式</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整机电源模块按1+1冗余配置</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19</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电源模块数量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≥2</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20</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电源功率</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配置2 个≥550W 冗余电源</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21</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电源指示灯</w:t>
            </w:r>
            <w:r/>
          </w:p>
        </w:tc>
        <w:tc>
          <w:tcPr>
            <w:tcW w:w="3871" w:type="dxa"/>
            <w:vAlign w:val="center"/>
            <w:textDirection w:val="lrTb"/>
            <w:noWrap w:val="false"/>
          </w:tcPr>
          <w:p>
            <w:pPr>
              <w:pStyle w:val="1069"/>
              <w:ind w:left="105" w:right="105"/>
              <w:spacing w:line="247" w:lineRule="auto"/>
              <w:rPr>
                <w:rFonts w:ascii="宋体" w:hAnsi="宋体" w:eastAsia="宋体"/>
                <w:spacing w:val="-2"/>
              </w:rPr>
            </w:pPr>
            <w:r>
              <w:rPr>
                <w:rFonts w:ascii="宋体" w:hAnsi="宋体" w:eastAsia="宋体"/>
                <w:spacing w:val="-2"/>
              </w:rPr>
              <w:t xml:space="preserve">配备电源指示灯，指示待机、工作异常等状态</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22</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restart"/>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整机规格</w:t>
            </w:r>
            <w:r/>
          </w:p>
        </w:tc>
        <w:tc>
          <w:tcPr>
            <w:tcW w:w="1391" w:type="dxa"/>
            <w:vAlign w:val="center"/>
            <w:textDirection w:val="lrTb"/>
            <w:noWrap w:val="false"/>
          </w:tcPr>
          <w:p>
            <w:pPr>
              <w:pStyle w:val="1069"/>
              <w:jc w:val="center"/>
              <w:spacing w:line="250" w:lineRule="auto"/>
              <w:rPr>
                <w:rFonts w:ascii="宋体" w:hAnsi="宋体" w:eastAsia="宋体"/>
                <w:spacing w:val="-2"/>
              </w:rPr>
            </w:pPr>
            <w:r>
              <w:rPr>
                <w:rFonts w:ascii="宋体" w:hAnsi="宋体" w:eastAsia="宋体"/>
                <w:spacing w:val="-2"/>
              </w:rPr>
              <w:t xml:space="preserve">外观和结构</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a)服务器的零部件应紧固无松动，可插拔部件应可靠连接，开关、按钮和其它控制部件应灵活可靠，布局应方便使用；</w:t>
            </w:r>
            <w:r/>
          </w:p>
          <w:p>
            <w:pPr>
              <w:ind w:left="105" w:right="105"/>
              <w:rPr>
                <w:rFonts w:ascii="宋体" w:hAnsi="宋体" w:cs="宋体"/>
                <w:i/>
                <w:iCs/>
                <w:sz w:val="18"/>
                <w:szCs w:val="18"/>
                <w:u w:val="single"/>
              </w:rPr>
            </w:pPr>
            <w:r>
              <w:rPr>
                <w:rFonts w:ascii="宋体" w:hAnsi="宋体" w:cs="宋体"/>
                <w:i/>
                <w:iCs/>
                <w:sz w:val="18"/>
                <w:szCs w:val="18"/>
                <w:u w:val="single"/>
              </w:rPr>
              <w:t xml:space="preserve">b)产品表面不应有明显的凹痕、划伤、裂缝、变形和污染等。表面涂层均匀，不应起泡、龟裂、脱落和磨损，金属零部件无锈蚀及其它机械损伤；</w:t>
            </w:r>
            <w:r/>
          </w:p>
          <w:p>
            <w:pPr>
              <w:ind w:left="105" w:right="105"/>
              <w:rPr>
                <w:rFonts w:ascii="宋体" w:hAnsi="宋体" w:cs="宋体"/>
                <w:i/>
                <w:iCs/>
                <w:sz w:val="18"/>
                <w:szCs w:val="18"/>
                <w:u w:val="single"/>
              </w:rPr>
            </w:pPr>
            <w:r>
              <w:rPr>
                <w:rFonts w:ascii="宋体" w:hAnsi="宋体" w:cs="宋体"/>
                <w:i/>
                <w:iCs/>
                <w:sz w:val="18"/>
                <w:szCs w:val="18"/>
                <w:u w:val="single"/>
              </w:rPr>
              <w:t xml:space="preserve">c)产品表面说明功能的文字、符号和标志应清晰、端正且牢固；</w:t>
            </w:r>
            <w:r/>
          </w:p>
          <w:p>
            <w:pPr>
              <w:ind w:left="105" w:right="105"/>
              <w:rPr>
                <w:rFonts w:ascii="宋体" w:hAnsi="宋体" w:cs="宋体"/>
                <w:i/>
                <w:iCs/>
                <w:sz w:val="18"/>
                <w:szCs w:val="18"/>
                <w:u w:val="single"/>
              </w:rPr>
            </w:pPr>
            <w:r>
              <w:rPr>
                <w:rFonts w:ascii="宋体" w:hAnsi="宋体" w:cs="宋体"/>
                <w:i/>
                <w:iCs/>
                <w:sz w:val="18"/>
                <w:szCs w:val="18"/>
                <w:u w:val="single"/>
              </w:rPr>
              <w:t xml:space="preserve">d)应在服务器的显著位置提供运行状态的指示功能，并在随机文件中明确具体含义；</w:t>
            </w:r>
            <w:r/>
          </w:p>
          <w:p>
            <w:pPr>
              <w:ind w:left="105" w:right="105"/>
              <w:rPr>
                <w:rFonts w:ascii="宋体" w:hAnsi="宋体" w:cs="宋体"/>
                <w:i/>
                <w:iCs/>
                <w:sz w:val="18"/>
                <w:szCs w:val="18"/>
                <w:u w:val="single"/>
              </w:rPr>
            </w:pPr>
            <w:r>
              <w:rPr>
                <w:rFonts w:ascii="宋体" w:hAnsi="宋体" w:cs="宋体"/>
                <w:i/>
                <w:iCs/>
                <w:sz w:val="18"/>
                <w:szCs w:val="18"/>
                <w:u w:val="single"/>
              </w:rPr>
              <w:t xml:space="preserve">e)机架、机箱的尺寸应符合通用机柜的安装要求，插入总线插座的电路板接口外形尺寸应符合有关总线标准的规定，将机箱固定在机柜上，机箱底面最大下垂变形不得干涉相邻机体；</w:t>
            </w:r>
            <w:r/>
          </w:p>
          <w:p>
            <w:pPr>
              <w:ind w:left="105" w:right="105"/>
              <w:rPr>
                <w:rFonts w:ascii="宋体" w:hAnsi="宋体" w:cs="宋体"/>
                <w:i/>
                <w:iCs/>
                <w:sz w:val="18"/>
                <w:szCs w:val="18"/>
                <w:u w:val="single"/>
              </w:rPr>
            </w:pPr>
            <w:r>
              <w:rPr>
                <w:rFonts w:ascii="宋体" w:hAnsi="宋体" w:cs="宋体"/>
                <w:i/>
                <w:iCs/>
                <w:sz w:val="18"/>
                <w:szCs w:val="18"/>
                <w:u w:val="single"/>
              </w:rPr>
              <w:t xml:space="preserve">f)高密度服务器应给出CPU个数与机柜高度；</w:t>
            </w:r>
            <w:r/>
          </w:p>
          <w:p>
            <w:pPr>
              <w:ind w:left="105" w:right="105"/>
              <w:rPr>
                <w:rFonts w:ascii="宋体" w:hAnsi="宋体" w:cs="宋体"/>
                <w:i/>
                <w:iCs/>
                <w:sz w:val="18"/>
                <w:szCs w:val="18"/>
                <w:u w:val="single"/>
              </w:rPr>
            </w:pPr>
            <w:r>
              <w:rPr>
                <w:rFonts w:ascii="宋体" w:hAnsi="宋体" w:cs="宋体"/>
                <w:i/>
                <w:iCs/>
                <w:sz w:val="18"/>
                <w:szCs w:val="18"/>
                <w:u w:val="single"/>
              </w:rPr>
              <w:t xml:space="preserve">g)服务器尺寸具体要求在随机文件中明确</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23</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尺寸（高×宽×深）</w:t>
            </w:r>
            <w:r/>
          </w:p>
        </w:tc>
        <w:tc>
          <w:tcPr>
            <w:tcW w:w="3871" w:type="dxa"/>
            <w:vAlign w:val="center"/>
            <w:textDirection w:val="lrTb"/>
            <w:noWrap w:val="false"/>
          </w:tcPr>
          <w:p>
            <w:pPr>
              <w:ind w:left="105" w:right="105"/>
              <w:rPr>
                <w:rFonts w:ascii="宋体" w:hAnsi="宋体" w:cs="宋体"/>
                <w:i/>
                <w:iCs/>
                <w:sz w:val="18"/>
                <w:szCs w:val="18"/>
                <w:u w:val="single"/>
              </w:rPr>
            </w:pPr>
            <w:r>
              <w:rPr>
                <w:rFonts w:hint="eastAsia" w:ascii="宋体" w:hAnsi="宋体" w:cs="宋体"/>
                <w:i/>
                <w:iCs/>
                <w:sz w:val="18"/>
                <w:szCs w:val="18"/>
                <w:u w:val="single"/>
              </w:rPr>
              <w:t xml:space="preserve">2U机架式服务器</w:t>
            </w:r>
            <w:r/>
          </w:p>
          <w:p>
            <w:pPr>
              <w:ind w:left="105" w:right="105"/>
              <w:rPr>
                <w:rFonts w:ascii="宋体" w:hAnsi="宋体" w:cs="宋体"/>
                <w:i/>
                <w:iCs/>
                <w:sz w:val="18"/>
                <w:szCs w:val="18"/>
                <w:u w:val="single"/>
              </w:rPr>
            </w:pPr>
            <w:r>
              <w:rPr>
                <w:rFonts w:ascii="宋体" w:hAnsi="宋体" w:cs="宋体"/>
                <w:i/>
                <w:iCs/>
                <w:sz w:val="18"/>
                <w:szCs w:val="18"/>
                <w:u w:val="single"/>
              </w:rPr>
              <w:t xml:space="preserve">设计应遵循标准化、系列化的要求；机箱的内部结构符合通用部件的安装需要</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24</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环境适应性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气候环境适应性应符合GB/T9813.3的有关规定，工作温度10~35℃,贮存运输温度-40～55℃；工作相对湿度35%～80%，贮存运输相对湿度20％～93%（40℃)；大气压86～106kPa</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25</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机械环境适应性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机械环境适应性应符合GB/T9813.3的有关规定</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26</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噪声</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符合GB/T9813.3的有关规定，在产品说明中给出具体测试值塔式服务器噪声在空闲状态下不大于50dB</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27</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产品规格</w:t>
            </w:r>
            <w:r/>
          </w:p>
        </w:tc>
        <w:tc>
          <w:tcPr>
            <w:tcW w:w="1227"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机柜规格</w:t>
            </w:r>
            <w:r/>
          </w:p>
        </w:tc>
        <w:tc>
          <w:tcPr>
            <w:tcW w:w="1391" w:type="dxa"/>
            <w:vAlign w:val="center"/>
            <w:textDirection w:val="lrTb"/>
            <w:noWrap w:val="false"/>
          </w:tcPr>
          <w:p>
            <w:pPr>
              <w:pStyle w:val="1069"/>
              <w:jc w:val="center"/>
              <w:spacing w:line="221" w:lineRule="auto"/>
              <w:rPr>
                <w:rFonts w:ascii="宋体" w:hAnsi="宋体" w:eastAsia="宋体"/>
                <w:spacing w:val="-2"/>
                <w:highlight w:val="none"/>
              </w:rPr>
            </w:pPr>
            <w:r>
              <w:rPr>
                <w:rFonts w:ascii="宋体" w:hAnsi="宋体" w:eastAsia="宋体"/>
                <w:spacing w:val="-2"/>
                <w:highlight w:val="none"/>
              </w:rPr>
              <w:t xml:space="preserve">机柜尺寸</w:t>
            </w:r>
            <w:r/>
          </w:p>
        </w:tc>
        <w:tc>
          <w:tcPr>
            <w:tcW w:w="3871" w:type="dxa"/>
            <w:vAlign w:val="center"/>
            <w:textDirection w:val="lrTb"/>
            <w:noWrap w:val="false"/>
          </w:tcPr>
          <w:p>
            <w:pPr>
              <w:ind w:left="105" w:right="105"/>
              <w:rPr>
                <w:rFonts w:ascii="宋体" w:hAnsi="宋体" w:cs="宋体"/>
                <w:i/>
                <w:iCs/>
                <w:sz w:val="18"/>
                <w:szCs w:val="18"/>
                <w:highlight w:val="none"/>
                <w:u w:val="single"/>
              </w:rPr>
            </w:pPr>
            <w:r>
              <w:rPr>
                <w:rFonts w:hint="eastAsia" w:ascii="宋体" w:hAnsi="宋体" w:cs="宋体"/>
                <w:i/>
                <w:iCs/>
                <w:sz w:val="18"/>
                <w:szCs w:val="18"/>
                <w:highlight w:val="none"/>
                <w:u w:val="single"/>
              </w:rPr>
              <w:t xml:space="preserve">22U服务器机柜，宽度：</w:t>
            </w:r>
            <w:r>
              <w:rPr>
                <w:rFonts w:ascii="宋体" w:hAnsi="宋体" w:cs="宋体"/>
                <w:i/>
                <w:iCs/>
                <w:sz w:val="18"/>
                <w:szCs w:val="18"/>
                <w:highlight w:val="none"/>
                <w:u w:val="single"/>
              </w:rPr>
              <w:t xml:space="preserve">≥</w:t>
            </w:r>
            <w:r>
              <w:rPr>
                <w:rFonts w:hint="eastAsia" w:ascii="宋体" w:hAnsi="宋体" w:cs="宋体"/>
                <w:i/>
                <w:iCs/>
                <w:sz w:val="18"/>
                <w:szCs w:val="18"/>
                <w:highlight w:val="none"/>
                <w:u w:val="single"/>
              </w:rPr>
              <w:t xml:space="preserve">600mm，深度：</w:t>
            </w:r>
            <w:r>
              <w:rPr>
                <w:rFonts w:ascii="宋体" w:hAnsi="宋体" w:cs="宋体"/>
                <w:i/>
                <w:iCs/>
                <w:sz w:val="18"/>
                <w:szCs w:val="18"/>
                <w:highlight w:val="none"/>
                <w:u w:val="single"/>
              </w:rPr>
              <w:t xml:space="preserve">≥</w:t>
            </w:r>
            <w:r>
              <w:rPr>
                <w:rFonts w:hint="eastAsia" w:ascii="宋体" w:hAnsi="宋体" w:cs="宋体"/>
                <w:i/>
                <w:iCs/>
                <w:sz w:val="18"/>
                <w:szCs w:val="18"/>
                <w:highlight w:val="none"/>
                <w:u w:val="single"/>
              </w:rPr>
              <w:t xml:space="preserve">1000mm，容量：22U，配置8位10APDU插排1个，配置4个重型脚轮，高度不高于1250mm</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28</w:t>
            </w:r>
            <w:r/>
          </w:p>
        </w:tc>
        <w:tc>
          <w:tcPr>
            <w:tcW w:w="1031" w:type="dxa"/>
            <w:vAlign w:val="center"/>
            <w:textDirection w:val="lrTb"/>
            <w:noWrap w:val="false"/>
          </w:tcPr>
          <w:p>
            <w:pPr>
              <w:pStyle w:val="1069"/>
              <w:jc w:val="center"/>
              <w:spacing w:line="200"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69"/>
              <w:jc w:val="center"/>
              <w:spacing w:line="200" w:lineRule="auto"/>
              <w:rPr>
                <w:rFonts w:ascii="宋体" w:hAnsi="宋体" w:eastAsia="宋体"/>
                <w:spacing w:val="-2"/>
              </w:rPr>
            </w:pPr>
            <w:r>
              <w:rPr>
                <w:rFonts w:ascii="宋体" w:hAnsi="宋体" w:eastAsia="宋体"/>
                <w:spacing w:val="-2"/>
              </w:rPr>
              <w:t xml:space="preserve">主板功能</w:t>
            </w:r>
            <w:r/>
          </w:p>
        </w:tc>
        <w:tc>
          <w:tcPr>
            <w:tcW w:w="1391" w:type="dxa"/>
            <w:vAlign w:val="center"/>
            <w:textDirection w:val="lrTb"/>
            <w:noWrap w:val="false"/>
          </w:tcPr>
          <w:p>
            <w:pPr>
              <w:pStyle w:val="1069"/>
              <w:jc w:val="center"/>
              <w:spacing w:line="200" w:lineRule="auto"/>
              <w:rPr>
                <w:rFonts w:ascii="宋体" w:hAnsi="宋体" w:eastAsia="宋体"/>
                <w:spacing w:val="-2"/>
              </w:rPr>
            </w:pPr>
            <w:r>
              <w:rPr>
                <w:rFonts w:ascii="宋体" w:hAnsi="宋体" w:eastAsia="宋体"/>
                <w:spacing w:val="-2"/>
              </w:rPr>
              <w:t xml:space="preserve">主板外部接口种类</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支持USB、显示、管理等接口，如：VGA、DP、HDMI、USB3.0、PS/2接口、BMC管理端口</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29</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主板防烧板设计</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支持主板防烧板设计，保证电源故障后不扩散</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30</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网络功能</w:t>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网络功能</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支持网络连接、网络访问、数据交换和网络管控功能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31</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69"/>
              <w:jc w:val="center"/>
              <w:spacing w:line="220" w:lineRule="auto"/>
              <w:rPr>
                <w:rFonts w:ascii="宋体" w:hAnsi="宋体" w:eastAsia="宋体"/>
                <w:spacing w:val="-2"/>
              </w:rPr>
            </w:pPr>
            <w:r>
              <w:rPr>
                <w:rFonts w:ascii="宋体" w:hAnsi="宋体" w:eastAsia="宋体"/>
                <w:spacing w:val="-2"/>
              </w:rPr>
              <w:t xml:space="preserve">CPU功能</w:t>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计算处理</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支持通用计算及虚拟化功能。处理器需集成整型计算单元、浮点计算单元、内存控制器、I/O模块等，处理器与存储部件、网络部件、I/O部件等组成计算系统，提供数据处理、网络接入等计算相关功能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32</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密码算法实现</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CPU芯片应符合GM/T0008的相关规定，或芯片密码模块应符合GB/T37092或GM/T0028的相关规定</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33</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存储功能</w:t>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内存校验</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支持内存校验或内存增强型纠错功能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34</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RAID卡功能（若支持RAID卡）</w:t>
            </w:r>
            <w:r/>
          </w:p>
        </w:tc>
        <w:tc>
          <w:tcPr>
            <w:tcW w:w="1391" w:type="dxa"/>
            <w:vAlign w:val="center"/>
            <w:textDirection w:val="lrTb"/>
            <w:noWrap w:val="false"/>
          </w:tcPr>
          <w:p>
            <w:pPr>
              <w:pStyle w:val="1069"/>
              <w:jc w:val="center"/>
              <w:spacing w:line="224" w:lineRule="auto"/>
              <w:rPr>
                <w:rFonts w:ascii="宋体" w:hAnsi="宋体" w:eastAsia="宋体"/>
                <w:spacing w:val="-2"/>
              </w:rPr>
            </w:pPr>
            <w:r>
              <w:rPr>
                <w:rFonts w:ascii="宋体" w:hAnsi="宋体" w:eastAsia="宋体"/>
                <w:spacing w:val="-2"/>
              </w:rPr>
              <w:t xml:space="preserve">RAID卡RAID级别支持</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RAID模式支持RAID 0/1/5/10</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35</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电源功能</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电源热插拔</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整机电源模块应具备热插拔功能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36</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电源过流保护</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支持过流及短路保护的功能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37</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整机功能</w:t>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散热方式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支持风冷或液冷等散热方式</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38</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其他功能</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a)支持关键部件冗余（包括电源、风扇等）；</w:t>
            </w:r>
            <w:r/>
          </w:p>
          <w:p>
            <w:pPr>
              <w:pStyle w:val="1069"/>
              <w:ind w:left="105" w:right="105"/>
              <w:spacing w:line="247" w:lineRule="auto"/>
              <w:rPr>
                <w:rFonts w:ascii="宋体" w:hAnsi="宋体" w:eastAsia="宋体"/>
                <w:spacing w:val="-3"/>
              </w:rPr>
            </w:pPr>
            <w:r>
              <w:rPr>
                <w:rFonts w:ascii="宋体" w:hAnsi="宋体" w:eastAsia="宋体"/>
                <w:spacing w:val="-3"/>
              </w:rPr>
              <w:t xml:space="preserve">b)支持熔断保护与恢复功能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39</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管理系统功能</w:t>
            </w:r>
            <w:r/>
          </w:p>
        </w:tc>
        <w:tc>
          <w:tcPr>
            <w:tcW w:w="1391"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BMC固件基础功能</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1)支持DHCP设置网络功能；</w:t>
            </w:r>
            <w:r/>
          </w:p>
          <w:p>
            <w:pPr>
              <w:ind w:left="105" w:right="105"/>
              <w:rPr>
                <w:rFonts w:ascii="宋体" w:hAnsi="宋体" w:cs="宋体"/>
                <w:i/>
                <w:iCs/>
                <w:sz w:val="18"/>
                <w:szCs w:val="18"/>
                <w:u w:val="single"/>
              </w:rPr>
            </w:pPr>
            <w:r>
              <w:rPr>
                <w:rFonts w:ascii="宋体" w:hAnsi="宋体" w:cs="宋体"/>
                <w:i/>
                <w:iCs/>
                <w:sz w:val="18"/>
                <w:szCs w:val="18"/>
                <w:u w:val="single"/>
              </w:rPr>
              <w:t xml:space="preserve">2)支持静态IP设置网络功能；</w:t>
            </w:r>
            <w:r/>
          </w:p>
          <w:p>
            <w:pPr>
              <w:ind w:left="105" w:right="105"/>
              <w:rPr>
                <w:rFonts w:ascii="宋体" w:hAnsi="宋体" w:cs="宋体"/>
                <w:i/>
                <w:iCs/>
                <w:sz w:val="18"/>
                <w:szCs w:val="18"/>
                <w:u w:val="single"/>
              </w:rPr>
            </w:pPr>
            <w:r>
              <w:rPr>
                <w:rFonts w:ascii="宋体" w:hAnsi="宋体" w:cs="宋体"/>
                <w:i/>
                <w:iCs/>
                <w:sz w:val="18"/>
                <w:szCs w:val="18"/>
                <w:u w:val="single"/>
              </w:rPr>
              <w:t xml:space="preserve">3)支持设备日志记录，包括但不限于登录日志、操作日志和报警日志等功能；</w:t>
            </w:r>
            <w:r/>
          </w:p>
          <w:p>
            <w:pPr>
              <w:ind w:left="105" w:right="105"/>
              <w:rPr>
                <w:rFonts w:ascii="宋体" w:hAnsi="宋体" w:cs="宋体"/>
                <w:i/>
                <w:iCs/>
                <w:sz w:val="18"/>
                <w:szCs w:val="18"/>
                <w:u w:val="single"/>
              </w:rPr>
            </w:pPr>
            <w:r>
              <w:rPr>
                <w:rFonts w:ascii="宋体" w:hAnsi="宋体" w:cs="宋体"/>
                <w:i/>
                <w:iCs/>
                <w:sz w:val="18"/>
                <w:szCs w:val="18"/>
                <w:u w:val="single"/>
              </w:rPr>
              <w:t xml:space="preserve">4)支持日志信息导出和记录删除功能；</w:t>
            </w:r>
            <w:r/>
          </w:p>
          <w:p>
            <w:pPr>
              <w:ind w:left="105" w:right="105"/>
              <w:rPr>
                <w:rFonts w:ascii="宋体" w:hAnsi="宋体" w:cs="宋体"/>
                <w:i/>
                <w:iCs/>
                <w:sz w:val="18"/>
                <w:szCs w:val="18"/>
                <w:u w:val="single"/>
              </w:rPr>
            </w:pPr>
            <w:r>
              <w:rPr>
                <w:rFonts w:ascii="宋体" w:hAnsi="宋体" w:cs="宋体"/>
                <w:i/>
                <w:iCs/>
                <w:sz w:val="18"/>
                <w:szCs w:val="18"/>
                <w:u w:val="single"/>
              </w:rPr>
              <w:t xml:space="preserve">5)支持通过管理接口向外输出准确的报警信息功能；</w:t>
            </w:r>
            <w:r/>
          </w:p>
          <w:p>
            <w:pPr>
              <w:ind w:left="105" w:right="105"/>
              <w:rPr>
                <w:rFonts w:ascii="宋体" w:hAnsi="宋体" w:cs="宋体"/>
                <w:i/>
                <w:iCs/>
                <w:sz w:val="18"/>
                <w:szCs w:val="18"/>
                <w:u w:val="single"/>
              </w:rPr>
            </w:pPr>
            <w:r>
              <w:rPr>
                <w:rFonts w:ascii="宋体" w:hAnsi="宋体" w:cs="宋体"/>
                <w:i/>
                <w:iCs/>
                <w:sz w:val="18"/>
                <w:szCs w:val="18"/>
                <w:u w:val="single"/>
              </w:rPr>
              <w:t xml:space="preserve">6)设备的BMC管理软件应能够按报警的严重程度进行区分；</w:t>
            </w:r>
            <w:r/>
          </w:p>
          <w:p>
            <w:pPr>
              <w:ind w:left="105" w:right="105"/>
              <w:rPr>
                <w:rFonts w:ascii="宋体" w:hAnsi="宋体" w:cs="宋体"/>
                <w:i/>
                <w:iCs/>
                <w:sz w:val="18"/>
                <w:szCs w:val="18"/>
                <w:u w:val="single"/>
              </w:rPr>
            </w:pPr>
            <w:r>
              <w:rPr>
                <w:rFonts w:ascii="宋体" w:hAnsi="宋体" w:cs="宋体"/>
                <w:i/>
                <w:iCs/>
                <w:sz w:val="18"/>
                <w:szCs w:val="18"/>
                <w:u w:val="single"/>
              </w:rPr>
              <w:t xml:space="preserve">7)支持IPMI2.0、SNMP或Redfish等接口功能；</w:t>
            </w:r>
            <w:r/>
          </w:p>
          <w:p>
            <w:pPr>
              <w:ind w:left="105" w:right="105"/>
              <w:rPr>
                <w:rFonts w:ascii="宋体" w:hAnsi="宋体" w:cs="宋体"/>
                <w:i/>
                <w:iCs/>
                <w:sz w:val="18"/>
                <w:szCs w:val="18"/>
                <w:u w:val="single"/>
              </w:rPr>
            </w:pPr>
            <w:r>
              <w:rPr>
                <w:rFonts w:ascii="宋体" w:hAnsi="宋体" w:cs="宋体"/>
                <w:i/>
                <w:iCs/>
                <w:sz w:val="18"/>
                <w:szCs w:val="18"/>
                <w:u w:val="single"/>
              </w:rPr>
              <w:t xml:space="preserve">8)支持键盘、鼠标和视频的重定向、文本控制台的重定向、远程虚拟媒体、高可靠的硬件监控和管理功能；</w:t>
            </w:r>
            <w:r/>
          </w:p>
          <w:p>
            <w:pPr>
              <w:ind w:left="105" w:right="105"/>
              <w:rPr>
                <w:rFonts w:ascii="宋体" w:hAnsi="宋体" w:cs="宋体"/>
                <w:i/>
                <w:iCs/>
                <w:sz w:val="18"/>
                <w:szCs w:val="18"/>
                <w:u w:val="single"/>
              </w:rPr>
            </w:pPr>
            <w:r>
              <w:rPr>
                <w:rFonts w:ascii="宋体" w:hAnsi="宋体" w:cs="宋体"/>
                <w:i/>
                <w:iCs/>
                <w:sz w:val="18"/>
                <w:szCs w:val="18"/>
                <w:u w:val="single"/>
              </w:rPr>
              <w:t xml:space="preserve">9)支持基于网络开启、关闭和重启设备的功能，并查询当前设备开机运行状态；</w:t>
            </w:r>
            <w:r/>
          </w:p>
          <w:p>
            <w:pPr>
              <w:ind w:left="105" w:right="105"/>
              <w:rPr>
                <w:rFonts w:ascii="宋体" w:hAnsi="宋体" w:cs="宋体"/>
                <w:i/>
                <w:iCs/>
                <w:sz w:val="18"/>
                <w:szCs w:val="18"/>
                <w:u w:val="single"/>
              </w:rPr>
            </w:pPr>
            <w:r>
              <w:rPr>
                <w:rFonts w:ascii="宋体" w:hAnsi="宋体" w:cs="宋体"/>
                <w:i/>
                <w:iCs/>
                <w:sz w:val="18"/>
                <w:szCs w:val="18"/>
                <w:u w:val="single"/>
              </w:rPr>
              <w:t xml:space="preserve">10)支持故障提示功能，并可通过接口读取服务器故障信息；</w:t>
            </w:r>
            <w:r/>
          </w:p>
          <w:p>
            <w:pPr>
              <w:ind w:left="105" w:right="105"/>
              <w:rPr>
                <w:rFonts w:ascii="宋体" w:hAnsi="宋体" w:cs="宋体"/>
                <w:i/>
                <w:iCs/>
                <w:sz w:val="18"/>
                <w:szCs w:val="18"/>
                <w:u w:val="single"/>
              </w:rPr>
            </w:pPr>
            <w:r>
              <w:rPr>
                <w:rFonts w:ascii="宋体" w:hAnsi="宋体" w:cs="宋体"/>
                <w:i/>
                <w:iCs/>
                <w:sz w:val="18"/>
                <w:szCs w:val="18"/>
                <w:u w:val="single"/>
              </w:rPr>
              <w:t xml:space="preserve">11)支持基于网络的固件更新功能，包括BMC和BIOS等；</w:t>
            </w:r>
            <w:r/>
          </w:p>
          <w:p>
            <w:pPr>
              <w:ind w:left="105" w:right="105"/>
              <w:rPr>
                <w:rFonts w:ascii="宋体" w:hAnsi="宋体" w:cs="宋体"/>
                <w:i/>
                <w:iCs/>
                <w:sz w:val="18"/>
                <w:szCs w:val="18"/>
                <w:u w:val="single"/>
              </w:rPr>
            </w:pPr>
            <w:r>
              <w:rPr>
                <w:rFonts w:ascii="宋体" w:hAnsi="宋体" w:cs="宋体"/>
                <w:i/>
                <w:iCs/>
                <w:sz w:val="18"/>
                <w:szCs w:val="18"/>
                <w:u w:val="single"/>
              </w:rPr>
              <w:t xml:space="preserve">12)支持基于网络安装操作系统的功能，并可通过网络控制台访问设备；</w:t>
            </w:r>
            <w:r/>
          </w:p>
          <w:p>
            <w:pPr>
              <w:ind w:left="105" w:right="105"/>
              <w:rPr>
                <w:rFonts w:ascii="宋体" w:hAnsi="宋体" w:cs="宋体"/>
                <w:i/>
                <w:iCs/>
                <w:sz w:val="18"/>
                <w:szCs w:val="18"/>
                <w:u w:val="single"/>
              </w:rPr>
            </w:pPr>
            <w:r>
              <w:rPr>
                <w:rFonts w:ascii="宋体" w:hAnsi="宋体" w:cs="宋体"/>
                <w:i/>
                <w:iCs/>
                <w:sz w:val="18"/>
                <w:szCs w:val="18"/>
                <w:u w:val="single"/>
              </w:rPr>
              <w:t xml:space="preserve">13)支持通过本地的硬盘或光驱等存储设备，基于网络完成设备的操作系统安装功能；</w:t>
            </w:r>
            <w:r/>
          </w:p>
          <w:p>
            <w:pPr>
              <w:ind w:left="105" w:right="105"/>
              <w:rPr>
                <w:rFonts w:ascii="宋体" w:hAnsi="宋体" w:cs="宋体"/>
                <w:i/>
                <w:iCs/>
                <w:sz w:val="18"/>
                <w:szCs w:val="18"/>
                <w:u w:val="single"/>
              </w:rPr>
            </w:pPr>
            <w:r>
              <w:rPr>
                <w:rFonts w:ascii="宋体" w:hAnsi="宋体" w:cs="宋体"/>
                <w:i/>
                <w:iCs/>
                <w:sz w:val="18"/>
                <w:szCs w:val="18"/>
                <w:u w:val="single"/>
              </w:rPr>
              <w:t xml:space="preserve">14)支持通过浏览器打开管理界面并登录功能；</w:t>
            </w:r>
            <w:r/>
          </w:p>
          <w:p>
            <w:pPr>
              <w:ind w:left="105" w:right="105"/>
              <w:rPr>
                <w:rFonts w:ascii="宋体" w:hAnsi="宋体" w:cs="宋体"/>
                <w:i/>
                <w:iCs/>
                <w:sz w:val="18"/>
                <w:szCs w:val="18"/>
                <w:u w:val="single"/>
              </w:rPr>
            </w:pPr>
            <w:r>
              <w:rPr>
                <w:rFonts w:ascii="宋体" w:hAnsi="宋体" w:cs="宋体"/>
                <w:i/>
                <w:iCs/>
                <w:sz w:val="18"/>
                <w:szCs w:val="18"/>
                <w:u w:val="single"/>
              </w:rPr>
              <w:t xml:space="preserve">15)支持设置口令策略功能；</w:t>
            </w:r>
            <w:r/>
          </w:p>
          <w:p>
            <w:pPr>
              <w:ind w:left="105" w:right="105"/>
              <w:rPr>
                <w:rFonts w:ascii="宋体" w:hAnsi="宋体" w:cs="宋体"/>
                <w:i/>
                <w:iCs/>
                <w:sz w:val="18"/>
                <w:szCs w:val="18"/>
                <w:u w:val="single"/>
              </w:rPr>
            </w:pPr>
            <w:r>
              <w:rPr>
                <w:rFonts w:ascii="宋体" w:hAnsi="宋体" w:cs="宋体"/>
                <w:i/>
                <w:iCs/>
                <w:sz w:val="18"/>
                <w:szCs w:val="18"/>
                <w:u w:val="single"/>
              </w:rPr>
              <w:t xml:space="preserve">16)支持访问权限设置功能，并通过日志记录访问事件；</w:t>
            </w:r>
            <w:r/>
          </w:p>
          <w:p>
            <w:pPr>
              <w:ind w:left="105" w:right="105"/>
              <w:rPr>
                <w:rFonts w:ascii="宋体" w:hAnsi="宋体" w:cs="宋体"/>
                <w:i/>
                <w:iCs/>
                <w:sz w:val="18"/>
                <w:szCs w:val="18"/>
                <w:u w:val="single"/>
              </w:rPr>
            </w:pPr>
            <w:r>
              <w:rPr>
                <w:rFonts w:ascii="宋体" w:hAnsi="宋体" w:cs="宋体"/>
                <w:i/>
                <w:iCs/>
                <w:sz w:val="18"/>
                <w:szCs w:val="18"/>
                <w:u w:val="single"/>
              </w:rPr>
              <w:t xml:space="preserve">17)支持对出厂默认的用户名及口令进行安全保护功能，并提供默认口令修改提示；</w:t>
            </w:r>
            <w:r/>
          </w:p>
          <w:p>
            <w:pPr>
              <w:ind w:left="105" w:right="105"/>
              <w:rPr>
                <w:rFonts w:ascii="宋体" w:hAnsi="宋体" w:cs="宋体"/>
                <w:i/>
                <w:iCs/>
                <w:sz w:val="18"/>
                <w:szCs w:val="18"/>
                <w:u w:val="single"/>
              </w:rPr>
            </w:pPr>
            <w:r>
              <w:rPr>
                <w:rFonts w:ascii="宋体" w:hAnsi="宋体" w:cs="宋体"/>
                <w:i/>
                <w:iCs/>
                <w:sz w:val="18"/>
                <w:szCs w:val="18"/>
                <w:u w:val="single"/>
              </w:rPr>
              <w:t xml:space="preserve">18)支持读取设备主板的工作环境温度功能；</w:t>
            </w:r>
            <w:r/>
          </w:p>
          <w:p>
            <w:pPr>
              <w:ind w:left="105" w:right="105"/>
              <w:rPr>
                <w:rFonts w:ascii="宋体" w:hAnsi="宋体" w:cs="宋体"/>
                <w:i/>
                <w:iCs/>
                <w:sz w:val="18"/>
                <w:szCs w:val="18"/>
                <w:u w:val="single"/>
              </w:rPr>
            </w:pPr>
            <w:r>
              <w:rPr>
                <w:rFonts w:ascii="宋体" w:hAnsi="宋体" w:cs="宋体"/>
                <w:i/>
                <w:iCs/>
                <w:sz w:val="18"/>
                <w:szCs w:val="18"/>
                <w:u w:val="single"/>
              </w:rPr>
              <w:t xml:space="preserve">19)支持读取服务器CPU等核心器件的温度功能；</w:t>
            </w:r>
            <w:r/>
          </w:p>
          <w:p>
            <w:pPr>
              <w:ind w:left="105" w:right="105"/>
              <w:rPr>
                <w:rFonts w:ascii="宋体" w:hAnsi="宋体" w:cs="宋体"/>
                <w:i/>
                <w:iCs/>
                <w:sz w:val="18"/>
                <w:szCs w:val="18"/>
                <w:u w:val="single"/>
              </w:rPr>
            </w:pPr>
            <w:r>
              <w:rPr>
                <w:rFonts w:ascii="宋体" w:hAnsi="宋体" w:cs="宋体"/>
                <w:i/>
                <w:iCs/>
                <w:sz w:val="18"/>
                <w:szCs w:val="18"/>
                <w:u w:val="single"/>
              </w:rPr>
              <w:t xml:space="preserve">20)支持通过外部管理工具进行BMC参数设置的功能，并可基于网络通过外部管理工具对BMC进行管理；</w:t>
            </w:r>
            <w:r/>
          </w:p>
          <w:p>
            <w:pPr>
              <w:ind w:left="105" w:right="105"/>
              <w:rPr>
                <w:rFonts w:ascii="宋体" w:hAnsi="宋体" w:cs="宋体"/>
                <w:i/>
                <w:iCs/>
                <w:sz w:val="18"/>
                <w:szCs w:val="18"/>
                <w:u w:val="single"/>
              </w:rPr>
            </w:pPr>
            <w:r>
              <w:rPr>
                <w:rFonts w:ascii="宋体" w:hAnsi="宋体" w:cs="宋体"/>
                <w:i/>
                <w:iCs/>
                <w:sz w:val="18"/>
                <w:szCs w:val="18"/>
                <w:u w:val="single"/>
              </w:rPr>
              <w:t xml:space="preserve">21)应支持固件版本查询、固件升级</w:t>
            </w:r>
            <w:r/>
          </w:p>
          <w:p>
            <w:pPr>
              <w:ind w:left="105" w:right="105"/>
              <w:rPr>
                <w:rFonts w:ascii="宋体" w:hAnsi="宋体" w:cs="宋体"/>
                <w:i/>
                <w:iCs/>
                <w:sz w:val="18"/>
                <w:szCs w:val="18"/>
                <w:u w:val="single"/>
              </w:rPr>
            </w:pPr>
            <w:r>
              <w:rPr>
                <w:rFonts w:ascii="宋体" w:hAnsi="宋体" w:cs="宋体"/>
                <w:i/>
                <w:iCs/>
                <w:sz w:val="18"/>
                <w:szCs w:val="18"/>
                <w:u w:val="single"/>
              </w:rPr>
              <w:t xml:space="preserve">22)支持基于网络实现开关机和复位控制的功能；</w:t>
            </w:r>
            <w:r/>
          </w:p>
          <w:p>
            <w:pPr>
              <w:ind w:left="105" w:right="105"/>
              <w:rPr>
                <w:rFonts w:ascii="宋体" w:hAnsi="宋体" w:cs="宋体"/>
                <w:i/>
                <w:iCs/>
                <w:sz w:val="18"/>
                <w:szCs w:val="18"/>
                <w:u w:val="single"/>
              </w:rPr>
            </w:pPr>
            <w:r>
              <w:rPr>
                <w:rFonts w:ascii="宋体" w:hAnsi="宋体" w:cs="宋体"/>
                <w:i/>
                <w:iCs/>
                <w:sz w:val="18"/>
                <w:szCs w:val="18"/>
                <w:u w:val="single"/>
              </w:rPr>
              <w:t xml:space="preserve">23)BMC启动时间应不超过180s，实现功能包括网络、IPMI、散热、传感器服务可用；</w:t>
            </w:r>
            <w:r/>
          </w:p>
          <w:p>
            <w:pPr>
              <w:ind w:left="105" w:right="105"/>
              <w:rPr>
                <w:rFonts w:ascii="宋体" w:hAnsi="宋体" w:cs="宋体"/>
                <w:i/>
                <w:iCs/>
                <w:sz w:val="18"/>
                <w:szCs w:val="18"/>
                <w:u w:val="single"/>
              </w:rPr>
            </w:pPr>
            <w:r>
              <w:rPr>
                <w:rFonts w:ascii="宋体" w:hAnsi="宋体" w:cs="宋体"/>
                <w:i/>
                <w:iCs/>
                <w:sz w:val="18"/>
                <w:szCs w:val="18"/>
                <w:u w:val="single"/>
              </w:rPr>
              <w:t xml:space="preserve">24)支持BMC固件设置的恢复出厂功能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40</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BIOS固件基础功能</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a）支持查看固件版本、内存信息、主板信息、处理器信息和系统时间信息功能；</w:t>
            </w:r>
            <w:r/>
          </w:p>
          <w:p>
            <w:pPr>
              <w:ind w:left="105" w:right="105"/>
              <w:rPr>
                <w:rFonts w:ascii="宋体" w:hAnsi="宋体" w:cs="宋体"/>
                <w:i/>
                <w:iCs/>
                <w:sz w:val="18"/>
                <w:szCs w:val="18"/>
                <w:u w:val="single"/>
              </w:rPr>
            </w:pPr>
            <w:r>
              <w:rPr>
                <w:rFonts w:ascii="宋体" w:hAnsi="宋体" w:cs="宋体"/>
                <w:i/>
                <w:iCs/>
                <w:sz w:val="18"/>
                <w:szCs w:val="18"/>
                <w:u w:val="single"/>
              </w:rPr>
              <w:t xml:space="preserve">b）支持上电初始化界面显示CPU信息、内存信息、固件版本和部分快捷键信息功能；</w:t>
            </w:r>
            <w:r/>
          </w:p>
          <w:p>
            <w:pPr>
              <w:ind w:left="105" w:right="105"/>
              <w:rPr>
                <w:rFonts w:ascii="宋体" w:hAnsi="宋体" w:cs="宋体"/>
                <w:i/>
                <w:iCs/>
                <w:sz w:val="18"/>
                <w:szCs w:val="18"/>
                <w:u w:val="single"/>
              </w:rPr>
            </w:pPr>
            <w:r>
              <w:rPr>
                <w:rFonts w:ascii="宋体" w:hAnsi="宋体" w:cs="宋体"/>
                <w:i/>
                <w:iCs/>
                <w:sz w:val="18"/>
                <w:szCs w:val="18"/>
                <w:u w:val="single"/>
              </w:rPr>
              <w:t xml:space="preserve">c）支持设置界面中英文显示切换功能；</w:t>
            </w:r>
            <w:r/>
          </w:p>
          <w:p>
            <w:pPr>
              <w:ind w:left="105" w:right="105"/>
              <w:rPr>
                <w:rFonts w:ascii="宋体" w:hAnsi="宋体" w:cs="宋体"/>
                <w:i/>
                <w:iCs/>
                <w:sz w:val="18"/>
                <w:szCs w:val="18"/>
                <w:u w:val="single"/>
              </w:rPr>
            </w:pPr>
            <w:r>
              <w:rPr>
                <w:rFonts w:ascii="宋体" w:hAnsi="宋体" w:cs="宋体"/>
                <w:i/>
                <w:iCs/>
                <w:sz w:val="18"/>
                <w:szCs w:val="18"/>
                <w:u w:val="single"/>
              </w:rPr>
              <w:t xml:space="preserve">d）支持查看PCIe设备信息，SATA设备信息功能；</w:t>
            </w:r>
            <w:r/>
          </w:p>
          <w:p>
            <w:pPr>
              <w:ind w:left="105" w:right="105"/>
              <w:rPr>
                <w:rFonts w:ascii="宋体" w:hAnsi="宋体" w:cs="宋体"/>
                <w:i/>
                <w:iCs/>
                <w:sz w:val="18"/>
                <w:szCs w:val="18"/>
                <w:u w:val="single"/>
              </w:rPr>
            </w:pPr>
            <w:r>
              <w:rPr>
                <w:rFonts w:ascii="宋体" w:hAnsi="宋体" w:cs="宋体"/>
                <w:i/>
                <w:iCs/>
                <w:sz w:val="18"/>
                <w:szCs w:val="18"/>
                <w:u w:val="single"/>
              </w:rPr>
              <w:t xml:space="preserve">e）支持操作系统安装和引导功能，应并向操作系统提供计算机主板信息和服务接口；</w:t>
            </w:r>
            <w:r/>
          </w:p>
          <w:p>
            <w:pPr>
              <w:ind w:left="105" w:right="105"/>
              <w:rPr>
                <w:rFonts w:ascii="宋体" w:hAnsi="宋体" w:cs="宋体"/>
                <w:i/>
                <w:iCs/>
                <w:sz w:val="18"/>
                <w:szCs w:val="18"/>
                <w:u w:val="single"/>
              </w:rPr>
            </w:pPr>
            <w:r>
              <w:rPr>
                <w:rFonts w:ascii="宋体" w:hAnsi="宋体" w:cs="宋体"/>
                <w:i/>
                <w:iCs/>
                <w:sz w:val="18"/>
                <w:szCs w:val="18"/>
                <w:u w:val="single"/>
              </w:rPr>
              <w:t xml:space="preserve">f）支持设置启动顺序，并按照设置的启动顺序启动功能；</w:t>
            </w:r>
            <w:r/>
          </w:p>
          <w:p>
            <w:pPr>
              <w:ind w:left="105" w:right="105"/>
              <w:rPr>
                <w:rFonts w:ascii="宋体" w:hAnsi="宋体" w:cs="宋体"/>
                <w:i/>
                <w:iCs/>
                <w:sz w:val="18"/>
                <w:szCs w:val="18"/>
                <w:u w:val="single"/>
              </w:rPr>
            </w:pPr>
            <w:r>
              <w:rPr>
                <w:rFonts w:ascii="宋体" w:hAnsi="宋体" w:cs="宋体"/>
                <w:i/>
                <w:iCs/>
                <w:sz w:val="18"/>
                <w:szCs w:val="18"/>
                <w:u w:val="single"/>
              </w:rPr>
              <w:t xml:space="preserve">g）支持安全启动功能；</w:t>
            </w:r>
            <w:r/>
          </w:p>
          <w:p>
            <w:pPr>
              <w:ind w:left="105" w:right="105"/>
              <w:rPr>
                <w:rFonts w:ascii="宋体" w:hAnsi="宋体" w:cs="宋体"/>
                <w:i/>
                <w:iCs/>
                <w:sz w:val="18"/>
                <w:szCs w:val="18"/>
                <w:u w:val="single"/>
              </w:rPr>
            </w:pPr>
            <w:r>
              <w:rPr>
                <w:rFonts w:ascii="宋体" w:hAnsi="宋体" w:cs="宋体"/>
                <w:i/>
                <w:iCs/>
                <w:sz w:val="18"/>
                <w:szCs w:val="18"/>
                <w:u w:val="single"/>
              </w:rPr>
              <w:t xml:space="preserve">h）支持设置口令、修改口令、验证口令功能；</w:t>
            </w:r>
            <w:r/>
          </w:p>
          <w:p>
            <w:pPr>
              <w:ind w:left="105" w:right="105"/>
              <w:rPr>
                <w:rFonts w:ascii="宋体" w:hAnsi="宋体" w:cs="宋体"/>
                <w:i/>
                <w:iCs/>
                <w:sz w:val="18"/>
                <w:szCs w:val="18"/>
                <w:u w:val="single"/>
              </w:rPr>
            </w:pPr>
            <w:r>
              <w:rPr>
                <w:rFonts w:ascii="宋体" w:hAnsi="宋体" w:cs="宋体"/>
                <w:i/>
                <w:iCs/>
                <w:sz w:val="18"/>
                <w:szCs w:val="18"/>
                <w:u w:val="single"/>
              </w:rPr>
              <w:t xml:space="preserve">i）支持板载显示控制或独立显卡的显示控制功能；</w:t>
            </w:r>
            <w:r/>
          </w:p>
          <w:p>
            <w:pPr>
              <w:ind w:left="105" w:right="105"/>
              <w:rPr>
                <w:rFonts w:ascii="宋体" w:hAnsi="宋体" w:cs="宋体"/>
                <w:i/>
                <w:iCs/>
                <w:sz w:val="18"/>
                <w:szCs w:val="18"/>
                <w:u w:val="single"/>
              </w:rPr>
            </w:pPr>
            <w:r>
              <w:rPr>
                <w:rFonts w:ascii="宋体" w:hAnsi="宋体" w:cs="宋体"/>
                <w:i/>
                <w:iCs/>
                <w:sz w:val="18"/>
                <w:szCs w:val="18"/>
                <w:u w:val="single"/>
              </w:rPr>
              <w:t xml:space="preserve">j）支持RAID识别和启动功能；</w:t>
            </w:r>
            <w:r/>
          </w:p>
          <w:p>
            <w:pPr>
              <w:ind w:left="105" w:right="105"/>
              <w:rPr>
                <w:rFonts w:ascii="宋体" w:hAnsi="宋体" w:cs="宋体"/>
                <w:i/>
                <w:iCs/>
                <w:sz w:val="18"/>
                <w:szCs w:val="18"/>
                <w:u w:val="single"/>
              </w:rPr>
            </w:pPr>
            <w:r>
              <w:rPr>
                <w:rFonts w:ascii="宋体" w:hAnsi="宋体" w:cs="宋体"/>
                <w:i/>
                <w:iCs/>
                <w:sz w:val="18"/>
                <w:szCs w:val="18"/>
                <w:u w:val="single"/>
              </w:rPr>
              <w:t xml:space="preserve">k）支持串口重定向功能；</w:t>
            </w:r>
            <w:r/>
          </w:p>
          <w:p>
            <w:pPr>
              <w:ind w:left="105" w:right="105"/>
              <w:rPr>
                <w:rFonts w:ascii="宋体" w:hAnsi="宋体" w:cs="宋体"/>
                <w:i/>
                <w:iCs/>
                <w:sz w:val="18"/>
                <w:szCs w:val="18"/>
                <w:u w:val="single"/>
              </w:rPr>
            </w:pPr>
            <w:r>
              <w:rPr>
                <w:rFonts w:ascii="宋体" w:hAnsi="宋体" w:cs="宋体"/>
                <w:i/>
                <w:iCs/>
                <w:sz w:val="18"/>
                <w:szCs w:val="18"/>
                <w:u w:val="single"/>
              </w:rPr>
              <w:t xml:space="preserve">l）支持固件更新功能；</w:t>
            </w:r>
            <w:r/>
          </w:p>
          <w:p>
            <w:pPr>
              <w:ind w:left="105" w:right="105"/>
              <w:rPr>
                <w:rFonts w:ascii="宋体" w:hAnsi="宋体" w:cs="宋体"/>
                <w:i/>
                <w:iCs/>
                <w:sz w:val="18"/>
                <w:szCs w:val="18"/>
                <w:u w:val="single"/>
              </w:rPr>
            </w:pPr>
            <w:r>
              <w:rPr>
                <w:rFonts w:ascii="宋体" w:hAnsi="宋体" w:cs="宋体"/>
                <w:i/>
                <w:iCs/>
                <w:sz w:val="18"/>
                <w:szCs w:val="18"/>
                <w:u w:val="single"/>
              </w:rPr>
              <w:t xml:space="preserve">m）支持BIOS固件设置的恢复出厂功能；</w:t>
            </w:r>
            <w:r/>
          </w:p>
          <w:p>
            <w:pPr>
              <w:ind w:left="105" w:right="105"/>
              <w:rPr>
                <w:rFonts w:ascii="宋体" w:hAnsi="宋体" w:cs="宋体"/>
                <w:i/>
                <w:iCs/>
                <w:sz w:val="18"/>
                <w:szCs w:val="18"/>
                <w:u w:val="single"/>
              </w:rPr>
            </w:pPr>
            <w:r>
              <w:rPr>
                <w:rFonts w:ascii="宋体" w:hAnsi="宋体" w:cs="宋体"/>
                <w:i/>
                <w:iCs/>
                <w:sz w:val="18"/>
                <w:szCs w:val="18"/>
                <w:u w:val="single"/>
              </w:rPr>
              <w:t xml:space="preserve">n）支持网络引导启用和关闭功能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41</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远程控制</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支持远程关机和重新启动功能</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42</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restart"/>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操作系统及驱动功能</w:t>
            </w:r>
            <w:r/>
          </w:p>
        </w:tc>
        <w:tc>
          <w:tcPr>
            <w:tcW w:w="1391" w:type="dxa"/>
            <w:vAlign w:val="center"/>
            <w:textDirection w:val="lrTb"/>
            <w:noWrap w:val="false"/>
          </w:tcPr>
          <w:p>
            <w:pPr>
              <w:pStyle w:val="1069"/>
              <w:jc w:val="center"/>
              <w:spacing w:line="229" w:lineRule="auto"/>
              <w:rPr>
                <w:rFonts w:ascii="宋体" w:hAnsi="宋体" w:eastAsia="宋体"/>
                <w:spacing w:val="-2"/>
              </w:rPr>
            </w:pPr>
            <w:r>
              <w:rPr>
                <w:rFonts w:ascii="宋体" w:hAnsi="宋体" w:eastAsia="宋体"/>
                <w:spacing w:val="-2"/>
              </w:rPr>
              <w:t xml:space="preserve">操作系统及驱动的升级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支持通过网络、闪存盘对操作系统、驱动进行升级</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43</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操作系统功能</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a)支持访问控制、安全审计、网络接入鉴别等功能；</w:t>
            </w:r>
            <w:r/>
          </w:p>
          <w:p>
            <w:pPr>
              <w:ind w:left="105" w:right="105"/>
              <w:rPr>
                <w:rFonts w:ascii="宋体" w:hAnsi="宋体" w:cs="宋体"/>
                <w:i/>
                <w:iCs/>
                <w:sz w:val="18"/>
                <w:szCs w:val="18"/>
                <w:u w:val="single"/>
              </w:rPr>
            </w:pPr>
            <w:r>
              <w:rPr>
                <w:rFonts w:ascii="宋体" w:hAnsi="宋体" w:cs="宋体"/>
                <w:i/>
                <w:iCs/>
                <w:sz w:val="18"/>
                <w:szCs w:val="18"/>
                <w:u w:val="single"/>
              </w:rPr>
              <w:t xml:space="preserve">b)操作系统其他功能应满足操作系统政府采购需求标准中加*的指标要求</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44</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功能要求</w:t>
            </w:r>
            <w:r/>
          </w:p>
        </w:tc>
        <w:tc>
          <w:tcPr>
            <w:tcW w:w="1227" w:type="dxa"/>
            <w:vAlign w:val="center"/>
            <w:textDirection w:val="lrTb"/>
            <w:noWrap w:val="false"/>
          </w:tcPr>
          <w:p>
            <w:pPr>
              <w:pStyle w:val="1069"/>
              <w:jc w:val="center"/>
              <w:spacing w:line="246" w:lineRule="auto"/>
              <w:rPr>
                <w:rFonts w:ascii="宋体" w:hAnsi="宋体" w:eastAsia="宋体"/>
                <w:spacing w:val="-2"/>
              </w:rPr>
            </w:pPr>
            <w:r>
              <w:rPr>
                <w:rFonts w:ascii="宋体" w:hAnsi="宋体" w:eastAsia="宋体"/>
                <w:spacing w:val="-2"/>
              </w:rPr>
              <w:t xml:space="preserve">中文信息处理功能</w:t>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中文信息处理</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符合GB18030的有关规定</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45</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关键部件安全要求</w:t>
            </w:r>
            <w:r/>
          </w:p>
        </w:tc>
        <w:tc>
          <w:tcPr>
            <w:tcW w:w="1391" w:type="dxa"/>
            <w:vAlign w:val="center"/>
            <w:textDirection w:val="lrTb"/>
            <w:noWrap w:val="false"/>
          </w:tcPr>
          <w:p>
            <w:pPr>
              <w:pStyle w:val="1069"/>
              <w:jc w:val="center"/>
              <w:spacing w:line="234" w:lineRule="auto"/>
              <w:rPr>
                <w:rFonts w:ascii="宋体" w:hAnsi="宋体" w:eastAsia="宋体"/>
                <w:spacing w:val="-2"/>
              </w:rPr>
            </w:pPr>
            <w:r>
              <w:rPr>
                <w:rFonts w:ascii="宋体" w:hAnsi="宋体" w:eastAsia="宋体"/>
                <w:spacing w:val="-2"/>
              </w:rPr>
              <w:t xml:space="preserve">关键部件安全要求</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CPU和操作系统等关键部件应当符合安全可靠测评要求</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46</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固件安全要求</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故障检测</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支持故障检测功能，可以检测到具体的FRU（内存、硬盘等）的故障并发出告警</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47</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restart"/>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系统安全要求</w:t>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弱口令字典检查</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支持弱口令字典检查功能，出现在弱口令字典中的字符串不能被设置为用户口令</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48</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白名单访问控制</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支持基于时间、IP或MAC白名单访问控制</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49</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二次鉴别</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支持二次鉴别功能。对于用户配置、权限配置、公钥导入等重要的管理操作，已登录用户应通过二次鉴别后，才能执行操作</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50</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密码证书安全加密存储</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支持对带外管理系统中的用户口令和证书等敏感信息进行加密存储，禁止使用私有的和业界已知不安全的密码算法</w:t>
            </w:r>
            <w:r/>
          </w:p>
        </w:tc>
      </w:tr>
      <w:tr>
        <w:trPr>
          <w:jc w:val="center"/>
          <w:trHeight w:val="977"/>
        </w:trPr>
        <w:tc>
          <w:tcPr>
            <w:tcW w:w="64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51</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30" w:lineRule="auto"/>
              <w:rPr>
                <w:rFonts w:ascii="宋体" w:hAnsi="宋体" w:eastAsia="宋体"/>
                <w:spacing w:val="-2"/>
              </w:rPr>
            </w:pPr>
            <w:r>
              <w:rPr>
                <w:rFonts w:ascii="宋体" w:hAnsi="宋体" w:eastAsia="宋体"/>
                <w:spacing w:val="-2"/>
              </w:rPr>
              <w:t xml:space="preserve">敏感信息安全加密传输</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支持使用安全的传输加密协议（如SSH或</w:t>
            </w:r>
            <w:r>
              <w:fldChar w:fldCharType="begin"/>
            </w:r>
            <w:r>
              <w:instrText xml:space="preserve"> HYPERLINK "file:///C:\\Users\\User\\Desktop\\新建文件夹\\HTTPS" </w:instrText>
            </w:r>
            <w:r>
              <w:fldChar w:fldCharType="separate"/>
            </w:r>
            <w:r>
              <w:rPr>
                <w:rFonts w:ascii="宋体" w:hAnsi="宋体" w:cs="宋体"/>
                <w:i/>
                <w:iCs/>
                <w:sz w:val="18"/>
                <w:szCs w:val="18"/>
                <w:u w:val="single"/>
              </w:rPr>
              <w:t xml:space="preserve">HTTPS</w:t>
            </w:r>
            <w:r>
              <w:rPr>
                <w:rFonts w:ascii="宋体" w:hAnsi="宋体" w:cs="宋体"/>
                <w:i/>
                <w:iCs/>
                <w:sz w:val="18"/>
                <w:szCs w:val="18"/>
                <w:u w:val="single"/>
              </w:rPr>
              <w:fldChar w:fldCharType="end"/>
            </w:r>
            <w:r>
              <w:rPr>
                <w:rFonts w:ascii="宋体" w:hAnsi="宋体" w:cs="宋体"/>
                <w:i/>
                <w:iCs/>
                <w:sz w:val="18"/>
                <w:szCs w:val="18"/>
                <w:u w:val="single"/>
              </w:rPr>
              <w:t xml:space="preserve">等）传输用户的敏感信息</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2</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信息安全要求</w:t>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研发过程安全</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3</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物理安全</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物理安全</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安全要求应符合GB4943.1的规定</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4</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安全要求</w:t>
            </w:r>
            <w:r/>
          </w:p>
        </w:tc>
        <w:tc>
          <w:tcPr>
            <w:tcW w:w="1227" w:type="dxa"/>
            <w:vAlign w:val="center"/>
            <w:textDirection w:val="lrTb"/>
            <w:noWrap w:val="false"/>
          </w:tcPr>
          <w:p>
            <w:pPr>
              <w:pStyle w:val="1069"/>
              <w:jc w:val="center"/>
              <w:spacing w:line="239" w:lineRule="auto"/>
              <w:rPr>
                <w:rFonts w:ascii="宋体" w:hAnsi="宋体" w:eastAsia="宋体"/>
                <w:spacing w:val="-2"/>
              </w:rPr>
            </w:pPr>
            <w:r>
              <w:rPr>
                <w:rFonts w:ascii="宋体" w:hAnsi="宋体" w:eastAsia="宋体"/>
                <w:spacing w:val="-2"/>
              </w:rPr>
              <w:t xml:space="preserve">限用物质</w:t>
            </w:r>
            <w:r/>
          </w:p>
          <w:p>
            <w:pPr>
              <w:pStyle w:val="1069"/>
              <w:jc w:val="center"/>
              <w:spacing w:line="223" w:lineRule="auto"/>
              <w:rPr>
                <w:rFonts w:ascii="宋体" w:hAnsi="宋体" w:eastAsia="宋体"/>
                <w:spacing w:val="-2"/>
              </w:rPr>
            </w:pPr>
            <w:r>
              <w:rPr>
                <w:rFonts w:ascii="宋体" w:hAnsi="宋体" w:eastAsia="宋体"/>
                <w:spacing w:val="-2"/>
              </w:rPr>
              <w:t xml:space="preserve">的限</w:t>
            </w:r>
            <w:r/>
          </w:p>
          <w:p>
            <w:pPr>
              <w:pStyle w:val="1069"/>
              <w:jc w:val="center"/>
              <w:spacing w:line="221" w:lineRule="auto"/>
              <w:rPr>
                <w:rFonts w:ascii="宋体" w:hAnsi="宋体" w:eastAsia="宋体"/>
                <w:spacing w:val="-2"/>
              </w:rPr>
            </w:pPr>
            <w:r>
              <w:rPr>
                <w:rFonts w:ascii="宋体" w:hAnsi="宋体" w:eastAsia="宋体"/>
                <w:spacing w:val="-2"/>
              </w:rPr>
              <w:t xml:space="preserve">量要求</w:t>
            </w:r>
            <w:r/>
          </w:p>
        </w:tc>
        <w:tc>
          <w:tcPr>
            <w:tcW w:w="1391" w:type="dxa"/>
            <w:vAlign w:val="center"/>
            <w:textDirection w:val="lrTb"/>
            <w:noWrap w:val="false"/>
          </w:tcPr>
          <w:p>
            <w:pPr>
              <w:pStyle w:val="1069"/>
              <w:jc w:val="center"/>
              <w:spacing w:line="241" w:lineRule="auto"/>
              <w:rPr>
                <w:rFonts w:ascii="宋体" w:hAnsi="宋体" w:eastAsia="宋体"/>
                <w:spacing w:val="-2"/>
              </w:rPr>
            </w:pPr>
            <w:r>
              <w:rPr>
                <w:rFonts w:ascii="宋体" w:hAnsi="宋体" w:eastAsia="宋体"/>
                <w:spacing w:val="-2"/>
              </w:rPr>
              <w:t xml:space="preserve">限用物质的限量要求</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限用物质的限量应符合GB/T26572的要求</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5</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restart"/>
            <w:textDirection w:val="lrTb"/>
            <w:noWrap w:val="false"/>
          </w:tcPr>
          <w:p>
            <w:pPr>
              <w:pStyle w:val="1069"/>
              <w:jc w:val="center"/>
              <w:spacing w:line="216" w:lineRule="auto"/>
              <w:rPr>
                <w:rFonts w:ascii="宋体" w:hAnsi="宋体" w:eastAsia="宋体"/>
                <w:spacing w:val="-2"/>
              </w:rPr>
            </w:pPr>
            <w:r>
              <w:rPr>
                <w:rFonts w:ascii="宋体" w:hAnsi="宋体" w:eastAsia="宋体"/>
                <w:spacing w:val="-2"/>
              </w:rPr>
              <w:t xml:space="preserve">CPU性能</w:t>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CPU主频</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≥2.4GHz</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6</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1" w:lineRule="auto"/>
              <w:rPr>
                <w:rFonts w:ascii="宋体" w:hAnsi="宋体" w:eastAsia="宋体"/>
                <w:spacing w:val="-2"/>
              </w:rPr>
            </w:pPr>
            <w:r>
              <w:rPr>
                <w:rFonts w:ascii="宋体" w:hAnsi="宋体" w:eastAsia="宋体"/>
                <w:spacing w:val="-2"/>
              </w:rPr>
              <w:t xml:space="preserve">单CPU核数</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≥16</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7</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2" w:lineRule="auto"/>
              <w:rPr>
                <w:rFonts w:ascii="宋体" w:hAnsi="宋体" w:eastAsia="宋体"/>
                <w:spacing w:val="-2"/>
              </w:rPr>
            </w:pPr>
            <w:r>
              <w:rPr>
                <w:rFonts w:ascii="宋体" w:hAnsi="宋体" w:eastAsia="宋体"/>
                <w:spacing w:val="-2"/>
              </w:rPr>
              <w:t xml:space="preserve">单CPU末级缓存容量</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≥24MB</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8</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restart"/>
            <w:textDirection w:val="lrTb"/>
            <w:noWrap w:val="false"/>
          </w:tcPr>
          <w:p>
            <w:pPr>
              <w:pStyle w:val="1069"/>
              <w:jc w:val="center"/>
              <w:spacing w:line="241" w:lineRule="auto"/>
              <w:rPr>
                <w:rFonts w:ascii="宋体" w:hAnsi="宋体" w:eastAsia="宋体"/>
                <w:spacing w:val="-2"/>
              </w:rPr>
            </w:pPr>
            <w:r>
              <w:rPr>
                <w:rFonts w:ascii="宋体" w:hAnsi="宋体" w:eastAsia="宋体"/>
                <w:spacing w:val="-2"/>
              </w:rPr>
              <w:t xml:space="preserve">内存性能</w:t>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单内存模块容量</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≥16GB</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5</w:t>
            </w:r>
            <w:r>
              <w:rPr>
                <w:rFonts w:ascii="宋体" w:hAnsi="宋体" w:eastAsia="宋体"/>
                <w:spacing w:val="-2"/>
              </w:rPr>
              <w:t xml:space="preserve">9</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内存速率</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DDR4</w:t>
            </w:r>
            <w:r>
              <w:rPr>
                <w:rFonts w:hint="eastAsia" w:ascii="宋体" w:hAnsi="宋体" w:cs="宋体"/>
                <w:i/>
                <w:iCs/>
                <w:sz w:val="18"/>
                <w:szCs w:val="18"/>
                <w:u w:val="single"/>
              </w:rPr>
              <w:t xml:space="preserve">内存，速率</w:t>
            </w:r>
            <w:r>
              <w:rPr>
                <w:rFonts w:ascii="宋体" w:hAnsi="宋体" w:cs="宋体"/>
                <w:i/>
                <w:iCs/>
                <w:sz w:val="18"/>
                <w:szCs w:val="18"/>
                <w:u w:val="single"/>
              </w:rPr>
              <w:t xml:space="preserve">≥3200MT/s</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0</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存储</w:t>
            </w:r>
            <w:r/>
          </w:p>
          <w:p>
            <w:pPr>
              <w:pStyle w:val="1069"/>
              <w:jc w:val="center"/>
              <w:spacing w:line="202" w:lineRule="auto"/>
              <w:rPr>
                <w:rFonts w:ascii="宋体" w:hAnsi="宋体" w:eastAsia="宋体"/>
                <w:spacing w:val="-2"/>
              </w:rPr>
            </w:pPr>
            <w:r>
              <w:rPr>
                <w:rFonts w:ascii="宋体" w:hAnsi="宋体" w:eastAsia="宋体"/>
                <w:spacing w:val="-2"/>
              </w:rPr>
              <w:t xml:space="preserve">性能</w:t>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硬盘转速</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安装的硬磁盘转速不小于7200rpm</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1</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textDirection w:val="lrTb"/>
            <w:noWrap w:val="false"/>
          </w:tcPr>
          <w:p>
            <w:pPr>
              <w:pStyle w:val="1069"/>
              <w:jc w:val="center"/>
              <w:spacing w:line="239" w:lineRule="auto"/>
              <w:rPr>
                <w:rFonts w:ascii="宋体" w:hAnsi="宋体" w:eastAsia="宋体"/>
                <w:spacing w:val="-2"/>
              </w:rPr>
            </w:pPr>
            <w:r>
              <w:rPr>
                <w:rFonts w:ascii="宋体" w:hAnsi="宋体" w:eastAsia="宋体"/>
                <w:spacing w:val="-2"/>
              </w:rPr>
              <w:t xml:space="preserve">RAID</w:t>
            </w:r>
            <w:r/>
          </w:p>
          <w:p>
            <w:pPr>
              <w:pStyle w:val="1069"/>
              <w:jc w:val="center"/>
              <w:spacing w:line="223" w:lineRule="auto"/>
              <w:rPr>
                <w:rFonts w:ascii="宋体" w:hAnsi="宋体" w:eastAsia="宋体"/>
                <w:spacing w:val="-2"/>
              </w:rPr>
            </w:pPr>
            <w:r>
              <w:rPr>
                <w:rFonts w:ascii="宋体" w:hAnsi="宋体" w:eastAsia="宋体"/>
                <w:spacing w:val="-2"/>
              </w:rPr>
              <w:t xml:space="preserve">卡性</w:t>
            </w:r>
            <w:r/>
          </w:p>
          <w:p>
            <w:pPr>
              <w:pStyle w:val="1069"/>
              <w:jc w:val="center"/>
              <w:spacing w:line="203" w:lineRule="auto"/>
              <w:rPr>
                <w:rFonts w:ascii="宋体" w:hAnsi="宋体" w:eastAsia="宋体"/>
                <w:spacing w:val="-2"/>
              </w:rPr>
            </w:pPr>
            <w:r>
              <w:rPr>
                <w:rFonts w:ascii="宋体" w:hAnsi="宋体" w:eastAsia="宋体"/>
                <w:spacing w:val="-2"/>
              </w:rPr>
              <w:t xml:space="preserve">能</w:t>
            </w:r>
            <w:r/>
          </w:p>
        </w:tc>
        <w:tc>
          <w:tcPr>
            <w:tcW w:w="1391" w:type="dxa"/>
            <w:vAlign w:val="center"/>
            <w:textDirection w:val="lrTb"/>
            <w:noWrap w:val="false"/>
          </w:tcPr>
          <w:p>
            <w:pPr>
              <w:pStyle w:val="1069"/>
              <w:jc w:val="center"/>
              <w:spacing w:line="227" w:lineRule="auto"/>
              <w:rPr>
                <w:rFonts w:ascii="宋体" w:hAnsi="宋体" w:eastAsia="宋体"/>
                <w:spacing w:val="-2"/>
              </w:rPr>
            </w:pPr>
            <w:r>
              <w:rPr>
                <w:rFonts w:ascii="宋体" w:hAnsi="宋体" w:eastAsia="宋体"/>
                <w:spacing w:val="-2"/>
              </w:rPr>
              <w:t xml:space="preserve">RAID卡缓存容量大小</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配备RAID卡且RAID卡有缓存容量，容量不少于1GB</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2</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textDirection w:val="lrTb"/>
            <w:noWrap w:val="false"/>
          </w:tcPr>
          <w:p>
            <w:pPr>
              <w:pStyle w:val="1069"/>
              <w:jc w:val="center"/>
              <w:spacing w:line="241" w:lineRule="auto"/>
              <w:rPr>
                <w:rFonts w:ascii="宋体" w:hAnsi="宋体" w:eastAsia="宋体"/>
                <w:spacing w:val="-2"/>
              </w:rPr>
            </w:pPr>
            <w:r>
              <w:rPr>
                <w:rFonts w:ascii="宋体" w:hAnsi="宋体" w:eastAsia="宋体"/>
                <w:spacing w:val="-2"/>
              </w:rPr>
              <w:t xml:space="preserve">网络性能</w:t>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板载网卡速率</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≥1GE</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3</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性能要求</w:t>
            </w:r>
            <w:r/>
          </w:p>
        </w:tc>
        <w:tc>
          <w:tcPr>
            <w:tcW w:w="1227" w:type="dxa"/>
            <w:vAlign w:val="center"/>
            <w:textDirection w:val="lrTb"/>
            <w:noWrap w:val="false"/>
          </w:tcPr>
          <w:p>
            <w:pPr>
              <w:pStyle w:val="1069"/>
              <w:jc w:val="center"/>
              <w:spacing w:line="220" w:lineRule="auto"/>
              <w:rPr>
                <w:rFonts w:ascii="宋体" w:hAnsi="宋体" w:eastAsia="宋体"/>
                <w:spacing w:val="-2"/>
              </w:rPr>
            </w:pPr>
            <w:r>
              <w:rPr>
                <w:rFonts w:ascii="宋体" w:hAnsi="宋体" w:eastAsia="宋体"/>
                <w:spacing w:val="-2"/>
              </w:rPr>
              <w:t xml:space="preserve">电源能耗</w:t>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电源能耗</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符合GB/T9813.3的有关规定</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4</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restart"/>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部件兼容性要求</w:t>
            </w:r>
            <w:r/>
          </w:p>
        </w:tc>
        <w:tc>
          <w:tcPr>
            <w:tcW w:w="1391" w:type="dxa"/>
            <w:vAlign w:val="center"/>
            <w:textDirection w:val="lrTb"/>
            <w:noWrap w:val="false"/>
          </w:tcPr>
          <w:p>
            <w:pPr>
              <w:pStyle w:val="1069"/>
              <w:jc w:val="center"/>
              <w:spacing w:line="220" w:lineRule="auto"/>
              <w:rPr>
                <w:rFonts w:ascii="宋体" w:hAnsi="宋体" w:eastAsia="宋体"/>
                <w:spacing w:val="-2"/>
              </w:rPr>
            </w:pPr>
            <w:r>
              <w:rPr>
                <w:rFonts w:ascii="宋体" w:hAnsi="宋体" w:eastAsia="宋体"/>
                <w:spacing w:val="-2"/>
              </w:rPr>
              <w:t xml:space="preserve">内存兼容性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适配3种及以上厂商的内存产品，且均不低于产品支持的内存规格</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5</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1" w:lineRule="auto"/>
              <w:rPr>
                <w:rFonts w:ascii="宋体" w:hAnsi="宋体" w:eastAsia="宋体"/>
                <w:spacing w:val="-2"/>
              </w:rPr>
            </w:pPr>
            <w:r>
              <w:rPr>
                <w:rFonts w:ascii="宋体" w:hAnsi="宋体" w:eastAsia="宋体"/>
                <w:spacing w:val="-2"/>
              </w:rPr>
              <w:t xml:space="preserve">固态存储兼容性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适配3种或以上厂商的固态存储产品，且均不低于产品支持的固态存储设备规格</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6</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0" w:lineRule="auto"/>
              <w:rPr>
                <w:rFonts w:ascii="宋体" w:hAnsi="宋体" w:eastAsia="宋体"/>
                <w:spacing w:val="-2"/>
              </w:rPr>
            </w:pPr>
            <w:r>
              <w:rPr>
                <w:rFonts w:ascii="宋体" w:hAnsi="宋体" w:eastAsia="宋体"/>
                <w:spacing w:val="-2"/>
              </w:rPr>
              <w:t xml:space="preserve">RAID卡兼容性</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RAID卡应适配两种或以上厂商产品</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7</w:t>
            </w:r>
            <w:r/>
          </w:p>
        </w:tc>
        <w:tc>
          <w:tcPr>
            <w:tcW w:w="1031" w:type="dxa"/>
            <w:vAlign w:val="center"/>
            <w:textDirection w:val="lrTb"/>
            <w:noWrap w:val="false"/>
          </w:tcPr>
          <w:p>
            <w:pPr>
              <w:pStyle w:val="1069"/>
              <w:jc w:val="center"/>
              <w:spacing w:line="207"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07" w:lineRule="auto"/>
              <w:rPr>
                <w:rFonts w:ascii="宋体" w:hAnsi="宋体" w:eastAsia="宋体"/>
                <w:spacing w:val="-2"/>
              </w:rPr>
            </w:pPr>
            <w:r>
              <w:rPr>
                <w:rFonts w:ascii="宋体" w:hAnsi="宋体" w:eastAsia="宋体"/>
                <w:spacing w:val="-2"/>
              </w:rPr>
              <w:t xml:space="preserve">网卡兼容性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网卡应适配两种或以上厂商产品</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8</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1" w:lineRule="auto"/>
              <w:rPr>
                <w:rFonts w:ascii="宋体" w:hAnsi="宋体" w:eastAsia="宋体"/>
                <w:spacing w:val="-2"/>
              </w:rPr>
            </w:pPr>
            <w:r>
              <w:rPr>
                <w:rFonts w:ascii="宋体" w:hAnsi="宋体" w:eastAsia="宋体"/>
                <w:spacing w:val="-2"/>
              </w:rPr>
              <w:t xml:space="preserve">功能卡兼容性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内置或适配符合PCIe的功能卡，如：网络功能卡、存储功能卡及图形显示功能卡</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6</w:t>
            </w:r>
            <w:r>
              <w:rPr>
                <w:rFonts w:ascii="宋体" w:hAnsi="宋体" w:eastAsia="宋体"/>
                <w:spacing w:val="-2"/>
              </w:rPr>
              <w:t xml:space="preserve">9</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外设兼容性</w:t>
            </w:r>
            <w:r/>
          </w:p>
        </w:tc>
        <w:tc>
          <w:tcPr>
            <w:tcW w:w="1391" w:type="dxa"/>
            <w:vAlign w:val="center"/>
            <w:textDirection w:val="lrTb"/>
            <w:noWrap w:val="false"/>
          </w:tcPr>
          <w:p>
            <w:pPr>
              <w:pStyle w:val="1069"/>
              <w:jc w:val="center"/>
              <w:spacing w:line="241" w:lineRule="auto"/>
              <w:rPr>
                <w:rFonts w:ascii="宋体" w:hAnsi="宋体" w:eastAsia="宋体"/>
                <w:spacing w:val="-2"/>
              </w:rPr>
            </w:pPr>
            <w:r>
              <w:rPr>
                <w:rFonts w:ascii="宋体" w:hAnsi="宋体" w:eastAsia="宋体"/>
                <w:spacing w:val="-2"/>
              </w:rPr>
              <w:t xml:space="preserve">外设兼容性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兼容多种主流生产商的外部设备，</w:t>
            </w:r>
            <w:r/>
          </w:p>
          <w:p>
            <w:pPr>
              <w:ind w:left="105" w:right="105"/>
              <w:rPr>
                <w:rFonts w:ascii="宋体" w:hAnsi="宋体" w:cs="宋体"/>
                <w:i/>
                <w:iCs/>
                <w:sz w:val="18"/>
                <w:szCs w:val="18"/>
                <w:u w:val="single"/>
              </w:rPr>
            </w:pPr>
            <w:r>
              <w:rPr>
                <w:rFonts w:ascii="宋体" w:hAnsi="宋体" w:cs="宋体"/>
                <w:i/>
                <w:iCs/>
                <w:sz w:val="18"/>
                <w:szCs w:val="18"/>
                <w:u w:val="single"/>
              </w:rPr>
              <w:t xml:space="preserve">包括显示器、键盘、鼠标、闪存盘、移动硬盘、USB光驱及KVM等，要求使用不同厂商的外部设备时，系统均能正常识别和安装驱动</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0</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restart"/>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软件兼容性</w:t>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数据库兼容</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兼容3个及以上厂商的数据库产品</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1</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中间件兼容</w:t>
            </w:r>
            <w:r/>
          </w:p>
          <w:p>
            <w:r/>
            <w:r/>
          </w:p>
          <w:p>
            <w:r/>
            <w:r/>
          </w:p>
          <w:p>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兼容3个及以上厂商的中间件产品</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2</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兼容要求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平台软件兼容</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兼容3个及以上厂商的大数据平台</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3</w:t>
            </w:r>
            <w:r/>
          </w:p>
        </w:tc>
        <w:tc>
          <w:tcPr>
            <w:tcW w:w="1031" w:type="dxa"/>
            <w:vAlign w:val="center"/>
            <w:textDirection w:val="lrTb"/>
            <w:noWrap w:val="false"/>
          </w:tcPr>
          <w:p>
            <w:pPr>
              <w:pStyle w:val="1069"/>
              <w:jc w:val="center"/>
              <w:spacing w:line="250" w:lineRule="auto"/>
              <w:rPr>
                <w:rFonts w:ascii="宋体" w:hAnsi="宋体" w:eastAsia="宋体"/>
                <w:spacing w:val="-2"/>
              </w:rPr>
            </w:pPr>
            <w:r>
              <w:rPr>
                <w:rFonts w:ascii="宋体" w:hAnsi="宋体" w:eastAsia="宋体"/>
                <w:spacing w:val="-2"/>
              </w:rPr>
              <w:t xml:space="preserve">可靠性要求</w:t>
            </w:r>
            <w:r/>
          </w:p>
        </w:tc>
        <w:tc>
          <w:tcPr>
            <w:tcW w:w="1227"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存储可靠性要求</w:t>
            </w:r>
            <w:r/>
          </w:p>
        </w:tc>
        <w:tc>
          <w:tcPr>
            <w:tcW w:w="1391" w:type="dxa"/>
            <w:vAlign w:val="center"/>
            <w:textDirection w:val="lrTb"/>
            <w:noWrap w:val="false"/>
          </w:tcPr>
          <w:p>
            <w:pPr>
              <w:pStyle w:val="1069"/>
              <w:jc w:val="center"/>
              <w:spacing w:line="184" w:lineRule="auto"/>
              <w:rPr>
                <w:rFonts w:ascii="宋体" w:hAnsi="宋体" w:eastAsia="宋体"/>
                <w:spacing w:val="-2"/>
              </w:rPr>
            </w:pPr>
            <w:r>
              <w:rPr>
                <w:rFonts w:ascii="宋体" w:hAnsi="宋体" w:eastAsia="宋体"/>
                <w:spacing w:val="-2"/>
              </w:rPr>
              <w:t xml:space="preserve">SATA SSD可靠性</w:t>
            </w:r>
            <w:r/>
          </w:p>
        </w:tc>
        <w:tc>
          <w:tcPr>
            <w:tcW w:w="3871" w:type="dxa"/>
            <w:vAlign w:val="center"/>
            <w:textDirection w:val="lrTb"/>
            <w:noWrap w:val="false"/>
          </w:tcPr>
          <w:p>
            <w:pPr>
              <w:pStyle w:val="1069"/>
              <w:ind w:left="105" w:right="105"/>
              <w:spacing w:line="247" w:lineRule="auto"/>
              <w:rPr>
                <w:rFonts w:ascii="宋体" w:hAnsi="宋体" w:eastAsia="宋体"/>
                <w:spacing w:val="-3"/>
              </w:rPr>
            </w:pPr>
            <w:r>
              <w:rPr>
                <w:rFonts w:ascii="宋体" w:hAnsi="宋体" w:eastAsia="宋体"/>
                <w:spacing w:val="-3"/>
              </w:rPr>
              <w:t xml:space="preserve">SSD的m1值（MTBF的不可接受值）不低于200000h</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4</w:t>
            </w:r>
            <w:r/>
          </w:p>
        </w:tc>
        <w:tc>
          <w:tcPr>
            <w:tcW w:w="1031" w:type="dxa"/>
            <w:vAlign w:val="center"/>
            <w:textDirection w:val="lrTb"/>
            <w:noWrap w:val="false"/>
          </w:tcPr>
          <w:p>
            <w:pPr>
              <w:pStyle w:val="1069"/>
              <w:jc w:val="center"/>
              <w:spacing w:line="250" w:lineRule="auto"/>
              <w:rPr>
                <w:rFonts w:ascii="宋体" w:hAnsi="宋体" w:eastAsia="宋体"/>
                <w:spacing w:val="-2"/>
              </w:rPr>
            </w:pPr>
            <w:r>
              <w:rPr>
                <w:rFonts w:ascii="宋体" w:hAnsi="宋体" w:eastAsia="宋体"/>
                <w:spacing w:val="-2"/>
              </w:rPr>
              <w:t xml:space="preserve">可靠性要求</w:t>
            </w:r>
            <w:r/>
          </w:p>
        </w:tc>
        <w:tc>
          <w:tcPr>
            <w:tcW w:w="1227" w:type="dxa"/>
            <w:vAlign w:val="center"/>
            <w:vMerge w:val="restart"/>
            <w:textDirection w:val="lrTb"/>
            <w:noWrap w:val="false"/>
          </w:tcPr>
          <w:p>
            <w:pPr>
              <w:pStyle w:val="1069"/>
              <w:jc w:val="center"/>
              <w:spacing w:line="224" w:lineRule="auto"/>
              <w:rPr>
                <w:rFonts w:ascii="宋体" w:hAnsi="宋体" w:eastAsia="宋体"/>
                <w:spacing w:val="-2"/>
              </w:rPr>
            </w:pPr>
            <w:r>
              <w:rPr>
                <w:rFonts w:ascii="宋体" w:hAnsi="宋体" w:eastAsia="宋体"/>
                <w:spacing w:val="-2"/>
              </w:rPr>
              <w:t xml:space="preserve">整机可靠性要求</w:t>
            </w:r>
            <w:r/>
          </w:p>
        </w:tc>
        <w:tc>
          <w:tcPr>
            <w:tcW w:w="139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整机可靠性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m1值（MTBF的不可接受值）不得低于30000h</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5</w:t>
            </w:r>
            <w:r/>
          </w:p>
        </w:tc>
        <w:tc>
          <w:tcPr>
            <w:tcW w:w="103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可靠性要求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风扇可靠性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风扇寿命应不低于40000h</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6</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可靠性要求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部件可靠性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支持硬盘、电源、风扇热插拔(内置风扇除外)</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7</w:t>
            </w:r>
            <w:r/>
          </w:p>
        </w:tc>
        <w:tc>
          <w:tcPr>
            <w:tcW w:w="1031"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包装及运输要求</w:t>
            </w:r>
            <w:r/>
          </w:p>
        </w:tc>
        <w:tc>
          <w:tcPr>
            <w:tcW w:w="1227" w:type="dxa"/>
            <w:vAlign w:val="center"/>
            <w:textDirection w:val="lrTb"/>
            <w:noWrap w:val="false"/>
          </w:tcPr>
          <w:p>
            <w:pPr>
              <w:pStyle w:val="1069"/>
              <w:jc w:val="center"/>
              <w:spacing w:line="246" w:lineRule="auto"/>
              <w:rPr>
                <w:rFonts w:ascii="宋体" w:hAnsi="宋体" w:eastAsia="宋体"/>
                <w:spacing w:val="-2"/>
              </w:rPr>
            </w:pPr>
            <w:r>
              <w:rPr>
                <w:rFonts w:ascii="宋体" w:hAnsi="宋体" w:eastAsia="宋体"/>
                <w:spacing w:val="-2"/>
              </w:rPr>
              <w:t xml:space="preserve">包装及运输要求</w:t>
            </w:r>
            <w:r/>
          </w:p>
        </w:tc>
        <w:tc>
          <w:tcPr>
            <w:tcW w:w="1391" w:type="dxa"/>
            <w:vAlign w:val="center"/>
            <w:textDirection w:val="lrTb"/>
            <w:noWrap w:val="false"/>
          </w:tcPr>
          <w:p>
            <w:pPr>
              <w:pStyle w:val="1069"/>
              <w:jc w:val="center"/>
              <w:spacing w:line="224" w:lineRule="auto"/>
              <w:rPr>
                <w:rFonts w:ascii="宋体" w:hAnsi="宋体" w:eastAsia="宋体"/>
                <w:spacing w:val="-2"/>
              </w:rPr>
            </w:pPr>
            <w:r>
              <w:rPr>
                <w:rFonts w:ascii="宋体" w:hAnsi="宋体" w:eastAsia="宋体"/>
                <w:spacing w:val="-2"/>
              </w:rPr>
              <w:t xml:space="preserve">标志、包</w:t>
            </w:r>
            <w:r/>
          </w:p>
          <w:p>
            <w:pPr>
              <w:pStyle w:val="1069"/>
              <w:jc w:val="center"/>
              <w:spacing w:line="247" w:lineRule="auto"/>
              <w:rPr>
                <w:rFonts w:ascii="宋体" w:hAnsi="宋体" w:eastAsia="宋体"/>
                <w:spacing w:val="-2"/>
              </w:rPr>
            </w:pPr>
            <w:r>
              <w:rPr>
                <w:rFonts w:ascii="宋体" w:hAnsi="宋体" w:eastAsia="宋体"/>
                <w:spacing w:val="-2"/>
              </w:rPr>
              <w:t xml:space="preserve">装、运输和贮存</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符合GB/T9813.3和商品包装政府采购需求标准的相关规定</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8</w:t>
            </w:r>
            <w:r/>
          </w:p>
        </w:tc>
        <w:tc>
          <w:tcPr>
            <w:tcW w:w="103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restart"/>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服务响应</w:t>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服务响应</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a)提供电话、电子邮件、远程连接等多种形式服务；</w:t>
            </w:r>
            <w:r/>
          </w:p>
          <w:p>
            <w:pPr>
              <w:ind w:left="105" w:right="105"/>
              <w:rPr>
                <w:rFonts w:ascii="宋体" w:hAnsi="宋体" w:cs="宋体"/>
                <w:i/>
                <w:iCs/>
                <w:sz w:val="18"/>
                <w:szCs w:val="18"/>
                <w:u w:val="single"/>
              </w:rPr>
            </w:pPr>
            <w:r>
              <w:rPr>
                <w:rFonts w:ascii="宋体" w:hAnsi="宋体" w:cs="宋体"/>
                <w:i/>
                <w:iCs/>
                <w:sz w:val="18"/>
                <w:szCs w:val="18"/>
                <w:u w:val="single"/>
              </w:rPr>
              <w:t xml:space="preserve">b)提供同城4h、异地12h技术响应服务，2个工作日解决问题，对于未能解决的问题和故障应提供可行的升级方案，并提供周转设备；</w:t>
            </w:r>
            <w:r/>
          </w:p>
          <w:p>
            <w:pPr>
              <w:ind w:left="105" w:right="105"/>
              <w:rPr>
                <w:rFonts w:ascii="宋体" w:hAnsi="宋体" w:cs="宋体"/>
                <w:i/>
                <w:iCs/>
                <w:sz w:val="18"/>
                <w:szCs w:val="18"/>
                <w:u w:val="single"/>
              </w:rPr>
            </w:pPr>
            <w:r>
              <w:rPr>
                <w:rFonts w:ascii="宋体" w:hAnsi="宋体" w:cs="宋体"/>
                <w:i/>
                <w:iCs/>
                <w:sz w:val="18"/>
                <w:szCs w:val="18"/>
                <w:u w:val="single"/>
              </w:rPr>
              <w:t xml:space="preserve">c)建立全国技术服务体系和服务团体，符合专业服务体系标准要求，提供原厂中文服务；</w:t>
            </w:r>
            <w:r/>
          </w:p>
          <w:p>
            <w:pPr>
              <w:ind w:left="105" w:right="105"/>
              <w:rPr>
                <w:rFonts w:ascii="宋体" w:hAnsi="宋体" w:cs="宋体"/>
                <w:i/>
                <w:iCs/>
                <w:sz w:val="18"/>
                <w:szCs w:val="18"/>
                <w:u w:val="single"/>
              </w:rPr>
            </w:pPr>
            <w:r>
              <w:rPr>
                <w:rFonts w:ascii="宋体" w:hAnsi="宋体" w:cs="宋体"/>
                <w:i/>
                <w:iCs/>
                <w:sz w:val="18"/>
                <w:szCs w:val="18"/>
                <w:u w:val="single"/>
              </w:rPr>
              <w:t xml:space="preserve">d)服务周期内提供产品的维修、换件和升级服务</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7</w:t>
            </w:r>
            <w:r>
              <w:rPr>
                <w:rFonts w:ascii="宋体" w:hAnsi="宋体" w:eastAsia="宋体"/>
                <w:spacing w:val="-2"/>
              </w:rPr>
              <w:t xml:space="preserve">9</w:t>
            </w:r>
            <w:r/>
          </w:p>
        </w:tc>
        <w:tc>
          <w:tcPr>
            <w:tcW w:w="103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培训服务</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供应商提供培训材料、产品手册、培训视频等培训相关内容</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0</w:t>
            </w:r>
            <w:r/>
          </w:p>
        </w:tc>
        <w:tc>
          <w:tcPr>
            <w:tcW w:w="103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textDirection w:val="lrTb"/>
            <w:noWrap w:val="false"/>
          </w:tcPr>
          <w:p>
            <w:pPr>
              <w:pStyle w:val="1069"/>
              <w:jc w:val="center"/>
              <w:spacing w:line="248" w:lineRule="auto"/>
              <w:rPr>
                <w:rFonts w:ascii="宋体" w:hAnsi="宋体" w:eastAsia="宋体"/>
                <w:spacing w:val="-2"/>
              </w:rPr>
            </w:pPr>
            <w:r>
              <w:rPr>
                <w:rFonts w:ascii="宋体" w:hAnsi="宋体" w:eastAsia="宋体"/>
                <w:spacing w:val="-2"/>
              </w:rPr>
              <w:t xml:space="preserve">服务周期</w:t>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服务周期</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a)产品免费服务周期（含换件和维修）应不小于5年；</w:t>
            </w:r>
            <w:r/>
          </w:p>
          <w:p>
            <w:pPr>
              <w:ind w:left="105" w:right="105"/>
              <w:rPr>
                <w:rFonts w:ascii="宋体" w:hAnsi="宋体" w:cs="宋体"/>
                <w:i/>
                <w:iCs/>
                <w:sz w:val="18"/>
                <w:szCs w:val="18"/>
                <w:u w:val="single"/>
              </w:rPr>
            </w:pPr>
            <w:r>
              <w:rPr>
                <w:rFonts w:ascii="宋体" w:hAnsi="宋体" w:cs="宋体"/>
                <w:i/>
                <w:iCs/>
                <w:sz w:val="18"/>
                <w:szCs w:val="18"/>
                <w:u w:val="single"/>
              </w:rPr>
              <w:t xml:space="preserve">b)设备停产后继续提供质量保障服务（含备品备件），服务终止时间与最后一批设备交付时间间隔不低于6年；</w:t>
            </w:r>
            <w:r/>
          </w:p>
          <w:p>
            <w:pPr>
              <w:ind w:left="105" w:right="105"/>
              <w:rPr>
                <w:rFonts w:ascii="宋体" w:hAnsi="宋体" w:cs="宋体"/>
                <w:i/>
                <w:iCs/>
                <w:sz w:val="18"/>
                <w:szCs w:val="18"/>
                <w:u w:val="single"/>
              </w:rPr>
            </w:pPr>
            <w:r>
              <w:rPr>
                <w:rFonts w:ascii="宋体" w:hAnsi="宋体" w:cs="宋体"/>
                <w:i/>
                <w:iCs/>
                <w:sz w:val="18"/>
                <w:szCs w:val="18"/>
                <w:u w:val="single"/>
              </w:rPr>
              <w:t xml:space="preserve">c)产品停止服务时间应提前1年告知客户；</w:t>
            </w:r>
            <w:r/>
          </w:p>
          <w:p>
            <w:pPr>
              <w:ind w:left="105" w:right="105"/>
              <w:rPr>
                <w:rFonts w:ascii="宋体" w:hAnsi="宋体" w:cs="宋体"/>
                <w:i/>
                <w:iCs/>
                <w:sz w:val="18"/>
                <w:szCs w:val="18"/>
                <w:u w:val="single"/>
              </w:rPr>
            </w:pPr>
            <w:r>
              <w:rPr>
                <w:rFonts w:ascii="宋体" w:hAnsi="宋体" w:cs="宋体"/>
                <w:i/>
                <w:iCs/>
                <w:sz w:val="18"/>
                <w:szCs w:val="18"/>
                <w:u w:val="single"/>
              </w:rPr>
              <w:t xml:space="preserve">d)产品发布日期需在随机文件中明确</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1</w:t>
            </w:r>
            <w:r/>
          </w:p>
        </w:tc>
        <w:tc>
          <w:tcPr>
            <w:tcW w:w="103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restart"/>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服务工具要求</w:t>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工具要求</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供应商提供设置服务器硬件、辅助操作系统安装等功能的辅助工具和管理软件。且随附软件应具有合法授权或版权</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2</w:t>
            </w:r>
            <w:r/>
          </w:p>
        </w:tc>
        <w:tc>
          <w:tcPr>
            <w:tcW w:w="103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驱动安装升级指引</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供应商提供出厂安装的配件所需的驱动程序，形式包括但不限于驱动光盘、驱动下载链接等。其他配件应提供指引</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3</w:t>
            </w:r>
            <w:r/>
          </w:p>
        </w:tc>
        <w:tc>
          <w:tcPr>
            <w:tcW w:w="103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管理软件</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具备资源管理、系统管理、性能监控、健康监控、基于网络控制、报警设置功能</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4</w:t>
            </w:r>
            <w:r/>
          </w:p>
        </w:tc>
        <w:tc>
          <w:tcPr>
            <w:tcW w:w="103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restart"/>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增值服务</w:t>
            </w:r>
            <w:r/>
          </w:p>
        </w:tc>
        <w:tc>
          <w:tcPr>
            <w:tcW w:w="1391" w:type="dxa"/>
            <w:vAlign w:val="center"/>
            <w:textDirection w:val="lrTb"/>
            <w:noWrap w:val="false"/>
          </w:tcPr>
          <w:p>
            <w:pPr>
              <w:pStyle w:val="1069"/>
              <w:jc w:val="center"/>
              <w:spacing w:line="239" w:lineRule="auto"/>
              <w:rPr>
                <w:rFonts w:ascii="宋体" w:hAnsi="宋体" w:eastAsia="宋体"/>
                <w:spacing w:val="-2"/>
              </w:rPr>
            </w:pPr>
            <w:r>
              <w:rPr>
                <w:rFonts w:ascii="宋体" w:hAnsi="宋体" w:eastAsia="宋体"/>
                <w:spacing w:val="-2"/>
              </w:rPr>
              <w:t xml:space="preserve">厂家升级产品软件与扩容服务</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供应商提供原厂级的部件/软件产品升级和扩容能力</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5</w:t>
            </w:r>
            <w:r/>
          </w:p>
        </w:tc>
        <w:tc>
          <w:tcPr>
            <w:tcW w:w="103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服务要求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提供上门服务</w:t>
            </w:r>
            <w:r/>
          </w:p>
        </w:tc>
        <w:tc>
          <w:tcPr>
            <w:tcW w:w="3871" w:type="dxa"/>
            <w:vAlign w:val="center"/>
            <w:textDirection w:val="lrTb"/>
            <w:noWrap w:val="false"/>
          </w:tcPr>
          <w:p>
            <w:pPr>
              <w:ind w:left="105" w:right="105"/>
              <w:rPr>
                <w:rFonts w:hint="eastAsia" w:ascii="宋体" w:hAnsi="宋体" w:cs="宋体"/>
                <w:i/>
                <w:iCs/>
                <w:sz w:val="18"/>
                <w:szCs w:val="18"/>
                <w:u w:val="single"/>
              </w:rPr>
            </w:pPr>
            <w:r>
              <w:rPr>
                <w:rFonts w:ascii="宋体" w:hAnsi="宋体" w:cs="宋体"/>
                <w:i/>
                <w:iCs/>
                <w:sz w:val="18"/>
                <w:szCs w:val="18"/>
                <w:u w:val="single"/>
              </w:rPr>
              <w:t xml:space="preserve">供应商具备提供上门服务的能力</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6</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供保要求</w:t>
            </w:r>
            <w:r/>
          </w:p>
        </w:tc>
        <w:tc>
          <w:tcPr>
            <w:tcW w:w="1227" w:type="dxa"/>
            <w:vAlign w:val="center"/>
            <w:vMerge w:val="restart"/>
            <w:textDirection w:val="lrTb"/>
            <w:noWrap w:val="false"/>
          </w:tcPr>
          <w:p>
            <w:pPr>
              <w:pStyle w:val="1069"/>
              <w:jc w:val="center"/>
              <w:spacing w:line="223" w:lineRule="auto"/>
              <w:rPr>
                <w:rFonts w:ascii="宋体" w:hAnsi="宋体" w:eastAsia="宋体"/>
                <w:spacing w:val="-2"/>
              </w:rPr>
            </w:pPr>
            <w:r>
              <w:rPr>
                <w:rFonts w:ascii="宋体" w:hAnsi="宋体" w:eastAsia="宋体"/>
                <w:spacing w:val="-2"/>
              </w:rPr>
              <w:t xml:space="preserve">供应</w:t>
            </w:r>
            <w:r/>
          </w:p>
          <w:p>
            <w:pPr>
              <w:pStyle w:val="1069"/>
              <w:jc w:val="center"/>
              <w:spacing w:line="222" w:lineRule="auto"/>
              <w:rPr>
                <w:rFonts w:ascii="宋体" w:hAnsi="宋体" w:eastAsia="宋体"/>
                <w:spacing w:val="-2"/>
              </w:rPr>
            </w:pPr>
            <w:r>
              <w:rPr>
                <w:rFonts w:ascii="宋体" w:hAnsi="宋体" w:eastAsia="宋体"/>
                <w:spacing w:val="-2"/>
              </w:rPr>
              <w:t xml:space="preserve">链质</w:t>
            </w:r>
            <w:r/>
          </w:p>
          <w:p>
            <w:pPr>
              <w:pStyle w:val="1069"/>
              <w:jc w:val="center"/>
              <w:spacing w:line="229" w:lineRule="auto"/>
              <w:rPr>
                <w:rFonts w:ascii="宋体" w:hAnsi="宋体" w:eastAsia="宋体"/>
                <w:spacing w:val="-2"/>
              </w:rPr>
            </w:pPr>
            <w:r>
              <w:rPr>
                <w:rFonts w:ascii="宋体" w:hAnsi="宋体" w:eastAsia="宋体"/>
                <w:spacing w:val="-2"/>
              </w:rPr>
              <w:t xml:space="preserve">量</w:t>
            </w:r>
            <w:r/>
          </w:p>
        </w:tc>
        <w:tc>
          <w:tcPr>
            <w:tcW w:w="1391" w:type="dxa"/>
            <w:vAlign w:val="center"/>
            <w:textDirection w:val="lrTb"/>
            <w:noWrap w:val="false"/>
          </w:tcPr>
          <w:p>
            <w:pPr>
              <w:pStyle w:val="1069"/>
              <w:jc w:val="center"/>
              <w:spacing w:line="221" w:lineRule="auto"/>
              <w:rPr>
                <w:rFonts w:ascii="宋体" w:hAnsi="宋体" w:eastAsia="宋体"/>
                <w:spacing w:val="-2"/>
              </w:rPr>
            </w:pPr>
            <w:r>
              <w:rPr>
                <w:rFonts w:ascii="宋体" w:hAnsi="宋体" w:eastAsia="宋体"/>
                <w:spacing w:val="-2"/>
              </w:rPr>
              <w:t xml:space="preserve">抗干扰性</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当产品部件出现供应风险时，应通知客户并提供风险应对方案确保产品的服务保障，必要时应停止相关受影响产品的销售</w:t>
            </w:r>
            <w:r/>
          </w:p>
        </w:tc>
      </w:tr>
      <w:tr>
        <w:trPr>
          <w:jc w:val="center"/>
          <w:trHeight w:val="977"/>
        </w:trPr>
        <w:tc>
          <w:tcPr>
            <w:tcW w:w="641" w:type="dxa"/>
            <w:vAlign w:val="center"/>
            <w:textDirection w:val="lrTb"/>
            <w:noWrap w:val="false"/>
          </w:tcPr>
          <w:p>
            <w:pPr>
              <w:pStyle w:val="1069"/>
              <w:jc w:val="center"/>
              <w:spacing w:line="223" w:lineRule="auto"/>
              <w:rPr>
                <w:rFonts w:hint="eastAsia" w:ascii="宋体" w:hAnsi="宋体" w:eastAsia="宋体"/>
                <w:spacing w:val="-2"/>
              </w:rPr>
            </w:pPr>
            <w:r>
              <w:rPr>
                <w:rFonts w:hint="eastAsia" w:ascii="宋体" w:hAnsi="宋体" w:eastAsia="宋体"/>
                <w:spacing w:val="-2"/>
              </w:rPr>
              <w:t xml:space="preserve">8</w:t>
            </w:r>
            <w:r>
              <w:rPr>
                <w:rFonts w:ascii="宋体" w:hAnsi="宋体" w:eastAsia="宋体"/>
                <w:spacing w:val="-2"/>
              </w:rPr>
              <w:t xml:space="preserve">7</w:t>
            </w:r>
            <w:r/>
          </w:p>
        </w:tc>
        <w:tc>
          <w:tcPr>
            <w:tcW w:w="1031" w:type="dxa"/>
            <w:vAlign w:val="center"/>
            <w:textDirection w:val="lrTb"/>
            <w:noWrap w:val="false"/>
          </w:tcPr>
          <w:p>
            <w:pPr>
              <w:pStyle w:val="1069"/>
              <w:jc w:val="center"/>
              <w:spacing w:line="222" w:lineRule="auto"/>
              <w:rPr>
                <w:rFonts w:ascii="宋体" w:hAnsi="宋体" w:eastAsia="宋体"/>
                <w:spacing w:val="-2"/>
              </w:rPr>
            </w:pPr>
            <w:r>
              <w:rPr>
                <w:rFonts w:ascii="宋体" w:hAnsi="宋体" w:eastAsia="宋体"/>
                <w:spacing w:val="-2"/>
              </w:rPr>
              <w:t xml:space="preserve">供保要求</w:t>
            </w:r>
            <w:r/>
          </w:p>
        </w:tc>
        <w:tc>
          <w:tcPr>
            <w:tcW w:w="1227" w:type="dxa"/>
            <w:vAlign w:val="center"/>
            <w:vMerge w:val="continue"/>
            <w:textDirection w:val="lrTb"/>
            <w:noWrap w:val="false"/>
          </w:tcPr>
          <w:p>
            <w:pPr>
              <w:jc w:val="center"/>
              <w:rPr>
                <w:rFonts w:ascii="宋体" w:hAnsi="宋体" w:cs="黑体"/>
                <w:spacing w:val="-2"/>
                <w:sz w:val="18"/>
                <w:szCs w:val="18"/>
              </w:rPr>
            </w:pPr>
            <w:r>
              <w:rPr>
                <w:rFonts w:ascii="宋体" w:hAnsi="宋体" w:cs="黑体"/>
                <w:spacing w:val="-2"/>
                <w:sz w:val="18"/>
                <w:szCs w:val="18"/>
              </w:rPr>
            </w:r>
            <w:r/>
          </w:p>
        </w:tc>
        <w:tc>
          <w:tcPr>
            <w:tcW w:w="1391" w:type="dxa"/>
            <w:vAlign w:val="center"/>
            <w:textDirection w:val="lrTb"/>
            <w:noWrap w:val="false"/>
          </w:tcPr>
          <w:p>
            <w:pPr>
              <w:pStyle w:val="1069"/>
              <w:jc w:val="center"/>
              <w:spacing w:line="247" w:lineRule="auto"/>
              <w:rPr>
                <w:rFonts w:ascii="宋体" w:hAnsi="宋体" w:eastAsia="宋体"/>
                <w:spacing w:val="-2"/>
              </w:rPr>
            </w:pPr>
            <w:r>
              <w:rPr>
                <w:rFonts w:ascii="宋体" w:hAnsi="宋体" w:eastAsia="宋体"/>
                <w:spacing w:val="-2"/>
              </w:rPr>
              <w:t xml:space="preserve">供应能力证明</w:t>
            </w:r>
            <w:r/>
          </w:p>
        </w:tc>
        <w:tc>
          <w:tcPr>
            <w:tcW w:w="3871" w:type="dxa"/>
            <w:vAlign w:val="center"/>
            <w:textDirection w:val="lrTb"/>
            <w:noWrap w:val="false"/>
          </w:tcPr>
          <w:p>
            <w:pPr>
              <w:ind w:left="105" w:right="105"/>
              <w:rPr>
                <w:rFonts w:ascii="宋体" w:hAnsi="宋体" w:cs="宋体"/>
                <w:i/>
                <w:iCs/>
                <w:sz w:val="18"/>
                <w:szCs w:val="18"/>
                <w:u w:val="single"/>
              </w:rPr>
            </w:pPr>
            <w:r>
              <w:rPr>
                <w:rFonts w:ascii="宋体" w:hAnsi="宋体" w:cs="宋体"/>
                <w:i/>
                <w:iCs/>
                <w:sz w:val="18"/>
                <w:szCs w:val="18"/>
                <w:u w:val="single"/>
              </w:rPr>
              <w:t xml:space="preserve">供应商提供供应链稳定承诺，确保产品的部件在产品服务周期内稳定供货</w:t>
            </w:r>
            <w:r/>
          </w:p>
        </w:tc>
      </w:tr>
    </w:tbl>
    <w:p>
      <w:pPr>
        <w:spacing w:line="400" w:lineRule="exact"/>
        <w:rPr>
          <w:rFonts w:ascii="仿宋" w:hAnsi="仿宋" w:eastAsia="仿宋" w:cs="仿宋"/>
          <w:bCs/>
          <w:sz w:val="28"/>
          <w:szCs w:val="28"/>
          <w:lang w:bidi="ar"/>
        </w:rPr>
      </w:pPr>
      <w:r>
        <w:rPr>
          <w:rFonts w:ascii="仿宋" w:hAnsi="仿宋" w:eastAsia="仿宋" w:cs="仿宋"/>
          <w:bCs/>
          <w:sz w:val="28"/>
          <w:szCs w:val="28"/>
          <w:lang w:bidi="ar"/>
        </w:rPr>
      </w:r>
      <w:r/>
    </w:p>
    <w:p>
      <w:pPr>
        <w:ind w:firstLine="560"/>
        <w:spacing w:line="400" w:lineRule="exact"/>
        <w:widowControl/>
        <w:rPr>
          <w:rFonts w:hint="eastAsia" w:ascii="仿宋" w:hAnsi="仿宋" w:eastAsia="仿宋" w:cs="仿宋"/>
          <w:bCs/>
          <w:i/>
          <w:iCs/>
          <w:sz w:val="28"/>
          <w:szCs w:val="28"/>
          <w:u w:val="single"/>
          <w:lang w:bidi="ar"/>
        </w:rPr>
      </w:pPr>
      <w:r>
        <w:rPr>
          <w:rFonts w:hint="eastAsia" w:ascii="仿宋" w:hAnsi="仿宋" w:eastAsia="仿宋" w:cs="仿宋"/>
          <w:bCs/>
          <w:i/>
          <w:iCs/>
          <w:sz w:val="28"/>
          <w:szCs w:val="28"/>
          <w:u w:val="single"/>
          <w:lang w:bidi="ar"/>
        </w:rPr>
        <w:t xml:space="preserve">3.为保障扩声系统、中控系统协调工作，第4项扩声系统主机、第5项讲台桌面鹅颈麦克风、第6项红外无线麦克风、第7项红外接收器需采用同一厂家配套产品，第9项中控主机、第10项中控面板、第11项中控管理平台软件须采用同一厂家配套产品。</w:t>
      </w:r>
      <w:r/>
    </w:p>
    <w:p>
      <w:pPr>
        <w:pStyle w:val="953"/>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四、商务要求</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1.合同履行期限（交付时间/完成时间）：合同签订后30日历天内安装调试完成。</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2.交付地点：南京信息职业技术学院。</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3.投标报价：人民币。</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4.付款条件：</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4.1合同签订后十五个工作日内，甲方以银行转账方式向乙方支付合同设备金额的30%作为预付款。</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4.2项目安装调试完成并通过验收合格后十五个工作日内，甲方以银行转账方式向乙方支付合同设备金额的20%。</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4.3项目整体通过验收合格后，甲方以银行转账方式向乙方支付设备剩余尾款，最迟于2026年月日前完成支付。</w:t>
      </w:r>
      <w:r/>
    </w:p>
    <w:p>
      <w:pPr>
        <w:ind w:firstLine="560"/>
        <w:spacing w:line="400" w:lineRule="exact"/>
        <w:rPr>
          <w:rFonts w:ascii="仿宋" w:hAnsi="仿宋" w:eastAsia="仿宋" w:cs="仿宋"/>
          <w:b/>
          <w:sz w:val="28"/>
          <w:szCs w:val="28"/>
        </w:rPr>
      </w:pPr>
      <w:r>
        <w:rPr>
          <w:rFonts w:hint="eastAsia" w:ascii="仿宋" w:hAnsi="仿宋" w:eastAsia="仿宋" w:cs="仿宋"/>
          <w:b/>
          <w:sz w:val="28"/>
          <w:szCs w:val="28"/>
        </w:rPr>
        <w:t xml:space="preserve">以上均不计息。</w:t>
      </w:r>
      <w:r/>
    </w:p>
    <w:p>
      <w:pPr>
        <w:ind w:firstLine="560"/>
        <w:spacing w:line="400" w:lineRule="exact"/>
        <w:rPr>
          <w:rFonts w:hint="eastAsia" w:ascii="仿宋" w:hAnsi="仿宋" w:eastAsia="仿宋" w:cs="仿宋"/>
          <w:bCs/>
          <w:sz w:val="28"/>
          <w:szCs w:val="28"/>
        </w:rPr>
      </w:pPr>
      <w:r>
        <w:rPr>
          <w:rFonts w:hint="eastAsia" w:ascii="仿宋" w:hAnsi="仿宋" w:eastAsia="仿宋" w:cs="仿宋"/>
          <w:b/>
          <w:sz w:val="28"/>
          <w:szCs w:val="28"/>
        </w:rPr>
        <w:t xml:space="preserve">5.包装和运输要求：</w:t>
      </w:r>
      <w:r>
        <w:rPr>
          <w:rFonts w:hint="eastAsia" w:ascii="仿宋" w:hAnsi="仿宋" w:eastAsia="仿宋" w:cs="仿宋"/>
          <w:bCs/>
          <w:sz w:val="28"/>
          <w:szCs w:val="28"/>
        </w:rPr>
        <w:t xml:space="preserve">所有产品需采用防震、防潮包装，并通过可靠物流确保运输全程安全无损、准时送达。</w:t>
      </w:r>
      <w:r/>
    </w:p>
    <w:p>
      <w:pPr>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6.质保服务要求</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6.1质保期：验收合格后不少于5年，自项目最终验收合格之日起计算。（质保期费用包含在供应商报价中，采购人不另外支付费用）</w:t>
      </w:r>
      <w:r/>
    </w:p>
    <w:p>
      <w:pPr>
        <w:ind w:firstLine="560"/>
        <w:spacing w:line="400" w:lineRule="exact"/>
        <w:rPr>
          <w:rFonts w:ascii="仿宋" w:hAnsi="仿宋" w:eastAsia="仿宋" w:cs="仿宋"/>
          <w:bCs/>
          <w:sz w:val="28"/>
          <w:szCs w:val="28"/>
        </w:rPr>
      </w:pPr>
      <w:r>
        <w:rPr>
          <w:rFonts w:hint="eastAsia" w:ascii="仿宋" w:hAnsi="仿宋" w:eastAsia="仿宋" w:cs="仿宋"/>
          <w:bCs/>
          <w:sz w:val="28"/>
          <w:szCs w:val="28"/>
        </w:rPr>
        <w:t xml:space="preserve">6.2质保服务范围：所有投影机、计算机、服务器、多媒体音视频及控制设备提供整机质保服务，质保范围覆盖所有硬件整机及内置零部件。在质保期限内，凡属产品自身质量问题，供方提供零配件更换、整机维修服务，上门现场处置。配套系统管理软件提供质保期内版本迭代、故障修复与远程技术支持。对于故障设备，执行备件先行更换服务，缩短停机时间。</w:t>
      </w:r>
      <w:r/>
    </w:p>
    <w:p>
      <w:pPr>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7.安装调试实施要求</w:t>
      </w:r>
      <w:r/>
    </w:p>
    <w:p>
      <w:pPr>
        <w:ind w:firstLine="560"/>
        <w:spacing w:line="400" w:lineRule="exact"/>
        <w:rPr>
          <w:rFonts w:hint="eastAsia" w:ascii="仿宋" w:hAnsi="仿宋" w:eastAsia="仿宋" w:cs="仿宋"/>
          <w:b/>
          <w:sz w:val="28"/>
          <w:szCs w:val="28"/>
        </w:rPr>
      </w:pPr>
      <w:r>
        <w:rPr>
          <w:rFonts w:hint="eastAsia" w:ascii="仿宋" w:hAnsi="仿宋" w:eastAsia="仿宋" w:cs="仿宋"/>
          <w:bCs/>
          <w:sz w:val="28"/>
          <w:szCs w:val="28"/>
        </w:rPr>
        <w:t xml:space="preserve">针对本项目采购清单内所有设备相关要求，制定施工前期方案、设备安装调试专项方案、系统调试运行方案、强弱电布线专项方案、项目进度管控计划。方案要求如下：</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7.1施工前期要求：</w:t>
      </w:r>
      <w:r>
        <w:rPr>
          <w:rFonts w:hint="eastAsia" w:ascii="仿宋" w:hAnsi="仿宋" w:eastAsia="仿宋" w:cs="仿宋"/>
          <w:bCs/>
          <w:sz w:val="28"/>
          <w:szCs w:val="28"/>
          <w:lang w:bidi="ar"/>
        </w:rPr>
        <w:t xml:space="preserve">投标人须完成全部教室现场精准勘测，结合教室层高、结构、座位布局、观看视角确定设备最优安装点位，形成单间教室勘测记录；投标人结合招标文件或现场勘察情况，提供本次多媒体教室改造方案的系统框架图、功能设计及布局图、教室整体空间效果图。</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7.2设备安装调试专项要求：</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7.2.</w:t>
      </w:r>
      <w:r>
        <w:rPr>
          <w:rFonts w:hint="eastAsia" w:ascii="仿宋" w:hAnsi="仿宋" w:eastAsia="仿宋" w:cs="仿宋"/>
          <w:bCs/>
          <w:sz w:val="28"/>
          <w:szCs w:val="28"/>
          <w:lang w:bidi="ar"/>
        </w:rPr>
        <w:t xml:space="preserve">1</w:t>
      </w:r>
      <w:r>
        <w:rPr>
          <w:rFonts w:hint="eastAsia" w:ascii="仿宋" w:hAnsi="仿宋" w:eastAsia="仿宋" w:cs="仿宋"/>
          <w:sz w:val="28"/>
          <w:szCs w:val="28"/>
          <w:lang w:bidi="ar"/>
        </w:rPr>
        <w:t xml:space="preserve">投影机</w:t>
      </w:r>
      <w:r>
        <w:rPr>
          <w:rFonts w:hint="eastAsia" w:ascii="仿宋" w:hAnsi="仿宋" w:eastAsia="仿宋" w:cs="仿宋"/>
          <w:bCs/>
          <w:sz w:val="28"/>
          <w:szCs w:val="28"/>
          <w:lang w:bidi="ar"/>
        </w:rPr>
        <w:t xml:space="preserve">：采用稳固吊顶安装方式，承重结构安全可靠，安装水平、垂直精度达标，投射画面完整适配幕布尺寸，无黑边、倾斜、失真，线路规整，做好防拉扯、防干扰、安全防护处理，适配教室长期稳定使用。</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7.2.2</w:t>
      </w:r>
      <w:r>
        <w:rPr>
          <w:rFonts w:hint="eastAsia" w:ascii="仿宋" w:hAnsi="仿宋" w:eastAsia="仿宋" w:cs="仿宋"/>
          <w:sz w:val="28"/>
          <w:szCs w:val="28"/>
          <w:lang w:bidi="ar"/>
        </w:rPr>
        <w:t xml:space="preserve">投影幕布</w:t>
      </w:r>
      <w:r>
        <w:rPr>
          <w:rFonts w:hint="eastAsia" w:ascii="仿宋" w:hAnsi="仿宋" w:eastAsia="仿宋" w:cs="仿宋"/>
          <w:bCs/>
          <w:sz w:val="28"/>
          <w:szCs w:val="28"/>
          <w:lang w:bidi="ar"/>
        </w:rPr>
        <w:t xml:space="preserve">：规整安装，固定牢固、无变形倾斜，升降运行平稳无卡顿、无异响、限位精准，安装高度适配全场师生观看视角，规避反光、遮挡问题，适配阶梯教室高差观看特性。</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7.2.3</w:t>
      </w:r>
      <w:r>
        <w:rPr>
          <w:rFonts w:hint="eastAsia" w:ascii="仿宋" w:hAnsi="仿宋" w:eastAsia="仿宋" w:cs="仿宋"/>
          <w:sz w:val="28"/>
          <w:szCs w:val="28"/>
          <w:lang w:bidi="ar"/>
        </w:rPr>
        <w:t xml:space="preserve">讲台电脑</w:t>
      </w:r>
      <w:r>
        <w:rPr>
          <w:rFonts w:hint="eastAsia" w:ascii="仿宋" w:hAnsi="仿宋" w:eastAsia="仿宋" w:cs="仿宋"/>
          <w:bCs/>
          <w:sz w:val="28"/>
          <w:szCs w:val="28"/>
          <w:lang w:bidi="ar"/>
        </w:rPr>
        <w:t xml:space="preserve">：集成规整安装于多媒体讲台内，预留充足散热空间，设备固定牢固、接口稳定，线路分类布设、标识清晰，具备良好的防尘、防潮、抗晃动能力，适配高频教学操作。</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7.2.4</w:t>
      </w:r>
      <w:r>
        <w:rPr>
          <w:rFonts w:hint="eastAsia" w:ascii="仿宋" w:hAnsi="仿宋" w:eastAsia="仿宋" w:cs="仿宋"/>
          <w:sz w:val="28"/>
          <w:szCs w:val="28"/>
          <w:lang w:bidi="ar"/>
        </w:rPr>
        <w:t xml:space="preserve">中控系统</w:t>
      </w:r>
      <w:r>
        <w:rPr>
          <w:rFonts w:hint="eastAsia" w:ascii="仿宋" w:hAnsi="仿宋" w:eastAsia="仿宋" w:cs="仿宋"/>
          <w:bCs/>
          <w:sz w:val="28"/>
          <w:szCs w:val="28"/>
          <w:lang w:bidi="ar"/>
        </w:rPr>
        <w:t xml:space="preserve">：安装位置贴合教师操作习惯，设备固定平整牢固，线路对接紧实无虚接、脱接，可实现全设备稳定联动，具备良好抗干扰、接地防护能力，操作响应灵敏。</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7.2.5</w:t>
      </w:r>
      <w:r>
        <w:rPr>
          <w:rFonts w:hint="eastAsia" w:ascii="仿宋" w:hAnsi="仿宋" w:eastAsia="仿宋" w:cs="仿宋"/>
          <w:sz w:val="28"/>
          <w:szCs w:val="28"/>
          <w:lang w:bidi="ar"/>
        </w:rPr>
        <w:t xml:space="preserve">音频扩声系统</w:t>
      </w:r>
      <w:r>
        <w:rPr>
          <w:rFonts w:hint="eastAsia" w:ascii="仿宋" w:hAnsi="仿宋" w:eastAsia="仿宋" w:cs="仿宋"/>
          <w:bCs/>
          <w:sz w:val="28"/>
          <w:szCs w:val="28"/>
          <w:lang w:bidi="ar"/>
        </w:rPr>
        <w:t xml:space="preserve">：结合阶梯教室、中大型教室声场特点差异化布局，音箱安装角度精准，声场覆盖无死角，杜绝回声、啸叫、杂音；扩声系统主机等设备规整布置、散热良好，线路规范分离布设，适配授课、多媒体播放、等多场景音效需求。</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7.2.6</w:t>
      </w:r>
      <w:r>
        <w:rPr>
          <w:rFonts w:hint="eastAsia" w:ascii="仿宋" w:hAnsi="仿宋" w:eastAsia="仿宋" w:cs="仿宋"/>
          <w:sz w:val="28"/>
          <w:szCs w:val="28"/>
          <w:lang w:bidi="ar"/>
        </w:rPr>
        <w:t xml:space="preserve">后排辅助显示电视机</w:t>
      </w:r>
      <w:r>
        <w:rPr>
          <w:rFonts w:hint="eastAsia" w:ascii="仿宋" w:hAnsi="仿宋" w:eastAsia="仿宋" w:cs="仿宋"/>
          <w:bCs/>
          <w:sz w:val="28"/>
          <w:szCs w:val="28"/>
          <w:lang w:bidi="ar"/>
        </w:rPr>
        <w:t xml:space="preserve">：采用合规承重安装，安装平整垂直、安全稳固，观看视角适宜、无反光遮挡，线路全部隐蔽布设，整洁美观，满足后排人员清晰观看需求。</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7.3系统调试运行要求：</w:t>
      </w:r>
      <w:r>
        <w:rPr>
          <w:rFonts w:hint="eastAsia" w:ascii="仿宋" w:hAnsi="仿宋" w:eastAsia="仿宋" w:cs="仿宋"/>
          <w:bCs/>
          <w:sz w:val="28"/>
          <w:szCs w:val="28"/>
          <w:lang w:bidi="ar"/>
        </w:rPr>
        <w:t xml:space="preserve">投标人须完成单设备独立调试、全系统联动调试、教学场景专项调试及长时间试运行调试。确保所有设备单机运行正常、参数达标；中控联动、音视频同步、信号切换等功能响应及时、无延迟、无故障；适配日常教学、公开课、培训等多场景使用；须完成不少于72小时不间断试运行，彻底排查隐性故障，保障系统长期稳定运行，同时优化操作逻辑，贴合高校教学使用习惯。</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7.4强弱电布线专项方案要求：</w:t>
      </w:r>
      <w:r>
        <w:rPr>
          <w:rFonts w:hint="eastAsia" w:ascii="仿宋" w:hAnsi="仿宋" w:eastAsia="仿宋" w:cs="仿宋"/>
          <w:bCs/>
          <w:sz w:val="28"/>
          <w:szCs w:val="28"/>
          <w:lang w:bidi="ar"/>
        </w:rPr>
        <w:t xml:space="preserve">施工须严格执行强弱电分离布设原则，全程分管分槽、保持安全间距，杜绝信号干扰；所有线缆、管材须采用国标阻燃材质，具备防火、防腐、抗老化性能；全部线路隐蔽施工、规整有序，全线标识清晰、可溯源；结合校园后期升级需求，预留充足线路及接口冗余。</w:t>
      </w:r>
      <w:r/>
    </w:p>
    <w:p>
      <w:pPr>
        <w:ind w:firstLine="560"/>
        <w:spacing w:line="400" w:lineRule="exact"/>
        <w:rPr>
          <w:rFonts w:hint="eastAsia" w:ascii="仿宋" w:hAnsi="仿宋" w:eastAsia="仿宋" w:cs="仿宋"/>
          <w:bCs/>
          <w:sz w:val="28"/>
          <w:szCs w:val="28"/>
          <w:lang w:bidi="ar"/>
        </w:rPr>
      </w:pPr>
      <w:r>
        <w:rPr>
          <w:rFonts w:hint="eastAsia" w:ascii="仿宋" w:hAnsi="仿宋" w:eastAsia="仿宋" w:cs="仿宋"/>
          <w:bCs/>
          <w:sz w:val="28"/>
          <w:szCs w:val="28"/>
        </w:rPr>
        <w:t xml:space="preserve">7.4.1强电布线改造要求：</w:t>
      </w:r>
      <w:r>
        <w:rPr>
          <w:rFonts w:hint="eastAsia" w:ascii="仿宋" w:hAnsi="仿宋" w:eastAsia="仿宋" w:cs="仿宋"/>
          <w:bCs/>
          <w:sz w:val="28"/>
          <w:szCs w:val="28"/>
          <w:lang w:bidi="ar"/>
        </w:rPr>
        <w:t xml:space="preserve">所有多媒体教学设备设置</w:t>
      </w:r>
      <w:r>
        <w:rPr>
          <w:rFonts w:hint="eastAsia" w:ascii="仿宋" w:hAnsi="仿宋" w:eastAsia="仿宋" w:cs="仿宋"/>
          <w:sz w:val="28"/>
          <w:szCs w:val="28"/>
          <w:lang w:bidi="ar"/>
        </w:rPr>
        <w:t xml:space="preserve">独立专用供电回路</w:t>
      </w:r>
      <w:r>
        <w:rPr>
          <w:rFonts w:hint="eastAsia" w:ascii="仿宋" w:hAnsi="仿宋" w:eastAsia="仿宋" w:cs="仿宋"/>
          <w:bCs/>
          <w:sz w:val="28"/>
          <w:szCs w:val="28"/>
          <w:lang w:bidi="ar"/>
        </w:rPr>
        <w:t xml:space="preserve">，与教室照明、普通插座用电分离，配置独立保护开关及漏电保护装置，实现过载、短路、漏电安全防护；线缆线径匹配设备功率，杜绝线路过载发热，接线工艺规范、绝缘防护到位；所有电气设备、金属管线统一做等电位接地处理，接地电阻达标，保障用电及设备安全；管线敷设牢固、防护到位，符合校园安全施工标准。</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7.4.2网络布线采用六类及以上国标网线，独立穿管布设，支持高速稳定传输，满足线上教学、高清资源播放需求；音视频、中控控制线路采用专用屏蔽线缆，分类走线、杜绝交叉干扰，长距离传输场景须做信号增益优化，避免信号衰减、画面失真、音频杂音；所有线路接头稳固、屏蔽防护到位，做好防尘、防潮、防磨损保护，保障信号传输精准稳定。</w:t>
      </w:r>
      <w:r/>
    </w:p>
    <w:p>
      <w:pPr>
        <w:ind w:firstLine="560"/>
        <w:spacing w:line="400" w:lineRule="exact"/>
        <w:rPr>
          <w:rFonts w:ascii="仿宋" w:hAnsi="仿宋" w:eastAsia="仿宋" w:cs="仿宋"/>
          <w:bCs/>
          <w:sz w:val="28"/>
          <w:szCs w:val="28"/>
          <w:lang w:bidi="ar"/>
        </w:rPr>
      </w:pPr>
      <w:r>
        <w:rPr>
          <w:rFonts w:hint="eastAsia" w:ascii="仿宋" w:hAnsi="仿宋" w:eastAsia="仿宋" w:cs="仿宋"/>
          <w:bCs/>
          <w:sz w:val="28"/>
          <w:szCs w:val="28"/>
        </w:rPr>
        <w:t xml:space="preserve">7.5项目进度管控计划要求：</w:t>
      </w:r>
      <w:r>
        <w:rPr>
          <w:rFonts w:hint="eastAsia" w:ascii="仿宋" w:hAnsi="仿宋" w:eastAsia="仿宋" w:cs="仿宋"/>
          <w:bCs/>
          <w:sz w:val="28"/>
          <w:szCs w:val="28"/>
          <w:lang w:bidi="ar"/>
        </w:rPr>
        <w:t xml:space="preserve">投标人须编制科学合理、可落地的全流程进度管控计划，覆盖项目筹备、现场布线改造、设备安装、系统调试、试运行、验收交付、操作培训等全部施工环节，明确各阶段工期节点、施工内容、管控措施、人员职责，建立常态化进度管控机制，保障项目按期、保质、合规完成交付。</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
          <w:sz w:val="28"/>
          <w:szCs w:val="28"/>
          <w:lang w:bidi="ar"/>
        </w:rPr>
        <w:t xml:space="preserve">8.技术方案要求：</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投标人须针对本项目教室原有多媒体讲台改造内容编制专项技术方案，涵盖讲台结构改造、配件更换、开孔走线、功能升级等全部内容。方案须明确多媒体讲台改造系统包括讲台改造整体架构、改造工艺、设备集成方式、线路规整方案、新增接口（USB+TypeC快充接口）技术参数、结构加固及防尘防护技术措施，改造后讲台需适配全部教学设备集成安装，结构稳固、操作便捷、布线规范，满足高校常态化教学使用及后期运维升级需求。</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8.1显示系统技术要求：显示系统包含教室投影机、投影幕布、后排辅助显示电视机等全套显示设备。投标人须编制专项显示系统技术方案，明确系统整体架构、设备成像技术、色彩亮度调校技术、画面矫正处理、信号输入输出适配、多设备显示联动、抗干扰技术、高清显示适配等技术内容。方案需适配阶梯教室、中大型教室大空间、广视角观看需求，保障画面清晰、色彩均匀、显示稳定，支持多信号源切换显示，适配多媒体教学、线上授课、课件展示等多种教学场景。</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bCs/>
          <w:sz w:val="28"/>
          <w:szCs w:val="28"/>
          <w:lang w:bidi="ar"/>
        </w:rPr>
        <w:t xml:space="preserve">8.2教学扩声系统与音频管理平台技术要求：投标人须编制完整的教学扩声系统及音频管理平台专项技术方案，满足教室高清人声扩声、多媒体音频播放、声场均衡覆盖基础要求。系统需包含拾音设备、扩声设备、音频处理设备、音频管控平台等完整架构，具备啸叫抑制、音量调节、音频信号智能切换等核心功能。音频管理平台需支持教室音频设备状态监测、故障告警等功能。</w:t>
      </w:r>
      <w:r/>
    </w:p>
    <w:p>
      <w:pPr>
        <w:ind w:firstLine="560"/>
        <w:spacing w:line="400" w:lineRule="exact"/>
        <w:widowControl/>
        <w:rPr>
          <w:rFonts w:ascii="仿宋" w:hAnsi="仿宋" w:eastAsia="仿宋" w:cs="仿宋"/>
          <w:bCs/>
          <w:sz w:val="28"/>
          <w:szCs w:val="28"/>
          <w:lang w:bidi="ar"/>
        </w:rPr>
      </w:pPr>
      <w:r>
        <w:rPr>
          <w:rFonts w:hint="eastAsia" w:ascii="仿宋" w:hAnsi="仿宋" w:eastAsia="仿宋" w:cs="仿宋"/>
          <w:bCs/>
          <w:sz w:val="28"/>
          <w:szCs w:val="28"/>
          <w:lang w:bidi="ar"/>
        </w:rPr>
        <w:t xml:space="preserve">8.3中控物联控制系统与中控管理平台技术要求：投标人须编制中控物联控制系统及管理平台专项技术方案，明确中控系统硬件架构、物联控制逻辑、设备联动机制、信号传输协议、系统稳定性保障技术。中控系统需实现投影机、幕布、显示设备、扩声设备、电脑、电源等全教室设备一键联动控制、单独管控。中控管理平台需支持设备状态在线监测、远程管控、操作日志记录、权限管理、教室设备批量管理等功能，支持物联智能化管控，适配校园统一运维管理需求。</w:t>
      </w:r>
      <w:r/>
    </w:p>
    <w:p>
      <w:pPr>
        <w:ind w:firstLine="560"/>
        <w:spacing w:line="400" w:lineRule="exact"/>
        <w:widowControl/>
        <w:rPr>
          <w:rFonts w:hint="eastAsia" w:ascii="仿宋" w:hAnsi="仿宋" w:eastAsia="仿宋" w:cs="仿宋"/>
          <w:b/>
          <w:sz w:val="28"/>
          <w:szCs w:val="28"/>
        </w:rPr>
      </w:pPr>
      <w:r>
        <w:rPr>
          <w:rFonts w:hint="eastAsia" w:ascii="仿宋" w:hAnsi="仿宋" w:eastAsia="仿宋" w:cs="仿宋"/>
          <w:bCs/>
          <w:sz w:val="28"/>
          <w:szCs w:val="28"/>
          <w:lang w:bidi="ar"/>
        </w:rPr>
        <w:t xml:space="preserve">8.4现有平台对接技术方案要求：投标人须单独编制完善的平台对接技术方案，明确新建中控管理平台系统与学校现有</w:t>
      </w:r>
      <w:r>
        <w:rPr>
          <w:rFonts w:hint="eastAsia" w:ascii="仿宋" w:hAnsi="仿宋" w:eastAsia="仿宋" w:cs="仿宋"/>
          <w:sz w:val="28"/>
          <w:szCs w:val="28"/>
          <w:lang w:bidi="ar"/>
        </w:rPr>
        <w:t xml:space="preserve">教务系统、统一身份认证系统</w:t>
      </w:r>
      <w:r>
        <w:rPr>
          <w:rFonts w:hint="eastAsia" w:ascii="仿宋" w:hAnsi="仿宋" w:eastAsia="仿宋" w:cs="仿宋"/>
          <w:bCs/>
          <w:sz w:val="28"/>
          <w:szCs w:val="28"/>
          <w:lang w:bidi="ar"/>
        </w:rPr>
        <w:t xml:space="preserve">的对接技术思路、对接架构、接口协议等。方案需支持账号统一认证登录、权限分级管理、与教务系统适配、设备使用数据同步等功能，确保新建系统不形成信息孤岛，保障平台整体统一性、兼容性和安全性。</w:t>
      </w:r>
      <w:r/>
    </w:p>
    <w:p>
      <w:pPr>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9.售后服务要求</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中标人须根据项目实际情况，为采购人提供全面、持续的售后技术保障。中标人应配备专业的售后服务团队，建立规范的服务流程和服务响应机制，制定服务保障措施，确保平台长期稳定运行、业务连续可控，及时响应并解决采购人各类技术问题。</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9.1服务保障措施</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中标人须建立完善的售后服务组织架构，配备不少于3人的售后服务团队（含售后服务负责人1人、技术负责人1人、运维工程师1人），明确各岗位具体职责分工；提供本地化服务支持安排，明确服务团队常驻地点、本地响应时效等具体措施，确保紧急故障本地工程师2小时内到场支持，重大故障4小时内到场，一般故障远程即时响应（必要时本地8小时内到场）。</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9.2服务响应机制及响应时间</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（1）紧急故障（核心功能中断、大面积访问异常）</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须4小时内提供解决方案，12小时内修复，24小时内提交故障分析报告。</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（2）重大故障（非核心功能异常、局部访问问题）</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须8小时内提供解决方案，24小时内修复。</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（3）一般故障（咨询类问题、轻微优化需求）</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须48小时内响应并处置完毕。</w:t>
      </w:r>
      <w:r/>
    </w:p>
    <w:p>
      <w:pPr>
        <w:ind w:firstLine="56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10.培训要求</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bCs/>
          <w:sz w:val="28"/>
          <w:szCs w:val="28"/>
          <w:lang w:bidi="ar"/>
        </w:rPr>
        <w:t xml:space="preserve">投标人须针对本项目智能化系统建设内容，为校方管理人员、授课教师、运维人员提供免费专项操作及运维培训，确保相关人员熟练掌握设备及平台使用技能。方案中包含但不限于：详细的培训计划、时间、内容、次数安排等，根据方案完善合理程度等。</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sz w:val="28"/>
          <w:szCs w:val="28"/>
          <w:lang w:bidi="ar"/>
        </w:rPr>
        <w:t xml:space="preserve">10.1培训对象</w:t>
      </w:r>
      <w:r>
        <w:rPr>
          <w:rFonts w:hint="eastAsia" w:ascii="仿宋" w:hAnsi="仿宋" w:eastAsia="仿宋" w:cs="仿宋"/>
          <w:bCs/>
          <w:sz w:val="28"/>
          <w:szCs w:val="28"/>
          <w:lang w:bidi="ar"/>
        </w:rPr>
        <w:t xml:space="preserve">：校方管理人员、授课教师、运维人员。</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10.2培训内容</w:t>
      </w:r>
      <w:r>
        <w:rPr>
          <w:rFonts w:hint="eastAsia" w:ascii="仿宋" w:hAnsi="仿宋" w:eastAsia="仿宋" w:cs="仿宋"/>
          <w:bCs/>
          <w:sz w:val="28"/>
          <w:szCs w:val="28"/>
          <w:lang w:bidi="ar"/>
        </w:rPr>
        <w:t xml:space="preserve">：涵盖多媒体讲台设备操作、投影及显示系统使用、音频扩声系统使用、中控物联平台操作、信号切换操作、基础故障排查、设备日常养护及系统简单运维等核心内容。</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10.3培训方式</w:t>
      </w:r>
      <w:r>
        <w:rPr>
          <w:rFonts w:hint="eastAsia" w:ascii="仿宋" w:hAnsi="仿宋" w:eastAsia="仿宋" w:cs="仿宋"/>
          <w:bCs/>
          <w:sz w:val="28"/>
          <w:szCs w:val="28"/>
          <w:lang w:bidi="ar"/>
        </w:rPr>
        <w:t xml:space="preserve">：采用现场实操教学+集中讲解+答疑指导相结合的方式，结合教室实际设备开展手把手实操培训，保证培训效果落地。</w:t>
      </w:r>
      <w:r/>
    </w:p>
    <w:p>
      <w:pPr>
        <w:ind w:firstLine="560"/>
        <w:spacing w:line="400" w:lineRule="exact"/>
        <w:widowControl/>
        <w:rPr>
          <w:rFonts w:hint="eastAsia" w:ascii="仿宋" w:hAnsi="仿宋" w:eastAsia="仿宋" w:cs="仿宋"/>
          <w:bCs/>
          <w:sz w:val="28"/>
          <w:szCs w:val="28"/>
        </w:rPr>
      </w:pPr>
      <w:r>
        <w:rPr>
          <w:rFonts w:hint="eastAsia" w:ascii="仿宋" w:hAnsi="仿宋" w:eastAsia="仿宋" w:cs="仿宋"/>
          <w:sz w:val="28"/>
          <w:szCs w:val="28"/>
          <w:lang w:bidi="ar"/>
        </w:rPr>
        <w:t xml:space="preserve">10.4培训成果要求</w:t>
      </w:r>
      <w:r>
        <w:rPr>
          <w:rFonts w:hint="eastAsia" w:ascii="仿宋" w:hAnsi="仿宋" w:eastAsia="仿宋" w:cs="仿宋"/>
          <w:bCs/>
          <w:sz w:val="28"/>
          <w:szCs w:val="28"/>
          <w:lang w:bidi="ar"/>
        </w:rPr>
        <w:t xml:space="preserve">：培训完成后，须确保授课教师可独立完成日常教学设备操作、场景模式切换、设备启停使用；运维人员可独立完成日常巡检、故障排查与调试，保障系统常态化稳定教学使用。</w:t>
      </w:r>
      <w:r/>
    </w:p>
    <w:p>
      <w:pPr>
        <w:ind w:firstLine="560"/>
        <w:spacing w:line="400" w:lineRule="exact"/>
        <w:widowControl/>
        <w:rPr>
          <w:rFonts w:hint="eastAsia" w:ascii="仿宋" w:hAnsi="仿宋" w:eastAsia="仿宋" w:cs="仿宋"/>
          <w:bCs/>
          <w:sz w:val="28"/>
          <w:szCs w:val="28"/>
          <w:lang w:bidi="ar"/>
        </w:rPr>
      </w:pPr>
      <w:r>
        <w:rPr>
          <w:rFonts w:hint="eastAsia" w:ascii="仿宋" w:hAnsi="仿宋" w:eastAsia="仿宋" w:cs="仿宋"/>
          <w:sz w:val="28"/>
          <w:szCs w:val="28"/>
          <w:lang w:bidi="ar"/>
        </w:rPr>
        <w:t xml:space="preserve">10.5培训资料交付</w:t>
      </w:r>
      <w:r>
        <w:rPr>
          <w:rFonts w:hint="eastAsia" w:ascii="仿宋" w:hAnsi="仿宋" w:eastAsia="仿宋" w:cs="仿宋"/>
          <w:bCs/>
          <w:sz w:val="28"/>
          <w:szCs w:val="28"/>
          <w:lang w:bidi="ar"/>
        </w:rPr>
        <w:t xml:space="preserve">：投标人须同步提供完整的纸质及电子版操作手册、运维说明书，内容通俗易懂、步骤清晰，方便校方后续学习与留存使用。</w:t>
      </w:r>
      <w:r/>
    </w:p>
    <w:p>
      <w:pPr>
        <w:ind w:firstLine="560"/>
        <w:spacing w:line="400" w:lineRule="exact"/>
        <w:widowControl/>
        <w:rPr>
          <w:rFonts w:hint="eastAsia" w:ascii="仿宋" w:hAnsi="仿宋" w:eastAsia="仿宋" w:cs="仿宋"/>
          <w:b/>
          <w:sz w:val="28"/>
          <w:szCs w:val="28"/>
          <w:lang w:bidi="ar"/>
        </w:rPr>
      </w:pPr>
      <w:r>
        <w:rPr>
          <w:rFonts w:hint="eastAsia" w:ascii="仿宋" w:hAnsi="仿宋" w:eastAsia="仿宋" w:cs="仿宋"/>
          <w:b/>
          <w:sz w:val="28"/>
          <w:szCs w:val="28"/>
          <w:lang w:bidi="ar"/>
        </w:rPr>
        <w:t xml:space="preserve">11.企业实力：</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11.1具备ISO90001质量管理体系认证、ISO14001环境管理体系认证、ISO45001职业健康安全管理体系认证。</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11.2所投中控管理平台，软件产品已同时完成银河麒麟、统信国产操作系统适配互认。</w:t>
      </w:r>
      <w:r/>
    </w:p>
    <w:p>
      <w:pPr>
        <w:ind w:firstLine="560"/>
        <w:spacing w:line="400" w:lineRule="exact"/>
        <w:rPr>
          <w:rFonts w:hint="eastAsia" w:ascii="仿宋" w:hAnsi="仿宋" w:eastAsia="仿宋" w:cs="仿宋"/>
          <w:b/>
          <w:bCs/>
          <w:sz w:val="28"/>
          <w:szCs w:val="28"/>
          <w:lang w:bidi="ar"/>
        </w:rPr>
      </w:pPr>
      <w:r>
        <w:rPr>
          <w:rFonts w:hint="eastAsia" w:ascii="仿宋" w:hAnsi="仿宋" w:eastAsia="仿宋" w:cs="仿宋"/>
          <w:b/>
          <w:bCs/>
          <w:sz w:val="28"/>
          <w:szCs w:val="28"/>
          <w:lang w:bidi="ar"/>
        </w:rPr>
        <w:t xml:space="preserve">12.企业服务承诺：</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12.1巡检服务承诺：质保期内，中标供应商须于每学期开学前一周，对本项目全部软硬件设备实施全覆盖上门巡检服务，承诺在质保期内每个月至少上门巡检一次。投标人需提供项目巡检制度承诺函，格式自拟，加盖公章。</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巡检服务要求：</w:t>
      </w:r>
      <w:r/>
    </w:p>
    <w:p>
      <w:pPr>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巡检范围：本次采购所有硬件设备、配套软件系统、布线辅材及配套附属设施；</w:t>
      </w:r>
      <w:r/>
    </w:p>
    <w:p>
      <w:pPr>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巡检内容：设备外观、供电线路、运行工况、散热、接口紧固、设备除尘、系统功能测试、日志核查、配置备份、隐患排查、音视频信号调试等；</w:t>
      </w:r>
      <w:r/>
    </w:p>
    <w:p>
      <w:pPr>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成果交付：每次巡检完成后3个工作日内，提交加盖供应商公章的正式巡检报告，列明设备状态、隐患问题、整改方案及现场佐证照片；故障处置：巡检发现故障及安全隐患须现场处置，无法当场修复的，在质保期内免费提供维修、更换配件、调试服务，免收人工、耗材、差旅等一切费用；</w:t>
      </w:r>
      <w:r/>
    </w:p>
    <w:p>
      <w:pPr>
        <w:numPr>
          <w:ilvl w:val="0"/>
          <w:numId w:val="9"/>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巡检对接：巡检前主动与采购人对接上门时间，安排专业技术人员到场作业，配合校方管理人员现场验收。</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12.2驻场服务承诺：中标后安排至少1名驻场技术工程师进行为期6个月的驻场运维服务。投标人需提供项目驻场服务承诺函，格式自拟，加盖公章。</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驻场服务要求：</w:t>
      </w:r>
      <w:r/>
    </w:p>
    <w:p>
      <w:pPr>
        <w:numPr>
          <w:ilvl w:val="0"/>
          <w:numId w:val="10"/>
        </w:num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负责本次项目所含22间教室（12间阶梯教室、10间中型教室）的多媒体系统设备（包含投影机、扩声系统、中控系统、教师机、讲台显示器等）维护；</w:t>
      </w:r>
      <w:r/>
    </w:p>
    <w:p>
      <w:pPr>
        <w:numPr>
          <w:ilvl w:val="0"/>
          <w:numId w:val="10"/>
        </w:numPr>
        <w:ind w:firstLine="560"/>
        <w:spacing w:line="400" w:lineRule="exact"/>
        <w:widowControl/>
        <w:rPr>
          <w:rFonts w:ascii="仿宋" w:hAnsi="仿宋" w:eastAsia="仿宋" w:cs="仿宋"/>
          <w:sz w:val="28"/>
          <w:szCs w:val="28"/>
          <w:lang w:bidi="ar"/>
        </w:rPr>
      </w:pPr>
      <w:r>
        <w:rPr>
          <w:rFonts w:hint="eastAsia" w:ascii="仿宋" w:hAnsi="仿宋" w:eastAsia="仿宋" w:cs="仿宋"/>
          <w:sz w:val="28"/>
          <w:szCs w:val="28"/>
          <w:lang w:bidi="ar"/>
        </w:rPr>
        <w:t xml:space="preserve">驻场期间7x24小时响应服务，法定工作日7:45-17:30在校内驻场（学校提供固定办公地点），法定节假日接到紧急维修需求10分钟内响应，2小时内到达现场。</w:t>
      </w:r>
      <w:r/>
    </w:p>
    <w:p>
      <w:pPr>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13.项目团队要求</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为保障本项目施工质量、施工安全、实施进度、系统集成效果及后期交付运维质量，确保项目全过程规范化、专业化实施，投标人须为本项目配置经验充足、岗位齐全、专业匹配、人员固定的专属项目实施团队。本项目实际实施团队成员要求：</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13.1项目经理1人。</w:t>
      </w:r>
      <w:r/>
    </w:p>
    <w:p>
      <w:pPr>
        <w:ind w:firstLine="560"/>
        <w:spacing w:line="40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岗位职责：全面统筹本项目整体实施管理工作，负责项目整体实施方案、进度管控计划、质量管控体系、安全管理制度、风险管控方案、沟通协调机制的制定与落地执行。</w:t>
      </w:r>
      <w:r/>
    </w:p>
    <w:p>
      <w:pPr>
        <w:ind w:firstLine="560"/>
        <w:spacing w:line="4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t xml:space="preserve">人员资质及专业要求：</w:t>
      </w:r>
      <w:r>
        <w:rPr>
          <w:rFonts w:hint="eastAsia" w:ascii="仿宋" w:hAnsi="仿宋" w:eastAsia="仿宋" w:cs="仿宋"/>
          <w:sz w:val="28"/>
          <w:szCs w:val="28"/>
          <w:lang w:val="zh-CN"/>
        </w:rPr>
        <w:t xml:space="preserve">具有高级工程师证书、信息系统项目管理师证书。</w:t>
      </w:r>
      <w:r/>
    </w:p>
    <w:p>
      <w:pPr>
        <w:ind w:firstLine="560"/>
        <w:spacing w:line="400" w:lineRule="exact"/>
        <w:widowControl/>
        <w:rPr>
          <w:rFonts w:hint="eastAsia" w:ascii="仿宋" w:hAnsi="仿宋" w:eastAsia="仿宋" w:cs="仿宋"/>
          <w:sz w:val="28"/>
          <w:szCs w:val="28"/>
          <w:lang w:val="zh-CN"/>
        </w:rPr>
      </w:pPr>
      <w:r>
        <w:rPr>
          <w:rFonts w:hint="eastAsia" w:ascii="仿宋" w:hAnsi="仿宋" w:eastAsia="仿宋" w:cs="仿宋"/>
          <w:sz w:val="28"/>
          <w:szCs w:val="28"/>
        </w:rPr>
        <w:t xml:space="preserve">13.2</w:t>
      </w:r>
      <w:r>
        <w:rPr>
          <w:rFonts w:hint="eastAsia" w:ascii="仿宋" w:hAnsi="仿宋" w:eastAsia="仿宋" w:cs="仿宋"/>
          <w:sz w:val="28"/>
          <w:szCs w:val="28"/>
          <w:lang w:val="zh-CN"/>
        </w:rPr>
        <w:t xml:space="preserve">项目团队人员</w:t>
      </w:r>
      <w:r/>
    </w:p>
    <w:p>
      <w:pPr>
        <w:ind w:firstLine="560"/>
        <w:spacing w:line="400" w:lineRule="exact"/>
        <w:widowControl/>
        <w:rPr>
          <w:rFonts w:hint="eastAsia" w:ascii="仿宋" w:hAnsi="仿宋" w:eastAsia="仿宋" w:cs="仿宋"/>
          <w:sz w:val="28"/>
          <w:szCs w:val="28"/>
        </w:rPr>
      </w:pPr>
      <w:r>
        <w:rPr>
          <w:rFonts w:hint="eastAsia" w:ascii="仿宋" w:hAnsi="仿宋" w:eastAsia="仿宋" w:cs="仿宋"/>
          <w:sz w:val="28"/>
          <w:szCs w:val="28"/>
          <w:lang w:bidi="ar"/>
        </w:rPr>
        <w:t xml:space="preserve">岗位职责：全面负责本项目所有技术方案落地、技术把控、技术攻关与系统集成优化工作。负责施工前技术交底、现场技术指导、工艺标准把控、疑难技术问题处理；负责系统调试、设备联调、参数优化、平台对接、兼容性适配、国产化操作系统适配互认等技术工作。</w:t>
      </w:r>
      <w:r/>
    </w:p>
    <w:p>
      <w:pPr>
        <w:ind w:firstLine="560"/>
        <w:spacing w:line="400" w:lineRule="exact"/>
        <w:rPr>
          <w:rFonts w:hint="eastAsia" w:ascii="仿宋" w:hAnsi="仿宋" w:eastAsia="仿宋" w:cs="仿宋"/>
          <w:sz w:val="28"/>
          <w:szCs w:val="28"/>
          <w:lang w:val="zh-CN"/>
        </w:rPr>
      </w:pPr>
      <w:r>
        <w:rPr>
          <w:rFonts w:hint="eastAsia" w:ascii="仿宋" w:hAnsi="仿宋" w:eastAsia="仿宋" w:cs="仿宋"/>
          <w:sz w:val="28"/>
          <w:szCs w:val="28"/>
          <w:lang w:bidi="ar"/>
        </w:rPr>
        <w:t xml:space="preserve">人员资质专业要求：</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与项目经理不重复</w:t>
      </w:r>
      <w:r>
        <w:rPr>
          <w:rFonts w:hint="eastAsia" w:ascii="仿宋" w:hAnsi="仿宋" w:eastAsia="仿宋" w:cs="仿宋"/>
          <w:sz w:val="28"/>
          <w:szCs w:val="28"/>
          <w:lang w:val="zh-CN"/>
        </w:rPr>
        <w:t xml:space="preserve">）具备IT服务工程师（ITSS）、CISAW信息安全保障人员认证证书、系统集成项目管理工程师</w:t>
      </w:r>
      <w:r>
        <w:rPr>
          <w:rFonts w:hint="eastAsia" w:ascii="仿宋" w:hAnsi="仿宋" w:eastAsia="仿宋" w:cs="仿宋"/>
          <w:sz w:val="28"/>
          <w:szCs w:val="28"/>
        </w:rPr>
        <w:t xml:space="preserve">证书</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14.演示要求</w:t>
      </w:r>
      <w:r/>
    </w:p>
    <w:p>
      <w:pPr>
        <w:ind w:firstLine="560"/>
        <w:spacing w:line="400" w:lineRule="exact"/>
        <w:rPr>
          <w:rFonts w:hint="eastAsia" w:ascii="宋体" w:hAnsi="宋体" w:eastAsia="方正仿宋_GBK"/>
          <w:sz w:val="28"/>
          <w:szCs w:val="28"/>
        </w:rPr>
      </w:pPr>
      <w:r>
        <w:rPr>
          <w:rFonts w:hint="eastAsia" w:ascii="方正仿宋_GBK" w:hAnsi="方正仿宋_GBK" w:eastAsia="方正仿宋_GBK" w:cs="方正仿宋_GBK"/>
          <w:bCs/>
          <w:sz w:val="28"/>
          <w:szCs w:val="28"/>
        </w:rPr>
        <w:t xml:space="preserve">14.1上传视频演示：投标人需按照招标文件规定的演示内容制作演示视频文件，视频文件的格式为</w:t>
      </w:r>
      <w:r>
        <w:rPr>
          <w:rFonts w:hint="eastAsia" w:eastAsia="方正仿宋_GBK"/>
          <w:sz w:val="28"/>
          <w:szCs w:val="28"/>
        </w:rPr>
        <w:t xml:space="preserve">X.mp4</w:t>
      </w:r>
      <w:r>
        <w:rPr>
          <w:rFonts w:hint="eastAsia" w:ascii="方正仿宋_GBK" w:hAnsi="方正仿宋_GBK" w:eastAsia="方正仿宋_GBK" w:cs="方正仿宋_GBK"/>
          <w:bCs/>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bCs/>
          <w:sz w:val="28"/>
          <w:szCs w:val="28"/>
        </w:rPr>
        <w:t xml:space="preserve">，投标人须将视频文件分段压缩为</w:t>
      </w:r>
      <w:r>
        <w:rPr>
          <w:rFonts w:hint="eastAsia" w:eastAsia="方正仿宋_GBK"/>
          <w:sz w:val="28"/>
          <w:szCs w:val="28"/>
        </w:rPr>
        <w:t xml:space="preserve">X.zip</w:t>
      </w:r>
      <w:r>
        <w:rPr>
          <w:rFonts w:hint="eastAsia" w:ascii="方正仿宋_GBK" w:hAnsi="方正仿宋_GBK" w:eastAsia="方正仿宋_GBK" w:cs="方正仿宋_GBK"/>
          <w:bCs/>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bCs/>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bCs/>
          <w:sz w:val="28"/>
          <w:szCs w:val="28"/>
        </w:rPr>
        <w:t xml:space="preserve">）。文件上传方式见《操作手册》规定，上传的演示视频将作为投标文件的组成部分，视频时长总计不超过15分钟</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14.2演示内容如下：</w:t>
      </w:r>
      <w:r/>
    </w:p>
    <w:p>
      <w:pPr>
        <w:ind w:firstLine="560"/>
        <w:spacing w:line="400" w:lineRule="exact"/>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红外</w:t>
      </w:r>
      <w:r>
        <w:rPr>
          <w:rFonts w:hint="eastAsia" w:ascii="方正仿宋_GBK" w:hAnsi="方正仿宋_GBK" w:eastAsia="方正仿宋_GBK" w:cs="方正仿宋_GBK"/>
          <w:bCs/>
          <w:sz w:val="28"/>
          <w:szCs w:val="28"/>
          <w:lang w:val="zh-CN"/>
        </w:rPr>
        <w:t xml:space="preserve">无线麦克风通过</w:t>
      </w:r>
      <w:r>
        <w:rPr>
          <w:rFonts w:hint="eastAsia" w:ascii="方正仿宋_GBK" w:hAnsi="方正仿宋_GBK" w:eastAsia="方正仿宋_GBK" w:cs="方正仿宋_GBK"/>
          <w:bCs/>
          <w:sz w:val="28"/>
          <w:szCs w:val="28"/>
        </w:rPr>
        <w:t xml:space="preserve">管理</w:t>
      </w:r>
      <w:r>
        <w:rPr>
          <w:rFonts w:hint="eastAsia" w:ascii="方正仿宋_GBK" w:hAnsi="方正仿宋_GBK" w:eastAsia="方正仿宋_GBK" w:cs="方正仿宋_GBK"/>
          <w:bCs/>
          <w:sz w:val="28"/>
          <w:szCs w:val="28"/>
          <w:lang w:val="zh-CN"/>
        </w:rPr>
        <w:t xml:space="preserve">平台及接口，可实现设备统一管理，</w:t>
      </w:r>
      <w:r>
        <w:rPr>
          <w:rFonts w:hint="eastAsia" w:ascii="方正仿宋_GBK" w:hAnsi="方正仿宋_GBK" w:eastAsia="方正仿宋_GBK" w:cs="方正仿宋_GBK"/>
          <w:bCs/>
          <w:sz w:val="28"/>
          <w:szCs w:val="28"/>
        </w:rPr>
        <w:t xml:space="preserve">在管理平台</w:t>
      </w:r>
      <w:r>
        <w:rPr>
          <w:rFonts w:hint="eastAsia" w:ascii="方正仿宋_GBK" w:hAnsi="方正仿宋_GBK" w:eastAsia="方正仿宋_GBK" w:cs="方正仿宋_GBK"/>
          <w:bCs/>
          <w:sz w:val="28"/>
          <w:szCs w:val="28"/>
          <w:lang w:val="zh-CN"/>
        </w:rPr>
        <w:t xml:space="preserve">显示包括连接状态、充电状态、话筒归还状态、所在教室等信息。</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zh-CN"/>
        </w:rPr>
        <w:t xml:space="preserve">）</w:t>
      </w:r>
      <w:r>
        <w:rPr>
          <w:rFonts w:hint="eastAsia" w:ascii="方正仿宋_GBK" w:hAnsi="方正仿宋_GBK" w:eastAsia="方正仿宋_GBK" w:cs="方正仿宋_GBK"/>
          <w:bCs/>
          <w:sz w:val="28"/>
          <w:szCs w:val="28"/>
        </w:rPr>
        <w:t xml:space="preserve">在中控面板可实现教师多种方式身份认证，包括以下方式：IC卡刷卡、人脸识别、动态二维码扫码、密码。中控面板可实现IP对讲、故障报修，IP呼叫接通后，平台端可显示该教室的监控画面、电脑画面以及各设备的状态，并支持通过平台端对教室进行反向呼叫。</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中控管理平台软件具备按课表自动上下课功能：上课前5分钟（时间可设置）自动预开机，下课后自动关机；具有定时计划自动控制功能，支持管理员根据实际需求配置计划名称、执行周期（如每天、单次、指定星期等）、精确执行时间、具体执行功能及教室选择，实现对教室设备的自动化管理和调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中控管理平台软件具备数据看板功能，具有数据统计，包含但不限于：教室使用率统计、在用及空闲教室数量统计、设备使用时长统计、故障统计等，支持大屏展示界面，利用可视化图表（可自定义），展示教室各种状态、统计数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（5）中控管理平台软件具备移动端APP或微信小程序管理功能，需要具备在手机上操作教室状态查询、远程控制、课表查询、定时管控等功能。</w:t>
      </w:r>
      <w:r/>
    </w:p>
    <w:p>
      <w:pPr>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15.企业业绩：</w:t>
      </w:r>
      <w:r/>
    </w:p>
    <w:p>
      <w:pPr>
        <w:ind w:firstLine="56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sz w:val="28"/>
          <w:szCs w:val="28"/>
        </w:rPr>
        <w:t xml:space="preserve">（1）</w:t>
      </w:r>
      <w:r>
        <w:rPr>
          <w:rFonts w:hint="eastAsia" w:ascii="仿宋" w:hAnsi="仿宋" w:eastAsia="仿宋" w:cs="仿宋"/>
          <w:b w:val="0"/>
          <w:bCs w:val="0"/>
          <w:color w:val="000000"/>
          <w:sz w:val="28"/>
          <w:szCs w:val="28"/>
        </w:rPr>
        <w:t xml:space="preserve">投标人须提供 2023年1月1日以来（以合同签订日期为准）完成的类似项目（类似业绩是指合同内容包括多媒体教室或智慧教室相关建设内容）</w:t>
      </w:r>
      <w:r>
        <w:rPr>
          <w:rFonts w:hint="eastAsia" w:ascii="仿宋" w:hAnsi="仿宋" w:eastAsia="仿宋" w:cs="仿宋"/>
          <w:b w:val="0"/>
          <w:bCs w:val="0"/>
          <w:sz w:val="28"/>
          <w:szCs w:val="28"/>
        </w:rPr>
        <w:t xml:space="preserve">。</w:t>
      </w:r>
      <w:r/>
    </w:p>
    <w:p>
      <w:pPr>
        <w:ind w:firstLine="560"/>
        <w:spacing w:line="400" w:lineRule="exact"/>
        <w:rPr>
          <w:rFonts w:hint="eastAsia" w:ascii="仿宋" w:hAnsi="仿宋" w:eastAsia="仿宋" w:cs="仿宋"/>
          <w:b w:val="0"/>
          <w:bCs w:val="0"/>
          <w:sz w:val="28"/>
          <w:szCs w:val="28"/>
        </w:rPr>
      </w:pPr>
      <w:r>
        <w:rPr>
          <w:rFonts w:hint="eastAsia" w:ascii="仿宋" w:hAnsi="仿宋" w:eastAsia="仿宋" w:cs="仿宋"/>
          <w:b w:val="0"/>
          <w:bCs w:val="0"/>
          <w:color w:val="000000"/>
          <w:sz w:val="28"/>
          <w:szCs w:val="28"/>
        </w:rPr>
        <w:t xml:space="preserve">注：</w:t>
      </w:r>
      <w:r>
        <w:rPr>
          <w:rStyle w:val="1065"/>
          <w:rFonts w:ascii="仿宋" w:hAnsi="仿宋" w:eastAsia="仿宋" w:cs="仿宋"/>
          <w:b w:val="0"/>
          <w:bCs w:val="0"/>
          <w:sz w:val="28"/>
          <w:szCs w:val="28"/>
          <w:lang w:bidi="ar"/>
        </w:rPr>
        <w:t xml:space="preserve">提供中标通知书和合同协议书，及其项下设备交货验收证明材料或完工证明的复印件或扫描件，加盖供应商公章。</w:t>
      </w:r>
      <w:r/>
    </w:p>
    <w:p>
      <w:pPr>
        <w:ind w:firstLine="560"/>
        <w:spacing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16.项目质量与验收要求：</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16.1本项目所有设备、材料必须为原厂全新正品，无翻新、拆机、贴牌产品，产品技术参数响应招标文件要求，符合国家现行音视频、弱电工程相关规范标准。</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16.2系统布线、设备安装、接线调试严格按照施工工艺规范执行，线路标识清晰，供电稳定，音视频信号传输稳定无干扰，中控系统联动操作流畅，无卡顿、无失灵现象。</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16.3</w:t>
      </w:r>
      <w:r>
        <w:rPr>
          <w:rFonts w:hint="eastAsia" w:ascii="仿宋" w:hAnsi="仿宋" w:eastAsia="仿宋" w:cs="仿宋"/>
          <w:bCs/>
          <w:sz w:val="28"/>
          <w:szCs w:val="28"/>
        </w:rPr>
        <w:t xml:space="preserve">整体系统具备长期稳定运行能力，软硬件相互兼容，国产操作系统适配正常，各项功能均可正常启用。</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16.4所有设备供货到位并安装调试完毕，整套多媒体控制系统、扩声系统、信号切换系统全部功能正常。</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16.5供方完成现场操作培训，采购人管理人员能够独立完成设备开关机、信号切换、场景调用、故障简单排查。</w:t>
      </w:r>
      <w:r/>
    </w:p>
    <w:p>
      <w:pPr>
        <w:ind w:firstLine="560"/>
        <w:spacing w:line="400" w:lineRule="exact"/>
        <w:rPr>
          <w:rFonts w:hint="eastAsia" w:ascii="仿宋" w:hAnsi="仿宋" w:eastAsia="仿宋" w:cs="仿宋"/>
          <w:sz w:val="28"/>
          <w:szCs w:val="28"/>
        </w:rPr>
      </w:pPr>
      <w:r>
        <w:rPr>
          <w:rFonts w:hint="eastAsia" w:ascii="仿宋" w:hAnsi="仿宋" w:eastAsia="仿宋" w:cs="仿宋"/>
          <w:sz w:val="28"/>
          <w:szCs w:val="28"/>
        </w:rPr>
        <w:t xml:space="preserve">16.6竣工资料完整齐全，证书资料与投标文件保持一致。</w:t>
      </w:r>
      <w:r/>
    </w:p>
    <w:p>
      <w:pPr>
        <w:pStyle w:val="953"/>
        <w:jc w:val="both"/>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rHeight w:val="376"/>
        </w:trPr>
        <w:tc>
          <w:tcPr>
            <w:tcW w:w="1681"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中控主机</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vAlign w:val="top"/>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ascii="方正仿宋_GBK" w:hAnsi="方正仿宋_GBK" w:eastAsia="方正仿宋_GBK" w:cs="方正仿宋_GBK"/>
          <w:sz w:val="28"/>
          <w:szCs w:val="28"/>
        </w:rPr>
        <w:t xml:space="preserve">现场勘察要求：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w:t>
      </w:r>
      <w:r>
        <w:rPr>
          <w:rFonts w:ascii="方正仿宋_GBK" w:hAnsi="方正仿宋_GBK" w:eastAsia="方正仿宋_GBK" w:cs="方正仿宋_GBK"/>
          <w:sz w:val="28"/>
          <w:szCs w:val="28"/>
        </w:rPr>
        <w:t xml:space="preserve">勘察时间：2026年7月30日上午9:00-11:00</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w:t>
      </w:r>
      <w:r>
        <w:rPr>
          <w:rFonts w:ascii="方正仿宋_GBK" w:hAnsi="方正仿宋_GBK" w:eastAsia="方正仿宋_GBK" w:cs="方正仿宋_GBK"/>
          <w:sz w:val="28"/>
          <w:szCs w:val="28"/>
        </w:rPr>
        <w:t xml:space="preserve">地点：南京信息职业技术学院（南京市栖霞区文澜路99号）</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w:t>
      </w:r>
      <w:r>
        <w:rPr>
          <w:rFonts w:ascii="方正仿宋_GBK" w:hAnsi="方正仿宋_GBK" w:eastAsia="方正仿宋_GBK" w:cs="方正仿宋_GBK"/>
          <w:sz w:val="28"/>
          <w:szCs w:val="28"/>
        </w:rPr>
        <w:t xml:space="preserve">联系人：郭老师</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w:t>
      </w:r>
      <w:r>
        <w:rPr>
          <w:rFonts w:ascii="方正仿宋_GBK" w:hAnsi="方正仿宋_GBK" w:eastAsia="方正仿宋_GBK" w:cs="方正仿宋_GBK"/>
          <w:sz w:val="28"/>
          <w:szCs w:val="28"/>
        </w:rPr>
        <w:t xml:space="preserve">联系电话：18952046612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w:t>
      </w:r>
      <w:r>
        <w:rPr>
          <w:rFonts w:ascii="方正仿宋_GBK" w:hAnsi="方正仿宋_GBK" w:eastAsia="方正仿宋_GBK" w:cs="方正仿宋_GBK"/>
          <w:sz w:val="28"/>
          <w:szCs w:val="28"/>
        </w:rPr>
        <w:t xml:space="preserve">供应商携带资料：</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（1）企业法人营业执照副本复印件（加盖单位公章）；</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（2）法定代表人身份证或法定代表人授权委托书、委托代理人身份证。</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w:t>
      </w:r>
      <w:r>
        <w:rPr>
          <w:rFonts w:ascii="方正仿宋_GBK" w:hAnsi="方正仿宋_GBK" w:eastAsia="方正仿宋_GBK" w:cs="方正仿宋_GBK"/>
          <w:sz w:val="28"/>
          <w:szCs w:val="28"/>
        </w:rPr>
        <w:t xml:space="preserve">其他</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（1）供应商请在规定的时间参加勘察。参加现场勘察的供应商应在勘查时间的前一天联系郭老师作进校报备。</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（2）供应商请务必对项目现场和周围环境进行仔细认真地查勘，在随后的投标中，对现场资料和数据所作出的推论、解释和结论及由此造成的后果由供应商负责。</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（3）未勘察现场或勘察工作不详细的供应商成交后，不得以不完全了解现场情况为理由而向采购人提出任何索赔或其他要求，对此采购人不承担任何责任并将不作任何答复。</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bookmarkEnd w:id="174"/>
      <w:r/>
      <w:bookmarkEnd w:id="175"/>
      <w:r/>
      <w:bookmarkEnd w:id="176"/>
      <w:r/>
      <w:bookmarkEnd w:id="177"/>
      <w:r/>
      <w:r/>
    </w:p>
    <w:p>
      <w:pPr>
        <w:pStyle w:val="95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第五章  评标方法与评标标准</w:t>
      </w:r>
      <w:r/>
    </w:p>
    <w:p>
      <w:pPr>
        <w:ind w:firstLine="560"/>
        <w:spacing w:line="400" w:lineRule="exact"/>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p>
    <w:tbl>
      <w:tblPr>
        <w:tblStyle w:val="782"/>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spacing w:before="120" w:after="120"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ind w:firstLine="420"/>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ind w:firstLine="560"/>
        <w:spacing w:line="400" w:lineRule="exact"/>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spacing w:before="120" w:after="120"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7.采购本国产品的支持政策</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u w:val="single"/>
        </w:rPr>
        <w:t xml:space="preserve"> / </w:t>
      </w:r>
      <w:r>
        <w:rPr>
          <w:rFonts w:hint="eastAsia" w:ascii="方正仿宋_GBK" w:hAnsi="方正仿宋_GBK" w:eastAsia="方正仿宋_GBK" w:cs="方正仿宋_GBK"/>
          <w:color w:val="000000"/>
          <w:sz w:val="28"/>
          <w:szCs w:val="28"/>
        </w:rPr>
        <w:t xml:space="preserve"> ”的地方无需填写），三项信息中任意一项未填写的视为该项产品不符合本国产品标准，不享受本国产品价格评审优惠。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Style w:val="782"/>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11"/>
        <w:gridCol w:w="1387"/>
        <w:gridCol w:w="6092"/>
        <w:gridCol w:w="532"/>
      </w:tblGrid>
      <w:tr>
        <w:trPr>
          <w:trHeight w:val="6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rPr>
                <w:sz w:val="22"/>
                <w:szCs w:val="24"/>
              </w:rPr>
            </w:pPr>
            <w:r>
              <w:rPr>
                <w:rFonts w:ascii="宋体" w:hAnsi="宋体" w:cs="宋体"/>
                <w:b/>
                <w:color w:val="000000"/>
                <w:sz w:val="20"/>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rPr>
                <w:sz w:val="22"/>
                <w:szCs w:val="24"/>
              </w:rPr>
            </w:pPr>
            <w:r>
              <w:rPr>
                <w:rFonts w:ascii="宋体" w:hAnsi="宋体" w:cs="宋体"/>
                <w:b/>
                <w:color w:val="000000"/>
                <w:sz w:val="20"/>
                <w:szCs w:val="24"/>
              </w:rPr>
              <w:t xml:space="preserve">评分</w:t>
            </w:r>
            <w:r/>
          </w:p>
          <w:p>
            <w:pPr>
              <w:jc w:val="center"/>
              <w:rPr>
                <w:sz w:val="22"/>
                <w:szCs w:val="24"/>
              </w:rPr>
            </w:pPr>
            <w:r>
              <w:rPr>
                <w:rFonts w:ascii="宋体" w:hAnsi="宋体" w:cs="宋体"/>
                <w:b/>
                <w:color w:val="000000"/>
                <w:sz w:val="20"/>
                <w:szCs w:val="24"/>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rPr>
                <w:sz w:val="22"/>
                <w:szCs w:val="24"/>
              </w:rPr>
            </w:pPr>
            <w:r>
              <w:rPr>
                <w:rFonts w:ascii="宋体" w:hAnsi="宋体" w:cs="宋体"/>
                <w:b/>
                <w:color w:val="000000"/>
                <w:sz w:val="20"/>
                <w:szCs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rPr>
                <w:sz w:val="22"/>
                <w:szCs w:val="24"/>
              </w:rPr>
            </w:pPr>
            <w:r>
              <w:rPr>
                <w:rFonts w:ascii="宋体" w:hAnsi="宋体" w:cs="宋体"/>
                <w:b/>
                <w:color w:val="000000"/>
                <w:sz w:val="20"/>
                <w:szCs w:val="24"/>
              </w:rPr>
              <w:t xml:space="preserve">分值</w:t>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价格</w:t>
            </w:r>
            <w:r/>
          </w:p>
          <w:p>
            <w:pPr>
              <w:jc w:val="center"/>
              <w:spacing w:line="79" w:lineRule="atLeast"/>
              <w:rPr>
                <w:sz w:val="22"/>
                <w:szCs w:val="24"/>
              </w:rPr>
            </w:pPr>
            <w:r>
              <w:rPr>
                <w:rFonts w:ascii="宋体" w:hAnsi="宋体" w:cs="宋体"/>
                <w:b/>
                <w:color w:val="000000"/>
                <w:sz w:val="20"/>
                <w:szCs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sz w:val="22"/>
                <w:szCs w:val="24"/>
              </w:rPr>
            </w:pPr>
            <w:r>
              <w:rPr>
                <w:rFonts w:hint="eastAsia" w:ascii="仿宋" w:hAnsi="仿宋" w:eastAsia="仿宋" w:cs="仿宋"/>
                <w:color w:val="000000"/>
                <w:szCs w:val="24"/>
              </w:rPr>
              <w:t xml:space="preserve">价格分采用低价优先法计算，即满足采购文件要求且报价最低的供应商报价为评标基准价，其价格分为满分30分，其他投标人的价格分统一按照以下公式计算：投标报价得分=（评标基准价/该投标人的投标报价）×30分。分值保留小数点后2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3</w:t>
            </w:r>
            <w:r>
              <w:rPr>
                <w:rFonts w:hint="eastAsia" w:ascii="宋体" w:hAnsi="宋体" w:cs="宋体"/>
                <w:b/>
                <w:color w:val="000000"/>
                <w:sz w:val="20"/>
                <w:szCs w:val="24"/>
              </w:rPr>
              <w:t xml:space="preserve">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rFonts w:ascii="宋体" w:hAnsi="宋体" w:cs="宋体"/>
                <w:b/>
                <w:color w:val="000000"/>
                <w:sz w:val="20"/>
                <w:szCs w:val="24"/>
              </w:rPr>
            </w:pPr>
            <w:r>
              <w:rPr>
                <w:rFonts w:ascii="宋体" w:hAnsi="宋体" w:cs="宋体"/>
                <w:b/>
                <w:color w:val="000000"/>
                <w:sz w:val="20"/>
                <w:szCs w:val="24"/>
              </w:rPr>
              <w:t xml:space="preserve">投标产品</w:t>
            </w:r>
            <w:r/>
          </w:p>
          <w:p>
            <w:pPr>
              <w:jc w:val="center"/>
              <w:spacing w:line="79" w:lineRule="atLeast"/>
              <w:rPr>
                <w:sz w:val="22"/>
                <w:szCs w:val="24"/>
              </w:rPr>
            </w:pPr>
            <w:r>
              <w:rPr>
                <w:rFonts w:ascii="宋体" w:hAnsi="宋体" w:cs="宋体"/>
                <w:b/>
                <w:color w:val="000000"/>
                <w:sz w:val="20"/>
                <w:szCs w:val="24"/>
              </w:rPr>
              <w:t xml:space="preserve">技术指标</w:t>
            </w:r>
            <w:r/>
          </w:p>
          <w:p>
            <w:pPr>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25</w:t>
            </w:r>
            <w:r>
              <w:rPr>
                <w:rFonts w:ascii="宋体" w:hAnsi="宋体" w:cs="宋体"/>
                <w:b/>
                <w:color w:val="000000"/>
                <w:sz w:val="20"/>
                <w:szCs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hint="eastAsia" w:ascii="仿宋" w:hAnsi="仿宋" w:eastAsia="仿宋" w:cs="仿宋"/>
                <w:color w:val="000000"/>
                <w:szCs w:val="24"/>
              </w:rPr>
            </w:pPr>
            <w:r>
              <w:rPr>
                <w:rFonts w:hint="eastAsia" w:ascii="仿宋" w:hAnsi="仿宋" w:eastAsia="仿宋" w:cs="仿宋"/>
                <w:color w:val="000000"/>
                <w:szCs w:val="24"/>
              </w:rPr>
              <w:t xml:space="preserve">完全满足招标文件表格中“技术参数”要求的得满分25分；</w:t>
            </w:r>
            <w:r/>
          </w:p>
          <w:p>
            <w:pPr>
              <w:spacing w:line="79" w:lineRule="atLeast"/>
              <w:rPr>
                <w:sz w:val="22"/>
                <w:szCs w:val="24"/>
              </w:rPr>
            </w:pPr>
            <w:r>
              <w:rPr>
                <w:rFonts w:hint="eastAsia" w:ascii="仿宋" w:hAnsi="仿宋" w:eastAsia="仿宋" w:cs="仿宋"/>
                <w:color w:val="000000"/>
                <w:szCs w:val="24"/>
              </w:rPr>
              <w:t xml:space="preserve">加“▲”号（共6项）指标为重要技术参数，有一项负偏离扣2分；加</w:t>
            </w:r>
            <w:r>
              <w:rPr>
                <w:rFonts w:hint="eastAsia" w:ascii="仿宋" w:hAnsi="仿宋" w:eastAsia="仿宋" w:cs="仿宋"/>
                <w:sz w:val="22"/>
                <w:szCs w:val="24"/>
              </w:rPr>
              <w:t xml:space="preserve">“■”</w:t>
            </w:r>
            <w:r>
              <w:rPr>
                <w:rFonts w:hint="eastAsia" w:ascii="仿宋" w:hAnsi="仿宋" w:eastAsia="仿宋" w:cs="仿宋"/>
                <w:szCs w:val="24"/>
              </w:rPr>
              <w:t xml:space="preserve">（共13项）</w:t>
            </w:r>
            <w:r>
              <w:rPr>
                <w:rFonts w:hint="eastAsia" w:ascii="仿宋" w:hAnsi="仿宋" w:eastAsia="仿宋" w:cs="仿宋"/>
                <w:color w:val="000000"/>
                <w:szCs w:val="24"/>
              </w:rPr>
              <w:t xml:space="preserve">为一般技术参数，有一项负偏离扣1分，扣完为止。按照采购文件要求提供对应证明材料。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sz w:val="22"/>
                <w:szCs w:val="24"/>
              </w:rPr>
            </w:pPr>
            <w:r>
              <w:rPr>
                <w:rFonts w:hint="eastAsia" w:ascii="宋体" w:hAnsi="宋体" w:cs="宋体"/>
                <w:b/>
                <w:color w:val="000000"/>
                <w:sz w:val="20"/>
                <w:szCs w:val="24"/>
              </w:rPr>
              <w:t xml:space="preserve">25</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项目方案</w:t>
            </w:r>
            <w:r/>
          </w:p>
          <w:p>
            <w:pPr>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20</w:t>
            </w:r>
            <w:r>
              <w:rPr>
                <w:rFonts w:ascii="宋体" w:hAnsi="宋体" w:cs="宋体"/>
                <w:b/>
                <w:color w:val="000000"/>
                <w:sz w:val="20"/>
                <w:szCs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hint="eastAsia" w:ascii="宋体" w:hAnsi="宋体" w:cs="宋体"/>
                <w:szCs w:val="24"/>
              </w:rPr>
            </w:pPr>
            <w:r>
              <w:rPr>
                <w:rFonts w:ascii="宋体" w:hAnsi="宋体" w:cs="宋体"/>
                <w:b/>
                <w:color w:val="000000"/>
                <w:szCs w:val="24"/>
              </w:rPr>
              <w:t xml:space="preserve">3.1</w:t>
            </w:r>
            <w:r>
              <w:rPr>
                <w:rFonts w:hint="eastAsia" w:ascii="宋体" w:hAnsi="宋体" w:cs="宋体"/>
                <w:b/>
                <w:color w:val="000000"/>
                <w:szCs w:val="24"/>
              </w:rPr>
              <w:t xml:space="preserve">安装调试实施</w:t>
            </w:r>
            <w:r>
              <w:rPr>
                <w:rFonts w:ascii="宋体" w:hAnsi="宋体" w:cs="宋体"/>
                <w:b/>
                <w:color w:val="000000"/>
                <w:szCs w:val="24"/>
              </w:rPr>
              <w:t xml:space="preserve">方案.</w:t>
            </w:r>
            <w:r>
              <w:rPr>
                <w:rFonts w:ascii="宋体" w:hAnsi="宋体" w:cs="宋体"/>
                <w:color w:val="000000"/>
                <w:szCs w:val="24"/>
              </w:rPr>
              <w:t xml:space="preserve">投标人应根据招标文件要求及项目实际，针对本项目提供项目实施方案，</w:t>
            </w:r>
            <w:r>
              <w:rPr>
                <w:rFonts w:ascii="宋体" w:hAnsi="宋体" w:cs="宋体"/>
                <w:szCs w:val="24"/>
              </w:rPr>
              <w:t xml:space="preserve">内容包括但不限于：</w:t>
            </w:r>
            <w:r>
              <w:rPr>
                <w:rFonts w:hint="eastAsia" w:ascii="宋体" w:hAnsi="宋体" w:cs="宋体"/>
                <w:szCs w:val="24"/>
              </w:rPr>
              <w:t xml:space="preserve">施工前期方案、</w:t>
            </w:r>
            <w:r>
              <w:rPr>
                <w:rFonts w:ascii="宋体" w:hAnsi="宋体" w:cs="宋体"/>
                <w:szCs w:val="24"/>
              </w:rPr>
              <w:t xml:space="preserve">设备安装调试专项方案</w:t>
            </w:r>
            <w:r>
              <w:rPr>
                <w:rFonts w:hint="eastAsia" w:ascii="宋体" w:hAnsi="宋体" w:cs="宋体"/>
                <w:szCs w:val="24"/>
              </w:rPr>
              <w:t xml:space="preserve">、系统调试运行方案</w:t>
            </w:r>
            <w:r>
              <w:rPr>
                <w:rFonts w:ascii="宋体" w:hAnsi="宋体" w:cs="宋体"/>
                <w:szCs w:val="24"/>
              </w:rPr>
              <w:t xml:space="preserve">、强弱电布线专项方案、项目进度管控计划</w:t>
            </w:r>
            <w:r>
              <w:rPr>
                <w:rFonts w:hint="eastAsia" w:ascii="宋体" w:hAnsi="宋体" w:cs="宋体"/>
                <w:szCs w:val="24"/>
              </w:rPr>
              <w:t xml:space="preserve">等。</w:t>
            </w:r>
            <w:r/>
          </w:p>
          <w:p>
            <w:pPr>
              <w:spacing w:line="79" w:lineRule="atLeast"/>
              <w:rPr>
                <w:rFonts w:hint="eastAsia" w:ascii="宋体" w:hAnsi="宋体" w:cs="宋体"/>
                <w:bCs/>
                <w:szCs w:val="24"/>
              </w:rPr>
            </w:pPr>
            <w:r>
              <w:rPr>
                <w:rFonts w:hint="eastAsia" w:ascii="宋体" w:hAnsi="宋体" w:cs="宋体"/>
                <w:bCs/>
                <w:szCs w:val="24"/>
              </w:rPr>
              <w:t xml:space="preserve">（1）投标文件对“安装调试实施方案”中“</w:t>
            </w:r>
            <w:r>
              <w:rPr>
                <w:rFonts w:ascii="宋体" w:hAnsi="宋体" w:cs="宋体"/>
                <w:szCs w:val="24"/>
              </w:rPr>
              <w:t xml:space="preserve">设备安装调试专项方案、强弱电布线专项方案</w:t>
            </w:r>
            <w:r>
              <w:rPr>
                <w:rFonts w:hint="eastAsia" w:ascii="宋体" w:hAnsi="宋体" w:cs="宋体"/>
                <w:bCs/>
                <w:szCs w:val="24"/>
              </w:rPr>
              <w:t xml:space="preserve">”两项要求的响应内容优于招标文件要求的（前提是投标文件对“安装调试实施方案”中除“</w:t>
            </w:r>
            <w:r>
              <w:rPr>
                <w:rFonts w:ascii="宋体" w:hAnsi="宋体" w:cs="宋体"/>
                <w:szCs w:val="24"/>
              </w:rPr>
              <w:t xml:space="preserve">设备安装调试专项方案、强弱电布线专项方案</w:t>
            </w:r>
            <w:r>
              <w:rPr>
                <w:rFonts w:hint="eastAsia" w:ascii="宋体" w:hAnsi="宋体" w:cs="宋体"/>
                <w:bCs/>
                <w:szCs w:val="24"/>
              </w:rPr>
              <w:t xml:space="preserve">”外其他要求响应内容符合招标文件要求），本项得5分。</w:t>
            </w:r>
            <w:r/>
          </w:p>
          <w:p>
            <w:pPr>
              <w:spacing w:line="79" w:lineRule="atLeast"/>
              <w:rPr>
                <w:rFonts w:hint="eastAsia" w:ascii="宋体" w:hAnsi="宋体" w:cs="宋体"/>
                <w:bCs/>
                <w:szCs w:val="24"/>
              </w:rPr>
            </w:pPr>
            <w:r>
              <w:rPr>
                <w:rFonts w:hint="eastAsia" w:ascii="宋体" w:hAnsi="宋体" w:cs="宋体"/>
                <w:bCs/>
                <w:szCs w:val="24"/>
              </w:rPr>
              <w:t xml:space="preserve">（2）投标文件符合“安装调试实施方案”中全部条款要求的，视为符合招标文件要求，本项得3分。</w:t>
            </w:r>
            <w:r/>
          </w:p>
          <w:p>
            <w:pPr>
              <w:spacing w:line="79" w:lineRule="atLeast"/>
              <w:rPr>
                <w:rFonts w:hint="eastAsia" w:ascii="宋体" w:hAnsi="宋体" w:cs="宋体"/>
                <w:bCs/>
                <w:szCs w:val="24"/>
              </w:rPr>
            </w:pPr>
            <w:r>
              <w:rPr>
                <w:rFonts w:hint="eastAsia" w:ascii="宋体" w:hAnsi="宋体" w:cs="宋体"/>
                <w:bCs/>
                <w:szCs w:val="24"/>
              </w:rPr>
              <w:t xml:space="preserve">（3）投标文件未符合“安装调试实施方案”中全部条款要求的，视为不符合招标文件要求，本项得0分。</w:t>
            </w:r>
            <w:r/>
          </w:p>
          <w:p>
            <w:pPr>
              <w:spacing w:line="79" w:lineRule="atLeast"/>
              <w:rPr>
                <w:rFonts w:hint="eastAsia" w:ascii="宋体" w:hAnsi="宋体" w:cs="宋体"/>
                <w:szCs w:val="24"/>
              </w:rPr>
            </w:pPr>
            <w:r>
              <w:rPr>
                <w:rFonts w:ascii="宋体" w:hAnsi="宋体" w:cs="宋体"/>
                <w:b/>
                <w:szCs w:val="24"/>
              </w:rPr>
              <w:t xml:space="preserve">3.2技术方案.</w:t>
            </w:r>
            <w:r>
              <w:rPr>
                <w:rFonts w:ascii="宋体" w:hAnsi="宋体" w:cs="宋体"/>
                <w:szCs w:val="24"/>
              </w:rPr>
              <w:t xml:space="preserve">投标人应根据招标文件要求及项目实际，提供技术方案，方案内容包含但不限于：</w:t>
            </w:r>
            <w:r>
              <w:rPr>
                <w:rFonts w:hint="eastAsia" w:ascii="宋体" w:hAnsi="宋体" w:cs="宋体"/>
                <w:szCs w:val="24"/>
              </w:rPr>
              <w:t xml:space="preserve">多媒体讲台改造系统、显示系统、教学扩声系统与音频管理平台、中控物联控制系统与中控管理平台等系统分别出具技术方案，与学校现有教务系统、统一身份认证系统平台对接方案。</w:t>
            </w:r>
            <w:r/>
          </w:p>
          <w:p>
            <w:pPr>
              <w:spacing w:line="79" w:lineRule="atLeast"/>
              <w:rPr>
                <w:rFonts w:hint="eastAsia" w:ascii="宋体" w:hAnsi="宋体" w:cs="宋体"/>
                <w:bCs/>
                <w:szCs w:val="24"/>
              </w:rPr>
            </w:pPr>
            <w:r>
              <w:rPr>
                <w:rFonts w:hint="eastAsia" w:ascii="宋体" w:hAnsi="宋体" w:cs="宋体"/>
                <w:bCs/>
                <w:szCs w:val="24"/>
              </w:rPr>
              <w:t xml:space="preserve">（1）投标文件对“技术方案”中“</w:t>
            </w:r>
            <w:r>
              <w:rPr>
                <w:rFonts w:hint="eastAsia" w:ascii="宋体" w:hAnsi="宋体" w:cs="宋体"/>
                <w:szCs w:val="24"/>
              </w:rPr>
              <w:t xml:space="preserve">教学扩声系统与音频管理平台</w:t>
            </w:r>
            <w:r>
              <w:rPr>
                <w:rFonts w:hint="eastAsia" w:ascii="宋体" w:hAnsi="宋体" w:cs="宋体"/>
                <w:bCs/>
                <w:szCs w:val="24"/>
              </w:rPr>
              <w:t xml:space="preserve">”一项要求的响应内容优于招标文件要求的（前提是投标文件对“技术方案”中除“</w:t>
            </w:r>
            <w:r>
              <w:rPr>
                <w:rFonts w:hint="eastAsia" w:ascii="宋体" w:hAnsi="宋体" w:cs="宋体"/>
                <w:szCs w:val="24"/>
              </w:rPr>
              <w:t xml:space="preserve">教学扩声系统与音频管理平台</w:t>
            </w:r>
            <w:r>
              <w:rPr>
                <w:rFonts w:hint="eastAsia" w:ascii="宋体" w:hAnsi="宋体" w:cs="宋体"/>
                <w:bCs/>
                <w:szCs w:val="24"/>
              </w:rPr>
              <w:t xml:space="preserve">”外其他要求响应内容符合招标文件要求），本项得5分。</w:t>
            </w:r>
            <w:r/>
          </w:p>
          <w:p>
            <w:pPr>
              <w:spacing w:line="79" w:lineRule="atLeast"/>
              <w:rPr>
                <w:rFonts w:hint="eastAsia" w:ascii="宋体" w:hAnsi="宋体" w:cs="宋体"/>
                <w:bCs/>
                <w:szCs w:val="24"/>
              </w:rPr>
            </w:pPr>
            <w:r>
              <w:rPr>
                <w:rFonts w:hint="eastAsia" w:ascii="宋体" w:hAnsi="宋体" w:cs="宋体"/>
                <w:bCs/>
                <w:szCs w:val="24"/>
              </w:rPr>
              <w:t xml:space="preserve">（2）投标文件符合“技术方案”中全部条款要求的，视为符合招标文件要求，本项得3分。</w:t>
            </w:r>
            <w:r/>
          </w:p>
          <w:p>
            <w:pPr>
              <w:spacing w:line="79" w:lineRule="atLeast"/>
              <w:rPr>
                <w:rFonts w:hint="eastAsia" w:ascii="宋体" w:hAnsi="宋体" w:cs="宋体"/>
                <w:bCs/>
                <w:szCs w:val="24"/>
              </w:rPr>
            </w:pPr>
            <w:r>
              <w:rPr>
                <w:rFonts w:hint="eastAsia" w:ascii="宋体" w:hAnsi="宋体" w:cs="宋体"/>
                <w:bCs/>
                <w:szCs w:val="24"/>
              </w:rPr>
              <w:t xml:space="preserve">（3）投标文件未符合“技术方案”中全部条款要求的，视为不符合招标文件要求，本项得0分。</w:t>
            </w:r>
            <w:r/>
          </w:p>
          <w:p>
            <w:pPr>
              <w:spacing w:line="79" w:lineRule="atLeast"/>
              <w:rPr>
                <w:rFonts w:ascii="宋体" w:hAnsi="宋体" w:cs="宋体"/>
                <w:szCs w:val="24"/>
              </w:rPr>
            </w:pPr>
            <w:r>
              <w:rPr>
                <w:rFonts w:hint="eastAsia" w:ascii="宋体" w:hAnsi="宋体" w:cs="宋体"/>
                <w:b/>
                <w:bCs/>
                <w:szCs w:val="24"/>
              </w:rPr>
              <w:t xml:space="preserve">3.3售后服务方案：</w:t>
            </w:r>
            <w:r>
              <w:rPr>
                <w:rFonts w:ascii="宋体" w:hAnsi="宋体" w:cs="宋体"/>
                <w:szCs w:val="24"/>
              </w:rPr>
              <w:t xml:space="preserve">投标人应根据招标文件要求及项目实际，提供</w:t>
            </w:r>
            <w:r>
              <w:rPr>
                <w:rFonts w:hint="eastAsia" w:ascii="宋体" w:hAnsi="宋体" w:cs="宋体"/>
                <w:szCs w:val="24"/>
              </w:rPr>
              <w:t xml:space="preserve">售后服务</w:t>
            </w:r>
            <w:r>
              <w:rPr>
                <w:rFonts w:ascii="宋体" w:hAnsi="宋体" w:cs="宋体"/>
                <w:szCs w:val="24"/>
              </w:rPr>
              <w:t xml:space="preserve">方案，方案内容包含但不限于：详细</w:t>
            </w:r>
            <w:r>
              <w:rPr>
                <w:rFonts w:hint="eastAsia" w:ascii="宋体" w:hAnsi="宋体" w:cs="宋体"/>
                <w:szCs w:val="24"/>
              </w:rPr>
              <w:t xml:space="preserve">的服务保障措施、服务响应机制及响应时间内容</w:t>
            </w:r>
            <w:r>
              <w:rPr>
                <w:rFonts w:ascii="宋体" w:hAnsi="宋体" w:cs="宋体"/>
                <w:szCs w:val="24"/>
              </w:rPr>
              <w:t xml:space="preserve">等</w:t>
            </w:r>
            <w:r>
              <w:rPr>
                <w:rFonts w:hint="eastAsia" w:ascii="宋体" w:hAnsi="宋体" w:cs="宋体"/>
                <w:szCs w:val="24"/>
              </w:rPr>
              <w:t xml:space="preserve">。</w:t>
            </w:r>
            <w:r/>
          </w:p>
          <w:p>
            <w:pPr>
              <w:spacing w:line="79" w:lineRule="atLeast"/>
              <w:rPr>
                <w:rFonts w:ascii="宋体" w:hAnsi="宋体" w:cs="宋体"/>
                <w:bCs/>
                <w:szCs w:val="24"/>
              </w:rPr>
            </w:pPr>
            <w:r>
              <w:rPr>
                <w:rFonts w:hint="eastAsia" w:ascii="宋体" w:hAnsi="宋体" w:cs="宋体"/>
                <w:bCs/>
                <w:szCs w:val="24"/>
              </w:rPr>
              <w:t xml:space="preserve">（1）投标文件对“售后服务方案”中“</w:t>
            </w:r>
            <w:r>
              <w:rPr>
                <w:rFonts w:hint="eastAsia" w:ascii="宋体" w:hAnsi="宋体" w:cs="宋体"/>
                <w:szCs w:val="24"/>
              </w:rPr>
              <w:t xml:space="preserve">服务保障措施、服务响应机制及响应时间</w:t>
            </w:r>
            <w:r>
              <w:rPr>
                <w:rFonts w:hint="eastAsia" w:ascii="宋体" w:hAnsi="宋体" w:cs="宋体"/>
                <w:bCs/>
                <w:szCs w:val="24"/>
              </w:rPr>
              <w:t xml:space="preserve">”两项要求的响应内容优于招标文件要求的（前提是投标文件对“售后服务方案”中除“</w:t>
            </w:r>
            <w:r>
              <w:rPr>
                <w:rFonts w:hint="eastAsia" w:ascii="宋体" w:hAnsi="宋体" w:cs="宋体"/>
                <w:szCs w:val="24"/>
              </w:rPr>
              <w:t xml:space="preserve">服务保障措施、服务响应机制及响应时间</w:t>
            </w:r>
            <w:r>
              <w:rPr>
                <w:rFonts w:hint="eastAsia" w:ascii="宋体" w:hAnsi="宋体" w:cs="宋体"/>
                <w:bCs/>
                <w:szCs w:val="24"/>
              </w:rPr>
              <w:t xml:space="preserve">”外其他要求响应内容符合招标文件要求），本项得5分。</w:t>
            </w:r>
            <w:r/>
          </w:p>
          <w:p>
            <w:pPr>
              <w:spacing w:line="79" w:lineRule="atLeast"/>
              <w:rPr>
                <w:rFonts w:hint="eastAsia" w:ascii="宋体" w:hAnsi="宋体" w:cs="宋体"/>
                <w:bCs/>
                <w:szCs w:val="24"/>
              </w:rPr>
            </w:pPr>
            <w:r>
              <w:rPr>
                <w:rFonts w:hint="eastAsia" w:ascii="宋体" w:hAnsi="宋体" w:cs="宋体"/>
                <w:bCs/>
                <w:szCs w:val="24"/>
              </w:rPr>
              <w:t xml:space="preserve">（2）投标文件符合“售后服务方案”中全部条款要求的，视为符合招标文件要求，本项得3分。</w:t>
            </w:r>
            <w:r/>
          </w:p>
          <w:p>
            <w:pPr>
              <w:spacing w:line="79" w:lineRule="atLeast"/>
              <w:rPr>
                <w:rFonts w:ascii="宋体" w:hAnsi="宋体" w:cs="宋体"/>
                <w:szCs w:val="24"/>
              </w:rPr>
            </w:pPr>
            <w:r>
              <w:rPr>
                <w:rFonts w:hint="eastAsia" w:ascii="宋体" w:hAnsi="宋体" w:cs="宋体"/>
                <w:bCs/>
                <w:szCs w:val="24"/>
              </w:rPr>
              <w:t xml:space="preserve">（3）投标文件未符合“售后服务方案”中全部条款要求的，视为不符合招标文件要求，本项得0分。</w:t>
            </w:r>
            <w:r/>
          </w:p>
          <w:p>
            <w:pPr>
              <w:spacing w:line="79" w:lineRule="atLeast"/>
              <w:rPr>
                <w:rFonts w:ascii="宋体" w:hAnsi="宋体" w:cs="宋体"/>
                <w:color w:val="000000"/>
                <w:szCs w:val="24"/>
              </w:rPr>
            </w:pPr>
            <w:r>
              <w:rPr>
                <w:rFonts w:ascii="宋体" w:hAnsi="宋体" w:cs="宋体"/>
                <w:b/>
                <w:szCs w:val="24"/>
              </w:rPr>
              <w:t xml:space="preserve">3.</w:t>
            </w:r>
            <w:r>
              <w:rPr>
                <w:rFonts w:hint="eastAsia" w:ascii="宋体" w:hAnsi="宋体" w:cs="宋体"/>
                <w:b/>
                <w:szCs w:val="24"/>
              </w:rPr>
              <w:t xml:space="preserve">4</w:t>
            </w:r>
            <w:r>
              <w:rPr>
                <w:rFonts w:ascii="宋体" w:hAnsi="宋体" w:cs="宋体"/>
                <w:b/>
                <w:szCs w:val="24"/>
              </w:rPr>
              <w:t xml:space="preserve">培训方案</w:t>
            </w:r>
            <w:r>
              <w:rPr>
                <w:rFonts w:hint="eastAsia" w:ascii="宋体" w:hAnsi="宋体" w:cs="宋体"/>
                <w:b/>
                <w:szCs w:val="24"/>
              </w:rPr>
              <w:t xml:space="preserve">。</w:t>
            </w:r>
            <w:r>
              <w:rPr>
                <w:rFonts w:ascii="宋体" w:hAnsi="宋体" w:cs="宋体"/>
                <w:szCs w:val="24"/>
              </w:rPr>
              <w:t xml:space="preserve">根据投标人提供的培训方案评分，评委根据投标人提供的培训方案，方案中</w:t>
            </w:r>
            <w:r>
              <w:rPr>
                <w:rFonts w:hint="eastAsia" w:ascii="宋体" w:hAnsi="宋体" w:cs="宋体"/>
                <w:szCs w:val="24"/>
              </w:rPr>
              <w:t xml:space="preserve">包含但不限于：详</w:t>
            </w:r>
            <w:r>
              <w:rPr>
                <w:rFonts w:ascii="宋体" w:hAnsi="宋体" w:cs="宋体"/>
                <w:szCs w:val="24"/>
              </w:rPr>
              <w:t xml:space="preserve">细</w:t>
            </w:r>
            <w:r>
              <w:rPr>
                <w:rFonts w:hint="eastAsia" w:ascii="宋体" w:hAnsi="宋体" w:cs="宋体"/>
                <w:szCs w:val="24"/>
              </w:rPr>
              <w:t xml:space="preserve">的</w:t>
            </w:r>
            <w:r>
              <w:rPr>
                <w:rFonts w:ascii="宋体" w:hAnsi="宋体" w:cs="宋体"/>
                <w:szCs w:val="24"/>
              </w:rPr>
              <w:t xml:space="preserve">培训计划、时间、内容、次数安排等，根据方案完善合理程度等</w:t>
            </w:r>
            <w:r>
              <w:rPr>
                <w:rFonts w:hint="eastAsia" w:ascii="宋体" w:hAnsi="宋体" w:cs="宋体"/>
                <w:szCs w:val="24"/>
              </w:rPr>
              <w:t xml:space="preserve">。</w:t>
            </w:r>
            <w:r/>
          </w:p>
          <w:p>
            <w:pPr>
              <w:spacing w:line="79" w:lineRule="atLeast"/>
              <w:rPr>
                <w:rFonts w:ascii="宋体" w:hAnsi="宋体" w:cs="宋体"/>
                <w:bCs/>
                <w:szCs w:val="24"/>
              </w:rPr>
            </w:pPr>
            <w:r>
              <w:rPr>
                <w:rFonts w:hint="eastAsia" w:ascii="宋体" w:hAnsi="宋体" w:cs="宋体"/>
                <w:bCs/>
                <w:szCs w:val="24"/>
              </w:rPr>
              <w:t xml:space="preserve">（1）投标文件对“培训方案”中“</w:t>
            </w:r>
            <w:r>
              <w:rPr>
                <w:rFonts w:ascii="宋体" w:hAnsi="宋体" w:cs="宋体"/>
                <w:szCs w:val="24"/>
              </w:rPr>
              <w:t xml:space="preserve">培训</w:t>
            </w:r>
            <w:r>
              <w:rPr>
                <w:rFonts w:hint="eastAsia" w:ascii="宋体" w:hAnsi="宋体" w:cs="宋体"/>
                <w:szCs w:val="24"/>
              </w:rPr>
              <w:t xml:space="preserve">内容</w:t>
            </w:r>
            <w:r>
              <w:rPr>
                <w:rFonts w:hint="eastAsia" w:ascii="宋体" w:hAnsi="宋体" w:cs="宋体"/>
                <w:bCs/>
                <w:szCs w:val="24"/>
              </w:rPr>
              <w:t xml:space="preserve">”一项要求的响应内容优于招标文件要求的（前提是投标文件对“培训方案”中除“</w:t>
            </w:r>
            <w:r>
              <w:rPr>
                <w:rFonts w:ascii="宋体" w:hAnsi="宋体" w:cs="宋体"/>
                <w:szCs w:val="24"/>
              </w:rPr>
              <w:t xml:space="preserve">培训</w:t>
            </w:r>
            <w:r>
              <w:rPr>
                <w:rFonts w:hint="eastAsia" w:ascii="宋体" w:hAnsi="宋体" w:cs="宋体"/>
                <w:szCs w:val="24"/>
              </w:rPr>
              <w:t xml:space="preserve">内容</w:t>
            </w:r>
            <w:r>
              <w:rPr>
                <w:rFonts w:hint="eastAsia" w:ascii="宋体" w:hAnsi="宋体" w:cs="宋体"/>
                <w:bCs/>
                <w:szCs w:val="24"/>
              </w:rPr>
              <w:t xml:space="preserve">”外其他要求响应内容符合招标文件要求），本项得5分。</w:t>
            </w:r>
            <w:r/>
          </w:p>
          <w:p>
            <w:pPr>
              <w:spacing w:line="79" w:lineRule="atLeast"/>
              <w:rPr>
                <w:rFonts w:hint="eastAsia" w:ascii="宋体" w:hAnsi="宋体" w:cs="宋体"/>
                <w:bCs/>
                <w:szCs w:val="24"/>
              </w:rPr>
            </w:pPr>
            <w:r>
              <w:rPr>
                <w:rFonts w:hint="eastAsia" w:ascii="宋体" w:hAnsi="宋体" w:cs="宋体"/>
                <w:bCs/>
                <w:szCs w:val="24"/>
              </w:rPr>
              <w:t xml:space="preserve">（2）投标文件符合“培训方案”中全部条款要求的，视为符合招标文件要求，本项得3分。</w:t>
            </w:r>
            <w:r/>
          </w:p>
          <w:p>
            <w:pPr>
              <w:spacing w:line="79" w:lineRule="atLeast"/>
              <w:rPr>
                <w:rFonts w:hint="eastAsia" w:ascii="宋体" w:hAnsi="宋体" w:cs="宋体"/>
                <w:bCs/>
                <w:szCs w:val="24"/>
              </w:rPr>
            </w:pPr>
            <w:r>
              <w:rPr>
                <w:rFonts w:hint="eastAsia" w:ascii="宋体" w:hAnsi="宋体" w:cs="宋体"/>
                <w:bCs/>
                <w:szCs w:val="24"/>
              </w:rPr>
              <w:t xml:space="preserve">（3）投标文件未符合“培训方案”中全部条款要求的，视为不符合招标文件要求，本项得0分。</w:t>
            </w:r>
            <w:r/>
          </w:p>
          <w:p>
            <w:pPr>
              <w:spacing w:line="79" w:lineRule="atLeast"/>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sz w:val="22"/>
                <w:szCs w:val="24"/>
              </w:rPr>
            </w:pPr>
            <w:r>
              <w:rPr>
                <w:rFonts w:hint="eastAsia" w:ascii="宋体" w:hAnsi="宋体" w:cs="宋体"/>
                <w:b/>
                <w:color w:val="000000"/>
                <w:sz w:val="20"/>
                <w:szCs w:val="24"/>
              </w:rPr>
              <w:t xml:space="preserve">20</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rPr>
                <w:rFonts w:ascii="宋体" w:hAnsi="宋体" w:cs="宋体"/>
                <w:b/>
                <w:color w:val="000000"/>
                <w:sz w:val="20"/>
                <w:szCs w:val="24"/>
              </w:rPr>
            </w:pPr>
            <w:r>
              <w:rPr>
                <w:rFonts w:ascii="宋体" w:hAnsi="宋体" w:cs="宋体"/>
                <w:b/>
                <w:color w:val="000000"/>
                <w:sz w:val="20"/>
                <w:szCs w:val="24"/>
              </w:rPr>
              <w:t xml:space="preserve">投标人</w:t>
            </w:r>
            <w:r/>
          </w:p>
          <w:p>
            <w:pPr>
              <w:jc w:val="center"/>
              <w:rPr>
                <w:rFonts w:ascii="宋体" w:hAnsi="宋体" w:cs="宋体"/>
                <w:b/>
                <w:color w:val="000000"/>
                <w:sz w:val="20"/>
                <w:szCs w:val="24"/>
              </w:rPr>
            </w:pPr>
            <w:r>
              <w:rPr>
                <w:rFonts w:ascii="宋体" w:hAnsi="宋体" w:cs="宋体"/>
                <w:b/>
                <w:color w:val="000000"/>
                <w:sz w:val="20"/>
                <w:szCs w:val="24"/>
              </w:rPr>
              <w:t xml:space="preserve">综合实力</w:t>
            </w:r>
            <w:r/>
          </w:p>
          <w:p>
            <w:pPr>
              <w:jc w:val="center"/>
              <w:rPr>
                <w:rFonts w:ascii="宋体" w:hAnsi="宋体" w:cs="宋体"/>
                <w:b/>
                <w:color w:val="000000"/>
                <w:sz w:val="20"/>
                <w:szCs w:val="24"/>
              </w:rPr>
            </w:pPr>
            <w:r>
              <w:rPr>
                <w:rFonts w:hint="eastAsia" w:ascii="宋体" w:hAnsi="宋体" w:cs="宋体"/>
                <w:b/>
                <w:color w:val="000000"/>
                <w:sz w:val="20"/>
                <w:szCs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pStyle w:val="978"/>
              <w:rPr>
                <w:rFonts w:hint="eastAsia" w:ascii="仿宋" w:hAnsi="仿宋" w:eastAsia="仿宋" w:cs="仿宋"/>
                <w:color w:val="000000"/>
                <w:szCs w:val="24"/>
                <w:highlight w:val="yellow"/>
                <w:lang w:val="zh-CN"/>
              </w:rPr>
            </w:pPr>
            <w:r>
              <w:rPr>
                <w:rFonts w:hint="eastAsia" w:ascii="仿宋" w:hAnsi="仿宋" w:eastAsia="仿宋" w:cs="仿宋"/>
                <w:b/>
                <w:bCs/>
                <w:color w:val="000000"/>
                <w:szCs w:val="24"/>
              </w:rPr>
              <w:t xml:space="preserve">4.1</w:t>
            </w:r>
            <w:r>
              <w:rPr>
                <w:rStyle w:val="1065"/>
                <w:rFonts w:ascii="仿宋" w:hAnsi="仿宋" w:eastAsia="仿宋" w:cs="仿宋"/>
                <w:sz w:val="22"/>
                <w:szCs w:val="22"/>
                <w:lang w:bidi="ar"/>
              </w:rPr>
              <w:t xml:space="preserve">投标人须具备ISO90001质量管理体系认证、ISO14001环境管理体系认证、ISO45001职业健康安全管理体系认证、每提供1项得1分，共3分，提供证书复印件证明材料加盖公章，否则不得分。</w:t>
            </w:r>
            <w:r>
              <w:rPr>
                <w:rFonts w:hint="eastAsia" w:ascii="仿宋" w:hAnsi="仿宋" w:eastAsia="仿宋" w:cs="仿宋"/>
                <w:color w:val="000000"/>
                <w:szCs w:val="24"/>
                <w:lang w:val="zh-CN"/>
              </w:rPr>
              <w:t xml:space="preserve">）</w:t>
            </w:r>
            <w:r/>
          </w:p>
          <w:p>
            <w:pPr>
              <w:pStyle w:val="978"/>
              <w:rPr>
                <w:rFonts w:ascii="宋体" w:hAnsi="宋体" w:cs="宋体"/>
                <w:b/>
                <w:color w:val="000000"/>
                <w:szCs w:val="24"/>
              </w:rPr>
            </w:pPr>
            <w:r>
              <w:rPr>
                <w:rFonts w:hint="eastAsia" w:ascii="仿宋" w:hAnsi="仿宋" w:eastAsia="仿宋" w:cs="仿宋"/>
                <w:b/>
                <w:bCs/>
                <w:color w:val="000000"/>
                <w:szCs w:val="24"/>
              </w:rPr>
              <w:t xml:space="preserve">4.2</w:t>
            </w:r>
            <w:r>
              <w:rPr>
                <w:rFonts w:hint="eastAsia"/>
              </w:rPr>
              <w:t xml:space="preserve">投标人所投中控管理平台软件产品已完成银河麒麟、统信国产操作系统适配互认，须提供中控产品软件与国产服务器操作系统（银河麒麟和统信）的系统适配认证（产品互认）的证书，得2分。提供证书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rPr>
                <w:rFonts w:ascii="宋体" w:hAnsi="宋体" w:cs="宋体"/>
                <w:b/>
                <w:color w:val="000000"/>
                <w:sz w:val="20"/>
                <w:szCs w:val="24"/>
              </w:rPr>
            </w:pPr>
            <w:r>
              <w:rPr>
                <w:rFonts w:hint="eastAsia" w:ascii="宋体" w:hAnsi="宋体" w:cs="宋体"/>
                <w:b/>
                <w:color w:val="000000"/>
                <w:sz w:val="20"/>
                <w:szCs w:val="24"/>
              </w:rPr>
              <w:t xml:space="preserve">投标人承诺（5分）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400" w:lineRule="exact"/>
              <w:rPr>
                <w:rFonts w:hint="eastAsia" w:ascii="宋体" w:hAnsi="宋体" w:cs="宋体"/>
                <w:color w:val="000000"/>
                <w:szCs w:val="24"/>
              </w:rPr>
            </w:pPr>
            <w:r>
              <w:rPr>
                <w:rFonts w:hint="eastAsia" w:ascii="宋体" w:hAnsi="宋体" w:cs="宋体"/>
                <w:b/>
                <w:bCs/>
                <w:color w:val="000000"/>
                <w:szCs w:val="24"/>
              </w:rPr>
              <w:t xml:space="preserve">5.1</w:t>
            </w:r>
            <w:r>
              <w:rPr>
                <w:rFonts w:hint="eastAsia" w:ascii="宋体" w:hAnsi="宋体" w:cs="宋体"/>
                <w:color w:val="000000"/>
                <w:szCs w:val="24"/>
              </w:rPr>
              <w:t xml:space="preserve">巡检服务承诺（满分2分）：质保期内，中标供应商须于每学期开学前一周，对本项目全部软硬件设备实施全覆盖上门巡检服务，满足此项要求得1分，在此基础上如承诺在质保期内每个月上门巡检一次得2分。此项最高得2分。投标人需提供项目巡检制度承诺函，格式自拟，加盖公章。</w:t>
            </w:r>
            <w:r/>
          </w:p>
          <w:p>
            <w:pPr>
              <w:spacing w:line="400" w:lineRule="exact"/>
              <w:rPr>
                <w:rFonts w:ascii="宋体" w:hAnsi="宋体" w:cs="宋体"/>
                <w:color w:val="000000"/>
                <w:szCs w:val="24"/>
              </w:rPr>
            </w:pPr>
            <w:r>
              <w:rPr>
                <w:rFonts w:hint="eastAsia" w:ascii="宋体" w:hAnsi="宋体" w:cs="宋体"/>
                <w:color w:val="000000"/>
                <w:szCs w:val="24"/>
              </w:rPr>
              <w:t xml:space="preserve">5.2驻场服务承诺（满分3分）：提供至少1名驻场技术工程师进行为期6个月的免费驻场运维服务得1分，驻场服务时间每增加3个月加1分，此项最高得3分。投标人需提供项目驻场服务承诺函，格式自拟，加盖公章。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5</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rPr>
                <w:rFonts w:hint="eastAsia" w:ascii="宋体" w:hAnsi="宋体" w:cs="宋体"/>
                <w:b/>
                <w:color w:val="000000"/>
                <w:sz w:val="20"/>
                <w:szCs w:val="24"/>
              </w:rPr>
            </w:pPr>
            <w:r>
              <w:rPr>
                <w:rFonts w:hint="eastAsia" w:ascii="宋体" w:hAnsi="宋体" w:cs="宋体"/>
                <w:b/>
                <w:color w:val="000000"/>
                <w:sz w:val="20"/>
                <w:szCs w:val="24"/>
              </w:rPr>
              <w:t xml:space="preserve">项目团队</w:t>
            </w:r>
            <w:r/>
          </w:p>
          <w:p>
            <w:pPr>
              <w:jc w:val="center"/>
              <w:rPr>
                <w:rFonts w:hint="eastAsia" w:ascii="宋体" w:hAnsi="宋体" w:cs="宋体"/>
                <w:b/>
                <w:color w:val="000000"/>
                <w:sz w:val="20"/>
                <w:szCs w:val="24"/>
              </w:rPr>
            </w:pPr>
            <w:r>
              <w:rPr>
                <w:rFonts w:hint="eastAsia" w:ascii="宋体" w:hAnsi="宋体" w:cs="宋体"/>
                <w:b/>
                <w:color w:val="000000"/>
                <w:sz w:val="20"/>
                <w:szCs w:val="24"/>
              </w:rPr>
              <w:t xml:space="preserve">成员</w:t>
            </w:r>
            <w:r/>
          </w:p>
          <w:p>
            <w:pPr>
              <w:jc w:val="center"/>
              <w:rPr>
                <w:sz w:val="22"/>
              </w:rPr>
            </w:pPr>
            <w:r>
              <w:rPr>
                <w:rFonts w:hint="eastAsia" w:ascii="宋体" w:hAnsi="宋体" w:cs="宋体"/>
                <w:b/>
                <w:color w:val="000000"/>
                <w:sz w:val="20"/>
                <w:szCs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ascii="宋体" w:hAnsi="宋体" w:cs="宋体"/>
                <w:color w:val="000000"/>
                <w:szCs w:val="24"/>
                <w:lang w:val="zh-CN"/>
              </w:rPr>
            </w:pPr>
            <w:r>
              <w:rPr>
                <w:rFonts w:hint="eastAsia"/>
                <w:b/>
                <w:bCs/>
                <w:sz w:val="22"/>
              </w:rPr>
              <w:t xml:space="preserve">6.1</w:t>
            </w:r>
            <w:r>
              <w:rPr>
                <w:rFonts w:ascii="宋体" w:hAnsi="宋体" w:cs="宋体"/>
                <w:color w:val="000000"/>
                <w:szCs w:val="24"/>
                <w:lang w:val="zh-CN"/>
              </w:rPr>
              <w:t xml:space="preserve">投标人拟派的项目经理</w:t>
            </w:r>
            <w:r>
              <w:rPr>
                <w:rFonts w:hint="eastAsia" w:ascii="宋体" w:hAnsi="宋体" w:cs="宋体"/>
                <w:color w:val="000000"/>
                <w:szCs w:val="24"/>
                <w:lang w:val="zh-CN"/>
              </w:rPr>
              <w:t xml:space="preserve">（</w:t>
            </w:r>
            <w:r>
              <w:rPr>
                <w:rFonts w:hint="eastAsia" w:ascii="宋体" w:hAnsi="宋体" w:cs="宋体"/>
                <w:color w:val="000000"/>
                <w:szCs w:val="24"/>
              </w:rPr>
              <w:t xml:space="preserve">1人）</w:t>
            </w:r>
            <w:r>
              <w:rPr>
                <w:rFonts w:ascii="宋体" w:hAnsi="宋体" w:cs="宋体"/>
                <w:color w:val="000000"/>
                <w:szCs w:val="24"/>
                <w:lang w:val="zh-CN"/>
              </w:rPr>
              <w:t xml:space="preserve">具有高级工程师证书、信息系统项目管理师证书的，</w:t>
            </w:r>
            <w:r>
              <w:rPr>
                <w:rFonts w:hint="eastAsia" w:ascii="宋体" w:hAnsi="宋体" w:cs="宋体"/>
                <w:color w:val="000000"/>
                <w:szCs w:val="24"/>
              </w:rPr>
              <w:t xml:space="preserve">每有1项得1分，最高</w:t>
            </w:r>
            <w:r>
              <w:rPr>
                <w:rFonts w:ascii="宋体" w:hAnsi="宋体" w:cs="宋体"/>
                <w:color w:val="000000"/>
                <w:szCs w:val="24"/>
                <w:lang w:val="zh-CN"/>
              </w:rPr>
              <w:t xml:space="preserve">得</w:t>
            </w:r>
            <w:r>
              <w:rPr>
                <w:rFonts w:hint="eastAsia" w:ascii="宋体" w:hAnsi="宋体" w:cs="宋体"/>
                <w:color w:val="000000"/>
                <w:szCs w:val="24"/>
              </w:rPr>
              <w:t xml:space="preserve">2</w:t>
            </w:r>
            <w:r>
              <w:rPr>
                <w:rFonts w:ascii="宋体" w:hAnsi="宋体" w:cs="宋体"/>
                <w:color w:val="000000"/>
                <w:szCs w:val="24"/>
                <w:lang w:val="zh-CN"/>
              </w:rPr>
              <w:t xml:space="preserve">分，</w:t>
            </w:r>
            <w:r>
              <w:rPr>
                <w:rFonts w:hint="eastAsia" w:ascii="宋体" w:hAnsi="宋体" w:cs="宋体"/>
                <w:color w:val="000000"/>
                <w:szCs w:val="24"/>
              </w:rPr>
              <w:t xml:space="preserve">没有</w:t>
            </w:r>
            <w:r>
              <w:rPr>
                <w:rFonts w:ascii="宋体" w:hAnsi="宋体" w:cs="宋体"/>
                <w:color w:val="000000"/>
                <w:szCs w:val="24"/>
                <w:lang w:val="zh-CN"/>
              </w:rPr>
              <w:t xml:space="preserve">不得分。（提供证书原件</w:t>
            </w:r>
            <w:r>
              <w:rPr>
                <w:rFonts w:hint="eastAsia" w:ascii="宋体" w:hAnsi="宋体" w:cs="宋体"/>
                <w:color w:val="000000"/>
                <w:szCs w:val="24"/>
              </w:rPr>
              <w:t xml:space="preserve">的复印或</w:t>
            </w:r>
            <w:r>
              <w:rPr>
                <w:rFonts w:ascii="宋体" w:hAnsi="宋体" w:cs="宋体"/>
                <w:color w:val="000000"/>
                <w:szCs w:val="24"/>
                <w:lang w:val="zh-CN"/>
              </w:rPr>
              <w:t xml:space="preserve">扫描件</w:t>
            </w:r>
            <w:r>
              <w:rPr>
                <w:rFonts w:hint="eastAsia" w:ascii="宋体" w:hAnsi="宋体" w:cs="宋体"/>
                <w:color w:val="000000"/>
                <w:szCs w:val="24"/>
              </w:rPr>
              <w:t xml:space="preserve">加盖公章</w:t>
            </w:r>
            <w:r>
              <w:rPr>
                <w:rFonts w:ascii="宋体" w:hAnsi="宋体" w:cs="宋体"/>
                <w:color w:val="000000"/>
                <w:szCs w:val="24"/>
                <w:lang w:val="zh-CN"/>
              </w:rPr>
              <w:t xml:space="preserve">。）</w:t>
            </w:r>
            <w:r/>
          </w:p>
          <w:p>
            <w:pPr>
              <w:spacing w:line="79" w:lineRule="atLeast"/>
              <w:rPr>
                <w:rFonts w:ascii="宋体" w:hAnsi="宋体" w:cs="宋体"/>
                <w:color w:val="000000"/>
                <w:szCs w:val="24"/>
                <w:lang w:val="zh-CN"/>
              </w:rPr>
            </w:pPr>
            <w:r>
              <w:rPr>
                <w:rFonts w:hint="eastAsia" w:ascii="宋体" w:hAnsi="宋体" w:cs="宋体"/>
                <w:b/>
                <w:bCs/>
                <w:color w:val="000000"/>
                <w:szCs w:val="24"/>
              </w:rPr>
              <w:t xml:space="preserve">6.2</w:t>
            </w:r>
            <w:r>
              <w:rPr>
                <w:rFonts w:ascii="宋体" w:hAnsi="宋体" w:cs="宋体"/>
                <w:color w:val="000000"/>
                <w:szCs w:val="24"/>
                <w:lang w:val="zh-CN"/>
              </w:rPr>
              <w:t xml:space="preserve">项目团队人员</w:t>
            </w:r>
            <w:r>
              <w:rPr>
                <w:rFonts w:hint="eastAsia" w:ascii="宋体" w:hAnsi="宋体" w:cs="宋体"/>
                <w:color w:val="000000"/>
                <w:szCs w:val="24"/>
                <w:lang w:val="zh-CN"/>
              </w:rPr>
              <w:t xml:space="preserve">（</w:t>
            </w:r>
            <w:r>
              <w:rPr>
                <w:rFonts w:hint="eastAsia" w:ascii="宋体" w:hAnsi="宋体" w:cs="宋体"/>
                <w:color w:val="000000"/>
                <w:szCs w:val="24"/>
              </w:rPr>
              <w:t xml:space="preserve">与项目经理不重复</w:t>
            </w:r>
            <w:r>
              <w:rPr>
                <w:rFonts w:hint="eastAsia" w:ascii="宋体" w:hAnsi="宋体" w:cs="宋体"/>
                <w:color w:val="000000"/>
                <w:szCs w:val="24"/>
                <w:lang w:val="zh-CN"/>
              </w:rPr>
              <w:t xml:space="preserve">）</w:t>
            </w:r>
            <w:r>
              <w:rPr>
                <w:rFonts w:ascii="宋体" w:hAnsi="宋体" w:cs="宋体"/>
                <w:color w:val="000000"/>
                <w:szCs w:val="24"/>
                <w:lang w:val="zh-CN"/>
              </w:rPr>
              <w:t xml:space="preserve">具备IT服务工程师</w:t>
            </w:r>
            <w:r>
              <w:rPr>
                <w:rFonts w:hint="eastAsia" w:ascii="宋体" w:hAnsi="宋体" w:cs="宋体"/>
                <w:color w:val="000000"/>
                <w:szCs w:val="24"/>
                <w:lang w:val="zh-CN"/>
              </w:rPr>
              <w:t xml:space="preserve">（</w:t>
            </w:r>
            <w:r>
              <w:rPr>
                <w:rFonts w:ascii="宋体" w:hAnsi="宋体" w:cs="宋体"/>
                <w:color w:val="000000"/>
                <w:szCs w:val="24"/>
                <w:lang w:val="zh-CN"/>
              </w:rPr>
              <w:t xml:space="preserve">ITSS</w:t>
            </w:r>
            <w:r>
              <w:rPr>
                <w:rFonts w:hint="eastAsia" w:ascii="宋体" w:hAnsi="宋体" w:cs="宋体"/>
                <w:color w:val="000000"/>
                <w:szCs w:val="24"/>
                <w:lang w:val="zh-CN"/>
              </w:rPr>
              <w:t xml:space="preserve">）、</w:t>
            </w:r>
            <w:r>
              <w:rPr>
                <w:rFonts w:ascii="宋体" w:hAnsi="宋体" w:cs="宋体"/>
                <w:color w:val="000000"/>
                <w:szCs w:val="24"/>
                <w:lang w:val="zh-CN"/>
              </w:rPr>
              <w:t xml:space="preserve">CISAW信息安全保障人员认证证书、系统集成项目管理工程师的，每提供一个</w:t>
            </w:r>
            <w:r>
              <w:rPr>
                <w:rFonts w:hint="eastAsia" w:ascii="宋体" w:hAnsi="宋体" w:cs="宋体"/>
                <w:color w:val="000000"/>
                <w:szCs w:val="24"/>
              </w:rPr>
              <w:t xml:space="preserve">证书</w:t>
            </w:r>
            <w:r>
              <w:rPr>
                <w:rFonts w:ascii="宋体" w:hAnsi="宋体" w:cs="宋体"/>
                <w:color w:val="000000"/>
                <w:szCs w:val="24"/>
                <w:lang w:val="zh-CN"/>
              </w:rPr>
              <w:t xml:space="preserve">得1分，最多可得2分。（提供证书原件</w:t>
            </w:r>
            <w:r>
              <w:rPr>
                <w:rFonts w:hint="eastAsia" w:ascii="宋体" w:hAnsi="宋体" w:cs="宋体"/>
                <w:color w:val="000000"/>
                <w:szCs w:val="24"/>
              </w:rPr>
              <w:t xml:space="preserve">的复印或</w:t>
            </w:r>
            <w:r>
              <w:rPr>
                <w:rFonts w:ascii="宋体" w:hAnsi="宋体" w:cs="宋体"/>
                <w:color w:val="000000"/>
                <w:szCs w:val="24"/>
                <w:lang w:val="zh-CN"/>
              </w:rPr>
              <w:t xml:space="preserve">扫描件</w:t>
            </w:r>
            <w:r>
              <w:rPr>
                <w:rFonts w:hint="eastAsia" w:ascii="宋体" w:hAnsi="宋体" w:cs="宋体"/>
                <w:color w:val="000000"/>
                <w:szCs w:val="24"/>
              </w:rPr>
              <w:t xml:space="preserve">加盖公章</w:t>
            </w:r>
            <w:r>
              <w:rPr>
                <w:rFonts w:ascii="宋体" w:hAnsi="宋体" w:cs="宋体"/>
                <w:color w:val="000000"/>
                <w:szCs w:val="24"/>
                <w:lang w:val="zh-CN"/>
              </w:rPr>
              <w:t xml:space="preserve">。）（以上人员一人一证，</w:t>
            </w:r>
            <w:r>
              <w:rPr>
                <w:rFonts w:hint="eastAsia" w:ascii="宋体" w:hAnsi="宋体" w:cs="宋体"/>
                <w:color w:val="000000"/>
                <w:szCs w:val="24"/>
              </w:rPr>
              <w:t xml:space="preserve">同一证书</w:t>
            </w:r>
            <w:r>
              <w:rPr>
                <w:rFonts w:ascii="宋体" w:hAnsi="宋体" w:cs="宋体"/>
                <w:color w:val="000000"/>
                <w:szCs w:val="24"/>
                <w:lang w:val="zh-CN"/>
              </w:rPr>
              <w:t xml:space="preserve">不可重复计分）</w:t>
            </w:r>
            <w:r/>
          </w:p>
          <w:p>
            <w:pPr>
              <w:spacing w:line="79" w:lineRule="atLeast"/>
              <w:rPr>
                <w:rFonts w:hint="eastAsia" w:ascii="宋体" w:hAnsi="宋体" w:cs="宋体"/>
                <w:b/>
                <w:bCs/>
                <w:color w:val="000000"/>
                <w:szCs w:val="24"/>
              </w:rPr>
            </w:pPr>
            <w:r>
              <w:rPr>
                <w:rFonts w:ascii="宋体" w:hAnsi="宋体" w:cs="宋体"/>
                <w:color w:val="000000"/>
                <w:szCs w:val="24"/>
                <w:lang w:val="zh-CN"/>
              </w:rPr>
              <w:t xml:space="preserve">以上涉及人员资质证书的均需提供相应人员投标截止之日前三个月</w:t>
            </w:r>
            <w:r>
              <w:rPr>
                <w:rFonts w:hint="eastAsia"/>
                <w:sz w:val="22"/>
                <w:szCs w:val="24"/>
              </w:rPr>
              <w:t xml:space="preserve">任意一个月</w:t>
            </w:r>
            <w:r>
              <w:rPr>
                <w:rFonts w:ascii="宋体" w:hAnsi="宋体" w:cs="宋体"/>
                <w:color w:val="000000"/>
                <w:szCs w:val="24"/>
                <w:lang w:val="zh-CN"/>
              </w:rPr>
              <w:t xml:space="preserve">在本单位（需与投标人名称相同）缴纳社会保险证明并加盖投标人公章方可得分，不提供不得分。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hint="eastAsia"/>
                <w:sz w:val="22"/>
                <w:szCs w:val="24"/>
              </w:rPr>
            </w:pPr>
            <w:r>
              <w:rPr>
                <w:rFonts w:hint="eastAsia"/>
                <w:sz w:val="22"/>
                <w:szCs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功能演示</w:t>
            </w:r>
            <w:r/>
          </w:p>
          <w:p>
            <w:pPr>
              <w:jc w:val="center"/>
              <w:spacing w:line="79" w:lineRule="atLeast"/>
              <w:rPr>
                <w:sz w:val="22"/>
                <w:szCs w:val="24"/>
              </w:rPr>
            </w:pPr>
            <w:r>
              <w:rPr>
                <w:rFonts w:hint="eastAsia" w:ascii="宋体" w:hAnsi="宋体" w:cs="宋体"/>
                <w:b/>
                <w:color w:val="000000"/>
                <w:sz w:val="20"/>
                <w:szCs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ascii="宋体" w:hAnsi="宋体" w:cs="宋体"/>
                <w:b/>
                <w:color w:val="000000"/>
                <w:szCs w:val="24"/>
              </w:rPr>
            </w:pPr>
            <w:r>
              <w:rPr>
                <w:rFonts w:ascii="宋体" w:hAnsi="宋体" w:cs="宋体"/>
                <w:color w:val="000000"/>
                <w:sz w:val="20"/>
                <w:lang w:val="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color w:val="000000"/>
                <w:sz w:val="20"/>
              </w:rPr>
              <w:t xml:space="preserve">演示使用真实产品录制视频演示的完全符合要求得满分，未演示或演示不符合要求不得分。演示内容如下</w:t>
            </w:r>
            <w:r/>
          </w:p>
          <w:p>
            <w:pPr>
              <w:spacing w:line="79" w:lineRule="atLeast"/>
              <w:rPr>
                <w:sz w:val="22"/>
                <w:szCs w:val="24"/>
              </w:rPr>
            </w:pPr>
            <w:r>
              <w:rPr>
                <w:rFonts w:hint="eastAsia" w:ascii="宋体" w:hAnsi="宋体" w:cs="宋体"/>
                <w:b/>
                <w:color w:val="000000"/>
                <w:szCs w:val="24"/>
              </w:rPr>
              <w:t xml:space="preserve">7.1</w:t>
            </w:r>
            <w:r>
              <w:rPr>
                <w:rFonts w:hint="eastAsia"/>
                <w:b/>
                <w:bCs/>
                <w:sz w:val="22"/>
                <w:lang w:bidi="ar"/>
              </w:rPr>
              <w:t xml:space="preserve">红外</w:t>
            </w:r>
            <w:r>
              <w:rPr>
                <w:rFonts w:hint="eastAsia"/>
                <w:b/>
                <w:bCs/>
                <w:sz w:val="22"/>
                <w:lang w:val="zh-CN" w:bidi="ar"/>
              </w:rPr>
              <w:t xml:space="preserve">无线麦克风</w:t>
            </w:r>
            <w:r>
              <w:rPr>
                <w:rFonts w:hint="eastAsia"/>
                <w:b/>
                <w:bCs/>
                <w:sz w:val="22"/>
                <w:lang w:bidi="ar"/>
              </w:rPr>
              <w:t xml:space="preserve">演示视频打分</w:t>
            </w:r>
            <w:r>
              <w:rPr>
                <w:rFonts w:ascii="宋体" w:hAnsi="宋体" w:cs="宋体"/>
                <w:b/>
                <w:color w:val="000000"/>
                <w:szCs w:val="24"/>
              </w:rPr>
              <w:t xml:space="preserve">（满分</w:t>
            </w:r>
            <w:r>
              <w:rPr>
                <w:rFonts w:hint="eastAsia" w:ascii="宋体" w:hAnsi="宋体" w:cs="宋体"/>
                <w:b/>
                <w:color w:val="000000"/>
                <w:szCs w:val="24"/>
              </w:rPr>
              <w:t xml:space="preserve">1</w:t>
            </w:r>
            <w:r>
              <w:rPr>
                <w:rFonts w:ascii="宋体" w:hAnsi="宋体" w:cs="宋体"/>
                <w:b/>
                <w:color w:val="000000"/>
                <w:szCs w:val="24"/>
              </w:rPr>
              <w:t xml:space="preserve">分）：</w:t>
            </w:r>
            <w:r/>
          </w:p>
          <w:p>
            <w:pPr>
              <w:spacing w:line="79" w:lineRule="atLeast"/>
              <w:rPr>
                <w:rFonts w:hint="eastAsia"/>
                <w:sz w:val="22"/>
                <w:lang w:val="zh-CN" w:bidi="ar"/>
              </w:rPr>
            </w:pPr>
            <w:r>
              <w:rPr>
                <w:rFonts w:hint="eastAsia"/>
                <w:sz w:val="22"/>
                <w:lang w:bidi="ar"/>
              </w:rPr>
              <w:t xml:space="preserve">红外</w:t>
            </w:r>
            <w:r>
              <w:rPr>
                <w:rFonts w:hint="eastAsia"/>
                <w:sz w:val="22"/>
                <w:lang w:val="zh-CN" w:bidi="ar"/>
              </w:rPr>
              <w:t xml:space="preserve">无线麦克风通过</w:t>
            </w:r>
            <w:r>
              <w:rPr>
                <w:rFonts w:hint="eastAsia"/>
                <w:sz w:val="22"/>
                <w:lang w:bidi="ar"/>
              </w:rPr>
              <w:t xml:space="preserve">管理</w:t>
            </w:r>
            <w:r>
              <w:rPr>
                <w:rFonts w:hint="eastAsia"/>
                <w:sz w:val="22"/>
                <w:lang w:val="zh-CN" w:bidi="ar"/>
              </w:rPr>
              <w:t xml:space="preserve">平台及接口，可实现设备统一管理，</w:t>
            </w:r>
            <w:r>
              <w:rPr>
                <w:rFonts w:hint="eastAsia"/>
                <w:sz w:val="22"/>
                <w:lang w:bidi="ar"/>
              </w:rPr>
              <w:t xml:space="preserve">在管理平台</w:t>
            </w:r>
            <w:r>
              <w:rPr>
                <w:rFonts w:hint="eastAsia"/>
                <w:sz w:val="22"/>
                <w:lang w:val="zh-CN" w:bidi="ar"/>
              </w:rPr>
              <w:t xml:space="preserve">显示包括连接状态、充电状态、话筒归还状态、所在教室等信息。</w:t>
            </w:r>
            <w:r/>
          </w:p>
          <w:p>
            <w:pPr>
              <w:spacing w:line="79" w:lineRule="atLeast"/>
              <w:rPr>
                <w:rFonts w:hint="eastAsia" w:ascii="宋体" w:hAnsi="宋体" w:cs="宋体"/>
                <w:b/>
                <w:color w:val="000000"/>
                <w:szCs w:val="24"/>
              </w:rPr>
            </w:pPr>
            <w:r>
              <w:rPr>
                <w:rFonts w:hint="eastAsia" w:ascii="宋体" w:hAnsi="宋体" w:cs="宋体"/>
                <w:b/>
                <w:color w:val="000000"/>
                <w:szCs w:val="24"/>
              </w:rPr>
              <w:t xml:space="preserve">7</w:t>
            </w:r>
            <w:r>
              <w:rPr>
                <w:rFonts w:ascii="宋体" w:hAnsi="宋体" w:cs="宋体"/>
                <w:b/>
                <w:color w:val="000000"/>
                <w:szCs w:val="24"/>
              </w:rPr>
              <w:t xml:space="preserve">.2</w:t>
            </w:r>
            <w:r>
              <w:rPr>
                <w:rFonts w:hint="eastAsia" w:ascii="宋体" w:hAnsi="宋体" w:cs="宋体"/>
                <w:b/>
                <w:color w:val="000000"/>
                <w:szCs w:val="24"/>
              </w:rPr>
              <w:t xml:space="preserve"> 中控面板</w:t>
            </w:r>
            <w:r>
              <w:rPr>
                <w:rFonts w:hint="eastAsia"/>
                <w:b/>
                <w:bCs/>
                <w:sz w:val="22"/>
                <w:lang w:bidi="ar"/>
              </w:rPr>
              <w:t xml:space="preserve">演示视频打分</w:t>
            </w:r>
            <w:r>
              <w:rPr>
                <w:rFonts w:ascii="宋体" w:hAnsi="宋体" w:cs="宋体"/>
                <w:b/>
                <w:color w:val="000000"/>
                <w:szCs w:val="24"/>
              </w:rPr>
              <w:t xml:space="preserve">（满分</w:t>
            </w:r>
            <w:r>
              <w:rPr>
                <w:rFonts w:hint="eastAsia" w:ascii="宋体" w:hAnsi="宋体" w:cs="宋体"/>
                <w:b/>
                <w:color w:val="000000"/>
                <w:szCs w:val="24"/>
              </w:rPr>
              <w:t xml:space="preserve">1</w:t>
            </w:r>
            <w:r>
              <w:rPr>
                <w:rFonts w:ascii="宋体" w:hAnsi="宋体" w:cs="宋体"/>
                <w:b/>
                <w:color w:val="000000"/>
                <w:szCs w:val="24"/>
              </w:rPr>
              <w:t xml:space="preserve">分）</w:t>
            </w:r>
            <w:r>
              <w:rPr>
                <w:rFonts w:hint="eastAsia" w:ascii="宋体" w:hAnsi="宋体" w:cs="宋体"/>
                <w:b/>
                <w:color w:val="000000"/>
                <w:szCs w:val="24"/>
              </w:rPr>
              <w:t xml:space="preserve">：</w:t>
            </w:r>
            <w:r/>
          </w:p>
          <w:p>
            <w:pPr>
              <w:spacing w:line="79" w:lineRule="atLeast"/>
              <w:rPr>
                <w:sz w:val="22"/>
                <w:lang w:bidi="ar"/>
              </w:rPr>
            </w:pPr>
            <w:r>
              <w:rPr>
                <w:rFonts w:hint="eastAsia"/>
                <w:sz w:val="22"/>
                <w:lang w:bidi="ar"/>
              </w:rPr>
              <w:t xml:space="preserve">在中控面板可实现教师多种方式身份认证，包括以下方式：IC卡刷卡、人脸识别、动态二维码扫码、密码。中控面板可实现IP对讲、故障报修，IP呼叫接通后，平台端可显示该教室的监控画面、电脑画面以及各设备的状态，并支持通过平台端对教室进行反向呼叫。</w:t>
            </w:r>
            <w:r/>
          </w:p>
          <w:p>
            <w:pPr>
              <w:spacing w:line="79" w:lineRule="atLeast"/>
              <w:rPr>
                <w:sz w:val="22"/>
                <w:szCs w:val="24"/>
              </w:rPr>
            </w:pPr>
            <w:r>
              <w:rPr>
                <w:rFonts w:hint="eastAsia" w:ascii="宋体" w:hAnsi="宋体" w:cs="宋体"/>
                <w:b/>
                <w:color w:val="000000"/>
                <w:szCs w:val="24"/>
              </w:rPr>
              <w:t xml:space="preserve">7.</w:t>
            </w:r>
            <w:r>
              <w:rPr>
                <w:rFonts w:ascii="宋体" w:hAnsi="宋体" w:cs="宋体"/>
                <w:b/>
                <w:color w:val="000000"/>
                <w:szCs w:val="24"/>
              </w:rPr>
              <w:t xml:space="preserve">3 </w:t>
            </w:r>
            <w:r>
              <w:rPr>
                <w:rFonts w:hint="eastAsia" w:ascii="宋体" w:hAnsi="宋体" w:cs="宋体"/>
                <w:b/>
                <w:color w:val="000000"/>
                <w:szCs w:val="24"/>
              </w:rPr>
              <w:t xml:space="preserve">中控管理平台</w:t>
            </w:r>
            <w:r>
              <w:rPr>
                <w:rFonts w:ascii="宋体" w:hAnsi="宋体" w:cs="宋体"/>
                <w:b/>
                <w:color w:val="000000"/>
                <w:szCs w:val="24"/>
              </w:rPr>
              <w:t xml:space="preserve">演示视频打分（满分</w:t>
            </w:r>
            <w:r>
              <w:rPr>
                <w:rFonts w:hint="eastAsia" w:ascii="宋体" w:hAnsi="宋体" w:cs="宋体"/>
                <w:b/>
                <w:color w:val="000000"/>
                <w:szCs w:val="24"/>
              </w:rPr>
              <w:t xml:space="preserve">3</w:t>
            </w:r>
            <w:r>
              <w:rPr>
                <w:rFonts w:ascii="宋体" w:hAnsi="宋体" w:cs="宋体"/>
                <w:b/>
                <w:color w:val="000000"/>
                <w:szCs w:val="24"/>
              </w:rPr>
              <w:t xml:space="preserve">分）：</w:t>
            </w:r>
            <w:r/>
          </w:p>
          <w:p>
            <w:pPr>
              <w:spacing w:line="79" w:lineRule="atLeast"/>
              <w:rPr>
                <w:rFonts w:hint="eastAsia"/>
                <w:sz w:val="22"/>
                <w:lang w:bidi="ar"/>
              </w:rPr>
            </w:pPr>
            <w:r>
              <w:rPr>
                <w:rFonts w:hint="eastAsia"/>
                <w:b/>
                <w:bCs/>
                <w:sz w:val="22"/>
                <w:lang w:bidi="ar"/>
              </w:rPr>
              <w:t xml:space="preserve">7.3.1</w:t>
            </w:r>
            <w:r>
              <w:rPr>
                <w:rFonts w:hint="eastAsia"/>
                <w:sz w:val="22"/>
                <w:lang w:bidi="ar"/>
              </w:rPr>
              <w:t xml:space="preserve">中控管理平台软件具备按课表自动上下课功能：上课前5分钟（时间可设置）自动预开机，下课后自动关机；具有定时计划自动控制功能，支持管理员根据实际需求配置计划名称、执行周期（如每天、单次、指定星期等）、精确执行时间、具体执行功能及教室选择，实现对教室设备的自动化管理和调度。（1分）</w:t>
            </w:r>
            <w:r/>
          </w:p>
          <w:p>
            <w:pPr>
              <w:spacing w:line="79" w:lineRule="atLeast"/>
              <w:rPr>
                <w:sz w:val="22"/>
                <w:lang w:bidi="ar"/>
              </w:rPr>
            </w:pPr>
            <w:r>
              <w:rPr>
                <w:rFonts w:hint="eastAsia"/>
                <w:b/>
                <w:bCs/>
                <w:sz w:val="22"/>
                <w:lang w:bidi="ar"/>
              </w:rPr>
              <w:t xml:space="preserve">7.3.2</w:t>
            </w:r>
            <w:r>
              <w:rPr>
                <w:rFonts w:hint="eastAsia"/>
                <w:sz w:val="22"/>
                <w:lang w:bidi="ar"/>
              </w:rPr>
              <w:t xml:space="preserve">中控管理平台软件具备数据看板功能，具有数据统计，包含但不限于：教室使用率统计、在用及空闲教室数量统计、设备使用时长统计、故障统计等，支持大屏展示界面，利用可视化图表（可自定义），展示教室各种状态、统计数据；（1分）</w:t>
            </w:r>
            <w:r/>
          </w:p>
          <w:p>
            <w:pPr>
              <w:rPr>
                <w:sz w:val="22"/>
                <w:szCs w:val="24"/>
              </w:rPr>
            </w:pPr>
            <w:r>
              <w:rPr>
                <w:rFonts w:hint="eastAsia"/>
                <w:b/>
                <w:bCs/>
                <w:sz w:val="22"/>
                <w:szCs w:val="24"/>
              </w:rPr>
              <w:t xml:space="preserve">7.3.3</w:t>
            </w:r>
            <w:r>
              <w:rPr>
                <w:rFonts w:hint="eastAsia"/>
                <w:sz w:val="22"/>
                <w:lang w:bidi="ar"/>
              </w:rPr>
              <w:t xml:space="preserve">中控管理平台软件具备移动端APP或微信小程序管理功能，需要具备在手机上操作教室状态查询、远程控制、课表查询、定时管控等功能。（1分）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sz w:val="22"/>
                <w:szCs w:val="24"/>
              </w:rPr>
            </w:pPr>
            <w:r>
              <w:rPr>
                <w:rFonts w:hint="eastAsia" w:ascii="宋体" w:hAnsi="宋体" w:cs="宋体"/>
                <w:b/>
                <w:color w:val="000000"/>
                <w:sz w:val="20"/>
                <w:szCs w:val="24"/>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jc w:val="center"/>
              <w:spacing w:line="79" w:lineRule="atLeast"/>
              <w:rPr>
                <w:rFonts w:hint="eastAsia"/>
                <w:sz w:val="22"/>
                <w:szCs w:val="24"/>
              </w:rPr>
            </w:pPr>
            <w:r>
              <w:rPr>
                <w:rFonts w:hint="eastAsia" w:ascii="宋体" w:hAnsi="宋体" w:cs="宋体"/>
                <w:b/>
                <w:color w:val="000000"/>
                <w:sz w:val="20"/>
                <w:szCs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jc w:val="center"/>
              <w:spacing w:line="79" w:lineRule="atLeast"/>
              <w:rPr>
                <w:rFonts w:ascii="宋体" w:hAnsi="宋体" w:cs="宋体"/>
                <w:b/>
                <w:color w:val="000000"/>
                <w:sz w:val="20"/>
                <w:szCs w:val="24"/>
              </w:rPr>
            </w:pPr>
            <w:r>
              <w:rPr>
                <w:rFonts w:ascii="宋体" w:hAnsi="宋体" w:cs="宋体"/>
                <w:b/>
                <w:color w:val="000000"/>
                <w:sz w:val="20"/>
                <w:szCs w:val="24"/>
              </w:rPr>
              <w:t xml:space="preserve">企业业绩</w:t>
            </w:r>
            <w:r/>
          </w:p>
          <w:p>
            <w:pPr>
              <w:jc w:val="center"/>
              <w:spacing w:line="79" w:lineRule="atLeast"/>
              <w:rPr>
                <w:sz w:val="22"/>
                <w:szCs w:val="24"/>
              </w:rPr>
            </w:pPr>
            <w:r>
              <w:rPr>
                <w:rFonts w:ascii="宋体" w:hAnsi="宋体" w:cs="宋体"/>
                <w:b/>
                <w:color w:val="000000"/>
                <w:sz w:val="20"/>
                <w:szCs w:val="24"/>
              </w:rPr>
              <w:t xml:space="preserve">（</w:t>
            </w:r>
            <w:r>
              <w:rPr>
                <w:rFonts w:hint="eastAsia" w:ascii="宋体" w:hAnsi="宋体" w:cs="宋体"/>
                <w:b/>
                <w:color w:val="000000"/>
                <w:sz w:val="20"/>
                <w:szCs w:val="24"/>
              </w:rPr>
              <w:t xml:space="preserve">4</w:t>
            </w:r>
            <w:r>
              <w:rPr>
                <w:rFonts w:ascii="宋体" w:hAnsi="宋体" w:cs="宋体"/>
                <w:b/>
                <w:color w:val="000000"/>
                <w:sz w:val="20"/>
                <w:szCs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ind w:firstLine="210"/>
              <w:spacing w:line="79" w:lineRule="atLeast"/>
              <w:rPr>
                <w:rFonts w:ascii="宋体" w:hAnsi="宋体" w:cs="宋体"/>
                <w:color w:val="000000"/>
                <w:szCs w:val="24"/>
              </w:rPr>
            </w:pPr>
            <w:r>
              <w:rPr>
                <w:rFonts w:ascii="宋体" w:hAnsi="宋体" w:cs="宋体"/>
                <w:color w:val="000000"/>
                <w:szCs w:val="24"/>
              </w:rPr>
              <w:t xml:space="preserve">投标人须提供 202</w:t>
            </w:r>
            <w:r>
              <w:rPr>
                <w:rFonts w:hint="eastAsia" w:ascii="宋体" w:hAnsi="宋体" w:cs="宋体"/>
                <w:color w:val="000000"/>
                <w:szCs w:val="24"/>
              </w:rPr>
              <w:t xml:space="preserve">3</w:t>
            </w:r>
            <w:r>
              <w:rPr>
                <w:rFonts w:ascii="宋体" w:hAnsi="宋体" w:cs="宋体"/>
                <w:color w:val="000000"/>
                <w:szCs w:val="24"/>
              </w:rPr>
              <w:t xml:space="preserve">年1月1日以来</w:t>
            </w:r>
            <w:r>
              <w:rPr>
                <w:rFonts w:hint="eastAsia" w:ascii="宋体" w:hAnsi="宋体" w:cs="宋体"/>
                <w:color w:val="000000"/>
                <w:szCs w:val="24"/>
              </w:rPr>
              <w:t xml:space="preserve">（以合同签订日期为准）</w:t>
            </w:r>
            <w:r>
              <w:rPr>
                <w:rFonts w:ascii="宋体" w:hAnsi="宋体" w:cs="宋体"/>
                <w:color w:val="000000"/>
                <w:szCs w:val="24"/>
              </w:rPr>
              <w:t xml:space="preserve">完成的类似项目（类似业绩是指</w:t>
            </w:r>
            <w:r>
              <w:rPr>
                <w:rFonts w:hint="eastAsia" w:ascii="宋体" w:hAnsi="宋体" w:cs="宋体"/>
                <w:color w:val="000000"/>
                <w:szCs w:val="24"/>
              </w:rPr>
              <w:t xml:space="preserve">合同内容包括</w:t>
            </w:r>
            <w:r>
              <w:rPr>
                <w:rFonts w:ascii="宋体" w:hAnsi="宋体" w:cs="宋体"/>
                <w:color w:val="000000"/>
                <w:szCs w:val="24"/>
              </w:rPr>
              <w:t xml:space="preserve">多媒体教室或智慧教室相关建设内容），每提供1份完成的业绩得</w:t>
            </w:r>
            <w:r>
              <w:rPr>
                <w:rFonts w:hint="eastAsia" w:ascii="宋体" w:hAnsi="宋体" w:cs="宋体"/>
                <w:color w:val="000000"/>
                <w:szCs w:val="24"/>
              </w:rPr>
              <w:t xml:space="preserve">1</w:t>
            </w:r>
            <w:r>
              <w:rPr>
                <w:rFonts w:ascii="宋体" w:hAnsi="宋体" w:cs="宋体"/>
                <w:color w:val="000000"/>
                <w:szCs w:val="24"/>
              </w:rPr>
              <w:t xml:space="preserve">分，最多得</w:t>
            </w:r>
            <w:r>
              <w:rPr>
                <w:rFonts w:hint="eastAsia" w:ascii="宋体" w:hAnsi="宋体" w:cs="宋体"/>
                <w:color w:val="000000"/>
                <w:szCs w:val="24"/>
              </w:rPr>
              <w:t xml:space="preserve">4</w:t>
            </w:r>
            <w:r>
              <w:rPr>
                <w:rFonts w:ascii="宋体" w:hAnsi="宋体" w:cs="宋体"/>
                <w:color w:val="000000"/>
                <w:szCs w:val="24"/>
              </w:rPr>
              <w:t xml:space="preserve">分。</w:t>
            </w:r>
            <w:r/>
          </w:p>
          <w:p>
            <w:pPr>
              <w:spacing w:line="79" w:lineRule="atLeast"/>
              <w:rPr>
                <w:sz w:val="22"/>
                <w:szCs w:val="24"/>
              </w:rPr>
            </w:pPr>
            <w:r>
              <w:rPr>
                <w:rFonts w:ascii="宋体" w:hAnsi="宋体" w:cs="宋体"/>
                <w:color w:val="000000"/>
                <w:szCs w:val="24"/>
              </w:rPr>
              <w:t xml:space="preserve">注：</w:t>
            </w:r>
            <w:r>
              <w:rPr>
                <w:rStyle w:val="1065"/>
                <w:rFonts w:ascii="仿宋" w:hAnsi="仿宋" w:eastAsia="仿宋" w:cs="仿宋"/>
                <w:sz w:val="22"/>
                <w:szCs w:val="22"/>
                <w:lang w:bidi="ar"/>
              </w:rPr>
              <w:t xml:space="preserve">提供中标通知书和合同协议书，及其项下设备交货验收证明材料或完工证明的复印件或扫描件，加盖供应商公章。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hint="eastAsia"/>
                <w:sz w:val="22"/>
                <w:szCs w:val="24"/>
              </w:rPr>
            </w:pPr>
            <w:r>
              <w:rPr>
                <w:rFonts w:hint="eastAsia" w:ascii="宋体" w:hAnsi="宋体" w:cs="宋体"/>
                <w:b/>
                <w:color w:val="000000"/>
                <w:sz w:val="20"/>
                <w:szCs w:val="24"/>
              </w:rPr>
              <w:t xml:space="preserve">4</w:t>
            </w:r>
            <w:r/>
          </w:p>
        </w:tc>
      </w:tr>
      <w:tr>
        <w:trPr>
          <w:trHeight w:val="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11" w:type="dxa"/>
            <w:vAlign w:val="center"/>
            <w:vMerge w:val="restart"/>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9</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87" w:type="dxa"/>
            <w:vAlign w:val="center"/>
            <w:vMerge w:val="restart"/>
            <w:textDirection w:val="lrTb"/>
            <w:noWrap w:val="false"/>
          </w:tcPr>
          <w:p>
            <w:pPr>
              <w:jc w:val="center"/>
              <w:spacing w:line="79" w:lineRule="atLeast"/>
              <w:rPr>
                <w:rFonts w:hint="eastAsia" w:ascii="宋体" w:hAnsi="宋体" w:cs="宋体"/>
                <w:b/>
                <w:color w:val="000000"/>
                <w:sz w:val="20"/>
                <w:szCs w:val="24"/>
              </w:rPr>
            </w:pPr>
            <w:r>
              <w:rPr>
                <w:rFonts w:hint="eastAsia" w:ascii="宋体" w:hAnsi="宋体" w:cs="宋体"/>
                <w:b/>
                <w:color w:val="000000"/>
                <w:sz w:val="20"/>
                <w:szCs w:val="24"/>
              </w:rPr>
              <w:t xml:space="preserve">节能环保</w:t>
            </w:r>
            <w:r/>
          </w:p>
          <w:p>
            <w:pPr>
              <w:jc w:val="center"/>
              <w:spacing w:line="79" w:lineRule="atLeast"/>
              <w:rPr>
                <w:rFonts w:hint="eastAsia" w:ascii="宋体" w:hAnsi="宋体" w:eastAsia="宋体" w:cs="宋体"/>
                <w:b/>
                <w:color w:val="000000"/>
                <w:sz w:val="20"/>
                <w:szCs w:val="24"/>
                <w:lang w:eastAsia="zh-CN"/>
              </w:rPr>
            </w:pPr>
            <w:r>
              <w:rPr>
                <w:rFonts w:hint="eastAsia" w:ascii="宋体" w:hAnsi="宋体" w:cs="宋体"/>
                <w:b/>
                <w:color w:val="000000"/>
                <w:sz w:val="20"/>
                <w:szCs w:val="24"/>
                <w:lang w:eastAsia="zh-CN"/>
              </w:rPr>
              <w:t xml:space="preserve">（</w:t>
            </w:r>
            <w:r>
              <w:rPr>
                <w:rFonts w:hint="eastAsia" w:ascii="宋体" w:hAnsi="宋体" w:cs="宋体"/>
                <w:b/>
                <w:color w:val="000000"/>
                <w:sz w:val="20"/>
                <w:szCs w:val="24"/>
                <w:lang w:val="en-US" w:eastAsia="zh-CN"/>
              </w:rPr>
              <w:t xml:space="preserve">2分</w:t>
            </w:r>
            <w:r>
              <w:rPr>
                <w:rFonts w:hint="eastAsia" w:ascii="宋体" w:hAnsi="宋体" w:cs="宋体"/>
                <w:b/>
                <w:color w:val="000000"/>
                <w:sz w:val="20"/>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ascii="宋体" w:hAnsi="宋体" w:cs="宋体"/>
                <w:color w:val="000000"/>
                <w:szCs w:val="24"/>
              </w:rPr>
            </w:pPr>
            <w:r>
              <w:rPr>
                <w:rFonts w:hint="eastAsia" w:ascii="宋体" w:hAnsi="宋体" w:cs="宋体"/>
                <w:color w:val="000000"/>
                <w:szCs w:val="24"/>
              </w:rPr>
              <w:t xml:space="preserve">投标产品（除政府强制采购节能产品品目和</w:t>
            </w:r>
            <w:r>
              <w:rPr>
                <w:rFonts w:hint="eastAsia" w:ascii="宋体" w:hAnsi="宋体" w:cs="宋体"/>
                <w:i/>
                <w:iCs/>
                <w:color w:val="000000"/>
                <w:szCs w:val="24"/>
                <w:u w:val="single"/>
              </w:rPr>
              <w:t xml:space="preserve">斜体下划线</w:t>
            </w:r>
            <w:r>
              <w:rPr>
                <w:rFonts w:hint="eastAsia" w:ascii="宋体" w:hAnsi="宋体" w:cs="宋体"/>
                <w:color w:val="000000"/>
                <w:szCs w:val="24"/>
              </w:rPr>
              <w:t xml:space="preserve">项以外）属于财政部、国家发展改革委公布的“节能产品品目清单”范围内的，投标人提供国家确定的认证机构出具的、处于有效期之内的该节能产品认证证书复印件的，有1个得0.5分，最多得1分。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vMerge w:val="continue"/>
            <w:textDirection w:val="lrTb"/>
            <w:noWrap w:val="false"/>
          </w:tcPr>
          <w:p>
            <w:pPr>
              <w:jc w:val="center"/>
              <w:spacing w:line="79" w:lineRule="atLeast"/>
              <w:rPr>
                <w:rFonts w:ascii="宋体" w:hAnsi="宋体" w:cs="宋体"/>
                <w:b/>
                <w:color w:val="000000"/>
                <w:sz w:val="20"/>
                <w:szCs w:val="24"/>
              </w:rPr>
            </w:pPr>
            <w:r>
              <w:rPr>
                <w:rFonts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vMerge w:val="continue"/>
            <w:textDirection w:val="lrTb"/>
            <w:noWrap w:val="false"/>
          </w:tcPr>
          <w:p>
            <w:pPr>
              <w:jc w:val="center"/>
              <w:spacing w:line="79" w:lineRule="atLeast"/>
              <w:rPr>
                <w:rFonts w:ascii="宋体" w:hAnsi="宋体" w:cs="宋体"/>
                <w:b/>
                <w:color w:val="000000"/>
                <w:sz w:val="20"/>
                <w:szCs w:val="24"/>
              </w:rPr>
            </w:pPr>
            <w:r>
              <w:rPr>
                <w:rFonts w:ascii="宋体" w:hAnsi="宋体" w:cs="宋体"/>
                <w:b/>
                <w:color w:val="000000"/>
                <w:sz w:val="20"/>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2" w:type="dxa"/>
            <w:vAlign w:val="center"/>
            <w:textDirection w:val="lrTb"/>
            <w:noWrap w:val="false"/>
          </w:tcPr>
          <w:p>
            <w:pPr>
              <w:spacing w:line="79" w:lineRule="atLeast"/>
              <w:rPr>
                <w:rFonts w:ascii="宋体" w:hAnsi="宋体" w:cs="宋体"/>
                <w:color w:val="000000"/>
                <w:szCs w:val="24"/>
              </w:rPr>
            </w:pPr>
            <w:r>
              <w:rPr>
                <w:rFonts w:hint="eastAsia" w:ascii="宋体" w:hAnsi="宋体" w:cs="宋体"/>
                <w:color w:val="000000"/>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rFonts w:ascii="宋体" w:hAnsi="宋体" w:cs="宋体"/>
                <w:b/>
                <w:color w:val="000000"/>
                <w:sz w:val="20"/>
                <w:szCs w:val="24"/>
              </w:rPr>
            </w:pPr>
            <w:r>
              <w:rPr>
                <w:rFonts w:hint="eastAsia" w:ascii="宋体" w:hAnsi="宋体" w:cs="宋体"/>
                <w:b/>
                <w:color w:val="000000"/>
                <w:sz w:val="20"/>
                <w:szCs w:val="24"/>
              </w:rPr>
              <w:t xml:space="preserve">1</w:t>
            </w:r>
            <w:r/>
          </w:p>
        </w:tc>
      </w:tr>
      <w:tr>
        <w:trPr>
          <w:trHeight w:val="381"/>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0"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合计总分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jc w:val="center"/>
              <w:spacing w:line="79" w:lineRule="atLeast"/>
              <w:rPr>
                <w:sz w:val="22"/>
                <w:szCs w:val="24"/>
              </w:rPr>
            </w:pPr>
            <w:r>
              <w:rPr>
                <w:rFonts w:ascii="宋体" w:hAnsi="宋体" w:cs="宋体"/>
                <w:b/>
                <w:color w:val="000000"/>
                <w:sz w:val="20"/>
                <w:szCs w:val="24"/>
              </w:rPr>
              <w:t xml:space="preserve">100</w:t>
            </w:r>
            <w:r/>
          </w:p>
        </w:tc>
      </w:tr>
    </w:tbl>
    <w:p>
      <w:pPr>
        <w:ind w:firstLine="56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53"/>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第六章  投标文件格式</w:t>
      </w:r>
      <w:r/>
    </w:p>
    <w:p>
      <w:pPr>
        <w:jc w:val="center"/>
        <w:spacing w:line="400" w:lineRule="exact"/>
        <w:rPr>
          <w:rFonts w:hint="eastAsia" w:ascii="宋体" w:hAnsi="宋体"/>
          <w:b/>
          <w:color w:val="000000"/>
          <w:sz w:val="28"/>
          <w:szCs w:val="28"/>
        </w:rPr>
      </w:pPr>
      <w:r/>
      <w:bookmarkStart w:id="182" w:name="_Hlt26671244"/>
      <w:r/>
      <w:bookmarkEnd w:id="182"/>
      <w:r/>
      <w:bookmarkStart w:id="183" w:name="_Hlt26955039"/>
      <w:r/>
      <w:bookmarkEnd w:id="183"/>
      <w:r/>
      <w:bookmarkStart w:id="184" w:name="_Toc120614282"/>
      <w:r/>
      <w:bookmarkStart w:id="185" w:name="_Toc26554094"/>
      <w:r/>
      <w:bookmarkStart w:id="186" w:name="_Toc49090576"/>
      <w:r/>
      <w:r/>
    </w:p>
    <w:p>
      <w:pPr>
        <w:jc w:val="center"/>
        <w:spacing w:line="40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投  标  文  件</w:t>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r>
      <w:r/>
    </w:p>
    <w:p>
      <w:pPr>
        <w:ind w:firstLine="840"/>
        <w:spacing w:line="400" w:lineRule="exact"/>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项 目 名 称：</w:t>
      </w:r>
      <w:r>
        <w:rPr>
          <w:rFonts w:hint="eastAsia" w:ascii="方正黑体_GBK" w:hAnsi="方正黑体_GBK" w:eastAsia="方正黑体_GBK" w:cs="方正黑体_GBK"/>
          <w:bCs/>
          <w:color w:val="000000"/>
          <w:sz w:val="28"/>
          <w:szCs w:val="28"/>
          <w:u w:val="single"/>
        </w:rPr>
        <w:t xml:space="preserve">               </w:t>
      </w:r>
      <w:r/>
    </w:p>
    <w:p>
      <w:pPr>
        <w:ind w:firstLine="840"/>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采 购 编 号：</w:t>
      </w:r>
      <w:r>
        <w:rPr>
          <w:rFonts w:hint="eastAsia" w:ascii="方正黑体_GBK" w:hAnsi="方正黑体_GBK" w:eastAsia="方正黑体_GBK" w:cs="方正黑体_GBK"/>
          <w:bCs/>
          <w:color w:val="000000"/>
          <w:sz w:val="28"/>
          <w:szCs w:val="28"/>
          <w:u w:val="single"/>
        </w:rPr>
        <w:t xml:space="preserve">               </w:t>
      </w:r>
      <w:r/>
    </w:p>
    <w:p>
      <w:pPr>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投标人名称 ：</w:t>
      </w:r>
      <w:r>
        <w:rPr>
          <w:rFonts w:hint="eastAsia" w:ascii="方正黑体_GBK" w:hAnsi="方正黑体_GBK" w:eastAsia="方正黑体_GBK" w:cs="方正黑体_GBK"/>
          <w:bCs/>
          <w:color w:val="000000"/>
          <w:sz w:val="28"/>
          <w:szCs w:val="28"/>
          <w:u w:val="single"/>
        </w:rPr>
        <w:t xml:space="preserve">（加盖CA电子公章）</w:t>
      </w:r>
      <w:r/>
    </w:p>
    <w:p>
      <w:pPr>
        <w:spacing w:line="400" w:lineRule="exact"/>
        <w:rPr>
          <w:rFonts w:hint="eastAsia" w:ascii="方正黑体_GBK" w:hAnsi="方正黑体_GBK" w:eastAsia="方正黑体_GBK" w:cs="方正黑体_GBK"/>
          <w:bCs/>
          <w:color w:val="000000"/>
          <w:sz w:val="28"/>
          <w:szCs w:val="28"/>
          <w:u w:val="single"/>
        </w:rPr>
      </w:pPr>
      <w:r>
        <w:rPr>
          <w:rFonts w:hint="eastAsia" w:ascii="方正黑体_GBK" w:hAnsi="方正黑体_GBK" w:eastAsia="方正黑体_GBK" w:cs="方正黑体_GBK"/>
          <w:bCs/>
          <w:color w:val="000000"/>
          <w:sz w:val="28"/>
          <w:szCs w:val="28"/>
        </w:rPr>
        <w:t xml:space="preserve">      日      期 ：</w:t>
      </w:r>
      <w:r>
        <w:rPr>
          <w:rFonts w:hint="eastAsia" w:ascii="方正黑体_GBK" w:hAnsi="方正黑体_GBK" w:eastAsia="方正黑体_GBK" w:cs="方正黑体_GBK"/>
          <w:bCs/>
          <w:color w:val="000000"/>
          <w:sz w:val="28"/>
          <w:szCs w:val="28"/>
          <w:u w:val="single"/>
        </w:rPr>
        <w:t xml:space="preserve">               </w:t>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tabs>
          <w:tab w:val="left" w:pos="7492" w:leader="none"/>
        </w:tabs>
        <w:rPr>
          <w:rFonts w:hint="eastAsia" w:ascii="宋体" w:hAnsi="宋体"/>
          <w:b/>
          <w:bCs/>
          <w:color w:val="000000"/>
          <w:sz w:val="32"/>
          <w:szCs w:val="32"/>
        </w:rPr>
      </w:pPr>
      <w:r>
        <w:rPr>
          <w:rFonts w:hint="eastAsia" w:ascii="宋体" w:hAnsi="宋体"/>
          <w:b/>
          <w:bCs/>
          <w:color w:val="000000"/>
          <w:sz w:val="32"/>
          <w:szCs w:val="32"/>
        </w:rPr>
        <w:tab/>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spacing w:line="400" w:lineRule="exact"/>
        <w:rPr>
          <w:rFonts w:hint="eastAsia" w:ascii="宋体" w:hAnsi="宋体"/>
          <w:b/>
          <w:bCs/>
          <w:sz w:val="28"/>
          <w:szCs w:val="28"/>
        </w:rPr>
      </w:pPr>
      <w:r>
        <w:rPr>
          <w:rFonts w:hint="eastAsia" w:ascii="宋体" w:hAnsi="宋体"/>
          <w:b/>
          <w:bCs/>
          <w:sz w:val="28"/>
          <w:szCs w:val="28"/>
        </w:rPr>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eastAsia="方正仿宋_GBK"/>
          <w:color w:val="000000"/>
          <w:sz w:val="28"/>
          <w:szCs w:val="28"/>
        </w:rPr>
        <w:t xml:space="preserve">（</w:t>
      </w:r>
      <w:r>
        <w:rPr>
          <w:rFonts w:eastAsia="方正仿宋_GBK"/>
          <w:sz w:val="28"/>
          <w:szCs w:val="28"/>
        </w:rPr>
        <w:t xml:space="preserve">www.creditchina.gov.cn</w:t>
      </w:r>
      <w:r>
        <w:rPr>
          <w:rFonts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总备注：上述“资格审查内容”中1—5条、8、9条投标人必须在投标文件中提供相关材料，否则作无效投标处理；6条如招标文件要求必须提供相关材料而未提供的，作无效投标处理。</w:t>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spacing w:line="400" w:lineRule="exact"/>
        <w:rPr>
          <w:rFonts w:ascii="宋体" w:hAnsi="宋体"/>
          <w:b/>
          <w:sz w:val="28"/>
          <w:szCs w:val="28"/>
        </w:rPr>
      </w:pPr>
      <w:r>
        <w:rPr>
          <w:rFonts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Style w:val="7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p>
    <w:tbl>
      <w:tblPr>
        <w:tblStyle w:val="782"/>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vAlign w:val="top"/>
            <w:textDirection w:val="lrTb"/>
            <w:noWrap w:val="false"/>
          </w:tcPr>
          <w:p>
            <w:pPr>
              <w:pStyle w:val="1013"/>
              <w:jc w:val="both"/>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4"/>
      <w:r/>
      <w:bookmarkEnd w:id="185"/>
      <w:r/>
      <w:bookmarkEnd w:id="186"/>
      <w:r/>
      <w:bookmarkStart w:id="187" w:name="_Toc120614284"/>
      <w:r/>
      <w:r/>
    </w:p>
    <w:p>
      <w:pPr>
        <w:spacing w:line="400" w:lineRule="exact"/>
        <w:rPr>
          <w:rFonts w:hint="eastAsia" w:ascii="宋体" w:hAnsi="宋体"/>
          <w:b/>
          <w:color w:val="000000"/>
          <w:sz w:val="28"/>
          <w:szCs w:val="28"/>
        </w:rPr>
      </w:pPr>
      <w:r>
        <w:rPr>
          <w:rFonts w:hint="eastAsia" w:ascii="宋体" w:hAnsi="宋体"/>
          <w:b/>
          <w:color w:val="000000"/>
          <w:sz w:val="28"/>
          <w:szCs w:val="28"/>
        </w:rPr>
      </w:r>
      <w:r/>
    </w:p>
    <w:p>
      <w:pPr>
        <w:ind w:firstLine="480"/>
        <w:spacing w:line="400" w:lineRule="exact"/>
        <w:rPr>
          <w:rFonts w:ascii="宋体" w:hAnsi="宋体"/>
          <w:b/>
          <w:color w:val="000000"/>
          <w:sz w:val="28"/>
          <w:szCs w:val="28"/>
        </w:rPr>
      </w:pPr>
      <w:r>
        <w:rPr>
          <w:rFonts w:ascii="宋体" w:hAnsi="宋体"/>
          <w:b/>
          <w:color w:val="000000"/>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8" w:name="_格式3__银行出具的资信证明"/>
      <w:r/>
      <w:bookmarkEnd w:id="188"/>
      <w:r/>
      <w:bookmarkStart w:id="189" w:name="_Hlt26955070"/>
      <w:r/>
      <w:bookmarkEnd w:id="189"/>
      <w:r/>
      <w:bookmarkStart w:id="190" w:name="_Hlt26671380"/>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p>
    <w:p>
      <w:pPr>
        <w:ind w:firstLine="420"/>
        <w:spacing w:line="400" w:lineRule="exact"/>
        <w:rPr>
          <w:color w:val="000000"/>
          <w:sz w:val="28"/>
          <w:szCs w:val="28"/>
          <w:highlight w:val="yellow"/>
        </w:rPr>
      </w:pPr>
      <w:r>
        <w:rPr>
          <w:color w:val="000000"/>
          <w:sz w:val="28"/>
          <w:szCs w:val="28"/>
          <w:highlight w:val="yellow"/>
        </w:rPr>
      </w:r>
      <w:r/>
    </w:p>
    <w:p>
      <w:pPr>
        <w:spacing w:line="400" w:lineRule="exact"/>
        <w:rPr>
          <w:rFonts w:ascii="黑体" w:hAnsi="黑体" w:eastAsia="黑体"/>
          <w:b/>
          <w:i/>
          <w:color w:val="000000"/>
          <w:sz w:val="28"/>
          <w:szCs w:val="28"/>
          <w:u w:val="single"/>
        </w:rPr>
      </w:pPr>
      <w:r>
        <w:rPr>
          <w:rFonts w:hint="eastAsia" w:ascii="方正黑体_GBK" w:hAnsi="方正黑体_GBK" w:eastAsia="方正黑体_GBK" w:cs="方正黑体_GBK"/>
          <w:bCs/>
          <w:sz w:val="28"/>
          <w:szCs w:val="28"/>
        </w:rPr>
        <w:t xml:space="preserve">附件8                    投标函</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w:t>
      </w:r>
      <w:r>
        <w:rPr>
          <w:rFonts w:hint="eastAsia" w:ascii="方正仿宋_GBK" w:hAnsi="方正仿宋_GBK" w:eastAsia="方正仿宋_GBK" w:cs="方正仿宋_GBK"/>
          <w:color w:val="000000"/>
          <w:sz w:val="28"/>
          <w:szCs w:val="28"/>
        </w:rPr>
        <w:t xml:space="preserve">的招标文件，正式授权下述签字人</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(姓名)代表我方</w:t>
      </w:r>
      <w:r>
        <w:rPr>
          <w:rFonts w:eastAsia="方正仿宋_GBK"/>
          <w:sz w:val="28"/>
          <w:szCs w:val="28"/>
          <w:u w:val="single"/>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签字人兹宣布同意如下：</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6.一旦我方中标,我方将根据招标文件的规定，严格履行合同的责任和义务,并保证在招标文件规定的时间内完成项目，交付买方验收、使用。</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p>
    <w:p>
      <w:pPr>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p>
    <w:p>
      <w:pPr>
        <w:ind w:left="420" w:firstLine="560"/>
        <w:spacing w:line="400" w:lineRule="exact"/>
        <w:rPr>
          <w:rFonts w:hint="eastAsia" w:ascii="宋体" w:hAnsi="宋体"/>
          <w:sz w:val="28"/>
          <w:szCs w:val="28"/>
        </w:rPr>
      </w:pPr>
      <w:r>
        <w:rPr>
          <w:rFonts w:hint="eastAsia" w:ascii="宋体" w:hAnsi="宋体"/>
          <w:sz w:val="28"/>
          <w:szCs w:val="28"/>
        </w:rPr>
      </w:r>
      <w:r/>
    </w:p>
    <w:p>
      <w:pPr>
        <w:ind w:left="383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p>
    <w:p>
      <w:pPr>
        <w:ind w:left="3830"/>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p>
    <w:p>
      <w:pPr>
        <w:ind w:firstLine="280"/>
        <w:spacing w:line="400" w:lineRule="exact"/>
        <w:rPr>
          <w:rFonts w:hint="eastAsia" w:ascii="宋体" w:hAnsi="宋体"/>
          <w:bCs/>
          <w:color w:val="000000"/>
          <w:sz w:val="28"/>
          <w:szCs w:val="28"/>
        </w:rPr>
      </w:pPr>
      <w:r>
        <w:rPr>
          <w:rFonts w:hint="eastAsia" w:ascii="宋体" w:hAnsi="宋体"/>
          <w:bCs/>
          <w:color w:val="000000"/>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中小微企业声明函（货物类项目）（采购包号：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ascii="宋体" w:hAnsi="宋体"/>
          <w:color w:val="ff0000"/>
          <w:sz w:val="28"/>
          <w:szCs w:val="28"/>
        </w:rPr>
      </w:pPr>
      <w:r>
        <w:rPr>
          <w:rFonts w:ascii="宋体" w:hAnsi="宋体"/>
          <w:color w:val="ff0000"/>
          <w:sz w:val="28"/>
          <w:szCs w:val="28"/>
        </w:rPr>
      </w:r>
      <w:r/>
    </w:p>
    <w:p>
      <w:pPr>
        <w:ind w:firstLine="560"/>
        <w:spacing w:line="400" w:lineRule="exact"/>
        <w:rPr>
          <w:rFonts w:hint="eastAsia" w:ascii="宋体" w:hAnsi="宋体"/>
          <w:color w:val="ff0000"/>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color w:val="000000"/>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84"/>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期：___年____月____日 </w:t>
      </w:r>
      <w:r/>
    </w:p>
    <w:p>
      <w:pP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spacing w:line="400" w:lineRule="exact"/>
        <w:rPr>
          <w:rFonts w:ascii="宋体" w:hAnsi="宋体"/>
          <w:sz w:val="28"/>
          <w:szCs w:val="28"/>
        </w:rPr>
      </w:pPr>
      <w:r>
        <w:rPr>
          <w:rFonts w:ascii="宋体" w:hAnsi="宋体"/>
          <w:sz w:val="28"/>
          <w:szCs w:val="28"/>
        </w:rPr>
      </w:r>
      <w:r/>
    </w:p>
    <w:p>
      <w:pPr>
        <w:ind w:firstLine="645"/>
        <w:spacing w:line="400" w:lineRule="exact"/>
        <w:rPr>
          <w:rFonts w:ascii="宋体" w:hAnsi="宋体"/>
          <w:sz w:val="28"/>
          <w:szCs w:val="28"/>
        </w:rPr>
      </w:pPr>
      <w:r>
        <w:rPr>
          <w:rFonts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color w:val="000000"/>
          <w:sz w:val="28"/>
          <w:szCs w:val="28"/>
        </w:rPr>
      </w:pPr>
      <w:r>
        <w:rPr>
          <w:rFonts w:hint="eastAsia" w:ascii="宋体" w:hAnsi="宋体"/>
          <w:color w:val="000000"/>
          <w:sz w:val="28"/>
          <w:szCs w:val="28"/>
        </w:rPr>
      </w:r>
      <w:r/>
    </w:p>
    <w:p>
      <w:pPr>
        <w:ind w:firstLine="560"/>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ascii="宋体" w:hAnsi="宋体"/>
          <w:sz w:val="28"/>
          <w:szCs w:val="28"/>
        </w:rPr>
      </w:pPr>
      <w:r>
        <w:rPr>
          <w:rFonts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rPr>
      </w:pPr>
      <w:r>
        <w:rPr>
          <w:rFonts w:hint="eastAsia" w:ascii="宋体" w:hAnsi="宋体"/>
          <w:sz w:val="28"/>
          <w:szCs w:val="28"/>
        </w:rPr>
      </w:r>
      <w:r/>
    </w:p>
    <w:p>
      <w:pPr>
        <w:ind w:firstLine="28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1013"/>
        <w:ind w:firstLine="560"/>
        <w:jc w:val="both"/>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3"/>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25"/>
          <w:rFonts w:hint="eastAsia" w:ascii="方正仿宋_GBK" w:hAnsi="方正仿宋_GBK" w:eastAsia="方正仿宋_GBK" w:cs="方正仿宋_GBK"/>
          <w:i w:val="0"/>
          <w:sz w:val="28"/>
          <w:szCs w:val="28"/>
          <w:u w:val="single"/>
          <w:shd w:val="clear" w:color="auto" w:fill="ffffff"/>
        </w:rPr>
        <w:t xml:space="preserve">（产品名称1）</w:t>
      </w:r>
      <w:r>
        <w:rPr>
          <w:rStyle w:val="102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25"/>
          <w:rFonts w:hint="eastAsia" w:ascii="方正仿宋_GBK" w:hAnsi="方正仿宋_GBK" w:eastAsia="方正仿宋_GBK" w:cs="方正仿宋_GBK"/>
          <w:i w:val="0"/>
          <w:sz w:val="28"/>
          <w:szCs w:val="28"/>
          <w:u w:val="single"/>
          <w:shd w:val="clear" w:color="auto" w:fill="ffffff"/>
        </w:rPr>
        <w:t xml:space="preserve">（厂名）</w:t>
      </w:r>
      <w:r>
        <w:rPr>
          <w:rStyle w:val="102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2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1013"/>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2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2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2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p>
    <w:p>
      <w:pPr>
        <w:pStyle w:val="1013"/>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1013"/>
        <w:ind w:firstLine="560"/>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1013"/>
        <w:jc w:val="both"/>
        <w:spacing w:before="30" w:beforeAutospacing="0" w:after="30" w:afterAutospacing="0" w:line="400" w:lineRule="exact"/>
        <w:rPr>
          <w:rFonts w:hint="eastAsia"/>
          <w:sz w:val="28"/>
          <w:szCs w:val="28"/>
        </w:rPr>
      </w:pPr>
      <w:r>
        <w:rPr>
          <w:rFonts w:hint="eastAsia"/>
          <w:sz w:val="28"/>
          <w:szCs w:val="28"/>
        </w:rPr>
      </w:r>
      <w:r/>
    </w:p>
    <w:p>
      <w:pPr>
        <w:pStyle w:val="1013"/>
        <w:ind w:firstLine="560"/>
        <w:jc w:val="both"/>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1013"/>
        <w:jc w:val="both"/>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p>
    <w:p>
      <w:pPr>
        <w:pStyle w:val="1013"/>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1013"/>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1013"/>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1013"/>
        <w:jc w:val="both"/>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1013"/>
        <w:jc w:val="both"/>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13"/>
        <w:jc w:val="both"/>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spacing w:line="400" w:lineRule="exact"/>
        <w:rPr>
          <w:rFonts w:ascii="黑体" w:hAnsi="黑体" w:eastAsia="黑体"/>
          <w:b/>
          <w:color w:val="000000"/>
          <w:sz w:val="28"/>
          <w:szCs w:val="28"/>
        </w:rPr>
      </w:pPr>
      <w:r>
        <w:rPr>
          <w:rFonts w:ascii="黑体" w:hAnsi="黑体" w:eastAsia="黑体"/>
          <w:b/>
          <w:color w:val="000000"/>
          <w:sz w:val="28"/>
          <w:szCs w:val="28"/>
        </w:rPr>
      </w:r>
      <w:bookmarkEnd w:id="187"/>
      <w:r/>
      <w:r/>
    </w:p>
    <w:p>
      <w:pPr>
        <w:ind w:firstLine="28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p>
    <w:p>
      <w:pPr>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ind w:firstLine="56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56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560"/>
        <w:spacing w:line="400" w:lineRule="exact"/>
        <w:widowControl/>
        <w:rPr>
          <w:rFonts w:hint="eastAsia" w:ascii="宋体" w:hAnsi="宋体" w:cs="宋体"/>
          <w:b/>
          <w:bCs/>
          <w:spacing w:val="-20"/>
          <w:sz w:val="32"/>
          <w:szCs w:val="32"/>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9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8"/>
      <w:isLgl w:val="false"/>
      <w:suff w:val="nothing"/>
      <w:lvlText w:val=""/>
      <w:lvlJc w:val="left"/>
      <w:pPr>
        <w:ind w:left="0" w:firstLine="0"/>
      </w:pPr>
      <w:rPr>
        <w:rFonts w:hint="eastAsia"/>
      </w:rPr>
    </w:lvl>
    <w:lvl w:ilvl="6">
      <w:start w:val="1"/>
      <w:numFmt w:val="decimal"/>
      <w:pStyle w:val="959"/>
      <w:isLgl w:val="false"/>
      <w:suff w:val="nothing"/>
      <w:lvlText w:val=""/>
      <w:lvlJc w:val="left"/>
      <w:pPr>
        <w:ind w:left="0" w:firstLine="0"/>
      </w:pPr>
      <w:rPr>
        <w:rFonts w:hint="eastAsia"/>
      </w:rPr>
    </w:lvl>
    <w:lvl w:ilvl="7">
      <w:start w:val="1"/>
      <w:numFmt w:val="decimal"/>
      <w:pStyle w:val="960"/>
      <w:isLgl w:val="false"/>
      <w:suff w:val="nothing"/>
      <w:lvlText w:val=""/>
      <w:lvlJc w:val="left"/>
      <w:pPr>
        <w:ind w:left="0" w:firstLine="0"/>
      </w:pPr>
      <w:rPr>
        <w:rFonts w:hint="eastAsia"/>
      </w:rPr>
    </w:lvl>
    <w:lvl w:ilvl="8">
      <w:start w:val="1"/>
      <w:numFmt w:val="decimal"/>
      <w:pStyle w:val="961"/>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link w:val="10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2">
    <w:name w:val="Heading 1"/>
    <w:basedOn w:val="771"/>
    <w:next w:val="771"/>
    <w:link w:val="804"/>
    <w:uiPriority w:val="9"/>
    <w:qFormat/>
    <w:pPr>
      <w:keepLines/>
      <w:keepNext/>
      <w:spacing w:before="480" w:after="200"/>
      <w:outlineLvl w:val="0"/>
    </w:pPr>
    <w:rPr>
      <w:rFonts w:ascii="Arial" w:hAnsi="Arial" w:eastAsia="Arial" w:cs="Arial"/>
      <w:sz w:val="40"/>
      <w:szCs w:val="40"/>
    </w:rPr>
  </w:style>
  <w:style w:type="paragraph" w:styleId="773">
    <w:name w:val="Heading 2"/>
    <w:basedOn w:val="771"/>
    <w:next w:val="771"/>
    <w:link w:val="805"/>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06"/>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07"/>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08"/>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09"/>
    <w:uiPriority w:val="9"/>
    <w:unhideWhenUsed/>
    <w:qFormat/>
    <w:pPr>
      <w:keepLines/>
      <w:keepNext/>
      <w:spacing w:before="320" w:after="200"/>
      <w:outlineLvl w:val="5"/>
    </w:pPr>
    <w:rPr>
      <w:rFonts w:ascii="Arial" w:hAnsi="Arial" w:eastAsia="Arial" w:cs="Arial"/>
      <w:b/>
      <w:bCs/>
      <w:sz w:val="22"/>
      <w:szCs w:val="22"/>
    </w:rPr>
  </w:style>
  <w:style w:type="paragraph" w:styleId="778">
    <w:name w:val="Heading 7"/>
    <w:basedOn w:val="771"/>
    <w:next w:val="771"/>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11"/>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12"/>
    <w:uiPriority w:val="9"/>
    <w:unhideWhenUsed/>
    <w:qFormat/>
    <w:pPr>
      <w:keepLines/>
      <w:keepNext/>
      <w:spacing w:before="320" w:after="200"/>
      <w:outlineLvl w:val="8"/>
    </w:pPr>
    <w:rPr>
      <w:rFonts w:ascii="Arial" w:hAnsi="Arial" w:eastAsia="Arial" w:cs="Arial"/>
      <w:i/>
      <w:iCs/>
      <w:sz w:val="21"/>
      <w:szCs w:val="21"/>
    </w:rPr>
  </w:style>
  <w:style w:type="character" w:styleId="781" w:default="1">
    <w:name w:val="Default Paragraph Font"/>
    <w:uiPriority w:val="1"/>
    <w:semiHidden/>
    <w:unhideWhenUsed/>
  </w:style>
  <w:style w:type="table" w:styleId="782" w:default="1">
    <w:name w:val="Normal Table"/>
    <w:uiPriority w:val="99"/>
    <w:semiHidden/>
    <w:unhideWhenUsed/>
    <w:tblPr>
      <w:tblCellMar>
        <w:left w:w="108" w:type="dxa"/>
        <w:top w:w="0" w:type="dxa"/>
        <w:right w:w="108" w:type="dxa"/>
        <w:bottom w:w="0" w:type="dxa"/>
      </w:tblCellMar>
    </w:tblPr>
  </w:style>
  <w:style w:type="paragraph" w:styleId="783">
    <w:name w:val="toc 7"/>
    <w:basedOn w:val="771"/>
    <w:next w:val="771"/>
    <w:uiPriority w:val="39"/>
    <w:unhideWhenUsed/>
    <w:pPr>
      <w:ind w:left="1701" w:right="0" w:firstLine="0"/>
      <w:spacing w:after="57"/>
    </w:pPr>
  </w:style>
  <w:style w:type="paragraph" w:styleId="784">
    <w:name w:val="Caption"/>
    <w:basedOn w:val="771"/>
    <w:next w:val="771"/>
    <w:uiPriority w:val="35"/>
    <w:semiHidden/>
    <w:unhideWhenUsed/>
    <w:qFormat/>
    <w:pPr>
      <w:spacing w:line="276" w:lineRule="auto"/>
    </w:pPr>
    <w:rPr>
      <w:b/>
      <w:bCs/>
      <w:color w:val="4f81bd" w:themeColor="accent1"/>
      <w:sz w:val="18"/>
      <w:szCs w:val="18"/>
    </w:rPr>
  </w:style>
  <w:style w:type="paragraph" w:styleId="785">
    <w:name w:val="toc 5"/>
    <w:basedOn w:val="771"/>
    <w:next w:val="771"/>
    <w:uiPriority w:val="39"/>
    <w:unhideWhenUsed/>
    <w:pPr>
      <w:ind w:left="1134" w:right="0" w:firstLine="0"/>
      <w:spacing w:after="57"/>
    </w:pPr>
  </w:style>
  <w:style w:type="paragraph" w:styleId="786">
    <w:name w:val="toc 3"/>
    <w:basedOn w:val="771"/>
    <w:next w:val="771"/>
    <w:uiPriority w:val="39"/>
    <w:unhideWhenUsed/>
    <w:pPr>
      <w:ind w:left="567" w:right="0" w:firstLine="0"/>
      <w:spacing w:after="57"/>
    </w:pPr>
  </w:style>
  <w:style w:type="paragraph" w:styleId="787">
    <w:name w:val="toc 8"/>
    <w:basedOn w:val="771"/>
    <w:next w:val="771"/>
    <w:uiPriority w:val="39"/>
    <w:unhideWhenUsed/>
    <w:pPr>
      <w:ind w:left="1984" w:right="0" w:firstLine="0"/>
      <w:spacing w:after="57"/>
    </w:pPr>
  </w:style>
  <w:style w:type="paragraph" w:styleId="788">
    <w:name w:val="endnote text"/>
    <w:basedOn w:val="771"/>
    <w:link w:val="950"/>
    <w:uiPriority w:val="99"/>
    <w:semiHidden/>
    <w:unhideWhenUsed/>
    <w:pPr>
      <w:spacing w:after="0" w:line="240" w:lineRule="auto"/>
    </w:pPr>
    <w:rPr>
      <w:sz w:val="20"/>
    </w:rPr>
  </w:style>
  <w:style w:type="paragraph" w:styleId="789">
    <w:name w:val="Footer"/>
    <w:basedOn w:val="771"/>
    <w:link w:val="823"/>
    <w:uiPriority w:val="99"/>
    <w:unhideWhenUsed/>
    <w:pPr>
      <w:spacing w:after="0" w:line="240" w:lineRule="auto"/>
      <w:tabs>
        <w:tab w:val="center" w:pos="7143" w:leader="none"/>
        <w:tab w:val="right" w:pos="14287" w:leader="none"/>
      </w:tabs>
    </w:pPr>
  </w:style>
  <w:style w:type="paragraph" w:styleId="790">
    <w:name w:val="Header"/>
    <w:basedOn w:val="771"/>
    <w:link w:val="821"/>
    <w:uiPriority w:val="99"/>
    <w:unhideWhenUsed/>
    <w:pPr>
      <w:spacing w:after="0" w:line="240" w:lineRule="auto"/>
      <w:tabs>
        <w:tab w:val="center" w:pos="7143" w:leader="none"/>
        <w:tab w:val="right" w:pos="14287" w:leader="none"/>
      </w:tabs>
    </w:pPr>
  </w:style>
  <w:style w:type="paragraph" w:styleId="791">
    <w:name w:val="toc 1"/>
    <w:basedOn w:val="771"/>
    <w:next w:val="771"/>
    <w:uiPriority w:val="39"/>
    <w:unhideWhenUsed/>
    <w:pPr>
      <w:ind w:left="0" w:right="0" w:firstLine="0"/>
      <w:spacing w:after="57"/>
    </w:pPr>
  </w:style>
  <w:style w:type="paragraph" w:styleId="792">
    <w:name w:val="toc 4"/>
    <w:basedOn w:val="771"/>
    <w:next w:val="771"/>
    <w:uiPriority w:val="39"/>
    <w:unhideWhenUsed/>
    <w:pPr>
      <w:ind w:left="850" w:right="0" w:firstLine="0"/>
      <w:spacing w:after="57"/>
    </w:pPr>
  </w:style>
  <w:style w:type="paragraph" w:styleId="793">
    <w:name w:val="Subtitle"/>
    <w:basedOn w:val="771"/>
    <w:next w:val="771"/>
    <w:link w:val="816"/>
    <w:uiPriority w:val="11"/>
    <w:qFormat/>
    <w:pPr>
      <w:spacing w:before="200" w:after="200"/>
    </w:pPr>
    <w:rPr>
      <w:sz w:val="24"/>
      <w:szCs w:val="24"/>
    </w:rPr>
  </w:style>
  <w:style w:type="paragraph" w:styleId="794">
    <w:name w:val="footnote text"/>
    <w:basedOn w:val="771"/>
    <w:link w:val="949"/>
    <w:uiPriority w:val="99"/>
    <w:semiHidden/>
    <w:unhideWhenUsed/>
    <w:pPr>
      <w:spacing w:after="40" w:line="240" w:lineRule="auto"/>
    </w:pPr>
    <w:rPr>
      <w:sz w:val="18"/>
    </w:rPr>
  </w:style>
  <w:style w:type="paragraph" w:styleId="795">
    <w:name w:val="toc 6"/>
    <w:basedOn w:val="771"/>
    <w:next w:val="771"/>
    <w:uiPriority w:val="39"/>
    <w:unhideWhenUsed/>
    <w:pPr>
      <w:ind w:left="1417" w:right="0" w:firstLine="0"/>
      <w:spacing w:after="57"/>
    </w:pPr>
  </w:style>
  <w:style w:type="paragraph" w:styleId="796">
    <w:name w:val="table of figures"/>
    <w:basedOn w:val="771"/>
    <w:next w:val="771"/>
    <w:uiPriority w:val="99"/>
    <w:unhideWhenUsed/>
    <w:pPr>
      <w:spacing w:after="0" w:afterAutospacing="0"/>
    </w:pPr>
  </w:style>
  <w:style w:type="paragraph" w:styleId="797">
    <w:name w:val="toc 2"/>
    <w:basedOn w:val="771"/>
    <w:next w:val="771"/>
    <w:uiPriority w:val="39"/>
    <w:unhideWhenUsed/>
    <w:pPr>
      <w:ind w:left="283" w:right="0" w:firstLine="0"/>
      <w:spacing w:after="57"/>
    </w:pPr>
  </w:style>
  <w:style w:type="paragraph" w:styleId="798">
    <w:name w:val="toc 9"/>
    <w:basedOn w:val="771"/>
    <w:next w:val="771"/>
    <w:uiPriority w:val="39"/>
    <w:unhideWhenUsed/>
    <w:pPr>
      <w:ind w:left="2268" w:right="0" w:firstLine="0"/>
      <w:spacing w:after="57"/>
    </w:pPr>
  </w:style>
  <w:style w:type="paragraph" w:styleId="799">
    <w:name w:val="Title"/>
    <w:basedOn w:val="771"/>
    <w:next w:val="771"/>
    <w:link w:val="815"/>
    <w:uiPriority w:val="10"/>
    <w:qFormat/>
    <w:pPr>
      <w:contextualSpacing/>
      <w:spacing w:before="300" w:after="200"/>
    </w:pPr>
    <w:rPr>
      <w:sz w:val="48"/>
      <w:szCs w:val="48"/>
    </w:rPr>
  </w:style>
  <w:style w:type="table" w:styleId="80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rPr>
      <w:vertAlign w:val="superscript"/>
    </w:rPr>
  </w:style>
  <w:style w:type="character" w:styleId="802">
    <w:name w:val="Hyperlink"/>
    <w:uiPriority w:val="99"/>
    <w:unhideWhenUsed/>
    <w:rPr>
      <w:color w:val="0000ff" w:themeColor="hyperlink"/>
      <w:u w:val="single"/>
    </w:rPr>
  </w:style>
  <w:style w:type="character" w:styleId="803">
    <w:name w:val="footnote reference"/>
    <w:uiPriority w:val="99"/>
    <w:unhideWhenUsed/>
    <w:rPr>
      <w:vertAlign w:val="superscript"/>
    </w:rPr>
  </w:style>
  <w:style w:type="character" w:styleId="804" w:customStyle="1">
    <w:name w:val="Heading 1 Char"/>
    <w:link w:val="772"/>
    <w:uiPriority w:val="9"/>
    <w:rPr>
      <w:rFonts w:ascii="Arial" w:hAnsi="Arial" w:eastAsia="Arial" w:cs="Arial"/>
      <w:sz w:val="40"/>
      <w:szCs w:val="40"/>
    </w:rPr>
  </w:style>
  <w:style w:type="character" w:styleId="805" w:customStyle="1">
    <w:name w:val="Heading 2 Char"/>
    <w:link w:val="773"/>
    <w:uiPriority w:val="9"/>
    <w:rPr>
      <w:rFonts w:ascii="Arial" w:hAnsi="Arial" w:eastAsia="Arial" w:cs="Arial"/>
      <w:sz w:val="34"/>
    </w:rPr>
  </w:style>
  <w:style w:type="character" w:styleId="806" w:customStyle="1">
    <w:name w:val="Heading 3 Char"/>
    <w:link w:val="774"/>
    <w:uiPriority w:val="9"/>
    <w:rPr>
      <w:rFonts w:ascii="Arial" w:hAnsi="Arial" w:eastAsia="Arial" w:cs="Arial"/>
      <w:sz w:val="30"/>
      <w:szCs w:val="30"/>
    </w:rPr>
  </w:style>
  <w:style w:type="character" w:styleId="807" w:customStyle="1">
    <w:name w:val="Heading 4 Char"/>
    <w:link w:val="775"/>
    <w:uiPriority w:val="9"/>
    <w:rPr>
      <w:rFonts w:ascii="Arial" w:hAnsi="Arial" w:eastAsia="Arial" w:cs="Arial"/>
      <w:b/>
      <w:bCs/>
      <w:sz w:val="26"/>
      <w:szCs w:val="26"/>
    </w:rPr>
  </w:style>
  <w:style w:type="character" w:styleId="808" w:customStyle="1">
    <w:name w:val="Heading 5 Char"/>
    <w:link w:val="776"/>
    <w:uiPriority w:val="9"/>
    <w:rPr>
      <w:rFonts w:ascii="Arial" w:hAnsi="Arial" w:eastAsia="Arial" w:cs="Arial"/>
      <w:b/>
      <w:bCs/>
      <w:sz w:val="24"/>
      <w:szCs w:val="24"/>
    </w:rPr>
  </w:style>
  <w:style w:type="character" w:styleId="809" w:customStyle="1">
    <w:name w:val="Heading 6 Char"/>
    <w:link w:val="777"/>
    <w:uiPriority w:val="9"/>
    <w:rPr>
      <w:rFonts w:ascii="Arial" w:hAnsi="Arial" w:eastAsia="Arial" w:cs="Arial"/>
      <w:b/>
      <w:bCs/>
      <w:sz w:val="22"/>
      <w:szCs w:val="22"/>
    </w:rPr>
  </w:style>
  <w:style w:type="character" w:styleId="810" w:customStyle="1">
    <w:name w:val="Heading 7 Char"/>
    <w:link w:val="778"/>
    <w:uiPriority w:val="9"/>
    <w:rPr>
      <w:rFonts w:ascii="Arial" w:hAnsi="Arial" w:eastAsia="Arial" w:cs="Arial"/>
      <w:b/>
      <w:bCs/>
      <w:i/>
      <w:iCs/>
      <w:sz w:val="22"/>
      <w:szCs w:val="22"/>
    </w:rPr>
  </w:style>
  <w:style w:type="character" w:styleId="811" w:customStyle="1">
    <w:name w:val="Heading 8 Char"/>
    <w:link w:val="779"/>
    <w:uiPriority w:val="9"/>
    <w:rPr>
      <w:rFonts w:ascii="Arial" w:hAnsi="Arial" w:eastAsia="Arial" w:cs="Arial"/>
      <w:i/>
      <w:iCs/>
      <w:sz w:val="22"/>
      <w:szCs w:val="22"/>
    </w:rPr>
  </w:style>
  <w:style w:type="character" w:styleId="812" w:customStyle="1">
    <w:name w:val="Heading 9 Char"/>
    <w:link w:val="780"/>
    <w:uiPriority w:val="9"/>
    <w:rPr>
      <w:rFonts w:ascii="Arial" w:hAnsi="Arial" w:eastAsia="Arial" w:cs="Arial"/>
      <w:i/>
      <w:iCs/>
      <w:sz w:val="21"/>
      <w:szCs w:val="21"/>
    </w:rPr>
  </w:style>
  <w:style w:type="paragraph" w:styleId="813">
    <w:name w:val="List Paragraph"/>
    <w:basedOn w:val="771"/>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link w:val="799"/>
    <w:uiPriority w:val="10"/>
    <w:rPr>
      <w:sz w:val="48"/>
      <w:szCs w:val="48"/>
    </w:rPr>
  </w:style>
  <w:style w:type="character" w:styleId="816" w:customStyle="1">
    <w:name w:val="Subtitle Char"/>
    <w:link w:val="793"/>
    <w:uiPriority w:val="11"/>
    <w:rPr>
      <w:sz w:val="24"/>
      <w:szCs w:val="24"/>
    </w:rPr>
  </w:style>
  <w:style w:type="paragraph" w:styleId="817">
    <w:name w:val="Quote"/>
    <w:basedOn w:val="771"/>
    <w:next w:val="771"/>
    <w:link w:val="818"/>
    <w:uiPriority w:val="29"/>
    <w:qFormat/>
    <w:pPr>
      <w:ind w:left="720" w:right="720"/>
    </w:pPr>
    <w:rPr>
      <w:i/>
    </w:rPr>
  </w:style>
  <w:style w:type="character" w:styleId="818" w:customStyle="1">
    <w:name w:val="Quote Char"/>
    <w:link w:val="817"/>
    <w:uiPriority w:val="29"/>
    <w:rPr>
      <w:i/>
    </w:rPr>
  </w:style>
  <w:style w:type="paragraph" w:styleId="819">
    <w:name w:val="Intense Quote"/>
    <w:basedOn w:val="771"/>
    <w:next w:val="77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rPr>
      <w:i/>
    </w:rPr>
  </w:style>
  <w:style w:type="character" w:styleId="821" w:customStyle="1">
    <w:name w:val="Header Char"/>
    <w:link w:val="790"/>
    <w:uiPriority w:val="99"/>
  </w:style>
  <w:style w:type="character" w:styleId="822" w:customStyle="1">
    <w:name w:val="Footer Char"/>
    <w:link w:val="789"/>
    <w:uiPriority w:val="99"/>
  </w:style>
  <w:style w:type="character" w:styleId="823" w:customStyle="1">
    <w:name w:val="Caption Char"/>
    <w:link w:val="789"/>
    <w:uiPriority w:val="99"/>
  </w:style>
  <w:style w:type="table" w:styleId="824"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6"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7"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8"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9"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0"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2"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7"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1"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94"/>
    <w:uiPriority w:val="99"/>
    <w:rPr>
      <w:sz w:val="18"/>
    </w:rPr>
  </w:style>
  <w:style w:type="character" w:styleId="950" w:customStyle="1">
    <w:name w:val="Endnote Text Char"/>
    <w:link w:val="788"/>
    <w:uiPriority w:val="99"/>
    <w:rPr>
      <w:sz w:val="20"/>
    </w:rPr>
  </w:style>
  <w:style w:type="paragraph" w:styleId="951" w:customStyle="1">
    <w:name w:val="TOC Heading"/>
    <w:uiPriority w:val="39"/>
    <w:unhideWhenUsed/>
    <w:rPr>
      <w:rFonts w:hint="default" w:ascii="Times New Roman" w:hAnsi="Times New Roman" w:eastAsia="宋体" w:cs="Times New Roman"/>
    </w:rPr>
  </w:style>
  <w:style w:type="paragraph" w:styleId="952" w:customStyle="1">
    <w:name w:val="标题 11"/>
    <w:basedOn w:val="771"/>
    <w:next w:val="771"/>
    <w:link w:val="964"/>
    <w:uiPriority w:val="0"/>
    <w:qFormat/>
    <w:pPr>
      <w:jc w:val="center"/>
      <w:keepNext/>
      <w:outlineLvl w:val="0"/>
    </w:pPr>
    <w:rPr>
      <w:rFonts w:ascii="楷体_GB2312" w:hAnsi="Times New Roman" w:eastAsia="楷体_GB2312" w:cs="Times New Roman"/>
      <w:sz w:val="28"/>
      <w:szCs w:val="28"/>
    </w:rPr>
  </w:style>
  <w:style w:type="paragraph" w:styleId="953" w:customStyle="1">
    <w:name w:val="标题 21"/>
    <w:basedOn w:val="771"/>
    <w:next w:val="954"/>
    <w:link w:val="9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4" w:customStyle="1">
    <w:name w:val="正文缩进1"/>
    <w:basedOn w:val="771"/>
    <w:link w:val="966"/>
    <w:uiPriority w:val="0"/>
    <w:pPr>
      <w:ind w:firstLine="420"/>
    </w:pPr>
    <w:rPr>
      <w:szCs w:val="21"/>
    </w:rPr>
  </w:style>
  <w:style w:type="paragraph" w:styleId="955" w:customStyle="1">
    <w:name w:val="标题 31"/>
    <w:basedOn w:val="771"/>
    <w:next w:val="771"/>
    <w:link w:val="96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6" w:customStyle="1">
    <w:name w:val="标题 41"/>
    <w:basedOn w:val="771"/>
    <w:next w:val="954"/>
    <w:link w:val="968"/>
    <w:uiPriority w:val="0"/>
    <w:qFormat/>
    <w:pPr>
      <w:keepLines/>
      <w:keepNext/>
      <w:spacing w:before="280" w:after="290" w:line="376" w:lineRule="auto"/>
      <w:outlineLvl w:val="3"/>
    </w:pPr>
    <w:rPr>
      <w:rFonts w:ascii="Arial" w:hAnsi="Arial" w:eastAsia="黑体" w:cs="Arial"/>
      <w:b/>
      <w:bCs/>
      <w:sz w:val="28"/>
      <w:szCs w:val="28"/>
    </w:rPr>
  </w:style>
  <w:style w:type="paragraph" w:styleId="957" w:customStyle="1">
    <w:name w:val="标题 51"/>
    <w:basedOn w:val="771"/>
    <w:next w:val="954"/>
    <w:link w:val="969"/>
    <w:uiPriority w:val="0"/>
    <w:qFormat/>
    <w:pPr>
      <w:keepNext/>
      <w:outlineLvl w:val="4"/>
    </w:pPr>
    <w:rPr>
      <w:rFonts w:ascii="宋体" w:hAnsi="Times New Roman" w:eastAsia="宋体" w:cs="Times New Roman"/>
      <w:color w:val="000000"/>
      <w:sz w:val="28"/>
      <w:szCs w:val="28"/>
    </w:rPr>
  </w:style>
  <w:style w:type="paragraph" w:styleId="958" w:customStyle="1">
    <w:name w:val="标题 61"/>
    <w:basedOn w:val="771"/>
    <w:next w:val="771"/>
    <w:link w:val="97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9" w:customStyle="1">
    <w:name w:val="标题 71"/>
    <w:basedOn w:val="771"/>
    <w:next w:val="771"/>
    <w:link w:val="97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0" w:customStyle="1">
    <w:name w:val="标题 81"/>
    <w:basedOn w:val="771"/>
    <w:next w:val="771"/>
    <w:link w:val="97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1" w:customStyle="1">
    <w:name w:val="标题 91"/>
    <w:basedOn w:val="771"/>
    <w:next w:val="771"/>
    <w:link w:val="97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2" w:customStyle="1">
    <w:name w:val="默认段落字体1"/>
    <w:link w:val="771"/>
    <w:uiPriority w:val="1"/>
    <w:unhideWhenUsed/>
  </w:style>
  <w:style w:type="table" w:styleId="963" w:customStyle="1">
    <w:name w:val="普通表格1"/>
    <w:uiPriority w:val="99"/>
    <w:unhideWhenUsed/>
    <w:tblPr/>
  </w:style>
  <w:style w:type="character" w:styleId="964" w:customStyle="1">
    <w:name w:val="标题 1 字符"/>
    <w:link w:val="952"/>
    <w:uiPriority w:val="0"/>
    <w:rPr>
      <w:rFonts w:ascii="楷体_GB2312" w:hAnsi="Times New Roman" w:eastAsia="楷体_GB2312" w:cs="Times New Roman"/>
      <w:sz w:val="28"/>
      <w:szCs w:val="28"/>
    </w:rPr>
  </w:style>
  <w:style w:type="character" w:styleId="965" w:customStyle="1">
    <w:name w:val="标题 2 字符"/>
    <w:link w:val="953"/>
    <w:uiPriority w:val="0"/>
    <w:rPr>
      <w:rFonts w:ascii="Arial" w:hAnsi="Arial" w:eastAsia="幼圆" w:cs="Arial"/>
      <w:b/>
      <w:bCs/>
      <w:sz w:val="44"/>
      <w:szCs w:val="44"/>
    </w:rPr>
  </w:style>
  <w:style w:type="character" w:styleId="966" w:customStyle="1">
    <w:name w:val="正文缩进 字符"/>
    <w:link w:val="954"/>
    <w:uiPriority w:val="0"/>
    <w:rPr>
      <w:szCs w:val="21"/>
    </w:rPr>
  </w:style>
  <w:style w:type="character" w:styleId="967" w:customStyle="1">
    <w:name w:val="标题 3 字符"/>
    <w:link w:val="955"/>
    <w:uiPriority w:val="0"/>
    <w:rPr>
      <w:rFonts w:ascii="Times New Roman" w:hAnsi="Times New Roman" w:eastAsia="宋体" w:cs="Times New Roman"/>
      <w:b/>
      <w:bCs/>
      <w:sz w:val="32"/>
      <w:szCs w:val="32"/>
    </w:rPr>
  </w:style>
  <w:style w:type="character" w:styleId="968" w:customStyle="1">
    <w:name w:val="标题 4 字符"/>
    <w:link w:val="956"/>
    <w:uiPriority w:val="0"/>
    <w:rPr>
      <w:rFonts w:ascii="Arial" w:hAnsi="Arial" w:eastAsia="黑体" w:cs="Arial"/>
      <w:b/>
      <w:bCs/>
      <w:sz w:val="28"/>
      <w:szCs w:val="28"/>
    </w:rPr>
  </w:style>
  <w:style w:type="character" w:styleId="969" w:customStyle="1">
    <w:name w:val="标题 5 字符"/>
    <w:link w:val="957"/>
    <w:uiPriority w:val="0"/>
    <w:rPr>
      <w:rFonts w:ascii="宋体" w:hAnsi="Times New Roman" w:eastAsia="宋体" w:cs="Times New Roman"/>
      <w:color w:val="000000"/>
      <w:sz w:val="28"/>
      <w:szCs w:val="28"/>
    </w:rPr>
  </w:style>
  <w:style w:type="character" w:styleId="970" w:customStyle="1">
    <w:name w:val="标题 6 字符"/>
    <w:link w:val="958"/>
    <w:uiPriority w:val="0"/>
    <w:rPr>
      <w:rFonts w:ascii="Arial" w:hAnsi="Arial" w:eastAsia="黑体" w:cs="Times New Roman"/>
      <w:b/>
      <w:bCs/>
      <w:sz w:val="24"/>
      <w:szCs w:val="24"/>
    </w:rPr>
  </w:style>
  <w:style w:type="character" w:styleId="971" w:customStyle="1">
    <w:name w:val="标题 7 字符"/>
    <w:link w:val="959"/>
    <w:uiPriority w:val="0"/>
    <w:rPr>
      <w:rFonts w:ascii="Times New Roman" w:hAnsi="Times New Roman" w:eastAsia="宋体" w:cs="Times New Roman"/>
      <w:b/>
      <w:bCs/>
      <w:sz w:val="24"/>
      <w:szCs w:val="24"/>
    </w:rPr>
  </w:style>
  <w:style w:type="character" w:styleId="972" w:customStyle="1">
    <w:name w:val="标题 8 字符"/>
    <w:link w:val="960"/>
    <w:uiPriority w:val="0"/>
    <w:rPr>
      <w:rFonts w:ascii="Arial" w:hAnsi="Arial" w:eastAsia="黑体" w:cs="Times New Roman"/>
      <w:sz w:val="24"/>
      <w:szCs w:val="24"/>
    </w:rPr>
  </w:style>
  <w:style w:type="character" w:styleId="973" w:customStyle="1">
    <w:name w:val="标题 9 字符"/>
    <w:link w:val="961"/>
    <w:uiPriority w:val="0"/>
    <w:rPr>
      <w:rFonts w:ascii="Arial" w:hAnsi="Arial" w:eastAsia="黑体" w:cs="Times New Roman"/>
      <w:szCs w:val="21"/>
    </w:rPr>
  </w:style>
  <w:style w:type="paragraph" w:styleId="974" w:customStyle="1">
    <w:name w:val="列表 31"/>
    <w:basedOn w:val="771"/>
    <w:uiPriority w:val="0"/>
    <w:pPr>
      <w:ind w:left="100" w:hanging="200"/>
    </w:pPr>
    <w:rPr>
      <w:rFonts w:ascii="Times New Roman" w:hAnsi="Times New Roman" w:eastAsia="宋体" w:cs="Times New Roman"/>
      <w:szCs w:val="21"/>
    </w:rPr>
  </w:style>
  <w:style w:type="paragraph" w:styleId="975" w:customStyle="1">
    <w:name w:val="目录 71"/>
    <w:basedOn w:val="771"/>
    <w:next w:val="771"/>
    <w:uiPriority w:val="0"/>
    <w:semiHidden/>
    <w:pPr>
      <w:ind w:left="1260"/>
      <w:jc w:val="left"/>
    </w:pPr>
    <w:rPr>
      <w:rFonts w:ascii="Times New Roman" w:hAnsi="Times New Roman" w:eastAsia="宋体" w:cs="Times New Roman"/>
      <w:szCs w:val="21"/>
    </w:rPr>
  </w:style>
  <w:style w:type="paragraph" w:styleId="976" w:customStyle="1">
    <w:name w:val="文档结构图1"/>
    <w:basedOn w:val="771"/>
    <w:link w:val="977"/>
    <w:uiPriority w:val="0"/>
    <w:semiHidden/>
    <w:pPr>
      <w:shd w:val="clear" w:color="auto" w:fill="000080"/>
    </w:pPr>
    <w:rPr>
      <w:rFonts w:ascii="Times New Roman" w:hAnsi="Times New Roman" w:eastAsia="宋体" w:cs="Times New Roman"/>
      <w:szCs w:val="21"/>
    </w:rPr>
  </w:style>
  <w:style w:type="character" w:styleId="977" w:customStyle="1">
    <w:name w:val="文档结构图 字符"/>
    <w:link w:val="976"/>
    <w:uiPriority w:val="0"/>
    <w:semiHidden/>
    <w:rPr>
      <w:rFonts w:ascii="Times New Roman" w:hAnsi="Times New Roman" w:eastAsia="宋体" w:cs="Times New Roman"/>
      <w:szCs w:val="21"/>
      <w:shd w:val="clear" w:color="auto" w:fill="000080"/>
    </w:rPr>
  </w:style>
  <w:style w:type="paragraph" w:styleId="978" w:customStyle="1">
    <w:name w:val="批注文字1"/>
    <w:basedOn w:val="771"/>
    <w:link w:val="979"/>
    <w:uiPriority w:val="0"/>
    <w:unhideWhenUsed/>
    <w:pPr>
      <w:jc w:val="left"/>
    </w:pPr>
  </w:style>
  <w:style w:type="character" w:styleId="979" w:customStyle="1">
    <w:name w:val="批注文字 字符"/>
    <w:link w:val="978"/>
    <w:uiPriority w:val="99"/>
    <w:semiHidden/>
  </w:style>
  <w:style w:type="paragraph" w:styleId="980" w:customStyle="1">
    <w:name w:val="正文文本 31"/>
    <w:basedOn w:val="771"/>
    <w:link w:val="981"/>
    <w:uiPriority w:val="0"/>
    <w:rPr>
      <w:rFonts w:ascii="仿宋_GB2312" w:hAnsi="Arial" w:eastAsia="仿宋_GB2312" w:cs="Times New Roman"/>
      <w:sz w:val="32"/>
      <w:szCs w:val="32"/>
    </w:rPr>
  </w:style>
  <w:style w:type="character" w:styleId="981" w:customStyle="1">
    <w:name w:val="正文文本 3 字符"/>
    <w:link w:val="980"/>
    <w:uiPriority w:val="0"/>
    <w:rPr>
      <w:rFonts w:ascii="仿宋_GB2312" w:hAnsi="Arial" w:eastAsia="仿宋_GB2312" w:cs="Times New Roman"/>
      <w:sz w:val="32"/>
      <w:szCs w:val="32"/>
    </w:rPr>
  </w:style>
  <w:style w:type="paragraph" w:styleId="982" w:customStyle="1">
    <w:name w:val="正文文本1"/>
    <w:basedOn w:val="771"/>
    <w:link w:val="983"/>
    <w:uiPriority w:val="0"/>
    <w:rPr>
      <w:rFonts w:ascii="楷体_GB2312" w:hAnsi="Arial" w:eastAsia="楷体_GB2312" w:cs="Times New Roman"/>
      <w:sz w:val="28"/>
      <w:szCs w:val="28"/>
    </w:rPr>
  </w:style>
  <w:style w:type="character" w:styleId="983" w:customStyle="1">
    <w:name w:val="正文文本 字符"/>
    <w:link w:val="982"/>
    <w:uiPriority w:val="0"/>
    <w:rPr>
      <w:rFonts w:ascii="楷体_GB2312" w:hAnsi="Arial" w:eastAsia="楷体_GB2312" w:cs="Times New Roman"/>
      <w:sz w:val="28"/>
      <w:szCs w:val="28"/>
    </w:rPr>
  </w:style>
  <w:style w:type="paragraph" w:styleId="984" w:customStyle="1">
    <w:name w:val="正文文本缩进1"/>
    <w:basedOn w:val="771"/>
    <w:link w:val="985"/>
    <w:uiPriority w:val="0"/>
    <w:unhideWhenUsed/>
    <w:pPr>
      <w:ind w:left="420"/>
      <w:spacing w:after="120"/>
    </w:pPr>
  </w:style>
  <w:style w:type="character" w:styleId="985" w:customStyle="1">
    <w:name w:val="正文文本缩进 字符"/>
    <w:link w:val="984"/>
    <w:uiPriority w:val="99"/>
    <w:semiHidden/>
  </w:style>
  <w:style w:type="paragraph" w:styleId="986" w:customStyle="1">
    <w:name w:val="列表 21"/>
    <w:basedOn w:val="771"/>
    <w:uiPriority w:val="0"/>
    <w:pPr>
      <w:ind w:left="100" w:hanging="200"/>
    </w:pPr>
    <w:rPr>
      <w:rFonts w:ascii="Times New Roman" w:hAnsi="Times New Roman" w:eastAsia="宋体" w:cs="Times New Roman"/>
      <w:szCs w:val="21"/>
    </w:rPr>
  </w:style>
  <w:style w:type="paragraph" w:styleId="987" w:customStyle="1">
    <w:name w:val="目录 51"/>
    <w:basedOn w:val="771"/>
    <w:next w:val="771"/>
    <w:uiPriority w:val="0"/>
    <w:semiHidden/>
    <w:pPr>
      <w:ind w:left="840"/>
      <w:jc w:val="left"/>
    </w:pPr>
    <w:rPr>
      <w:rFonts w:ascii="Times New Roman" w:hAnsi="Times New Roman" w:eastAsia="宋体" w:cs="Times New Roman"/>
      <w:szCs w:val="21"/>
    </w:rPr>
  </w:style>
  <w:style w:type="paragraph" w:styleId="988" w:customStyle="1">
    <w:name w:val="目录 31"/>
    <w:basedOn w:val="771"/>
    <w:next w:val="771"/>
    <w:uiPriority w:val="0"/>
    <w:semiHidden/>
    <w:pPr>
      <w:ind w:left="420"/>
      <w:jc w:val="left"/>
    </w:pPr>
    <w:rPr>
      <w:rFonts w:ascii="Times New Roman" w:hAnsi="Times New Roman" w:eastAsia="宋体" w:cs="Times New Roman"/>
      <w:i/>
      <w:iCs/>
      <w:szCs w:val="24"/>
    </w:rPr>
  </w:style>
  <w:style w:type="paragraph" w:styleId="989" w:customStyle="1">
    <w:name w:val="纯文本1"/>
    <w:basedOn w:val="771"/>
    <w:link w:val="990"/>
    <w:uiPriority w:val="0"/>
    <w:qFormat/>
    <w:rPr>
      <w:rFonts w:ascii="宋体" w:hAnsi="Courier New" w:eastAsia="宋体" w:cs="Courier New"/>
      <w:szCs w:val="21"/>
    </w:rPr>
  </w:style>
  <w:style w:type="character" w:styleId="990" w:customStyle="1">
    <w:name w:val="纯文本 字符"/>
    <w:link w:val="989"/>
    <w:uiPriority w:val="0"/>
    <w:rPr>
      <w:rFonts w:ascii="宋体" w:hAnsi="Courier New" w:eastAsia="宋体" w:cs="Courier New"/>
      <w:szCs w:val="21"/>
    </w:rPr>
  </w:style>
  <w:style w:type="paragraph" w:styleId="991" w:customStyle="1">
    <w:name w:val="目录 81"/>
    <w:basedOn w:val="771"/>
    <w:next w:val="771"/>
    <w:uiPriority w:val="0"/>
    <w:semiHidden/>
    <w:pPr>
      <w:ind w:left="1470"/>
      <w:jc w:val="left"/>
    </w:pPr>
    <w:rPr>
      <w:rFonts w:ascii="Times New Roman" w:hAnsi="Times New Roman" w:eastAsia="宋体" w:cs="Times New Roman"/>
      <w:szCs w:val="21"/>
    </w:rPr>
  </w:style>
  <w:style w:type="paragraph" w:styleId="992" w:customStyle="1">
    <w:name w:val="日期1"/>
    <w:basedOn w:val="771"/>
    <w:next w:val="771"/>
    <w:link w:val="993"/>
    <w:uiPriority w:val="0"/>
    <w:rPr>
      <w:rFonts w:ascii="Times New Roman" w:hAnsi="Times New Roman" w:eastAsia="宋体" w:cs="Times New Roman"/>
      <w:sz w:val="24"/>
      <w:szCs w:val="24"/>
    </w:rPr>
  </w:style>
  <w:style w:type="character" w:styleId="993" w:customStyle="1">
    <w:name w:val="日期 字符"/>
    <w:link w:val="992"/>
    <w:uiPriority w:val="0"/>
    <w:rPr>
      <w:rFonts w:ascii="Times New Roman" w:hAnsi="Times New Roman" w:eastAsia="宋体" w:cs="Times New Roman"/>
      <w:sz w:val="24"/>
      <w:szCs w:val="24"/>
    </w:rPr>
  </w:style>
  <w:style w:type="paragraph" w:styleId="994" w:customStyle="1">
    <w:name w:val="正文文本缩进 21"/>
    <w:basedOn w:val="771"/>
    <w:link w:val="995"/>
    <w:uiPriority w:val="0"/>
    <w:pPr>
      <w:ind w:left="630" w:firstLine="645"/>
    </w:pPr>
    <w:rPr>
      <w:rFonts w:ascii="Arial" w:hAnsi="Arial" w:eastAsia="仿宋_GB2312" w:cs="Arial"/>
      <w:sz w:val="32"/>
      <w:szCs w:val="32"/>
    </w:rPr>
  </w:style>
  <w:style w:type="character" w:styleId="995" w:customStyle="1">
    <w:name w:val="正文文本缩进 2 字符"/>
    <w:link w:val="994"/>
    <w:uiPriority w:val="0"/>
    <w:rPr>
      <w:rFonts w:ascii="Arial" w:hAnsi="Arial" w:eastAsia="仿宋_GB2312" w:cs="Arial"/>
      <w:sz w:val="32"/>
      <w:szCs w:val="32"/>
    </w:rPr>
  </w:style>
  <w:style w:type="paragraph" w:styleId="996" w:customStyle="1">
    <w:name w:val="批注框文本1"/>
    <w:basedOn w:val="771"/>
    <w:link w:val="997"/>
    <w:uiPriority w:val="0"/>
    <w:semiHidden/>
    <w:rPr>
      <w:rFonts w:ascii="Times New Roman" w:hAnsi="Times New Roman" w:eastAsia="宋体" w:cs="Times New Roman"/>
      <w:sz w:val="18"/>
      <w:szCs w:val="18"/>
    </w:rPr>
  </w:style>
  <w:style w:type="character" w:styleId="997" w:customStyle="1">
    <w:name w:val="批注框文本 字符"/>
    <w:link w:val="996"/>
    <w:uiPriority w:val="0"/>
    <w:semiHidden/>
    <w:rPr>
      <w:rFonts w:ascii="Times New Roman" w:hAnsi="Times New Roman" w:eastAsia="宋体" w:cs="Times New Roman"/>
      <w:sz w:val="18"/>
      <w:szCs w:val="18"/>
    </w:rPr>
  </w:style>
  <w:style w:type="paragraph" w:styleId="998" w:customStyle="1">
    <w:name w:val="页脚11"/>
    <w:basedOn w:val="771"/>
    <w:link w:val="99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9" w:customStyle="1">
    <w:name w:val="页脚 字符"/>
    <w:link w:val="998"/>
    <w:uiPriority w:val="99"/>
    <w:rPr>
      <w:rFonts w:ascii="Times New Roman" w:hAnsi="Times New Roman" w:eastAsia="宋体" w:cs="Times New Roman"/>
      <w:sz w:val="18"/>
      <w:szCs w:val="18"/>
    </w:rPr>
  </w:style>
  <w:style w:type="paragraph" w:styleId="1000" w:customStyle="1">
    <w:name w:val="页眉11"/>
    <w:basedOn w:val="771"/>
    <w:link w:val="1001"/>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1" w:customStyle="1">
    <w:name w:val="页眉 字符"/>
    <w:link w:val="1000"/>
    <w:uiPriority w:val="0"/>
    <w:rPr>
      <w:rFonts w:ascii="Times New Roman" w:hAnsi="Times New Roman" w:eastAsia="宋体" w:cs="Times New Roman"/>
      <w:sz w:val="18"/>
      <w:szCs w:val="18"/>
    </w:rPr>
  </w:style>
  <w:style w:type="paragraph" w:styleId="1002" w:customStyle="1">
    <w:name w:val="目录 11"/>
    <w:basedOn w:val="771"/>
    <w:next w:val="771"/>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3" w:customStyle="1">
    <w:name w:val="目录 41"/>
    <w:basedOn w:val="771"/>
    <w:next w:val="771"/>
    <w:uiPriority w:val="0"/>
    <w:semiHidden/>
    <w:pPr>
      <w:ind w:left="630"/>
      <w:jc w:val="left"/>
    </w:pPr>
    <w:rPr>
      <w:rFonts w:ascii="Times New Roman" w:hAnsi="Times New Roman" w:eastAsia="宋体" w:cs="Times New Roman"/>
      <w:szCs w:val="21"/>
    </w:rPr>
  </w:style>
  <w:style w:type="paragraph" w:styleId="1004" w:customStyle="1">
    <w:name w:val="列表1"/>
    <w:basedOn w:val="771"/>
    <w:uiPriority w:val="0"/>
    <w:pPr>
      <w:ind w:left="200" w:hanging="200"/>
    </w:pPr>
    <w:rPr>
      <w:rFonts w:ascii="Times New Roman" w:hAnsi="Times New Roman" w:eastAsia="宋体" w:cs="Times New Roman"/>
      <w:szCs w:val="21"/>
    </w:rPr>
  </w:style>
  <w:style w:type="paragraph" w:styleId="1005" w:customStyle="1">
    <w:name w:val="目录 61"/>
    <w:basedOn w:val="771"/>
    <w:next w:val="771"/>
    <w:uiPriority w:val="0"/>
    <w:semiHidden/>
    <w:pPr>
      <w:ind w:left="1050"/>
      <w:jc w:val="left"/>
    </w:pPr>
    <w:rPr>
      <w:rFonts w:ascii="Times New Roman" w:hAnsi="Times New Roman" w:eastAsia="宋体" w:cs="Times New Roman"/>
      <w:szCs w:val="21"/>
    </w:rPr>
  </w:style>
  <w:style w:type="paragraph" w:styleId="1006" w:customStyle="1">
    <w:name w:val="正文文本缩进 31"/>
    <w:basedOn w:val="771"/>
    <w:link w:val="1007"/>
    <w:uiPriority w:val="0"/>
    <w:pPr>
      <w:ind w:left="645" w:firstLine="645"/>
    </w:pPr>
    <w:rPr>
      <w:rFonts w:ascii="Arial" w:hAnsi="Arial" w:eastAsia="仿宋_GB2312" w:cs="Arial"/>
      <w:color w:val="ffff00"/>
      <w:sz w:val="32"/>
      <w:szCs w:val="32"/>
    </w:rPr>
  </w:style>
  <w:style w:type="character" w:styleId="1007" w:customStyle="1">
    <w:name w:val="正文文本缩进 3 字符"/>
    <w:link w:val="1006"/>
    <w:uiPriority w:val="0"/>
    <w:rPr>
      <w:rFonts w:ascii="Arial" w:hAnsi="Arial" w:eastAsia="仿宋_GB2312" w:cs="Arial"/>
      <w:color w:val="ffff00"/>
      <w:sz w:val="32"/>
      <w:szCs w:val="32"/>
    </w:rPr>
  </w:style>
  <w:style w:type="paragraph" w:styleId="1008" w:customStyle="1">
    <w:name w:val="图表目录1"/>
    <w:basedOn w:val="771"/>
    <w:next w:val="771"/>
    <w:uiPriority w:val="0"/>
    <w:semiHidden/>
    <w:pPr>
      <w:ind w:left="840" w:hanging="420"/>
    </w:pPr>
    <w:rPr>
      <w:rFonts w:ascii="Times New Roman" w:hAnsi="Times New Roman" w:eastAsia="宋体" w:cs="Times New Roman"/>
      <w:szCs w:val="21"/>
    </w:rPr>
  </w:style>
  <w:style w:type="paragraph" w:styleId="1009" w:customStyle="1">
    <w:name w:val="目录 21"/>
    <w:basedOn w:val="771"/>
    <w:next w:val="771"/>
    <w:uiPriority w:val="0"/>
    <w:semiHidden/>
    <w:pPr>
      <w:ind w:left="210"/>
      <w:jc w:val="left"/>
    </w:pPr>
    <w:rPr>
      <w:rFonts w:ascii="Times New Roman" w:hAnsi="Times New Roman" w:eastAsia="宋体" w:cs="Times New Roman"/>
      <w:smallCaps/>
      <w:szCs w:val="24"/>
    </w:rPr>
  </w:style>
  <w:style w:type="paragraph" w:styleId="1010" w:customStyle="1">
    <w:name w:val="目录 91"/>
    <w:basedOn w:val="771"/>
    <w:next w:val="771"/>
    <w:uiPriority w:val="0"/>
    <w:semiHidden/>
    <w:pPr>
      <w:ind w:left="1680"/>
      <w:jc w:val="left"/>
    </w:pPr>
    <w:rPr>
      <w:rFonts w:ascii="Times New Roman" w:hAnsi="Times New Roman" w:eastAsia="宋体" w:cs="Times New Roman"/>
      <w:szCs w:val="21"/>
    </w:rPr>
  </w:style>
  <w:style w:type="paragraph" w:styleId="1011" w:customStyle="1">
    <w:name w:val="正文文本 21"/>
    <w:basedOn w:val="771"/>
    <w:link w:val="1012"/>
    <w:uiPriority w:val="0"/>
    <w:pPr>
      <w:jc w:val="center"/>
      <w:widowControl/>
    </w:pPr>
    <w:rPr>
      <w:rFonts w:ascii="楷体_GB2312" w:hAnsi="Times New Roman" w:eastAsia="楷体_GB2312" w:cs="Times New Roman"/>
      <w:sz w:val="28"/>
      <w:szCs w:val="28"/>
    </w:rPr>
  </w:style>
  <w:style w:type="character" w:styleId="1012" w:customStyle="1">
    <w:name w:val="正文文本 2 字符"/>
    <w:link w:val="1011"/>
    <w:uiPriority w:val="0"/>
    <w:rPr>
      <w:rFonts w:ascii="楷体_GB2312" w:hAnsi="Times New Roman" w:eastAsia="楷体_GB2312" w:cs="Times New Roman"/>
      <w:sz w:val="28"/>
      <w:szCs w:val="28"/>
    </w:rPr>
  </w:style>
  <w:style w:type="paragraph" w:styleId="1013" w:customStyle="1">
    <w:name w:val="普通(网站)1"/>
    <w:basedOn w:val="771"/>
    <w:uiPriority w:val="99"/>
    <w:pPr>
      <w:jc w:val="left"/>
      <w:spacing w:before="100" w:beforeAutospacing="1" w:after="100" w:afterAutospacing="1"/>
      <w:widowControl/>
    </w:pPr>
    <w:rPr>
      <w:rFonts w:ascii="宋体" w:hAnsi="宋体" w:eastAsia="宋体" w:cs="宋体"/>
      <w:sz w:val="24"/>
      <w:szCs w:val="24"/>
    </w:rPr>
  </w:style>
  <w:style w:type="paragraph" w:styleId="1014" w:customStyle="1">
    <w:name w:val="索引 11"/>
    <w:basedOn w:val="771"/>
    <w:next w:val="771"/>
    <w:uiPriority w:val="0"/>
    <w:semiHidden/>
    <w:pPr>
      <w:spacing w:line="240" w:lineRule="atLeast"/>
    </w:pPr>
    <w:rPr>
      <w:rFonts w:ascii="Times New Roman" w:hAnsi="Times New Roman" w:eastAsia="宋体" w:cs="Times New Roman"/>
      <w:b/>
      <w:bCs/>
      <w:szCs w:val="21"/>
    </w:rPr>
  </w:style>
  <w:style w:type="paragraph" w:styleId="1015" w:customStyle="1">
    <w:name w:val="批注主题1"/>
    <w:basedOn w:val="978"/>
    <w:next w:val="978"/>
    <w:link w:val="1016"/>
    <w:uiPriority w:val="0"/>
    <w:semiHidden/>
    <w:rPr>
      <w:rFonts w:ascii="Times New Roman" w:hAnsi="Times New Roman" w:eastAsia="宋体" w:cs="Times New Roman"/>
      <w:b/>
      <w:bCs/>
      <w:szCs w:val="21"/>
    </w:rPr>
  </w:style>
  <w:style w:type="character" w:styleId="1016" w:customStyle="1">
    <w:name w:val="批注主题 字符"/>
    <w:link w:val="1015"/>
    <w:uiPriority w:val="0"/>
    <w:semiHidden/>
    <w:rPr>
      <w:rFonts w:ascii="Times New Roman" w:hAnsi="Times New Roman" w:eastAsia="宋体" w:cs="Times New Roman"/>
      <w:b/>
      <w:bCs/>
      <w:szCs w:val="21"/>
    </w:rPr>
  </w:style>
  <w:style w:type="paragraph" w:styleId="1017" w:customStyle="1">
    <w:name w:val="正文首行缩进1"/>
    <w:basedOn w:val="771"/>
    <w:link w:val="1018"/>
    <w:uiPriority w:val="0"/>
    <w:pPr>
      <w:ind w:firstLine="200"/>
      <w:spacing w:line="360" w:lineRule="auto"/>
    </w:pPr>
    <w:rPr>
      <w:rFonts w:ascii="仿宋_GB2312" w:hAnsi="Times New Roman" w:eastAsia="仿宋_GB2312" w:cs="Times New Roman"/>
      <w:sz w:val="30"/>
      <w:szCs w:val="30"/>
    </w:rPr>
  </w:style>
  <w:style w:type="character" w:styleId="1018" w:customStyle="1">
    <w:name w:val="正文文本首行缩进 字符"/>
    <w:link w:val="1017"/>
    <w:uiPriority w:val="0"/>
    <w:rPr>
      <w:rFonts w:ascii="仿宋_GB2312" w:hAnsi="Times New Roman" w:eastAsia="仿宋_GB2312" w:cs="Times New Roman"/>
      <w:sz w:val="30"/>
      <w:szCs w:val="30"/>
    </w:rPr>
  </w:style>
  <w:style w:type="paragraph" w:styleId="1019" w:customStyle="1">
    <w:name w:val="正文首行缩进 21"/>
    <w:basedOn w:val="984"/>
    <w:link w:val="1020"/>
    <w:uiPriority w:val="0"/>
    <w:pPr>
      <w:ind w:left="0" w:firstLine="420"/>
      <w:spacing w:after="0" w:line="360" w:lineRule="auto"/>
    </w:pPr>
    <w:rPr>
      <w:rFonts w:ascii="宋体" w:hAnsi="宋体" w:eastAsia="宋体" w:cs="Times New Roman"/>
      <w:szCs w:val="20"/>
    </w:rPr>
  </w:style>
  <w:style w:type="character" w:styleId="1020" w:customStyle="1">
    <w:name w:val="正文文本首行缩进 2 字符"/>
    <w:link w:val="1019"/>
    <w:uiPriority w:val="0"/>
    <w:rPr>
      <w:rFonts w:ascii="宋体" w:hAnsi="宋体" w:eastAsia="宋体" w:cs="Times New Roman"/>
      <w:szCs w:val="20"/>
    </w:rPr>
  </w:style>
  <w:style w:type="table" w:styleId="1021" w:customStyle="1">
    <w:name w:val="网格型1"/>
    <w:basedOn w:val="963"/>
    <w:uiPriority w:val="0"/>
    <w:pPr>
      <w:jc w:val="both"/>
      <w:widowControl w:val="off"/>
    </w:pPr>
    <w:rPr>
      <w:rFonts w:ascii="Times New Roman" w:hAnsi="Times New Roman" w:eastAsia="宋体" w:cs="Times New Roman"/>
      <w:sz w:val="20"/>
      <w:szCs w:val="20"/>
    </w:rPr>
    <w:tblPr/>
  </w:style>
  <w:style w:type="character" w:styleId="1022" w:customStyle="1">
    <w:name w:val="要点1"/>
    <w:link w:val="771"/>
    <w:uiPriority w:val="0"/>
    <w:qFormat/>
    <w:rPr>
      <w:b/>
      <w:bCs/>
    </w:rPr>
  </w:style>
  <w:style w:type="character" w:styleId="1023" w:customStyle="1">
    <w:name w:val="页码11"/>
    <w:link w:val="771"/>
    <w:uiPriority w:val="0"/>
  </w:style>
  <w:style w:type="character" w:styleId="1024" w:customStyle="1">
    <w:name w:val="已访问的超链接1"/>
    <w:link w:val="771"/>
    <w:uiPriority w:val="0"/>
    <w:rPr>
      <w:color w:val="800080"/>
      <w:u w:val="single"/>
    </w:rPr>
  </w:style>
  <w:style w:type="character" w:styleId="1025" w:customStyle="1">
    <w:name w:val="强调1"/>
    <w:link w:val="771"/>
    <w:uiPriority w:val="0"/>
    <w:qFormat/>
    <w:rPr>
      <w:i/>
    </w:rPr>
  </w:style>
  <w:style w:type="character" w:styleId="1026" w:customStyle="1">
    <w:name w:val="超链接1"/>
    <w:link w:val="771"/>
    <w:uiPriority w:val="0"/>
    <w:rPr>
      <w:color w:val="0000ff"/>
      <w:u w:val="single"/>
    </w:rPr>
  </w:style>
  <w:style w:type="character" w:styleId="1027" w:customStyle="1">
    <w:name w:val="批注引用1"/>
    <w:link w:val="771"/>
    <w:uiPriority w:val="0"/>
    <w:semiHidden/>
    <w:rPr>
      <w:sz w:val="21"/>
      <w:szCs w:val="21"/>
    </w:rPr>
  </w:style>
  <w:style w:type="character" w:styleId="1028" w:customStyle="1">
    <w:name w:val="font5 Char"/>
    <w:link w:val="771"/>
    <w:uiPriority w:val="0"/>
    <w:rPr>
      <w:rFonts w:ascii="宋体" w:hAnsi="宋体" w:eastAsia="宋体"/>
      <w:sz w:val="28"/>
      <w:szCs w:val="28"/>
      <w:lang w:val="en-US" w:eastAsia="zh-CN" w:bidi="ar-SA"/>
    </w:rPr>
  </w:style>
  <w:style w:type="character" w:styleId="1029" w:customStyle="1">
    <w:name w:val="二级目录 Char"/>
    <w:link w:val="1030"/>
    <w:uiPriority w:val="0"/>
    <w:rPr>
      <w:b/>
      <w:sz w:val="30"/>
      <w:szCs w:val="28"/>
    </w:rPr>
  </w:style>
  <w:style w:type="paragraph" w:styleId="1030" w:customStyle="1">
    <w:name w:val="二级目录"/>
    <w:next w:val="771"/>
    <w:link w:val="1029"/>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1" w:customStyle="1">
    <w:name w:val="列出段落 Char"/>
    <w:link w:val="1032"/>
    <w:uiPriority w:val="0"/>
    <w:rPr>
      <w:rFonts w:ascii="Calibri" w:hAnsi="Calibri"/>
      <w:sz w:val="24"/>
      <w:szCs w:val="24"/>
      <w:lang w:eastAsia="en-US" w:bidi="en-US"/>
    </w:rPr>
  </w:style>
  <w:style w:type="paragraph" w:styleId="1032" w:customStyle="1">
    <w:name w:val="列出段落1"/>
    <w:basedOn w:val="771"/>
    <w:link w:val="1031"/>
    <w:uiPriority w:val="0"/>
    <w:qFormat/>
    <w:pPr>
      <w:contextualSpacing/>
      <w:ind w:left="720"/>
      <w:jc w:val="left"/>
      <w:widowControl/>
    </w:pPr>
    <w:rPr>
      <w:rFonts w:ascii="Calibri" w:hAnsi="Calibri"/>
      <w:sz w:val="24"/>
      <w:szCs w:val="24"/>
      <w:lang w:eastAsia="en-US" w:bidi="en-US"/>
    </w:rPr>
  </w:style>
  <w:style w:type="paragraph" w:styleId="1033" w:customStyle="1">
    <w:name w:val="Body Text(ch)"/>
    <w:basedOn w:val="771"/>
    <w:next w:val="982"/>
    <w:uiPriority w:val="0"/>
    <w:pPr>
      <w:spacing w:after="120"/>
    </w:pPr>
    <w:rPr>
      <w:rFonts w:ascii="宋体" w:hAnsi="Arial" w:eastAsia="宋体" w:cs="Times New Roman"/>
      <w:bCs/>
      <w:iCs/>
      <w:szCs w:val="24"/>
    </w:rPr>
  </w:style>
  <w:style w:type="paragraph" w:styleId="1034" w:customStyle="1">
    <w:name w:val="xl27"/>
    <w:basedOn w:val="77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xl26"/>
    <w:basedOn w:val="771"/>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6" w:customStyle="1">
    <w:name w:val="Char"/>
    <w:basedOn w:val="771"/>
    <w:uiPriority w:val="0"/>
    <w:pPr>
      <w:ind w:firstLine="200"/>
      <w:tabs>
        <w:tab w:val="left" w:pos="360" w:leader="none"/>
      </w:tabs>
    </w:pPr>
    <w:rPr>
      <w:rFonts w:ascii="Times New Roman" w:hAnsi="Times New Roman" w:eastAsia="宋体" w:cs="Times New Roman"/>
      <w:sz w:val="28"/>
      <w:szCs w:val="30"/>
    </w:rPr>
  </w:style>
  <w:style w:type="paragraph" w:styleId="1037" w:customStyle="1">
    <w:name w:val=" Char"/>
    <w:basedOn w:val="976"/>
    <w:uiPriority w:val="0"/>
    <w:rPr>
      <w:rFonts w:ascii="Tahoma" w:hAnsi="Tahoma"/>
      <w:sz w:val="24"/>
      <w:szCs w:val="24"/>
    </w:rPr>
  </w:style>
  <w:style w:type="paragraph" w:styleId="1038" w:customStyle="1">
    <w:name w:val="普通正文"/>
    <w:basedOn w:val="771"/>
    <w:uiPriority w:val="0"/>
    <w:pPr>
      <w:ind w:firstLine="480"/>
      <w:jc w:val="left"/>
      <w:spacing w:before="120" w:after="120" w:line="360" w:lineRule="auto"/>
    </w:pPr>
    <w:rPr>
      <w:rFonts w:ascii="Arial" w:hAnsi="Arial" w:eastAsia="宋体" w:cs="Times New Roman"/>
      <w:sz w:val="24"/>
      <w:szCs w:val="24"/>
    </w:rPr>
  </w:style>
  <w:style w:type="paragraph" w:styleId="1039" w:customStyle="1">
    <w:name w:val="table_lines"/>
    <w:basedOn w:val="771"/>
    <w:uiPriority w:val="0"/>
    <w:pPr>
      <w:jc w:val="left"/>
      <w:widowControl/>
    </w:pPr>
    <w:rPr>
      <w:rFonts w:ascii="Times New Roman" w:hAnsi="Times New Roman" w:eastAsia="宋体" w:cs="Times New Roman"/>
      <w:sz w:val="20"/>
      <w:szCs w:val="20"/>
      <w:lang w:val="de-DE" w:eastAsia="de-DE"/>
    </w:rPr>
  </w:style>
  <w:style w:type="paragraph" w:styleId="1040"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1" w:customStyle="1">
    <w:name w:val="font7"/>
    <w:basedOn w:val="771"/>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042" w:customStyle="1">
    <w:name w:val=" Char Char Char Char"/>
    <w:basedOn w:val="976"/>
    <w:uiPriority w:val="0"/>
    <w:pPr>
      <w:spacing w:line="360" w:lineRule="auto"/>
    </w:pPr>
    <w:rPr>
      <w:rFonts w:ascii="Tahoma" w:hAnsi="Tahoma"/>
      <w:sz w:val="24"/>
      <w:szCs w:val="24"/>
    </w:rPr>
  </w:style>
  <w:style w:type="paragraph" w:styleId="1043" w:customStyle="1">
    <w:name w:val="列表段落"/>
    <w:basedOn w:val="771"/>
    <w:uiPriority w:val="0"/>
    <w:qFormat/>
    <w:pPr>
      <w:contextualSpacing/>
      <w:ind w:left="720"/>
      <w:jc w:val="left"/>
      <w:widowControl/>
    </w:pPr>
    <w:rPr>
      <w:rFonts w:ascii="Calibri" w:hAnsi="Calibri" w:eastAsia="宋体" w:cs="Times New Roman"/>
      <w:sz w:val="24"/>
      <w:szCs w:val="24"/>
      <w:lang w:eastAsia="en-US" w:bidi="en-US"/>
    </w:rPr>
  </w:style>
  <w:style w:type="paragraph" w:styleId="1044" w:customStyle="1">
    <w:name w:val="4"/>
    <w:basedOn w:val="771"/>
    <w:next w:val="1006"/>
    <w:uiPriority w:val="0"/>
    <w:pPr>
      <w:ind w:firstLine="420"/>
      <w:spacing w:line="360" w:lineRule="auto"/>
    </w:pPr>
    <w:rPr>
      <w:rFonts w:ascii="Times New Roman" w:hAnsi="Times New Roman" w:eastAsia="宋体" w:cs="Times New Roman"/>
      <w:color w:val="ff0000"/>
      <w:sz w:val="24"/>
      <w:szCs w:val="24"/>
    </w:rPr>
  </w:style>
  <w:style w:type="paragraph" w:styleId="1045" w:customStyle="1">
    <w:name w:val="普通 (Web)"/>
    <w:basedOn w:val="771"/>
    <w:uiPriority w:val="0"/>
    <w:pPr>
      <w:jc w:val="left"/>
      <w:spacing w:before="100" w:beforeAutospacing="1" w:after="100" w:afterAutospacing="1"/>
      <w:widowControl/>
    </w:pPr>
    <w:rPr>
      <w:rFonts w:ascii="宋体" w:hAnsi="宋体" w:eastAsia="宋体" w:cs="Times New Roman"/>
      <w:sz w:val="24"/>
      <w:szCs w:val="24"/>
    </w:rPr>
  </w:style>
  <w:style w:type="paragraph" w:styleId="1046" w:customStyle="1">
    <w:name w:val=" Char Char Char Char Char Char Char Char Char Char"/>
    <w:basedOn w:val="771"/>
    <w:uiPriority w:val="0"/>
    <w:pPr>
      <w:spacing w:line="360" w:lineRule="auto"/>
    </w:pPr>
    <w:rPr>
      <w:rFonts w:ascii="Times New Roman" w:hAnsi="Times New Roman" w:eastAsia="宋体" w:cs="Times New Roman"/>
      <w:sz w:val="24"/>
      <w:szCs w:val="20"/>
    </w:rPr>
  </w:style>
  <w:style w:type="paragraph" w:styleId="1047" w:customStyle="1">
    <w:name w:val="样式1"/>
    <w:basedOn w:val="771"/>
    <w:uiPriority w:val="0"/>
    <w:pPr>
      <w:numPr>
        <w:ilvl w:val="0"/>
        <w:numId w:val="3"/>
      </w:numPr>
    </w:pPr>
    <w:rPr>
      <w:rFonts w:ascii="宋体" w:hAnsi="宋体" w:eastAsia="宋体" w:cs="Times New Roman"/>
      <w:szCs w:val="21"/>
    </w:rPr>
  </w:style>
  <w:style w:type="paragraph" w:styleId="1048" w:customStyle="1">
    <w:name w:val="font6"/>
    <w:basedOn w:val="771"/>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49" w:customStyle="1">
    <w:name w:val="xl25"/>
    <w:basedOn w:val="771"/>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图标"/>
    <w:basedOn w:val="771"/>
    <w:next w:val="771"/>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1" w:customStyle="1">
    <w:name w:val="标题3"/>
    <w:basedOn w:val="771"/>
    <w:next w:val="771"/>
    <w:uiPriority w:val="0"/>
    <w:pPr>
      <w:ind w:firstLine="624"/>
      <w:spacing w:line="590" w:lineRule="atLeast"/>
    </w:pPr>
    <w:rPr>
      <w:rFonts w:ascii="方正黑体_GBK" w:hAnsi="Times New Roman" w:eastAsia="方正黑体_GBK" w:cs="Times New Roman"/>
      <w:sz w:val="32"/>
      <w:szCs w:val="32"/>
    </w:rPr>
  </w:style>
  <w:style w:type="paragraph" w:styleId="1052" w:customStyle="1">
    <w:name w:val="xl24"/>
    <w:basedOn w:val="77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3" w:customStyle="1">
    <w:name w:val="xl29"/>
    <w:basedOn w:val="771"/>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4" w:customStyle="1">
    <w:name w:val="Char Char Char Char Char Char Char Char"/>
    <w:basedOn w:val="771"/>
    <w:uiPriority w:val="0"/>
    <w:pPr>
      <w:jc w:val="left"/>
      <w:spacing w:after="160" w:line="240" w:lineRule="exact"/>
      <w:widowControl/>
    </w:pPr>
    <w:rPr>
      <w:rFonts w:ascii="Verdana" w:hAnsi="Verdana" w:eastAsia="宋体" w:cs="Times New Roman"/>
      <w:sz w:val="20"/>
      <w:szCs w:val="20"/>
      <w:lang w:eastAsia="en-US"/>
    </w:rPr>
  </w:style>
  <w:style w:type="paragraph" w:styleId="1055" w:customStyle="1">
    <w:name w:val="xl28"/>
    <w:basedOn w:val="771"/>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6" w:customStyle="1">
    <w:name w:val=" Char Char Char Char Char Char Char Char"/>
    <w:basedOn w:val="771"/>
    <w:uiPriority w:val="0"/>
    <w:pPr>
      <w:jc w:val="left"/>
      <w:spacing w:after="160" w:line="240" w:lineRule="exact"/>
      <w:widowControl/>
    </w:pPr>
    <w:rPr>
      <w:rFonts w:ascii="Verdana" w:hAnsi="Verdana" w:eastAsia="宋体" w:cs="Times New Roman"/>
      <w:sz w:val="20"/>
      <w:szCs w:val="20"/>
      <w:lang w:eastAsia="en-US"/>
    </w:rPr>
  </w:style>
  <w:style w:type="paragraph" w:styleId="1057" w:customStyle="1">
    <w:name w:val="xl30"/>
    <w:basedOn w:val="771"/>
    <w:uiPriority w:val="0"/>
    <w:pPr>
      <w:jc w:val="center"/>
      <w:spacing w:before="100" w:beforeAutospacing="1" w:after="100" w:afterAutospacing="1"/>
      <w:widowControl/>
    </w:pPr>
    <w:rPr>
      <w:rFonts w:ascii="宋体" w:hAnsi="宋体" w:eastAsia="宋体" w:cs="Times New Roman"/>
      <w:b/>
      <w:bCs/>
      <w:sz w:val="36"/>
      <w:szCs w:val="36"/>
    </w:rPr>
  </w:style>
  <w:style w:type="paragraph" w:styleId="1058" w:customStyle="1">
    <w:name w:val="Char Char Char Char"/>
    <w:basedOn w:val="976"/>
    <w:uiPriority w:val="0"/>
    <w:pPr>
      <w:spacing w:line="360" w:lineRule="auto"/>
    </w:pPr>
    <w:rPr>
      <w:rFonts w:ascii="Tahoma" w:hAnsi="Tahoma"/>
      <w:sz w:val="24"/>
      <w:szCs w:val="24"/>
    </w:rPr>
  </w:style>
  <w:style w:type="paragraph" w:styleId="1059" w:customStyle="1">
    <w:name w:val="table_1stline"/>
    <w:basedOn w:val="771"/>
    <w:uiPriority w:val="0"/>
    <w:pPr>
      <w:jc w:val="left"/>
      <w:spacing w:before="120"/>
      <w:widowControl/>
    </w:pPr>
    <w:rPr>
      <w:rFonts w:ascii="Times New Roman" w:hAnsi="Times New Roman" w:eastAsia="宋体" w:cs="Times New Roman"/>
      <w:bCs/>
      <w:sz w:val="20"/>
      <w:szCs w:val="20"/>
      <w:lang w:val="de-DE" w:eastAsia="de-DE"/>
    </w:rPr>
  </w:style>
  <w:style w:type="paragraph" w:styleId="1060" w:customStyle="1">
    <w:name w:val="font5"/>
    <w:basedOn w:val="771"/>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061" w:customStyle="1">
    <w:name w:val="标题1"/>
    <w:basedOn w:val="771"/>
    <w:next w:val="771"/>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2" w:customStyle="1">
    <w:name w:val="修订"/>
    <w:uiPriority w:val="99"/>
    <w:semiHidden/>
    <w:rPr>
      <w:rFonts w:hint="default" w:ascii="Times New Roman" w:hAnsi="Times New Roman" w:eastAsia="宋体" w:cs="Times New Roman"/>
      <w:sz w:val="21"/>
      <w:szCs w:val="21"/>
      <w:lang w:val="en-US" w:eastAsia="zh-CN" w:bidi="ar-SA"/>
    </w:rPr>
  </w:style>
  <w:style w:type="paragraph" w:styleId="10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65" w:customStyle="1">
    <w:name w:val="font31"/>
    <w:link w:val="771"/>
    <w:uiPriority w:val="0"/>
    <w:qFormat/>
    <w:rPr>
      <w:rFonts w:hint="eastAsia" w:ascii="宋体" w:hAnsi="宋体" w:eastAsia="宋体" w:cs="宋体"/>
      <w:color w:val="000000"/>
      <w:sz w:val="21"/>
      <w:szCs w:val="21"/>
      <w:u w:val="none"/>
    </w:rPr>
  </w:style>
  <w:style w:type="paragraph" w:styleId="1066" w:customStyle="1">
    <w:name w:val="页眉1"/>
    <w:basedOn w:val="771"/>
    <w:uiPriority w:val="0"/>
    <w:qFormat/>
    <w:pPr>
      <w:jc w:val="center"/>
      <w:tabs>
        <w:tab w:val="center" w:pos="4153" w:leader="none"/>
        <w:tab w:val="right" w:pos="8306" w:leader="none"/>
      </w:tabs>
      <w:pBdr>
        <w:bottom w:val="single" w:color="000000" w:sz="6" w:space="1"/>
      </w:pBdr>
    </w:pPr>
    <w:rPr>
      <w:sz w:val="18"/>
      <w:szCs w:val="18"/>
    </w:rPr>
  </w:style>
  <w:style w:type="paragraph" w:styleId="1067" w:customStyle="1">
    <w:name w:val="页脚1"/>
    <w:basedOn w:val="771"/>
    <w:uiPriority w:val="99"/>
    <w:qFormat/>
    <w:pPr>
      <w:jc w:val="left"/>
      <w:tabs>
        <w:tab w:val="center" w:pos="4153" w:leader="none"/>
        <w:tab w:val="right" w:pos="8306" w:leader="none"/>
      </w:tabs>
    </w:pPr>
    <w:rPr>
      <w:sz w:val="18"/>
      <w:szCs w:val="18"/>
    </w:rPr>
  </w:style>
  <w:style w:type="character" w:styleId="1068" w:customStyle="1">
    <w:name w:val="页码1"/>
    <w:link w:val="771"/>
    <w:uiPriority w:val="0"/>
    <w:qFormat/>
  </w:style>
  <w:style w:type="paragraph" w:styleId="1069" w:customStyle="1">
    <w:name w:val="Table Text"/>
    <w:basedOn w:val="771"/>
    <w:uiPriority w:val="0"/>
    <w:semiHidden/>
    <w:qFormat/>
    <w:rPr>
      <w:rFonts w:ascii="黑体" w:hAnsi="黑体" w:eastAsia="黑体" w:cs="黑体"/>
      <w:sz w:val="18"/>
      <w:szCs w:val="18"/>
    </w:rPr>
  </w:style>
  <w:style w:type="table" w:styleId="1070" w:customStyle="1">
    <w:name w:val="Table Normal"/>
    <w:uiPriority w:val="0"/>
    <w:unhideWhenUsed/>
    <w:qFormat/>
    <w:rPr>
      <w:lang w:val="en-US" w:eastAsia="zh-CN" w:bidi="ar-SA"/>
    </w:rPr>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7</cp:revision>
  <dcterms:created xsi:type="dcterms:W3CDTF">2026-07-16T07:23:00Z</dcterms:created>
  <dcterms:modified xsi:type="dcterms:W3CDTF">2026-07-24T05:06:51Z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7219CBF13F1640BA8C5FCCF60C1458A2_12</vt:lpwstr>
  </property>
</Properties>
</file>