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color w:val="000000"/>
          <w:sz w:val="22"/>
          <w:szCs w:val="20"/>
          <w:highlight w:val="none"/>
        </w:rPr>
      </w:pPr>
      <w:r>
        <w:rPr>
          <w:rFonts w:ascii="宋体" w:hAnsi="宋体"/>
          <w:color w:val="000000"/>
          <w:sz w:val="22"/>
          <w:szCs w:val="20"/>
          <w:highlight w:val="none"/>
        </w:rPr>
      </w:r>
      <w:r/>
    </w:p>
    <w:p>
      <w:pPr>
        <w:jc w:val="right"/>
        <w:keepLines w:val="0"/>
        <w:keepNext w:val="0"/>
        <w:pageBreakBefore w:val="0"/>
        <w:spacing w:after="157"/>
        <w:widowControl w:val="off"/>
        <w:rPr>
          <w:rFonts w:ascii="宋体" w:hAnsi="宋体"/>
          <w:b/>
          <w:bCs/>
          <w:color w:val="000000"/>
          <w:sz w:val="32"/>
          <w:szCs w:val="32"/>
          <w:highlight w:val="none"/>
        </w:rPr>
      </w:pPr>
      <w:r>
        <w:rPr>
          <w:rFonts w:hint="eastAsia" w:ascii="宋体" w:hAnsi="宋体"/>
          <w:b/>
          <w:bCs/>
          <w:color w:val="000000"/>
          <w:sz w:val="32"/>
          <w:szCs w:val="32"/>
          <w:highlight w:val="none"/>
        </w:rPr>
        <w:t xml:space="preserve">编号：JSZC-321081-CCXM-G2026-0002</w:t>
      </w:r>
      <w:r/>
    </w:p>
    <w:p>
      <w:pPr>
        <w:jc w:val="center"/>
        <w:spacing w:line="360" w:lineRule="auto"/>
        <w:rPr>
          <w:rFonts w:hint="eastAsia" w:ascii="宋体" w:hAnsi="宋体" w:eastAsia="宋体" w:cs="Times New Roman"/>
          <w:b/>
          <w:bCs/>
          <w:color w:val="000000"/>
          <w:sz w:val="36"/>
          <w:szCs w:val="22"/>
          <w:highlight w:val="none"/>
          <w:lang w:eastAsia="zh-CN"/>
        </w:rPr>
      </w:pPr>
      <w:r>
        <w:rPr>
          <w:rFonts w:hint="eastAsia" w:ascii="宋体" w:hAnsi="宋体" w:cs="Times New Roman"/>
          <w:b/>
          <w:bCs/>
          <w:color w:val="000000"/>
          <w:sz w:val="40"/>
          <w:szCs w:val="24"/>
          <w:highlight w:val="none"/>
          <w:lang w:eastAsia="zh-CN"/>
        </w:rPr>
        <w:t xml:space="preserve">仪征市公安局执法办案管理中心智能化改造项目</w:t>
      </w:r>
      <w:r/>
    </w:p>
    <w:p>
      <w:pPr>
        <w:jc w:val="center"/>
        <w:spacing w:line="360" w:lineRule="auto"/>
        <w:rPr>
          <w:rFonts w:hint="eastAsia" w:ascii="宋体" w:hAnsi="宋体"/>
          <w:b/>
          <w:bCs/>
          <w:color w:val="000000"/>
          <w:sz w:val="40"/>
          <w:szCs w:val="24"/>
          <w:highlight w:val="none"/>
        </w:rPr>
      </w:pPr>
      <w:r>
        <w:rPr>
          <w:rFonts w:hint="eastAsia" w:ascii="宋体" w:hAnsi="宋体"/>
          <w:b/>
          <w:bCs/>
          <w:color w:val="000000"/>
          <w:sz w:val="40"/>
          <w:szCs w:val="24"/>
          <w:highlight w:val="none"/>
        </w:rPr>
        <w:t xml:space="preserve">公开招标文件</w:t>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hint="eastAsia" w:ascii="宋体" w:hAnsi="宋体" w:eastAsia="宋体"/>
          <w:color w:val="auto"/>
          <w:sz w:val="36"/>
          <w:highlight w:val="none"/>
          <w:lang w:eastAsia="zh-CN"/>
        </w:rPr>
        <mc:AlternateContent>
          <mc:Choice Requires="wpg">
            <w:drawing>
              <wp:inline xmlns:wp="http://schemas.openxmlformats.org/drawingml/2006/wordprocessingDrawing" distT="0" distB="0" distL="0" distR="0">
                <wp:extent cx="5270500" cy="3294380"/>
                <wp:effectExtent l="0" t="0" r="6350" b="1270"/>
                <wp:docPr id="3" name="图片 1" descr="山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山水图"/>
                        <pic:cNvPicPr>
                          <a:picLocks noChangeAspect="1"/>
                        </pic:cNvPicPr>
                        <pic:nvPr/>
                      </pic:nvPicPr>
                      <pic:blipFill>
                        <a:blip r:embed="rId15"/>
                        <a:stretch/>
                      </pic:blipFill>
                      <pic:spPr bwMode="auto">
                        <a:xfrm>
                          <a:off x="0" y="0"/>
                          <a:ext cx="5270500" cy="3294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259.4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eastAsia="宋体" w:cs="Times New Roman"/>
          <w:b/>
          <w:bCs/>
          <w:color w:val="000000"/>
          <w:sz w:val="36"/>
          <w:highlight w:val="none"/>
          <w:lang w:val="en-US" w:eastAsia="zh-CN"/>
        </w:rPr>
      </w:pPr>
      <w:r>
        <w:rPr>
          <w:rFonts w:hint="eastAsia" w:ascii="宋体" w:hAnsi="宋体" w:eastAsia="宋体" w:cs="Times New Roman"/>
          <w:b/>
          <w:bCs/>
          <w:color w:val="000000"/>
          <w:sz w:val="36"/>
          <w:highlight w:val="none"/>
          <w:lang w:val="en-US" w:eastAsia="zh-CN"/>
        </w:rPr>
      </w:r>
      <w:r/>
    </w:p>
    <w:p>
      <w:pPr>
        <w:jc w:val="center"/>
        <w:rPr>
          <w:rFonts w:hint="eastAsia" w:ascii="宋体" w:hAnsi="宋体" w:eastAsia="宋体" w:cs="Times New Roman"/>
          <w:b/>
          <w:bCs/>
          <w:color w:val="000000"/>
          <w:sz w:val="36"/>
          <w:highlight w:val="none"/>
          <w:lang w:val="en-US" w:eastAsia="zh-CN"/>
        </w:rPr>
      </w:pPr>
      <w:r>
        <w:rPr>
          <w:rFonts w:hint="eastAsia" w:ascii="宋体" w:hAnsi="宋体" w:eastAsia="宋体" w:cs="Times New Roman"/>
          <w:b/>
          <w:bCs/>
          <w:color w:val="000000"/>
          <w:sz w:val="36"/>
          <w:highlight w:val="none"/>
          <w:lang w:val="en-US" w:eastAsia="zh-CN"/>
        </w:rPr>
      </w:r>
      <w:r/>
    </w:p>
    <w:p>
      <w:pPr>
        <w:ind w:firstLine="1446"/>
        <w:jc w:val="both"/>
        <w:rPr>
          <w:rFonts w:hint="default" w:ascii="宋体" w:hAnsi="宋体"/>
          <w:color w:val="000000"/>
          <w:sz w:val="22"/>
          <w:szCs w:val="16"/>
          <w:highlight w:val="none"/>
          <w:lang w:val="en-US"/>
        </w:rPr>
      </w:pPr>
      <w:r>
        <w:rPr>
          <w:rFonts w:hint="eastAsia" w:ascii="宋体" w:hAnsi="宋体" w:eastAsia="宋体" w:cs="Times New Roman"/>
          <w:b/>
          <w:bCs/>
          <w:color w:val="000000"/>
          <w:sz w:val="36"/>
          <w:highlight w:val="none"/>
          <w:lang w:val="en-US" w:eastAsia="zh-CN"/>
        </w:rPr>
        <w:t xml:space="preserve">招标人：</w:t>
      </w:r>
      <w:r>
        <w:rPr>
          <w:rFonts w:hint="eastAsia" w:ascii="宋体" w:hAnsi="宋体" w:cs="Times New Roman"/>
          <w:b/>
          <w:bCs/>
          <w:color w:val="000000"/>
          <w:sz w:val="36"/>
          <w:highlight w:val="none"/>
          <w:lang w:val="en-US" w:eastAsia="zh-CN"/>
        </w:rPr>
        <w:t xml:space="preserve">仪征市公安局</w:t>
      </w:r>
      <w:r/>
    </w:p>
    <w:p>
      <w:pPr>
        <w:ind w:firstLine="1446"/>
        <w:jc w:val="both"/>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t xml:space="preserve">代理机构：扬州创晨项目管理咨询有限公司</w:t>
      </w:r>
      <w:r/>
    </w:p>
    <w:p>
      <w:pPr>
        <w:jc w:val="center"/>
        <w:rPr>
          <w:rFonts w:hint="eastAsia" w:ascii="宋体" w:hAnsi="宋体"/>
          <w:b/>
          <w:bCs/>
          <w:color w:val="000000"/>
          <w:sz w:val="36"/>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6</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07</w:t>
      </w:r>
      <w:r>
        <w:rPr>
          <w:rFonts w:hint="eastAsia" w:ascii="宋体" w:hAnsi="宋体"/>
          <w:b/>
          <w:bCs/>
          <w:color w:val="000000"/>
          <w:sz w:val="36"/>
          <w:highlight w:val="none"/>
        </w:rPr>
        <w:t xml:space="preserve">月</w:t>
      </w:r>
      <w:r/>
    </w:p>
    <w:p>
      <w:pPr>
        <w:jc w:val="center"/>
        <w:rPr>
          <w:rFonts w:hint="eastAsia" w:ascii="宋体" w:hAnsi="宋体"/>
          <w:color w:val="000000"/>
          <w:sz w:val="32"/>
          <w:highlight w:val="none"/>
        </w:rPr>
        <w:sectPr>
          <w:head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olor w:val="000000"/>
          <w:sz w:val="32"/>
          <w:highlight w:val="none"/>
        </w:rPr>
      </w:r>
      <w:r/>
    </w:p>
    <w:sdt>
      <w:sdtPr>
        <w15:appearance w15:val="boundingBox"/>
        <w15:color w:val="dbdbdb"/>
        <w:id w:val="147457436"/>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rPr>
              <w:b/>
              <w:bCs/>
              <w:sz w:val="36"/>
              <w:szCs w:val="36"/>
            </w:rPr>
          </w:pPr>
          <w:r>
            <w:rPr>
              <w:rFonts w:ascii="宋体" w:hAnsi="宋体" w:eastAsia="宋体"/>
              <w:b/>
              <w:bCs/>
              <w:sz w:val="36"/>
              <w:szCs w:val="36"/>
            </w:rPr>
            <w:t xml:space="preserve">目</w:t>
          </w:r>
          <w:r>
            <w:rPr>
              <w:rFonts w:hint="eastAsia" w:ascii="宋体" w:hAnsi="宋体" w:eastAsia="宋体"/>
              <w:b/>
              <w:bCs/>
              <w:sz w:val="36"/>
              <w:szCs w:val="36"/>
              <w:lang w:val="en-US" w:eastAsia="zh-CN"/>
            </w:rPr>
            <w:t xml:space="preserve"> </w:t>
          </w:r>
          <w:r>
            <w:rPr>
              <w:rFonts w:ascii="宋体" w:hAnsi="宋体" w:eastAsia="宋体"/>
              <w:b/>
              <w:bCs/>
              <w:sz w:val="36"/>
              <w:szCs w:val="36"/>
            </w:rPr>
            <w:t xml:space="preserve">录</w:t>
          </w:r>
          <w:r/>
        </w:p>
        <w:p>
          <w:pPr>
            <w:pStyle w:val="933"/>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ascii="宋体" w:hAnsi="宋体"/>
              <w:color w:val="000000"/>
              <w:sz w:val="28"/>
              <w:highlight w:val="none"/>
            </w:rPr>
            <w:fldChar w:fldCharType="begin"/>
          </w:r>
          <w:r>
            <w:rPr>
              <w:rFonts w:ascii="宋体" w:hAnsi="宋体"/>
              <w:color w:val="000000"/>
              <w:sz w:val="28"/>
              <w:highlight w:val="none"/>
            </w:rPr>
            <w:instrText xml:space="preserve">TOC \o "1-1" \h \u </w:instrText>
          </w:r>
          <w:r>
            <w:rPr>
              <w:rFonts w:ascii="宋体" w:hAnsi="宋体"/>
              <w:color w:val="000000"/>
              <w:sz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_Toc2601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lang w:val="en-US" w:eastAsia="zh-CN" w:bidi="ar-SA"/>
            </w:rPr>
            <w:t xml:space="preserve">第一章</w:t>
          </w:r>
          <w:r>
            <w:rPr>
              <w:rFonts w:hint="eastAsia" w:ascii="宋体" w:hAnsi="宋体" w:eastAsia="宋体" w:cs="宋体"/>
              <w:bCs/>
              <w:sz w:val="28"/>
              <w:szCs w:val="28"/>
              <w:highlight w:val="none"/>
              <w:lang w:val="en-US" w:eastAsia="zh-CN" w:bidi="ar-SA"/>
            </w:rPr>
            <w:t xml:space="preserve"> </w:t>
          </w:r>
          <w:r>
            <w:rPr>
              <w:rFonts w:hint="eastAsia" w:ascii="宋体" w:hAnsi="宋体" w:eastAsia="宋体" w:cs="宋体"/>
              <w:bCs/>
              <w:sz w:val="28"/>
              <w:szCs w:val="28"/>
              <w:highlight w:val="none"/>
            </w:rPr>
            <w:t xml:space="preserve">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3"/>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_Toc26623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_Toc26623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3"/>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_Toc31186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_Toc31186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14</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3"/>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_Toc21448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_Toc21448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3"/>
            <w:keepLines w:val="0"/>
            <w:keepNext w:val="0"/>
            <w:pageBreakBefore w:val="0"/>
            <w:spacing w:line="360" w:lineRule="auto"/>
            <w:widowControl w:val="off"/>
            <w:tabs>
              <w:tab w:val="right" w:pos="9072"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_Toc9031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_Toc9031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60</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3"/>
            <w:keepLines w:val="0"/>
            <w:keepNext w:val="0"/>
            <w:pageBreakBefore w:val="0"/>
            <w:spacing w:line="360" w:lineRule="auto"/>
            <w:widowControl w:val="off"/>
            <w:tabs>
              <w:tab w:val="right" w:pos="9072" w:leader="dot"/>
            </w:tabs>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_Toc14740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_Toc14740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65</w:t>
          </w:r>
          <w:r>
            <w:rPr>
              <w:rFonts w:hint="eastAsia" w:ascii="宋体" w:hAnsi="宋体" w:eastAsia="宋体" w:cs="宋体"/>
              <w:sz w:val="28"/>
              <w:szCs w:val="28"/>
            </w:rPr>
            <w:fldChar w:fldCharType="end"/>
          </w:r>
          <w:r>
            <w:rPr>
              <w:rFonts w:hint="eastAsia" w:ascii="宋体" w:hAnsi="宋体" w:eastAsia="宋体" w:cs="宋体"/>
              <w:color w:val="000000"/>
              <w:sz w:val="28"/>
              <w:szCs w:val="28"/>
              <w:highlight w:val="none"/>
            </w:rPr>
            <w:fldChar w:fldCharType="end"/>
          </w:r>
          <w:r/>
        </w:p>
        <w:p>
          <w:pPr>
            <w:pStyle w:val="933"/>
            <w:tabs>
              <w:tab w:val="right" w:pos="8306" w:leader="dot"/>
            </w:tabs>
            <w:rPr>
              <w:rFonts w:ascii="宋体" w:hAnsi="宋体" w:eastAsia="宋体" w:cs="Times New Roman"/>
              <w:color w:val="000000"/>
              <w:sz w:val="21"/>
              <w:szCs w:val="22"/>
              <w:highlight w:val="none"/>
              <w:lang w:val="en-US" w:eastAsia="zh-CN" w:bidi="ar-SA"/>
            </w:rPr>
          </w:pPr>
          <w:r>
            <w:rPr>
              <w:rFonts w:ascii="宋体" w:hAnsi="宋体"/>
              <w:color w:val="000000"/>
              <w:highlight w:val="none"/>
            </w:rPr>
            <w:fldChar w:fldCharType="end"/>
          </w:r>
          <w:r/>
        </w:p>
      </w:sdtContent>
    </w:sdt>
    <w:p>
      <w:r/>
      <w:r/>
    </w:p>
    <w:p>
      <w:pPr>
        <w:pStyle w:val="933"/>
        <w:tabs>
          <w:tab w:val="right" w:pos="8306" w:leader="dot"/>
        </w:tabs>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sectPr>
          <w:footerReference w:type="default" r:id="rId11"/>
          <w:footnotePr/>
          <w:endnotePr/>
          <w:type w:val="nextPage"/>
          <w:pgSz w:w="11906" w:h="16838" w:orient="portrait"/>
          <w:pgMar w:top="1440" w:right="1417" w:bottom="1440" w:left="1417" w:header="851" w:footer="992" w:gutter="0"/>
          <w:pgNumType w:start="1"/>
          <w:cols w:num="1" w:sep="0" w:space="720" w:equalWidth="1"/>
          <w:docGrid w:linePitch="360"/>
        </w:sectPr>
      </w:pPr>
      <w:r>
        <w:rPr>
          <w:rFonts w:ascii="宋体" w:hAnsi="宋体"/>
          <w:color w:val="000000"/>
          <w:sz w:val="28"/>
          <w:highlight w:val="none"/>
        </w:rPr>
      </w:r>
      <w:r/>
    </w:p>
    <w:p>
      <w:pPr>
        <w:pStyle w:val="915"/>
        <w:numPr>
          <w:ilvl w:val="0"/>
          <w:numId w:val="0"/>
        </w:numPr>
        <w:jc w:val="center"/>
        <w:pageBreakBefore w:val="0"/>
        <w:spacing w:before="0" w:after="0" w:line="360" w:lineRule="auto"/>
        <w:widowControl w:val="off"/>
        <w:rPr>
          <w:rFonts w:ascii="宋体" w:hAnsi="宋体" w:eastAsia="宋体" w:cs="Times New Roman"/>
          <w:b/>
          <w:bCs/>
          <w:color w:val="000000"/>
          <w:sz w:val="36"/>
          <w:highlight w:val="none"/>
        </w:rPr>
      </w:pPr>
      <w:r/>
      <w:bookmarkStart w:id="0" w:name="_Toc21730"/>
      <w:r/>
      <w:bookmarkStart w:id="1" w:name="_Toc512692547"/>
      <w:r/>
      <w:bookmarkStart w:id="2" w:name="_Toc2601"/>
      <w:r/>
      <w:bookmarkStart w:id="3" w:name="_Toc534644770"/>
      <w:r/>
      <w:bookmarkStart w:id="4" w:name="_Toc976"/>
      <w:r>
        <w:rPr>
          <w:rFonts w:hint="eastAsia" w:ascii="宋体" w:hAnsi="宋体" w:eastAsia="宋体" w:cs="Times New Roman"/>
          <w:b/>
          <w:bCs/>
          <w:color w:val="000000"/>
          <w:sz w:val="36"/>
          <w:szCs w:val="44"/>
          <w:lang w:val="en-US" w:eastAsia="zh-CN" w:bidi="ar-SA"/>
        </w:rPr>
        <w:t xml:space="preserve">第一章</w:t>
      </w:r>
      <w:r>
        <w:rPr>
          <w:rFonts w:hint="eastAsia" w:ascii="Calibri" w:hAnsi="Calibri" w:eastAsia="宋体" w:cs="Times New Roman"/>
          <w:b/>
          <w:bCs/>
          <w:color w:val="000000"/>
          <w:sz w:val="36"/>
          <w:szCs w:val="36"/>
          <w:highlight w:val="none"/>
          <w:lang w:val="en-US" w:eastAsia="zh-CN" w:bidi="ar-SA"/>
        </w:rPr>
        <w:t xml:space="preserve"> </w:t>
      </w:r>
      <w:r>
        <w:rPr>
          <w:rFonts w:ascii="宋体" w:hAnsi="宋体" w:eastAsia="宋体" w:cs="Times New Roman"/>
          <w:b/>
          <w:bCs/>
          <w:color w:val="000000"/>
          <w:sz w:val="36"/>
          <w:highlight w:val="none"/>
        </w:rPr>
        <w:t xml:space="preserve">招标公告</w:t>
      </w:r>
      <w:bookmarkEnd w:id="0"/>
      <w:r/>
      <w:bookmarkEnd w:id="1"/>
      <w:r/>
      <w:bookmarkEnd w:id="2"/>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lang w:eastAsia="zh-CN"/>
        </w:rPr>
        <w:t xml:space="preserve">扬州创晨项目管理咨询有限公司</w:t>
      </w:r>
      <w:r>
        <w:rPr>
          <w:rFonts w:hint="eastAsia" w:ascii="宋体" w:hAnsi="宋体" w:cs="宋体"/>
          <w:szCs w:val="21"/>
          <w:highlight w:val="none"/>
        </w:rPr>
        <w:t xml:space="preserve">受</w:t>
      </w:r>
      <w:r>
        <w:rPr>
          <w:rFonts w:hint="eastAsia" w:ascii="宋体" w:hAnsi="宋体" w:cs="宋体"/>
          <w:szCs w:val="21"/>
          <w:highlight w:val="none"/>
          <w:lang w:eastAsia="zh-CN"/>
        </w:rPr>
        <w:t xml:space="preserve">仪征市公安局</w:t>
      </w:r>
      <w:r>
        <w:rPr>
          <w:rFonts w:hint="eastAsia" w:ascii="宋体" w:hAnsi="宋体" w:cs="宋体"/>
          <w:szCs w:val="21"/>
          <w:highlight w:val="none"/>
        </w:rPr>
        <w:t xml:space="preserve">委托，就</w:t>
      </w:r>
      <w:r>
        <w:rPr>
          <w:rFonts w:hint="eastAsia" w:ascii="宋体" w:hAnsi="宋体" w:cs="宋体"/>
          <w:szCs w:val="21"/>
          <w:highlight w:val="none"/>
          <w:u w:val="single"/>
          <w:lang w:eastAsia="zh-CN"/>
        </w:rPr>
        <w:t xml:space="preserve">仪征市公安局执法办案管理中心智能化改造项目</w:t>
      </w:r>
      <w:r>
        <w:rPr>
          <w:rFonts w:hint="eastAsia" w:ascii="宋体" w:hAnsi="宋体" w:cs="宋体"/>
          <w:szCs w:val="21"/>
          <w:highlight w:val="none"/>
        </w:rPr>
        <w:t xml:space="preserve">进行公开招标采购，现欢迎符合相关条件的供应商投标。</w:t>
      </w:r>
      <w:r/>
    </w:p>
    <w:p>
      <w:pPr>
        <w:ind w:firstLine="420"/>
        <w:rPr>
          <w:rFonts w:ascii="宋体" w:hAnsi="宋体" w:cs="宋体"/>
          <w:color w:val="auto"/>
          <w:szCs w:val="21"/>
          <w:highlight w:val="none"/>
          <w:u w:val="single"/>
          <w:lang w:bidi="ar"/>
        </w:rPr>
        <w:pBdr>
          <w:top w:val="single" w:color="auto" w:sz="4" w:space="1"/>
          <w:left w:val="single" w:color="auto" w:sz="4" w:space="4"/>
          <w:bottom w:val="single" w:color="auto" w:sz="4" w:space="1"/>
          <w:right w:val="single" w:color="auto" w:sz="4" w:space="4"/>
        </w:pBdr>
      </w:pPr>
      <w:r/>
      <w:bookmarkStart w:id="5" w:name="_Toc35393798"/>
      <w:r/>
      <w:bookmarkStart w:id="6" w:name="_Toc28359012"/>
      <w:r/>
      <w:bookmarkStart w:id="7" w:name="_Toc28359089"/>
      <w:r/>
      <w:bookmarkStart w:id="8" w:name="_Toc35393629"/>
      <w:r/>
      <w:bookmarkStart w:id="9" w:name="_Toc512692548"/>
      <w:r>
        <w:rPr>
          <w:rFonts w:hint="eastAsia" w:ascii="宋体" w:hAnsi="宋体" w:cs="宋体"/>
          <w:color w:val="auto"/>
          <w:szCs w:val="21"/>
          <w:highlight w:val="none"/>
          <w:lang w:bidi="ar"/>
        </w:rPr>
        <w:t xml:space="preserve">项目概况：</w:t>
      </w:r>
      <w:r/>
    </w:p>
    <w:p>
      <w:pPr>
        <w:ind w:firstLine="420"/>
        <w:jc w:val="left"/>
        <w:spacing w:before="92" w:after="150" w:line="360" w:lineRule="auto"/>
        <w:widowControl/>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bidi="ar"/>
        </w:rPr>
        <w:t xml:space="preserve">仪征市公安局执法办案管理中心智能化改造项目</w:t>
      </w:r>
      <w:r>
        <w:rPr>
          <w:rFonts w:hint="eastAsia" w:ascii="宋体" w:hAnsi="宋体" w:cs="宋体"/>
          <w:color w:val="auto"/>
          <w:szCs w:val="21"/>
          <w:highlight w:val="none"/>
          <w:lang w:bidi="ar"/>
        </w:rPr>
        <w:t xml:space="preserve">的潜在投标人可在</w:t>
      </w:r>
      <w:r>
        <w:rPr>
          <w:rFonts w:hint="eastAsia" w:ascii="宋体" w:hAnsi="宋体" w:cs="宋体"/>
          <w:color w:val="000000"/>
          <w:szCs w:val="21"/>
          <w:highlight w:val="none"/>
          <w:u w:val="single"/>
        </w:rPr>
        <w:t xml:space="preserve">“仪征市政府采购网”、“扬州市政府采购网”、“江苏省政府采购网”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自行免费下载</w:t>
      </w:r>
      <w:r>
        <w:rPr>
          <w:rFonts w:hint="eastAsia" w:ascii="宋体" w:hAnsi="宋体" w:cs="宋体"/>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08月19日09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highlight w:val="none"/>
        </w:rPr>
        <w:t xml:space="preserve">投标文件</w:t>
      </w:r>
      <w:r>
        <w:rPr>
          <w:rFonts w:hint="eastAsia" w:ascii="宋体" w:hAnsi="宋体" w:cs="宋体"/>
          <w:color w:val="000000"/>
          <w:szCs w:val="21"/>
          <w:highlight w:val="none"/>
        </w:rPr>
        <w:t xml:space="preserve">。</w:t>
      </w:r>
      <w:bookmarkEnd w:id="5"/>
      <w:r/>
      <w:bookmarkEnd w:id="6"/>
      <w:r/>
      <w:bookmarkEnd w:id="7"/>
      <w:r/>
      <w:bookmarkEnd w:id="8"/>
      <w:r/>
      <w:r/>
    </w:p>
    <w:p>
      <w:pPr>
        <w:pStyle w:val="916"/>
        <w:pageBreakBefore w:val="0"/>
        <w:spacing w:before="0" w:after="0"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一、项目基本情况</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1.项目编号：JSZC-321081-CCXM-G2026-0002</w:t>
      </w:r>
      <w:r/>
    </w:p>
    <w:p>
      <w:pPr>
        <w:ind w:firstLine="420"/>
        <w:keepLines w:val="0"/>
        <w:keepNext w:val="0"/>
        <w:pageBreakBefore w:val="0"/>
        <w:spacing w:line="360" w:lineRule="auto"/>
        <w:widowControl w:val="off"/>
        <w:rPr>
          <w:rFonts w:hint="eastAsia" w:ascii="宋体" w:hAnsi="宋体" w:eastAsia="宋体"/>
          <w:highlight w:val="none"/>
          <w:u w:val="single"/>
          <w:lang w:eastAsia="zh-CN"/>
        </w:rPr>
      </w:pPr>
      <w:r>
        <w:rPr>
          <w:rFonts w:hint="eastAsia" w:ascii="宋体" w:hAnsi="宋体"/>
          <w:highlight w:val="none"/>
        </w:rPr>
        <w:t xml:space="preserve">2.项目名称：</w:t>
      </w:r>
      <w:r>
        <w:rPr>
          <w:rFonts w:hint="eastAsia" w:ascii="宋体" w:hAnsi="宋体" w:cs="宋体"/>
          <w:szCs w:val="21"/>
          <w:highlight w:val="none"/>
          <w:lang w:eastAsia="zh-CN"/>
        </w:rPr>
        <w:t xml:space="preserve">仪征市公安局执法办案管理中心智能化改造项目</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3.采购方式：公开招标</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4.预算金额：</w:t>
      </w:r>
      <w:r>
        <w:rPr>
          <w:rFonts w:hint="eastAsia" w:ascii="宋体" w:hAnsi="宋体"/>
          <w:highlight w:val="none"/>
          <w:lang w:val="en-US" w:eastAsia="zh-CN"/>
        </w:rPr>
        <w:t xml:space="preserve">398.51953</w:t>
      </w:r>
      <w:r>
        <w:rPr>
          <w:rFonts w:hint="eastAsia" w:ascii="宋体" w:hAnsi="宋体"/>
          <w:highlight w:val="none"/>
        </w:rPr>
        <w:t xml:space="preserve">万元</w:t>
      </w:r>
      <w:r/>
    </w:p>
    <w:p>
      <w:pPr>
        <w:ind w:firstLine="420"/>
        <w:pageBreakBefore w:val="0"/>
        <w:spacing w:line="360" w:lineRule="auto"/>
        <w:widowControl w:val="off"/>
        <w:rPr>
          <w:rFonts w:hint="eastAsia" w:ascii="宋体" w:hAnsi="宋体" w:eastAsia="宋体" w:cs="Times New Roman"/>
          <w:highlight w:val="none"/>
        </w:rPr>
      </w:pPr>
      <w:r>
        <w:rPr>
          <w:rFonts w:hint="eastAsia" w:ascii="宋体" w:hAnsi="宋体" w:eastAsia="宋体" w:cs="Times New Roman"/>
          <w:highlight w:val="none"/>
        </w:rPr>
        <w:t xml:space="preserve">5.最高限价：</w:t>
      </w:r>
      <w:r>
        <w:rPr>
          <w:rFonts w:hint="eastAsia" w:ascii="宋体" w:hAnsi="宋体"/>
          <w:highlight w:val="none"/>
          <w:lang w:val="en-US" w:eastAsia="zh-CN"/>
        </w:rPr>
        <w:t xml:space="preserve">398.51953万元</w:t>
      </w:r>
      <w:r>
        <w:rPr>
          <w:rFonts w:hint="eastAsia" w:ascii="宋体" w:hAnsi="宋体"/>
          <w:highlight w:val="none"/>
        </w:rPr>
        <w:t xml:space="preserve">，</w:t>
      </w:r>
      <w:r>
        <w:rPr>
          <w:rFonts w:hint="eastAsia" w:ascii="宋体" w:hAnsi="宋体"/>
          <w:highlight w:val="none"/>
          <w:lang w:val="zh-CN"/>
        </w:rPr>
        <w:t xml:space="preserve">报价超过最高限价的为无效报价，按照无效响应处理</w:t>
      </w:r>
      <w:r>
        <w:rPr>
          <w:rFonts w:hint="eastAsia" w:ascii="宋体" w:hAnsi="宋体" w:eastAsia="宋体" w:cs="Times New Roman"/>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highlight w:val="none"/>
          <w:lang w:eastAsia="zh-CN"/>
        </w:rPr>
      </w:pPr>
      <w:r>
        <w:rPr>
          <w:rFonts w:hint="eastAsia" w:ascii="宋体" w:hAnsi="宋体" w:eastAsia="宋体" w:cs="Times New Roman"/>
          <w:highlight w:val="none"/>
        </w:rPr>
        <w:t xml:space="preserve">6.采购需求：见招标文件第四章</w:t>
      </w:r>
      <w:r>
        <w:rPr>
          <w:rFonts w:hint="eastAsia" w:ascii="宋体" w:hAnsi="宋体" w:cs="Times New Roman"/>
          <w:highlight w:val="none"/>
          <w:lang w:eastAsia="zh-CN"/>
        </w:rPr>
        <w:t xml:space="preserve">。</w:t>
      </w:r>
      <w:r/>
    </w:p>
    <w:p>
      <w:pPr>
        <w:ind w:firstLine="420"/>
        <w:keepLines w:val="0"/>
        <w:keepNext w:val="0"/>
        <w:pageBreakBefore w:val="0"/>
        <w:spacing w:line="360" w:lineRule="auto"/>
        <w:widowControl w:val="off"/>
        <w:rPr>
          <w:rFonts w:hint="default" w:ascii="宋体" w:hAnsi="宋体" w:eastAsia="宋体"/>
          <w:highlight w:val="none"/>
          <w:lang w:val="en-US" w:eastAsia="zh-CN"/>
        </w:rPr>
      </w:pPr>
      <w:r>
        <w:rPr>
          <w:rFonts w:hint="eastAsia" w:ascii="宋体" w:hAnsi="宋体"/>
          <w:highlight w:val="none"/>
        </w:rPr>
        <w:t xml:space="preserve">7.供货周期：</w:t>
      </w:r>
      <w:r>
        <w:rPr>
          <w:rFonts w:ascii="宋体" w:hAnsi="宋体" w:eastAsia="宋体" w:cs="宋体"/>
          <w:color w:val="000000"/>
          <w:sz w:val="21"/>
          <w:highlight w:val="none"/>
        </w:rPr>
        <w:t xml:space="preserve">合同签订后90天内</w:t>
      </w:r>
      <w:r>
        <w:rPr>
          <w:rFonts w:hint="eastAsia" w:ascii="宋体" w:hAnsi="宋体" w:eastAsia="宋体" w:cs="宋体"/>
          <w:color w:val="000000"/>
          <w:sz w:val="21"/>
          <w:highlight w:val="none"/>
          <w:lang w:val="en-US" w:eastAsia="zh-CN"/>
        </w:rPr>
        <w:t xml:space="preserve">供货</w:t>
      </w:r>
      <w:r>
        <w:rPr>
          <w:rFonts w:ascii="宋体" w:hAnsi="宋体" w:eastAsia="宋体" w:cs="宋体"/>
          <w:color w:val="000000"/>
          <w:sz w:val="21"/>
          <w:highlight w:val="none"/>
        </w:rPr>
        <w:t xml:space="preserve">安装调试到位</w:t>
      </w:r>
      <w:r>
        <w:rPr>
          <w:rFonts w:hint="eastAsia" w:ascii="宋体" w:hAnsi="宋体"/>
          <w:highlight w:val="none"/>
          <w:lang w:val="en-US" w:eastAsia="zh-CN"/>
        </w:rPr>
        <w:t xml:space="preserve">。</w:t>
      </w:r>
      <w:r/>
    </w:p>
    <w:p>
      <w:pPr>
        <w:ind w:firstLine="420"/>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8.本项目</w:t>
      </w:r>
      <w:r>
        <w:rPr>
          <w:rFonts w:hint="eastAsia" w:ascii="宋体" w:hAnsi="宋体"/>
          <w:highlight w:val="none"/>
          <w:u w:val="single"/>
        </w:rPr>
        <w:t xml:space="preserve">不接受</w:t>
      </w:r>
      <w:r>
        <w:rPr>
          <w:rFonts w:hint="eastAsia" w:ascii="宋体" w:hAnsi="宋体"/>
          <w:highlight w:val="none"/>
        </w:rPr>
        <w:t xml:space="preserve">联合体投标</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9.本项目</w:t>
      </w:r>
      <w:r>
        <w:rPr>
          <w:rFonts w:hint="eastAsia" w:ascii="宋体" w:hAnsi="宋体"/>
          <w:highlight w:val="none"/>
          <w:u w:val="single"/>
        </w:rPr>
        <w:t xml:space="preserve">不接受</w:t>
      </w:r>
      <w:r>
        <w:rPr>
          <w:rFonts w:hint="eastAsia" w:ascii="宋体" w:hAnsi="宋体"/>
          <w:highlight w:val="none"/>
        </w:rPr>
        <w:t xml:space="preserve">进口产品投标</w:t>
      </w:r>
      <w:r/>
    </w:p>
    <w:p>
      <w:pPr>
        <w:pStyle w:val="916"/>
        <w:keepLines/>
        <w:keepNext/>
        <w:pageBreakBefore w:val="0"/>
        <w:spacing w:before="0" w:after="0" w:line="360" w:lineRule="auto"/>
        <w:widowControl w:val="off"/>
        <w:rPr>
          <w:rFonts w:ascii="宋体" w:hAnsi="宋体" w:eastAsia="宋体" w:cs="宋体"/>
          <w:sz w:val="21"/>
          <w:szCs w:val="21"/>
          <w:highlight w:val="none"/>
        </w:rPr>
      </w:pPr>
      <w:r/>
      <w:bookmarkStart w:id="10" w:name="_Toc35393799"/>
      <w:r/>
      <w:bookmarkStart w:id="11" w:name="_Toc28359013"/>
      <w:r/>
      <w:bookmarkStart w:id="12" w:name="_Toc35393630"/>
      <w:r/>
      <w:bookmarkStart w:id="13" w:name="_Toc28359090"/>
      <w:r>
        <w:rPr>
          <w:rFonts w:hint="eastAsia" w:ascii="宋体" w:hAnsi="宋体" w:eastAsia="宋体" w:cs="宋体"/>
          <w:sz w:val="21"/>
          <w:szCs w:val="21"/>
          <w:highlight w:val="none"/>
        </w:rPr>
        <w:t xml:space="preserve">二、申请人的资格要求：</w:t>
      </w:r>
      <w:bookmarkEnd w:id="10"/>
      <w:r/>
      <w:bookmarkEnd w:id="11"/>
      <w:r/>
      <w:bookmarkEnd w:id="12"/>
      <w:r/>
      <w:bookmarkEnd w:id="13"/>
      <w:r/>
      <w:r/>
    </w:p>
    <w:p>
      <w:pPr>
        <w:ind w:firstLine="420"/>
        <w:pageBreakBefore w:val="0"/>
        <w:spacing w:line="360" w:lineRule="auto"/>
        <w:widowControl w:val="off"/>
        <w:rPr>
          <w:rFonts w:hint="eastAsia" w:ascii="宋体" w:hAnsi="宋体" w:cs="宋体"/>
          <w:szCs w:val="21"/>
          <w:highlight w:val="none"/>
        </w:rPr>
      </w:pPr>
      <w:r/>
      <w:bookmarkStart w:id="14" w:name="_Toc28359014"/>
      <w:r/>
      <w:bookmarkStart w:id="15" w:name="_Toc35393631"/>
      <w:r/>
      <w:bookmarkStart w:id="16" w:name="_Toc28359091"/>
      <w:r/>
      <w:bookmarkStart w:id="17" w:name="_Toc35393800"/>
      <w:r>
        <w:rPr>
          <w:rFonts w:hint="eastAsia" w:ascii="宋体" w:hAnsi="宋体" w:cs="宋体"/>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000000"/>
          <w:szCs w:val="21"/>
          <w:highlight w:val="none"/>
          <w:u w:val="single"/>
          <w:lang w:val="en-US" w:eastAsia="zh-CN"/>
        </w:rPr>
        <w:t xml:space="preserve">1.2</w:t>
      </w:r>
      <w:r>
        <w:rPr>
          <w:rFonts w:hint="eastAsia" w:ascii="宋体" w:hAnsi="宋体" w:cs="宋体"/>
          <w:i/>
          <w:iCs/>
          <w:color w:val="000000"/>
          <w:szCs w:val="21"/>
          <w:highlight w:val="none"/>
          <w:u w:val="single"/>
        </w:rPr>
        <w:t xml:space="preserve">依法缴纳税收和社会保障资金的相关材料</w:t>
      </w:r>
      <w:r>
        <w:rPr>
          <w:rFonts w:hint="eastAsia" w:ascii="宋体" w:hAnsi="宋体" w:cs="宋体"/>
          <w:b/>
          <w:bCs/>
          <w:i/>
          <w:iCs/>
          <w:color w:val="auto"/>
          <w:sz w:val="21"/>
          <w:szCs w:val="21"/>
          <w:highlight w:val="none"/>
          <w:u w:val="single"/>
        </w:rPr>
        <w:t xml:space="preserve">（提供提交投标文件截止时间前</w:t>
      </w:r>
      <w:r>
        <w:rPr>
          <w:rFonts w:hint="eastAsia" w:ascii="宋体" w:hAnsi="宋体" w:cs="宋体"/>
          <w:b/>
          <w:bCs/>
          <w:i/>
          <w:iCs/>
          <w:color w:val="auto"/>
          <w:sz w:val="21"/>
          <w:szCs w:val="21"/>
          <w:highlight w:val="none"/>
          <w:u w:val="single"/>
          <w:lang w:val="en-US" w:eastAsia="zh-CN"/>
        </w:rPr>
        <w:t xml:space="preserve">三个月</w:t>
      </w:r>
      <w:r>
        <w:rPr>
          <w:rFonts w:hint="eastAsia" w:ascii="宋体" w:hAnsi="宋体" w:cs="宋体"/>
          <w:b/>
          <w:bCs/>
          <w:i/>
          <w:iCs/>
          <w:color w:val="auto"/>
          <w:sz w:val="21"/>
          <w:szCs w:val="21"/>
          <w:highlight w:val="none"/>
          <w:u w:val="single"/>
        </w:rPr>
        <w:t xml:space="preserve">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3上一年度</w:t>
      </w:r>
      <w:r>
        <w:rPr>
          <w:rFonts w:hint="eastAsia" w:ascii="宋体" w:hAnsi="宋体" w:cs="宋体"/>
          <w:i/>
          <w:iCs/>
          <w:color w:val="000000"/>
          <w:szCs w:val="21"/>
          <w:highlight w:val="none"/>
          <w:u w:val="single"/>
        </w:rPr>
        <w:t xml:space="preserve">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具备履行合同所必需的设备和专业技术能力的书面声明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参加本次政府采购活动前3年内在经营活动中没有重大违法记录的书面声明</w:t>
      </w:r>
      <w:r/>
    </w:p>
    <w:p>
      <w:pPr>
        <w:ind w:firstLine="420"/>
        <w:keepLines w:val="0"/>
        <w:keepNext w:val="0"/>
        <w:pageBreakBefore w:val="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i/>
          <w:iCs/>
          <w:color w:val="000000"/>
          <w:szCs w:val="21"/>
          <w:highlight w:val="none"/>
          <w:u w:val="single"/>
        </w:rPr>
        <w:t xml:space="preserve">（投标文件中无需提供证明材料）</w:t>
      </w:r>
      <w:r/>
    </w:p>
    <w:p>
      <w:pPr>
        <w:ind w:right="0" w:firstLine="420"/>
        <w:keepLines w:val="0"/>
        <w:keepNext w:val="0"/>
        <w:pageBreakBefore w:val="0"/>
        <w:spacing w:line="360"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供应商信用承诺函</w:t>
      </w:r>
      <w:r/>
    </w:p>
    <w:p>
      <w:pPr>
        <w:numPr>
          <w:ilvl w:val="0"/>
          <w:numId w:val="0"/>
        </w:numPr>
        <w:ind w:firstLine="420"/>
        <w:keepLines w:val="0"/>
        <w:keepNext w:val="0"/>
        <w:pageBreakBefore w:val="0"/>
        <w:spacing w:line="360" w:lineRule="auto"/>
        <w:rPr>
          <w:rFonts w:hint="eastAsia" w:ascii="宋体" w:hAnsi="宋体" w:cs="宋体"/>
          <w:i/>
          <w:iCs/>
          <w:color w:val="000000"/>
          <w:szCs w:val="21"/>
          <w:highlight w:val="none"/>
          <w:u w:val="single"/>
          <w:lang w:val="en-US" w:eastAsia="zh-CN"/>
        </w:rPr>
      </w:pPr>
      <w:r>
        <w:rPr>
          <w:rFonts w:hint="eastAsia" w:ascii="宋体" w:hAnsi="宋体" w:cs="宋体"/>
          <w:szCs w:val="21"/>
          <w:highlight w:val="none"/>
          <w:lang w:val="en-US" w:eastAsia="zh-CN"/>
        </w:rPr>
        <w:t xml:space="preserve">2.</w:t>
      </w:r>
      <w:r>
        <w:rPr>
          <w:rFonts w:hint="eastAsia" w:ascii="宋体" w:hAnsi="宋体" w:cs="宋体"/>
          <w:color w:val="000000"/>
          <w:szCs w:val="21"/>
          <w:highlight w:val="none"/>
        </w:rPr>
        <w:t xml:space="preserve">落实政府采购政策需满足的资格要求：</w:t>
      </w:r>
      <w:r>
        <w:rPr>
          <w:rFonts w:hint="eastAsia" w:ascii="宋体" w:hAnsi="宋体" w:cs="宋体"/>
          <w:b/>
          <w:bCs/>
          <w:i/>
          <w:iCs/>
          <w:color w:val="000000"/>
          <w:szCs w:val="21"/>
          <w:highlight w:val="none"/>
          <w:u w:val="single"/>
          <w:lang w:val="en-US" w:eastAsia="zh-CN"/>
        </w:rPr>
        <w:t xml:space="preserve">无</w:t>
      </w:r>
      <w:r/>
    </w:p>
    <w:p>
      <w:pPr>
        <w:numPr>
          <w:ilvl w:val="0"/>
          <w:numId w:val="0"/>
        </w:numPr>
        <w:ind w:firstLine="420"/>
        <w:keepLines w:val="0"/>
        <w:keepNext w:val="0"/>
        <w:pageBreakBefore w:val="0"/>
        <w:spacing w:line="360" w:lineRule="auto"/>
        <w:rPr>
          <w:rFonts w:hint="eastAsia" w:ascii="宋体" w:hAnsi="宋体" w:cs="宋体"/>
          <w:b/>
          <w:bCs/>
          <w:color w:val="000000"/>
          <w:szCs w:val="21"/>
          <w:highlight w:val="none"/>
          <w:lang w:val="en-US" w:eastAsia="zh-CN"/>
        </w:rPr>
      </w:pPr>
      <w:r>
        <w:rPr>
          <w:rFonts w:hint="eastAsia" w:ascii="宋体" w:hAnsi="宋体" w:cs="宋体"/>
          <w:color w:val="000000"/>
          <w:szCs w:val="21"/>
          <w:highlight w:val="none"/>
        </w:rPr>
        <w:t xml:space="preserve">3.本项目的特定资格要求：</w:t>
      </w:r>
      <w:r>
        <w:rPr>
          <w:rFonts w:hint="eastAsia" w:ascii="宋体" w:hAnsi="宋体" w:cs="宋体"/>
          <w:b/>
          <w:bCs/>
          <w:i/>
          <w:iCs/>
          <w:color w:val="000000"/>
          <w:szCs w:val="21"/>
          <w:highlight w:val="none"/>
          <w:u w:val="single"/>
          <w:lang w:val="en-US" w:eastAsia="zh-CN"/>
        </w:rPr>
        <w:t xml:space="preserve">无</w:t>
      </w:r>
      <w:r/>
    </w:p>
    <w:p>
      <w:pPr>
        <w:pStyle w:val="916"/>
        <w:spacing w:before="120" w:after="120" w:line="32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三、获取</w:t>
      </w:r>
      <w:r>
        <w:rPr>
          <w:rFonts w:hint="eastAsia" w:ascii="宋体" w:hAnsi="宋体" w:eastAsia="宋体" w:cs="宋体"/>
          <w:sz w:val="21"/>
          <w:szCs w:val="21"/>
          <w:highlight w:val="none"/>
          <w:lang w:eastAsia="zh-CN"/>
        </w:rPr>
        <w:t xml:space="preserve">招标</w:t>
      </w:r>
      <w:r>
        <w:rPr>
          <w:rFonts w:hint="eastAsia" w:ascii="宋体" w:hAnsi="宋体" w:eastAsia="宋体" w:cs="宋体"/>
          <w:sz w:val="21"/>
          <w:szCs w:val="21"/>
          <w:highlight w:val="none"/>
        </w:rPr>
        <w:t xml:space="preserve">文件</w:t>
      </w:r>
      <w:bookmarkEnd w:id="14"/>
      <w:r/>
      <w:bookmarkEnd w:id="15"/>
      <w:r/>
      <w:bookmarkEnd w:id="16"/>
      <w:r/>
      <w:bookmarkEnd w:id="17"/>
      <w:r/>
      <w:r/>
    </w:p>
    <w:p>
      <w:pPr>
        <w:ind w:firstLine="540"/>
        <w:spacing w:line="360" w:lineRule="auto"/>
        <w:rPr>
          <w:rFonts w:hint="eastAsia" w:ascii="宋体" w:hAnsi="宋体" w:cs="宋体"/>
          <w:color w:val="000000"/>
          <w:highlight w:val="none"/>
        </w:rPr>
      </w:pPr>
      <w:r/>
      <w:bookmarkStart w:id="18" w:name="_Toc9071"/>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自招标文件公告发布之日起5个工作日。</w:t>
      </w:r>
      <w:bookmarkStart w:id="19" w:name="_Toc17733"/>
      <w:r/>
      <w:bookmarkStart w:id="20" w:name="_Toc14561"/>
      <w:r/>
      <w:r/>
    </w:p>
    <w:p>
      <w:pPr>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bookmarkEnd w:id="19"/>
      <w:r/>
      <w:bookmarkEnd w:id="20"/>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spacing w:val="0"/>
          <w:sz w:val="21"/>
          <w:szCs w:val="21"/>
          <w:highlight w:val="none"/>
          <w:shd w:val="clear" w:color="auto" w:fill="ffffff"/>
          <w:lang w:val="en-US" w:eastAsia="zh-CN" w:bidi="ar"/>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w:t>
      </w:r>
      <w:r/>
    </w:p>
    <w:p>
      <w:pPr>
        <w:ind w:left="0" w:right="0" w:firstLine="540"/>
        <w:jc w:val="left"/>
        <w:keepLines w:val="0"/>
        <w:keepNext w:val="0"/>
        <w:spacing w:before="0" w:beforeAutospacing="0" w:after="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p>
    <w:p>
      <w:pPr>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08月19日09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w:t>
      </w:r>
      <w:r/>
    </w:p>
    <w:p>
      <w:pPr>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2.地点：</w:t>
      </w:r>
      <w:r>
        <w:rPr>
          <w:rFonts w:hint="eastAsia" w:ascii="宋体" w:hAnsi="宋体"/>
          <w:b/>
          <w:color w:val="000000"/>
          <w:szCs w:val="21"/>
          <w:highlight w:val="none"/>
        </w:rPr>
        <w:t xml:space="preserve">“苏采云”系统（网址：http://jszfcg.jsczt.cn/）“开标大厅”</w:t>
      </w:r>
      <w:r/>
    </w:p>
    <w:p>
      <w:pPr>
        <w:spacing w:line="360" w:lineRule="auto"/>
        <w:tabs>
          <w:tab w:val="left" w:pos="266" w:leader="none"/>
        </w:tabs>
        <w:rPr>
          <w:rFonts w:ascii="宋体" w:hAnsi="宋体" w:cs="宋体"/>
          <w:b/>
          <w:bCs/>
          <w:highlight w:val="none"/>
        </w:rPr>
      </w:pPr>
      <w:r/>
      <w:bookmarkStart w:id="21" w:name="_Toc38985267"/>
      <w:r/>
      <w:bookmarkStart w:id="22" w:name="_Toc28359084"/>
      <w:r/>
      <w:bookmarkStart w:id="23" w:name="_Toc28359007"/>
      <w:r/>
      <w:bookmarkStart w:id="24" w:name="_Toc35393625"/>
      <w:r/>
      <w:bookmarkStart w:id="25" w:name="_Toc35393794"/>
      <w:r>
        <w:rPr>
          <w:rFonts w:hint="eastAsia" w:ascii="宋体" w:hAnsi="宋体" w:cs="宋体"/>
          <w:b/>
          <w:bCs/>
          <w:highlight w:val="none"/>
        </w:rPr>
        <w:t xml:space="preserve">五、公告期限</w:t>
      </w:r>
      <w:bookmarkEnd w:id="21"/>
      <w:r/>
      <w:bookmarkEnd w:id="22"/>
      <w:r/>
      <w:bookmarkEnd w:id="23"/>
      <w:r/>
      <w:bookmarkEnd w:id="24"/>
      <w:r/>
      <w:bookmarkEnd w:id="25"/>
      <w:r/>
      <w:r/>
    </w:p>
    <w:p>
      <w:pPr>
        <w:ind w:firstLine="420"/>
        <w:spacing w:line="360" w:lineRule="auto"/>
        <w:rPr>
          <w:rFonts w:hint="eastAsia" w:ascii="宋体" w:hAnsi="宋体"/>
          <w:color w:val="000000"/>
          <w:szCs w:val="21"/>
          <w:highlight w:val="none"/>
        </w:rPr>
      </w:pPr>
      <w:r>
        <w:rPr>
          <w:rFonts w:hint="eastAsia" w:ascii="宋体" w:hAnsi="宋体" w:cs="宋体"/>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highlight w:val="none"/>
        </w:rPr>
      </w:pPr>
      <w:r/>
      <w:bookmarkStart w:id="26" w:name="_Toc24018"/>
      <w:r/>
      <w:bookmarkStart w:id="27" w:name="_Toc2469"/>
      <w:r>
        <w:rPr>
          <w:rFonts w:hint="eastAsia" w:ascii="宋体" w:hAnsi="宋体" w:cs="宋体"/>
          <w:b/>
          <w:bCs/>
          <w:highlight w:val="none"/>
        </w:rPr>
        <w:t xml:space="preserve">六、其他补充事宜</w:t>
      </w:r>
      <w:r/>
    </w:p>
    <w:p>
      <w:pPr>
        <w:ind w:firstLine="525"/>
        <w:spacing w:line="360" w:lineRule="auto"/>
        <w:rPr>
          <w:rFonts w:ascii="宋体" w:hAnsi="宋体" w:cs="宋体"/>
          <w:szCs w:val="21"/>
          <w:highlight w:val="none"/>
        </w:rPr>
      </w:pPr>
      <w:r>
        <w:rPr>
          <w:rFonts w:hint="eastAsia" w:ascii="宋体" w:hAnsi="宋体" w:cs="宋体"/>
          <w:highlight w:val="none"/>
        </w:rPr>
        <w:t xml:space="preserve">无</w:t>
      </w:r>
      <w:bookmarkEnd w:id="26"/>
      <w:r/>
      <w:bookmarkEnd w:id="27"/>
      <w:r/>
      <w:r/>
    </w:p>
    <w:p>
      <w:pPr>
        <w:spacing w:line="360" w:lineRule="auto"/>
        <w:tabs>
          <w:tab w:val="left" w:pos="266" w:leader="none"/>
        </w:tabs>
        <w:rPr>
          <w:rFonts w:ascii="宋体" w:hAnsi="宋体" w:cs="宋体"/>
          <w:b/>
          <w:bCs/>
          <w:highlight w:val="none"/>
        </w:rPr>
      </w:pPr>
      <w:r/>
      <w:bookmarkStart w:id="28" w:name="_Toc38985269"/>
      <w:r/>
      <w:bookmarkStart w:id="29" w:name="_Toc28359008"/>
      <w:r/>
      <w:bookmarkStart w:id="30" w:name="_Toc28359085"/>
      <w:r/>
      <w:bookmarkStart w:id="31" w:name="_Toc35393796"/>
      <w:r/>
      <w:bookmarkStart w:id="32" w:name="_Toc35393627"/>
      <w:r>
        <w:rPr>
          <w:rFonts w:hint="eastAsia" w:ascii="宋体" w:hAnsi="宋体" w:cs="宋体"/>
          <w:b/>
          <w:bCs/>
          <w:highlight w:val="none"/>
        </w:rPr>
        <w:t xml:space="preserve">七、本次招标联系方式</w:t>
      </w:r>
      <w:bookmarkEnd w:id="28"/>
      <w:r/>
      <w:bookmarkEnd w:id="29"/>
      <w:r/>
      <w:bookmarkEnd w:id="30"/>
      <w:r/>
      <w:bookmarkEnd w:id="31"/>
      <w:r/>
      <w:bookmarkEnd w:id="32"/>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1.采购人信息</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名  称：</w:t>
      </w:r>
      <w:r>
        <w:rPr>
          <w:rFonts w:hint="eastAsia" w:ascii="宋体" w:hAnsi="宋体" w:cs="宋体"/>
          <w:highlight w:val="none"/>
          <w:u w:val="single"/>
          <w:lang w:eastAsia="zh-CN"/>
        </w:rPr>
        <w:t xml:space="preserve">仪征市公安局</w:t>
      </w:r>
      <w:r>
        <w:rPr>
          <w:rFonts w:hint="eastAsia" w:ascii="宋体" w:hAnsi="宋体" w:eastAsia="宋体" w:cs="宋体"/>
          <w:highlight w:val="none"/>
        </w:rPr>
        <w:t xml:space="preserve"> </w:t>
      </w:r>
      <w:r/>
    </w:p>
    <w:p>
      <w:pPr>
        <w:ind w:firstLine="420"/>
        <w:jc w:val="left"/>
        <w:spacing w:line="360" w:lineRule="auto"/>
        <w:rPr>
          <w:rFonts w:hint="eastAsia" w:ascii="宋体" w:hAnsi="宋体" w:eastAsia="宋体" w:cs="宋体"/>
          <w:szCs w:val="21"/>
          <w:highlight w:val="none"/>
          <w:u w:val="single"/>
          <w:lang w:val="en-US" w:eastAsia="zh-CN"/>
        </w:rPr>
      </w:pPr>
      <w:r>
        <w:rPr>
          <w:rFonts w:hint="eastAsia" w:ascii="宋体" w:hAnsi="宋体" w:cs="宋体"/>
          <w:szCs w:val="21"/>
          <w:highlight w:val="none"/>
        </w:rPr>
        <w:t xml:space="preserve">地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址：</w:t>
      </w:r>
      <w:r>
        <w:rPr>
          <w:rFonts w:hint="eastAsia" w:ascii="宋体" w:hAnsi="宋体" w:cs="宋体"/>
          <w:szCs w:val="21"/>
          <w:highlight w:val="none"/>
          <w:u w:val="single"/>
          <w:lang w:val="en-US" w:eastAsia="zh-CN"/>
        </w:rPr>
        <w:t xml:space="preserve">仪征市大庆北路89号</w:t>
      </w:r>
      <w:r/>
    </w:p>
    <w:p>
      <w:pPr>
        <w:ind w:firstLine="420"/>
        <w:jc w:val="left"/>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联系人：</w:t>
      </w:r>
      <w:r>
        <w:rPr>
          <w:rFonts w:hint="eastAsia" w:ascii="宋体" w:hAnsi="宋体" w:eastAsia="宋体" w:cs="宋体"/>
          <w:szCs w:val="21"/>
          <w:highlight w:val="none"/>
          <w:u w:val="single"/>
          <w:lang w:val="en-US" w:eastAsia="zh-CN"/>
        </w:rPr>
        <w:t xml:space="preserve">陈</w:t>
      </w:r>
      <w:r>
        <w:rPr>
          <w:rFonts w:hint="eastAsia" w:ascii="宋体" w:hAnsi="宋体" w:cs="宋体"/>
          <w:szCs w:val="21"/>
          <w:highlight w:val="none"/>
          <w:u w:val="single"/>
          <w:lang w:val="en-US" w:eastAsia="zh-CN"/>
        </w:rPr>
        <w:t xml:space="preserve">国峰</w:t>
      </w:r>
      <w:r/>
    </w:p>
    <w:p>
      <w:pPr>
        <w:ind w:firstLine="420"/>
        <w:jc w:val="left"/>
        <w:spacing w:line="360" w:lineRule="auto"/>
        <w:rPr>
          <w:rFonts w:hint="eastAsia" w:ascii="宋体" w:hAnsi="宋体" w:eastAsia="宋体" w:cs="宋体"/>
          <w:highlight w:val="none"/>
        </w:rPr>
      </w:pPr>
      <w:r>
        <w:rPr>
          <w:rFonts w:hint="eastAsia" w:ascii="宋体" w:hAnsi="宋体" w:cs="宋体"/>
          <w:szCs w:val="21"/>
          <w:highlight w:val="none"/>
        </w:rPr>
        <w:t xml:space="preserve">联系方式：</w:t>
      </w:r>
      <w:r>
        <w:rPr>
          <w:rFonts w:hint="eastAsia" w:ascii="宋体" w:hAnsi="宋体" w:eastAsia="宋体" w:cs="宋体"/>
          <w:sz w:val="21"/>
          <w:szCs w:val="21"/>
          <w:highlight w:val="none"/>
          <w:u w:val="single"/>
          <w:lang w:val="en-US" w:eastAsia="zh-CN"/>
        </w:rPr>
        <w:t xml:space="preserve">15150890005</w:t>
      </w:r>
      <w:r>
        <w:rPr>
          <w:rFonts w:hint="eastAsia" w:ascii="宋体" w:hAnsi="宋体" w:eastAsia="宋体" w:cs="宋体"/>
          <w:highlight w:val="none"/>
          <w:u w:val="single"/>
        </w:rPr>
        <w:t xml:space="preserve">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2.代理机构信息</w:t>
      </w:r>
      <w:r/>
    </w:p>
    <w:p>
      <w:pPr>
        <w:ind w:firstLine="420"/>
        <w:spacing w:line="360" w:lineRule="auto"/>
        <w:rPr>
          <w:rFonts w:hint="eastAsia" w:ascii="宋体" w:hAnsi="宋体" w:eastAsia="宋体" w:cs="宋体"/>
          <w:highlight w:val="none"/>
          <w:u w:val="single"/>
          <w:lang w:eastAsia="zh-CN"/>
        </w:rPr>
      </w:pPr>
      <w:r>
        <w:rPr>
          <w:rFonts w:hint="eastAsia" w:ascii="宋体" w:hAnsi="宋体" w:eastAsia="宋体" w:cs="宋体"/>
          <w:highlight w:val="none"/>
        </w:rPr>
        <w:t xml:space="preserve">名  称：</w:t>
      </w:r>
      <w:r>
        <w:rPr>
          <w:rFonts w:hint="eastAsia" w:ascii="宋体" w:hAnsi="宋体" w:cs="宋体"/>
          <w:highlight w:val="none"/>
          <w:u w:val="single"/>
          <w:lang w:eastAsia="zh-CN"/>
        </w:rPr>
        <w:t xml:space="preserve">扬州创晨项目管理咨询有限公司</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地　址：</w:t>
      </w:r>
      <w:r>
        <w:rPr>
          <w:rFonts w:hint="eastAsia" w:hAnsi="宋体" w:cs="宋体"/>
          <w:szCs w:val="21"/>
          <w:u w:val="single"/>
        </w:rPr>
        <w:t xml:space="preserve">仪征市</w:t>
      </w:r>
      <w:r>
        <w:rPr>
          <w:rFonts w:hint="eastAsia" w:hAnsi="宋体" w:cs="宋体"/>
          <w:szCs w:val="21"/>
          <w:u w:val="single"/>
          <w:lang w:val="en-US" w:eastAsia="zh-CN"/>
        </w:rPr>
        <w:t xml:space="preserve">鼓楼东路288-64号  三楼</w:t>
      </w:r>
      <w:r/>
    </w:p>
    <w:p>
      <w:pPr>
        <w:ind w:firstLine="420"/>
        <w:spacing w:line="360" w:lineRule="auto"/>
        <w:rPr>
          <w:rFonts w:hint="default" w:ascii="宋体" w:hAnsi="宋体" w:eastAsia="宋体" w:cs="宋体"/>
          <w:highlight w:val="none"/>
          <w:u w:val="single"/>
          <w:lang w:val="en-US" w:eastAsia="zh-CN"/>
        </w:rPr>
      </w:pPr>
      <w:r>
        <w:rPr>
          <w:rFonts w:hint="eastAsia" w:ascii="宋体" w:hAnsi="宋体" w:eastAsia="宋体" w:cs="宋体"/>
          <w:highlight w:val="none"/>
        </w:rPr>
        <w:t xml:space="preserve">联系人：</w:t>
      </w:r>
      <w:r>
        <w:rPr>
          <w:rFonts w:hint="eastAsia" w:ascii="宋体" w:hAnsi="宋体" w:cs="宋体"/>
          <w:highlight w:val="none"/>
          <w:u w:val="single"/>
          <w:lang w:val="en-US" w:eastAsia="zh-CN"/>
        </w:rPr>
        <w:t xml:space="preserve">刘玉城</w:t>
      </w:r>
      <w:r/>
    </w:p>
    <w:p>
      <w:pPr>
        <w:ind w:firstLine="420"/>
        <w:spacing w:line="360" w:lineRule="auto"/>
        <w:rPr>
          <w:rFonts w:hint="default" w:ascii="宋体" w:hAnsi="宋体" w:eastAsia="宋体" w:cs="宋体"/>
          <w:b w:val="0"/>
          <w:bCs w:val="0"/>
          <w:highlight w:val="none"/>
          <w:u w:val="single"/>
          <w:lang w:val="en-US" w:eastAsia="zh-CN"/>
        </w:rPr>
      </w:pPr>
      <w:r>
        <w:rPr>
          <w:rFonts w:hint="eastAsia" w:ascii="宋体" w:hAnsi="宋体" w:eastAsia="宋体" w:cs="宋体"/>
          <w:highlight w:val="none"/>
        </w:rPr>
        <w:t xml:space="preserve">联系方式：</w:t>
      </w:r>
      <w:r>
        <w:rPr>
          <w:rFonts w:hint="eastAsia" w:ascii="宋体" w:hAnsi="宋体" w:cs="宋体"/>
          <w:highlight w:val="none"/>
          <w:u w:val="single"/>
          <w:lang w:val="en-US" w:eastAsia="zh-CN"/>
        </w:rPr>
        <w:t xml:space="preserve">0514-83890807</w:t>
      </w:r>
      <w:r/>
    </w:p>
    <w:p>
      <w:pPr>
        <w:spacing w:line="360" w:lineRule="auto"/>
        <w:rPr>
          <w:rFonts w:ascii="宋体" w:hAnsi="宋体" w:cs="宋体"/>
          <w:b/>
          <w:bCs/>
          <w:szCs w:val="21"/>
          <w:highlight w:val="none"/>
        </w:rPr>
      </w:pPr>
      <w:r/>
      <w:bookmarkStart w:id="33" w:name="_Toc28359087"/>
      <w:r/>
      <w:bookmarkStart w:id="34" w:name="_Toc28359010"/>
      <w:r>
        <w:rPr>
          <w:rFonts w:hint="eastAsia" w:ascii="宋体" w:hAnsi="宋体"/>
          <w:b/>
          <w:bCs/>
          <w:color w:val="000000"/>
          <w:szCs w:val="21"/>
          <w:highlight w:val="none"/>
        </w:rPr>
        <w:t xml:space="preserve">八、</w:t>
      </w:r>
      <w:r>
        <w:rPr>
          <w:rFonts w:hint="eastAsia" w:ascii="宋体" w:hAnsi="宋体" w:cs="宋体"/>
          <w:b/>
          <w:bCs/>
          <w:szCs w:val="21"/>
          <w:highlight w:val="none"/>
        </w:rPr>
        <w:t xml:space="preserve">落实好政府采购履约资金扶持政策及其他相关政策</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1、中标/成交供应商可凭政府采购合同办理融资贷款，详见江苏政府采购网“政采贷”专栏。</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2、严格执行政府采购关于支持</w:t>
      </w:r>
      <w:r>
        <w:rPr>
          <w:rFonts w:hint="eastAsia" w:ascii="宋体" w:hAnsi="宋体" w:cs="宋体"/>
          <w:b/>
          <w:bCs/>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400" w:lineRule="exact"/>
        <w:rPr>
          <w:rFonts w:hint="eastAsia" w:ascii="宋体" w:hAnsi="宋体" w:eastAsia="宋体" w:cs="宋体"/>
          <w:b/>
          <w:bCs/>
          <w:highlight w:val="none"/>
        </w:rPr>
      </w:pPr>
      <w:r>
        <w:rPr>
          <w:rFonts w:hint="eastAsia" w:ascii="宋体" w:hAnsi="宋体" w:cs="宋体"/>
          <w:b/>
          <w:bCs/>
          <w:szCs w:val="21"/>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w:t>
      </w:r>
      <w:r>
        <w:rPr>
          <w:rFonts w:hint="eastAsia" w:ascii="宋体" w:hAnsi="宋体" w:cs="宋体"/>
          <w:b/>
          <w:bCs/>
          <w:highlight w:val="none"/>
        </w:rPr>
        <w:t xml:space="preserve">0514-83441946</w:t>
      </w:r>
      <w:r>
        <w:rPr>
          <w:rFonts w:hint="eastAsia" w:ascii="宋体" w:hAnsi="宋体" w:cs="宋体"/>
          <w:b/>
          <w:bCs/>
          <w:szCs w:val="21"/>
          <w:highlight w:val="none"/>
        </w:rPr>
        <w:t xml:space="preserve">。</w:t>
      </w:r>
      <w:bookmarkEnd w:id="33"/>
      <w:r/>
      <w:bookmarkEnd w:id="34"/>
      <w:r/>
      <w:r/>
    </w:p>
    <w:p>
      <w:pPr>
        <w:spacing w:line="360" w:lineRule="auto"/>
        <w:tabs>
          <w:tab w:val="left" w:pos="266" w:leader="none"/>
        </w:tabs>
        <w:rPr>
          <w:rFonts w:hint="eastAsia" w:ascii="宋体" w:hAnsi="宋体" w:eastAsia="宋体" w:cs="宋体"/>
          <w:b/>
          <w:bCs/>
          <w:highlight w:val="none"/>
        </w:rPr>
      </w:pPr>
      <w:r/>
      <w:bookmarkStart w:id="35" w:name="_Toc10556"/>
      <w:r/>
      <w:bookmarkStart w:id="36" w:name="_Toc1661"/>
      <w:r/>
      <w:bookmarkStart w:id="37" w:name="_Toc22778"/>
      <w:r/>
      <w:bookmarkStart w:id="38" w:name="_Toc13987"/>
      <w:r>
        <w:rPr>
          <w:rFonts w:hint="eastAsia" w:ascii="宋体" w:hAnsi="宋体" w:eastAsia="宋体" w:cs="宋体"/>
          <w:b/>
          <w:bCs/>
          <w:highlight w:val="none"/>
        </w:rPr>
        <w:t xml:space="preserve">九、其他</w:t>
      </w:r>
      <w:bookmarkEnd w:id="35"/>
      <w:r/>
      <w:bookmarkEnd w:id="36"/>
      <w:r/>
      <w:bookmarkEnd w:id="37"/>
      <w:r/>
      <w:bookmarkEnd w:id="38"/>
      <w:r/>
      <w:r/>
    </w:p>
    <w:p>
      <w:pPr>
        <w:ind w:firstLine="422"/>
        <w:jc w:val="left"/>
        <w:spacing w:line="360" w:lineRule="auto"/>
        <w:rPr>
          <w:rFonts w:hint="eastAsia" w:ascii="宋体" w:hAnsi="宋体"/>
          <w:b/>
          <w:bCs/>
          <w:color w:val="auto"/>
          <w:highlight w:val="none"/>
        </w:rPr>
      </w:pPr>
      <w:r>
        <w:rPr>
          <w:rFonts w:hint="eastAsia" w:ascii="宋体" w:hAnsi="宋体"/>
          <w:b/>
          <w:bCs/>
          <w:color w:val="auto"/>
          <w:highlight w:val="none"/>
        </w:rPr>
        <w:t xml:space="preserve">1.本次采购采用“政府采购管理交易系统（苏采云）”，招标、投标、评标和中标结果发布全程电子化，开标方式为不见面开标。</w:t>
      </w:r>
      <w:r>
        <w:rPr>
          <w:rFonts w:hint="eastAsia" w:ascii="宋体" w:hAnsi="宋体" w:cs="宋体"/>
          <w:b/>
          <w:bCs/>
          <w:color w:val="auto"/>
          <w:highlight w:val="none"/>
        </w:rPr>
        <w:t xml:space="preserve">供应商</w:t>
      </w:r>
      <w:r>
        <w:rPr>
          <w:rFonts w:hint="eastAsia" w:ascii="宋体" w:hAnsi="宋体"/>
          <w:b/>
          <w:bCs/>
          <w:color w:val="auto"/>
          <w:highlight w:val="none"/>
        </w:rPr>
        <w:t xml:space="preserve">应当按照《</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苏采云</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系统供应商操作手册</w:t>
      </w:r>
      <w:r>
        <w:rPr>
          <w:rFonts w:hint="eastAsia" w:ascii="宋体" w:hAnsi="宋体"/>
          <w:b/>
          <w:bCs/>
          <w:color w:val="auto"/>
          <w:highlight w:val="none"/>
        </w:rPr>
        <w:t xml:space="preserve">》参加投标活动。如</w:t>
      </w:r>
      <w:r>
        <w:rPr>
          <w:rFonts w:hint="eastAsia" w:ascii="宋体" w:hAnsi="宋体" w:cs="宋体"/>
          <w:b/>
          <w:bCs/>
          <w:color w:val="auto"/>
          <w:highlight w:val="none"/>
        </w:rPr>
        <w:t xml:space="preserve">供应商</w:t>
      </w:r>
      <w:r>
        <w:rPr>
          <w:rFonts w:hint="eastAsia" w:ascii="宋体" w:hAnsi="宋体"/>
          <w:b/>
          <w:bCs/>
          <w:color w:val="auto"/>
          <w:highlight w:val="none"/>
        </w:rPr>
        <w:t xml:space="preserve">未按要求操作，由此所产生的风险由</w:t>
      </w:r>
      <w:r>
        <w:rPr>
          <w:rFonts w:hint="eastAsia" w:ascii="宋体" w:hAnsi="宋体" w:cs="宋体"/>
          <w:b/>
          <w:bCs/>
          <w:color w:val="auto"/>
          <w:highlight w:val="none"/>
        </w:rPr>
        <w:t xml:space="preserve">供应商</w:t>
      </w:r>
      <w:r>
        <w:rPr>
          <w:rFonts w:hint="eastAsia" w:ascii="宋体" w:hAnsi="宋体"/>
          <w:b/>
          <w:bCs/>
          <w:color w:val="auto"/>
          <w:highlight w:val="none"/>
        </w:rPr>
        <w:t xml:space="preserve">自行承担。</w:t>
      </w:r>
      <w:r/>
    </w:p>
    <w:p>
      <w:pPr>
        <w:ind w:firstLine="422"/>
        <w:jc w:val="left"/>
        <w:spacing w:line="360" w:lineRule="auto"/>
        <w:rPr>
          <w:rFonts w:hint="eastAsia" w:ascii="宋体" w:hAnsi="宋体"/>
          <w:b/>
          <w:bCs/>
          <w:color w:val="auto"/>
          <w:highlight w:val="none"/>
        </w:rPr>
      </w:pPr>
      <w:r>
        <w:rPr>
          <w:rFonts w:hint="eastAsia" w:ascii="宋体" w:hAnsi="宋体"/>
          <w:b/>
          <w:bCs/>
          <w:color w:val="auto"/>
          <w:highlight w:val="none"/>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b/>
          <w:bCs/>
          <w:color w:val="auto"/>
          <w:highlight w:val="none"/>
          <w:lang w:val="en-US" w:eastAsia="zh-CN"/>
        </w:rPr>
        <w:t xml:space="preserve">13813140731</w:t>
      </w:r>
      <w:r>
        <w:rPr>
          <w:rFonts w:hint="eastAsia" w:ascii="宋体" w:hAnsi="宋体"/>
          <w:b/>
          <w:bCs/>
          <w:color w:val="auto"/>
          <w:highlight w:val="none"/>
        </w:rPr>
        <w:t xml:space="preserve">。</w:t>
      </w:r>
      <w:r/>
    </w:p>
    <w:p>
      <w:pPr>
        <w:ind w:firstLine="422"/>
        <w:jc w:val="left"/>
        <w:spacing w:line="360" w:lineRule="auto"/>
        <w:widowControl/>
        <w:rPr>
          <w:rFonts w:hint="eastAsia" w:ascii="宋体" w:hAnsi="宋体" w:cs="宋体"/>
          <w:b/>
          <w:color w:val="000000"/>
          <w:highlight w:val="none"/>
        </w:rPr>
      </w:pPr>
      <w:r>
        <w:rPr>
          <w:rFonts w:hint="eastAsia" w:ascii="宋体" w:hAnsi="宋体" w:cs="宋体"/>
          <w:b/>
          <w:color w:val="000000"/>
          <w:highlight w:val="none"/>
        </w:rPr>
        <w:t xml:space="preserve">3.潜在投标人对招标文件项目需求部分的询问、质疑请向采购人提出，由采购人负责答复。</w:t>
      </w:r>
      <w:r/>
    </w:p>
    <w:p>
      <w:pPr>
        <w:ind w:firstLine="420"/>
        <w:spacing w:line="360" w:lineRule="auto"/>
        <w:rPr>
          <w:rFonts w:hint="eastAsia" w:ascii="宋体" w:hAnsi="宋体" w:cs="宋体"/>
          <w:bCs/>
          <w:color w:val="000000"/>
          <w:highlight w:val="none"/>
        </w:rPr>
      </w:pPr>
      <w:r>
        <w:rPr>
          <w:rFonts w:hint="eastAsia" w:ascii="宋体" w:hAnsi="宋体" w:cs="宋体"/>
          <w:bCs/>
          <w:color w:val="000000"/>
          <w:szCs w:val="21"/>
          <w:highlight w:val="none"/>
        </w:rPr>
        <w:t xml:space="preserve">4.</w:t>
      </w:r>
      <w:r>
        <w:rPr>
          <w:rFonts w:hint="eastAsia" w:ascii="宋体" w:hAnsi="宋体"/>
          <w:highlight w:val="none"/>
        </w:rPr>
        <w:t xml:space="preserve">本次招标</w:t>
      </w:r>
      <w:r>
        <w:rPr>
          <w:rFonts w:hint="eastAsia" w:ascii="宋体" w:hAnsi="宋体"/>
          <w:color w:val="000000"/>
          <w:highlight w:val="none"/>
        </w:rPr>
        <w:t xml:space="preserve">不收取</w:t>
      </w:r>
      <w:r>
        <w:rPr>
          <w:rFonts w:hint="eastAsia" w:ascii="宋体" w:hAnsi="宋体"/>
          <w:highlight w:val="none"/>
        </w:rPr>
        <w:t xml:space="preserve">投标保证金</w:t>
      </w:r>
      <w:r>
        <w:rPr>
          <w:rFonts w:hint="eastAsia" w:ascii="宋体" w:hAnsi="宋体"/>
          <w:color w:val="000000"/>
          <w:highlight w:val="none"/>
        </w:rPr>
        <w:t xml:space="preserve">。</w:t>
      </w:r>
      <w:r/>
    </w:p>
    <w:p>
      <w:pPr>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5.</w:t>
      </w:r>
      <w:r>
        <w:rPr>
          <w:rFonts w:hint="eastAsia" w:ascii="宋体" w:hAnsi="宋体" w:cs="宋体"/>
          <w:bCs/>
          <w:color w:val="000000"/>
          <w:highlight w:val="none"/>
        </w:rPr>
        <w:t xml:space="preserve">有关本次招标的事项若存在变动或修改，敬请及时关注“仪征市政府采购网</w:t>
      </w:r>
      <w:r>
        <w:rPr>
          <w:rFonts w:hint="eastAsia" w:ascii="宋体" w:hAnsi="宋体" w:cs="宋体"/>
          <w:szCs w:val="21"/>
          <w:highlight w:val="none"/>
          <w:u w:val="none"/>
          <w:lang w:eastAsia="zh-CN"/>
        </w:rPr>
        <w:t xml:space="preserve">（zfcg.yizheng.cn）</w:t>
      </w:r>
      <w:r>
        <w:rPr>
          <w:rFonts w:hint="eastAsia" w:ascii="宋体" w:hAnsi="宋体" w:cs="宋体"/>
          <w:bCs/>
          <w:color w:val="000000"/>
          <w:highlight w:val="none"/>
        </w:rPr>
        <w:t xml:space="preserve">”、“扬州市政府采购网”、“江苏省政府采购网”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en-US" w:eastAsia="zh-CN"/>
        </w:rPr>
        <w:t xml:space="preserve">中国政府采购网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发布的信息。</w:t>
      </w:r>
      <w:r/>
    </w:p>
    <w:p>
      <w:pPr>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6.本项目招标文件中所有斜体下划线部分为实质性条款，如不满足，则为无效投标。</w:t>
      </w:r>
      <w:r/>
    </w:p>
    <w:p>
      <w:pPr>
        <w:pStyle w:val="926"/>
        <w:ind w:left="0" w:firstLine="420"/>
        <w:keepLines w:val="0"/>
        <w:keepNext w:val="0"/>
        <w:pageBreakBefore w:val="0"/>
        <w:spacing w:line="360" w:lineRule="auto"/>
        <w:widowControl w:val="off"/>
        <w:rPr>
          <w:rFonts w:hint="eastAsia" w:ascii="宋体" w:hAnsi="宋体" w:eastAsia="宋体"/>
          <w:bCs w:val="0"/>
          <w:sz w:val="36"/>
          <w:szCs w:val="36"/>
          <w:highlight w:val="none"/>
          <w:lang w:val="en-US" w:eastAsia="zh-CN"/>
        </w:rPr>
      </w:pPr>
      <w:r>
        <w:rPr>
          <w:rFonts w:hint="eastAsia" w:ascii="宋体" w:hAnsi="宋体" w:eastAsia="宋体" w:cs="宋体"/>
          <w:bCs/>
          <w:color w:val="000000"/>
          <w:sz w:val="21"/>
          <w:szCs w:val="22"/>
          <w:highlight w:val="none"/>
          <w:lang w:val="en-US" w:eastAsia="zh-CN" w:bidi="ar-SA"/>
        </w:rPr>
        <w:t xml:space="preserve">7.如在开标时间发生系统崩溃等不可预见的情况，造成开评标活动无法正常进行的，将延迟开评标，具体开评标时间另行通知。</w:t>
      </w:r>
      <w:bookmarkEnd w:id="9"/>
      <w:r/>
      <w:bookmarkEnd w:id="18"/>
      <w:r/>
      <w:bookmarkStart w:id="39" w:name="_Toc458694821"/>
      <w:r/>
      <w:bookmarkStart w:id="40" w:name="_Toc513029204"/>
      <w:r/>
      <w:bookmarkStart w:id="41" w:name="_Toc20823276"/>
      <w:r/>
      <w:bookmarkStart w:id="42" w:name="_Toc16938520"/>
      <w:r>
        <w:rPr>
          <w:rFonts w:hint="eastAsia" w:ascii="宋体" w:hAnsi="宋体" w:eastAsia="宋体"/>
          <w:bCs w:val="0"/>
          <w:sz w:val="36"/>
          <w:szCs w:val="36"/>
          <w:highlight w:val="none"/>
          <w:lang w:val="en-US" w:eastAsia="zh-CN"/>
        </w:rPr>
        <w:br w:type="page" w:clear="all"/>
      </w:r>
      <w:bookmarkStart w:id="81" w:name="_GoBack"/>
      <w:r/>
      <w:bookmarkEnd w:id="81"/>
      <w:r>
        <w:rPr>
          <w:rFonts w:hint="eastAsia" w:ascii="宋体" w:hAnsi="宋体" w:eastAsia="宋体"/>
          <w:bCs w:val="0"/>
          <w:sz w:val="36"/>
          <w:szCs w:val="36"/>
          <w:highlight w:val="none"/>
          <w:lang w:val="en-US" w:eastAsia="zh-CN"/>
        </w:rPr>
      </w:r>
      <w:r/>
    </w:p>
    <w:p>
      <w:pPr>
        <w:pStyle w:val="915"/>
        <w:jc w:val="center"/>
        <w:pageBreakBefore w:val="0"/>
        <w:spacing w:before="0" w:after="0" w:line="360" w:lineRule="auto"/>
        <w:widowControl w:val="off"/>
        <w:rPr>
          <w:rFonts w:hint="default"/>
          <w:sz w:val="36"/>
          <w:szCs w:val="36"/>
          <w:lang w:val="en-US" w:eastAsia="zh-CN"/>
        </w:rPr>
      </w:pPr>
      <w:r/>
      <w:bookmarkStart w:id="43" w:name="_Toc26623"/>
      <w:r>
        <w:rPr>
          <w:rFonts w:hint="eastAsia"/>
          <w:sz w:val="36"/>
          <w:szCs w:val="36"/>
          <w:lang w:val="en-US" w:eastAsia="zh-CN"/>
        </w:rPr>
        <w:t xml:space="preserve">第二章 投标人须知</w:t>
      </w:r>
      <w:bookmarkEnd w:id="43"/>
      <w:r/>
      <w:r/>
    </w:p>
    <w:p>
      <w:pPr>
        <w:pStyle w:val="918"/>
        <w:ind w:firstLine="422"/>
        <w:pageBreakBefore w:val="0"/>
        <w:spacing w:before="0" w:after="0" w:line="360" w:lineRule="auto"/>
        <w:widowControl w:val="off"/>
        <w:rPr>
          <w:rFonts w:ascii="宋体" w:hAnsi="宋体" w:eastAsia="宋体"/>
          <w:bCs w:val="0"/>
          <w:sz w:val="21"/>
          <w:szCs w:val="21"/>
          <w:highlight w:val="none"/>
        </w:rPr>
      </w:pPr>
      <w:r>
        <w:rPr>
          <w:rFonts w:ascii="宋体" w:hAnsi="宋体" w:eastAsia="宋体"/>
          <w:bCs w:val="0"/>
          <w:sz w:val="21"/>
          <w:szCs w:val="21"/>
          <w:highlight w:val="none"/>
        </w:rPr>
        <w:t xml:space="preserve">1</w:t>
      </w:r>
      <w:bookmarkEnd w:id="39"/>
      <w:r>
        <w:rPr>
          <w:rFonts w:hint="eastAsia" w:ascii="宋体" w:hAnsi="宋体" w:eastAsia="宋体"/>
          <w:bCs w:val="0"/>
          <w:sz w:val="21"/>
          <w:szCs w:val="21"/>
          <w:highlight w:val="none"/>
        </w:rPr>
        <w:t xml:space="preserve">、招标方式</w:t>
      </w:r>
      <w:bookmarkEnd w:id="40"/>
      <w:r/>
      <w:bookmarkEnd w:id="41"/>
      <w:r/>
      <w:bookmarkEnd w:id="42"/>
      <w:r/>
      <w:r/>
    </w:p>
    <w:p>
      <w:pPr>
        <w:ind w:firstLine="420"/>
        <w:pageBreakBefore w:val="0"/>
        <w:spacing w:line="360" w:lineRule="auto"/>
        <w:widowControl w:val="off"/>
        <w:rPr>
          <w:rFonts w:ascii="宋体" w:hAnsi="宋体"/>
          <w:color w:val="000000"/>
          <w:szCs w:val="21"/>
          <w:highlight w:val="none"/>
        </w:rPr>
      </w:pPr>
      <w:r>
        <w:rPr>
          <w:rFonts w:hint="eastAsia" w:ascii="宋体" w:hAnsi="宋体"/>
          <w:szCs w:val="21"/>
          <w:highlight w:val="none"/>
        </w:rPr>
        <w:t xml:space="preserve">1.1本次招标采取公开招标方式，</w:t>
      </w:r>
      <w:r>
        <w:rPr>
          <w:rFonts w:ascii="宋体" w:hAnsi="宋体" w:eastAsia="宋体" w:cs="宋体"/>
          <w:color w:val="000000"/>
          <w:sz w:val="21"/>
        </w:rPr>
        <w:t xml:space="preserve">本招标文件仅适用于招标公告中所述项目</w:t>
      </w:r>
      <w:r>
        <w:rPr>
          <w:rFonts w:hint="eastAsia" w:ascii="宋体" w:hAnsi="宋体"/>
          <w:color w:val="000000"/>
          <w:szCs w:val="21"/>
          <w:highlight w:val="none"/>
        </w:rPr>
        <w:t xml:space="preserve">。</w:t>
      </w:r>
      <w:r/>
    </w:p>
    <w:p>
      <w:pPr>
        <w:pStyle w:val="918"/>
        <w:ind w:firstLine="422"/>
        <w:pageBreakBefore w:val="0"/>
        <w:spacing w:before="0" w:after="0" w:line="360" w:lineRule="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2.1本招标文件中“供应商”，即“投标人”，是指参加投标竞争，并符合招标文件规定资格条件的法人、其他组织或者自然人。</w:t>
      </w:r>
      <w:r/>
    </w:p>
    <w:p>
      <w:pPr>
        <w:pStyle w:val="918"/>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w:t>
      </w:r>
      <w:r>
        <w:rPr>
          <w:rFonts w:hint="eastAsia" w:ascii="宋体" w:hAnsi="宋体"/>
          <w:bCs/>
          <w:szCs w:val="21"/>
          <w:highlight w:val="none"/>
        </w:rPr>
        <w:t xml:space="preserve">满足招标公告中供应商的资格条件要求的规定</w:t>
      </w:r>
      <w:r>
        <w:rPr>
          <w:rFonts w:hint="eastAsia" w:ascii="宋体" w:hAnsi="宋体"/>
          <w:color w:val="000000"/>
          <w:highlight w:val="none"/>
        </w:rPr>
        <w:t xml:space="preserve">。</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2.2.2满足本文件实质性条款的规定。</w:t>
      </w:r>
      <w:r/>
    </w:p>
    <w:p>
      <w:pPr>
        <w:pStyle w:val="918"/>
        <w:ind w:firstLine="422"/>
        <w:spacing w:before="0" w:after="0" w:line="360" w:lineRule="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lang w:val="en-US" w:eastAsia="zh-CN"/>
        </w:rPr>
        <w:t xml:space="preserve">和标准</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3.1本次招标及由此产生的合同受中华人民共和国有关的法律法规制约和保护。</w:t>
      </w:r>
      <w:r/>
    </w:p>
    <w:p>
      <w:pPr>
        <w:pStyle w:val="923"/>
        <w:rPr>
          <w:rFonts w:hint="eastAsia" w:eastAsia="宋体"/>
          <w:lang w:eastAsia="zh-CN"/>
        </w:rPr>
      </w:pPr>
      <w:r>
        <w:rPr>
          <w:rFonts w:hint="eastAsia" w:ascii="宋体" w:hAnsi="宋体" w:eastAsia="宋体" w:cs="Times New Roman"/>
          <w:b w:val="0"/>
          <w:bCs w:val="0"/>
          <w:color w:val="000000"/>
          <w:sz w:val="21"/>
          <w:szCs w:val="21"/>
          <w:highlight w:val="none"/>
          <w:lang w:val="en-US" w:eastAsia="zh-CN" w:bidi="ar-SA"/>
        </w:rPr>
        <w:t xml:space="preserve">3.2</w:t>
      </w:r>
      <w:r>
        <w:rPr>
          <w:rFonts w:hint="eastAsia"/>
        </w:rPr>
        <w:t xml:space="preserve">在本项目政府采购活动过程中，如果所执行的标准有更新的，按照最新标准执行</w:t>
      </w:r>
      <w:r>
        <w:rPr>
          <w:rFonts w:hint="eastAsia"/>
          <w:lang w:eastAsia="zh-CN"/>
        </w:rPr>
        <w:t xml:space="preserve">。</w:t>
      </w:r>
      <w:r/>
    </w:p>
    <w:p>
      <w:pPr>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4.1投标人应自行承担所有与参加投标有关的费用，无论投标过程中的做法和结果如何，</w:t>
      </w:r>
      <w:r>
        <w:rPr>
          <w:rFonts w:hint="eastAsia" w:ascii="宋体" w:hAnsi="宋体"/>
          <w:color w:val="000000"/>
          <w:highlight w:val="none"/>
          <w:lang w:eastAsia="zh-CN"/>
        </w:rPr>
        <w:t xml:space="preserve">扬州创晨项目管理咨询有限公司</w:t>
      </w:r>
      <w:r>
        <w:rPr>
          <w:rFonts w:hint="eastAsia" w:ascii="宋体" w:hAnsi="宋体"/>
          <w:color w:val="000000"/>
          <w:highlight w:val="none"/>
        </w:rPr>
        <w:t xml:space="preserve">(以下简称代理机构)在任何情况下均无义务和责任承担这些费用。</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4.2本次采购</w:t>
      </w:r>
      <w:r>
        <w:rPr>
          <w:rFonts w:hint="eastAsia" w:ascii="宋体" w:hAnsi="宋体"/>
          <w:color w:val="000000"/>
          <w:highlight w:val="none"/>
          <w:lang w:val="en-US" w:eastAsia="zh-CN"/>
        </w:rPr>
        <w:t xml:space="preserve">代理费</w:t>
      </w:r>
      <w:r>
        <w:rPr>
          <w:rFonts w:hint="eastAsia" w:ascii="宋体" w:hAnsi="宋体"/>
          <w:color w:val="000000"/>
          <w:highlight w:val="none"/>
        </w:rPr>
        <w:t xml:space="preserve">按照国家计委印发的</w:t>
      </w:r>
      <w:r>
        <w:rPr>
          <w:rFonts w:hint="eastAsia" w:ascii="宋体" w:hAnsi="宋体"/>
          <w:color w:val="000000"/>
          <w:highlight w:val="none"/>
          <w:lang w:val="en-US" w:eastAsia="zh-CN"/>
        </w:rPr>
        <w:t xml:space="preserve">《招标代理服务收费管理暂行办法》(计价格【2002】1980 号文)货物类</w:t>
      </w:r>
      <w:r>
        <w:rPr>
          <w:rFonts w:hint="eastAsia" w:ascii="宋体" w:hAnsi="宋体" w:eastAsia="宋体" w:cs="宋体"/>
          <w:color w:val="000000"/>
          <w:highlight w:val="none"/>
        </w:rPr>
        <w:t xml:space="preserve">（服务类）</w:t>
      </w:r>
      <w:r>
        <w:rPr>
          <w:rFonts w:hint="eastAsia" w:ascii="宋体" w:hAnsi="宋体"/>
          <w:color w:val="000000"/>
          <w:highlight w:val="none"/>
          <w:lang w:val="en-US" w:eastAsia="zh-CN"/>
        </w:rPr>
        <w:t xml:space="preserve">标准*10%，由采购人支付。</w:t>
      </w:r>
      <w:r/>
    </w:p>
    <w:p>
      <w:pPr>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rPr>
          <w:rFonts w:hint="eastAsia"/>
          <w:color w:val="auto"/>
          <w:highlight w:val="none"/>
          <w:lang w:eastAsia="zh-CN"/>
        </w:rPr>
        <w:t xml:space="preserve">，</w:t>
      </w:r>
      <w:r>
        <w:rPr>
          <w:rFonts w:hint="eastAsia" w:ascii="宋体" w:hAnsi="宋体"/>
          <w:color w:val="000000"/>
          <w:highlight w:val="none"/>
          <w:lang w:val="en-US" w:eastAsia="zh-CN"/>
        </w:rPr>
        <w:t xml:space="preserve">由采购人支付。</w:t>
      </w:r>
      <w:r/>
    </w:p>
    <w:p>
      <w:pPr>
        <w:pStyle w:val="918"/>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5.1投标人一旦参加本项目采购活动，即被认为接受了本招标文件的规定和约束。</w:t>
      </w:r>
      <w:r/>
    </w:p>
    <w:p>
      <w:pPr>
        <w:pStyle w:val="918"/>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6.1招标文件有以下部分组成：</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bCs/>
          <w:szCs w:val="21"/>
          <w:highlight w:val="none"/>
        </w:rPr>
        <w:t xml:space="preserve">招标公告</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（2）投标须知</w:t>
      </w:r>
      <w:r>
        <w:rPr>
          <w:rFonts w:hint="eastAsia" w:ascii="宋体" w:hAnsi="宋体"/>
          <w:color w:val="000000"/>
          <w:highlight w:val="none"/>
        </w:rPr>
        <w:tab/>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（3）合同条款及格式</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（4）项目需求</w:t>
      </w:r>
      <w:r/>
    </w:p>
    <w:p>
      <w:pPr>
        <w:ind w:firstLine="315"/>
        <w:spacing w:line="360" w:lineRule="auto"/>
        <w:rPr>
          <w:rFonts w:hint="eastAsia" w:ascii="宋体" w:hAnsi="宋体"/>
          <w:color w:val="000000"/>
          <w:highlight w:val="none"/>
        </w:rPr>
      </w:pPr>
      <w:r>
        <w:rPr>
          <w:rFonts w:hint="eastAsia" w:ascii="宋体" w:hAnsi="宋体"/>
          <w:color w:val="000000"/>
          <w:highlight w:val="none"/>
        </w:rPr>
        <w:t xml:space="preserve">（5）评标方法与</w:t>
      </w:r>
      <w:r>
        <w:rPr>
          <w:rFonts w:hint="eastAsia" w:ascii="宋体" w:hAnsi="宋体"/>
          <w:bCs/>
          <w:szCs w:val="21"/>
          <w:highlight w:val="none"/>
        </w:rPr>
        <w:t xml:space="preserve">评标标准</w:t>
      </w:r>
      <w:r/>
    </w:p>
    <w:p>
      <w:pPr>
        <w:ind w:firstLine="315"/>
        <w:spacing w:line="360" w:lineRule="auto"/>
        <w:rPr>
          <w:rFonts w:ascii="宋体" w:hAnsi="宋体"/>
          <w:color w:val="000000"/>
          <w:highlight w:val="none"/>
        </w:rPr>
      </w:pPr>
      <w:r>
        <w:rPr>
          <w:rFonts w:hint="eastAsia" w:ascii="宋体" w:hAnsi="宋体"/>
          <w:color w:val="000000"/>
          <w:highlight w:val="none"/>
        </w:rPr>
        <w:t xml:space="preserve">（6）</w:t>
      </w:r>
      <w:r>
        <w:rPr>
          <w:rFonts w:hint="eastAsia" w:ascii="宋体" w:hAnsi="宋体"/>
          <w:bCs/>
          <w:szCs w:val="21"/>
          <w:highlight w:val="none"/>
        </w:rPr>
        <w:t xml:space="preserve">投标文件格式</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6.2招标的最小单位是包。</w:t>
      </w:r>
      <w:r>
        <w:rPr>
          <w:rFonts w:hint="eastAsia" w:ascii="宋体" w:hAnsi="宋体"/>
          <w:bCs/>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szCs w:val="21"/>
          <w:highlight w:val="none"/>
        </w:rPr>
        <w:t xml:space="preserve">招标</w:t>
      </w:r>
      <w:r>
        <w:rPr>
          <w:rFonts w:hint="eastAsia" w:ascii="宋体" w:hAnsi="宋体"/>
          <w:color w:val="000000"/>
          <w:highlight w:val="none"/>
        </w:rPr>
        <w:t xml:space="preserve">服务数量及技术要求中已经分包的，应当以包为单位投标。</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6.3招标文件如果要求供应商提交备选投标方案的，</w:t>
      </w:r>
      <w:r>
        <w:rPr>
          <w:rFonts w:hint="eastAsia" w:ascii="宋体" w:hAnsi="宋体"/>
          <w:bCs/>
          <w:szCs w:val="21"/>
          <w:highlight w:val="none"/>
        </w:rPr>
        <w:t xml:space="preserve">供应商</w:t>
      </w:r>
      <w:r>
        <w:rPr>
          <w:rFonts w:hint="eastAsia" w:ascii="宋体" w:hAnsi="宋体"/>
          <w:color w:val="000000"/>
          <w:highlight w:val="none"/>
        </w:rPr>
        <w:t xml:space="preserve">可以提交备选方案；否则，备选方案将被拒绝。</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7.1任何要求对招标文件进行澄清的投标人，</w:t>
      </w:r>
      <w:r>
        <w:rPr>
          <w:rFonts w:hint="eastAsia" w:ascii="宋体" w:hAnsi="宋体"/>
          <w:bCs/>
          <w:szCs w:val="21"/>
          <w:highlight w:val="none"/>
        </w:rPr>
        <w:t xml:space="preserve">应在投标截止日期的十日前按招标公告中的通讯地址，以书面形式通知代理机构。</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p>
    <w:p>
      <w:pPr>
        <w:ind w:firstLine="420"/>
        <w:spacing w:line="360" w:lineRule="auto"/>
        <w:rPr>
          <w:rFonts w:hint="eastAsia" w:ascii="宋体" w:hAnsi="宋体"/>
          <w:bCs/>
          <w:szCs w:val="21"/>
          <w:highlight w:val="none"/>
        </w:rPr>
      </w:pPr>
      <w:r>
        <w:rPr>
          <w:rFonts w:hint="eastAsia" w:ascii="宋体" w:hAnsi="宋体"/>
          <w:color w:val="000000"/>
          <w:highlight w:val="none"/>
        </w:rPr>
        <w:t xml:space="preserve">8.1</w:t>
      </w:r>
      <w:r>
        <w:rPr>
          <w:rFonts w:hint="eastAsia" w:ascii="宋体" w:hAnsi="宋体"/>
          <w:bCs/>
          <w:szCs w:val="21"/>
          <w:highlight w:val="none"/>
        </w:rPr>
        <w:t xml:space="preserve">在投标截止时间前，代理机构可以对招标文件进行修改。</w:t>
      </w:r>
      <w:r/>
    </w:p>
    <w:p>
      <w:pPr>
        <w:ind w:firstLine="420"/>
        <w:spacing w:line="360" w:lineRule="auto"/>
        <w:rPr>
          <w:rFonts w:hint="eastAsia"/>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8.3招标文件的修改将在“仪征市政府采购网”、“扬州市政府采购网”、“江苏省政府采购网”</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p>
    <w:p>
      <w:pPr>
        <w:pStyle w:val="918"/>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9、投标文件的语言、度量衡单位、货币</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9.2除技术性能另有规定外，投标文件所使用的度量衡单位，均须采用国家法定计量单位。</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9.3</w:t>
      </w:r>
      <w:r>
        <w:rPr>
          <w:rFonts w:hint="eastAsia" w:ascii="宋体" w:hAnsi="宋体"/>
          <w:bCs/>
          <w:szCs w:val="21"/>
          <w:highlight w:val="none"/>
        </w:rPr>
        <w:t xml:space="preserve">投标人应使用人民币报价。</w:t>
      </w:r>
      <w:r/>
    </w:p>
    <w:p>
      <w:pPr>
        <w:pStyle w:val="918"/>
        <w:numPr>
          <w:ilvl w:val="0"/>
          <w:numId w:val="2"/>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p>
    <w:p>
      <w:pPr>
        <w:ind w:firstLine="420"/>
        <w:spacing w:line="360" w:lineRule="auto"/>
        <w:rPr>
          <w:rFonts w:hint="eastAsia"/>
          <w:highlight w:val="none"/>
        </w:rPr>
      </w:pPr>
      <w:r>
        <w:rPr>
          <w:rFonts w:hint="eastAsia" w:ascii="宋体" w:hAnsi="宋体"/>
          <w:bCs/>
          <w:szCs w:val="21"/>
          <w:highlight w:val="none"/>
        </w:rPr>
        <w:t xml:space="preserve">10.1投标文件由以下部分组成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p>
    <w:p>
      <w:pPr>
        <w:pStyle w:val="918"/>
        <w:ind w:left="0" w:right="0" w:firstLine="420"/>
        <w:jc w:val="both"/>
        <w:spacing w:before="0" w:after="0" w:line="400" w:lineRule="atLeast"/>
        <w:rPr>
          <w:rFonts w:hint="eastAsia" w:ascii="宋体" w:hAnsi="宋体" w:eastAsia="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color w:val="000000"/>
          <w:sz w:val="21"/>
          <w:szCs w:val="21"/>
          <w:highlight w:val="none"/>
        </w:rPr>
        <w:t xml:space="preserve">10.2</w:t>
      </w:r>
      <w:r>
        <w:rPr>
          <w:rFonts w:ascii="宋体" w:hAnsi="宋体" w:eastAsia="宋体" w:cs="宋体"/>
          <w:b w:val="0"/>
          <w:bCs w:val="0"/>
          <w:color w:val="000000"/>
          <w:sz w:val="21"/>
        </w:rPr>
        <w:t xml:space="preserve">投标人应当根据招标文件要求编制投标文件，投标文件应对招标文件提出的要求和条件作出实质性响应，并在相应的投标文件中逐条标明满足与否。</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11.1投标人应按要求提交资格证明文件及符合招标文件规定的文件。</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11.2投标人应提交证明其有资格参加投标和中标后有能力独立履行合同的文件。</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color w:val="000000"/>
          <w:highlight w:val="none"/>
        </w:rPr>
      </w:pPr>
      <w:r>
        <w:rPr>
          <w:rFonts w:hint="eastAsia" w:ascii="宋体" w:hAnsi="宋体"/>
          <w:color w:val="000000"/>
          <w:highlight w:val="none"/>
        </w:rPr>
        <w:t xml:space="preserve">    11.4投标人应提交根据合同要求提供的证明服务质量合格以及符合招标文件规定的证明文件。</w:t>
      </w:r>
      <w:r/>
    </w:p>
    <w:p>
      <w:pPr>
        <w:spacing w:line="360" w:lineRule="auto"/>
        <w:rPr>
          <w:rFonts w:hint="eastAsia" w:ascii="宋体" w:hAnsi="宋体"/>
          <w:color w:val="000000"/>
          <w:highlight w:val="none"/>
        </w:rPr>
      </w:pPr>
      <w:r>
        <w:rPr>
          <w:rFonts w:hint="eastAsia" w:ascii="宋体" w:hAnsi="宋体"/>
          <w:color w:val="000000"/>
          <w:highlight w:val="none"/>
        </w:rPr>
        <w:t xml:space="preserve">    11.5证明投标人所提供服务与招标文件的要求相一致的文件可以是手册、图纸、文字资料和数据。</w:t>
      </w:r>
      <w:r/>
    </w:p>
    <w:p>
      <w:pPr>
        <w:pStyle w:val="918"/>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12、分项报价表</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12.1</w:t>
      </w:r>
      <w:r>
        <w:rPr>
          <w:rFonts w:hint="eastAsia" w:ascii="宋体" w:hAnsi="宋体"/>
          <w:bCs/>
          <w:color w:val="000000"/>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12.2标的物</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采购人需求的服务供应、安装，调试及有关技术服务等。</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12.3其它费用处理</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招标文件未列明，而投标人认为必需的费用也需列入报价。</w:t>
      </w:r>
      <w:r/>
    </w:p>
    <w:p>
      <w:pPr>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p>
    <w:p>
      <w:pPr>
        <w:ind w:firstLine="420"/>
        <w:spacing w:line="360" w:lineRule="auto"/>
        <w:rPr>
          <w:rFonts w:hint="eastAsia"/>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13.1 投标人需对招标文件中的技术要求与商务要求逐项作出响应或偏离，并说明原因。</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13.2 投标人可在投标文件中提供认为需要的其他技术文件或说明。</w:t>
      </w:r>
      <w:r/>
    </w:p>
    <w:p>
      <w:pPr>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14、服务承诺及售后服务机构、人员的情况介绍</w:t>
      </w:r>
      <w:r/>
    </w:p>
    <w:p>
      <w:pPr>
        <w:spacing w:line="360" w:lineRule="auto"/>
        <w:rPr>
          <w:rFonts w:hint="eastAsia" w:ascii="宋体" w:hAnsi="宋体"/>
          <w:color w:val="000000"/>
          <w:highlight w:val="none"/>
        </w:rPr>
      </w:pPr>
      <w:r>
        <w:rPr>
          <w:rFonts w:hint="eastAsia" w:ascii="宋体" w:hAnsi="宋体"/>
          <w:color w:val="000000"/>
          <w:highlight w:val="none"/>
        </w:rPr>
        <w:t xml:space="preserve">    14.1投标人的服务承诺应按不低于招标文件中商务要求的标准。</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15.1投标人应按照招标文件中提供的格式完整、正确填写投标函、开标一览表。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15.2开标一览表中的价格应与投标文件中分项报价表中的价格一致，如不一致，不作为无效投标处理，但评标时按开标一览表中价格为准。</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16、投标有效期</w:t>
      </w:r>
      <w:r/>
    </w:p>
    <w:p>
      <w:pPr>
        <w:ind w:firstLine="420"/>
        <w:spacing w:line="360" w:lineRule="auto"/>
        <w:rPr>
          <w:rFonts w:ascii="宋体" w:hAnsi="宋体"/>
          <w:bCs/>
          <w:szCs w:val="21"/>
          <w:highlight w:val="none"/>
        </w:rPr>
      </w:pPr>
      <w:r/>
      <w:bookmarkStart w:id="44" w:name="_Toc20823297"/>
      <w:r/>
      <w:bookmarkStart w:id="45" w:name="_Toc16938541"/>
      <w:r>
        <w:rPr>
          <w:rFonts w:hint="eastAsia" w:ascii="宋体" w:hAnsi="宋体"/>
          <w:bCs/>
          <w:szCs w:val="21"/>
          <w:highlight w:val="none"/>
        </w:rPr>
        <w:t xml:space="preserve">16.1投标有效期为开标之日起</w:t>
      </w:r>
      <w:r>
        <w:rPr>
          <w:rFonts w:hint="eastAsia" w:ascii="宋体" w:hAnsi="宋体"/>
          <w:b/>
          <w:bCs w:val="0"/>
          <w:szCs w:val="21"/>
          <w:highlight w:val="none"/>
          <w:u w:val="single"/>
        </w:rPr>
        <w:t xml:space="preserve">六十（60）天</w:t>
      </w:r>
      <w:r>
        <w:rPr>
          <w:rFonts w:hint="eastAsia" w:ascii="宋体" w:hAnsi="宋体"/>
          <w:bCs/>
          <w:szCs w:val="21"/>
          <w:highlight w:val="none"/>
        </w:rPr>
        <w:t xml:space="preserve">。投标有效期比规定短的将被视为非响应性投标而予以拒绝。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18"/>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17、投标文件</w:t>
      </w:r>
      <w:bookmarkEnd w:id="44"/>
      <w:r/>
      <w:bookmarkEnd w:id="45"/>
      <w:r>
        <w:rPr>
          <w:rFonts w:hint="eastAsia" w:ascii="宋体" w:hAnsi="宋体" w:eastAsia="宋体"/>
          <w:color w:val="000000"/>
          <w:sz w:val="21"/>
          <w:szCs w:val="21"/>
          <w:highlight w:val="none"/>
        </w:rPr>
        <w:t xml:space="preserve">的递交</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17.1电子投标文件的递交投标人应当按照《操作手册》规定，在投标截止时间前制作并上传电子投标文件。</w:t>
      </w:r>
      <w:bookmarkStart w:id="46" w:name="_Toc20823298"/>
      <w:r/>
      <w:bookmarkStart w:id="47" w:name="_Toc16938542"/>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p>
    <w:p>
      <w:pPr>
        <w:pStyle w:val="972"/>
        <w:ind w:firstLine="422"/>
        <w:rPr>
          <w:rFonts w:hint="eastAsia" w:ascii="宋体" w:hAnsi="宋体"/>
          <w:bCs/>
          <w:color w:val="000000"/>
          <w:sz w:val="24"/>
          <w:highlight w:val="none"/>
        </w:rPr>
      </w:pPr>
      <w:r>
        <w:rPr>
          <w:rFonts w:hint="eastAsia" w:ascii="宋体" w:hAnsi="宋体"/>
          <w:b/>
          <w:bCs/>
          <w:color w:val="000000"/>
          <w:highlight w:val="none"/>
        </w:rPr>
        <w:t xml:space="preserve">18、投标截止日期</w:t>
      </w:r>
      <w:bookmarkEnd w:id="46"/>
      <w:r/>
      <w:bookmarkEnd w:id="47"/>
      <w:r/>
      <w:r/>
    </w:p>
    <w:p>
      <w:pPr>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iCs/>
          <w:color w:val="000000"/>
          <w:szCs w:val="21"/>
          <w:highlight w:val="none"/>
          <w:u w:val="single"/>
        </w:rPr>
        <w:t xml:space="preserve">投标人上传电子投标文件的时间不得迟于招标公告中规定的投标截止时间。</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18.2代理机构可以按照规定，通过修改招标文件延长投标截止日期，在此情况下，投标人的所有权利和义务以及投标人受制的截止日期均应以延长后新的截止日期为准。</w:t>
      </w:r>
      <w:r/>
    </w:p>
    <w:p>
      <w:pPr>
        <w:pStyle w:val="918"/>
        <w:ind w:firstLine="422"/>
        <w:spacing w:before="0" w:after="0" w:line="360" w:lineRule="auto"/>
        <w:rPr>
          <w:rFonts w:hint="eastAsia" w:ascii="宋体" w:hAnsi="宋体" w:eastAsia="宋体"/>
          <w:color w:val="000000"/>
          <w:sz w:val="21"/>
          <w:szCs w:val="21"/>
          <w:highlight w:val="none"/>
        </w:rPr>
      </w:pPr>
      <w:r/>
      <w:bookmarkStart w:id="48" w:name="_Toc16938543"/>
      <w:r/>
      <w:bookmarkStart w:id="49" w:name="_Toc20823299"/>
      <w:r>
        <w:rPr>
          <w:rFonts w:hint="eastAsia" w:ascii="宋体" w:hAnsi="宋体" w:eastAsia="宋体"/>
          <w:color w:val="000000"/>
          <w:sz w:val="21"/>
          <w:szCs w:val="21"/>
          <w:highlight w:val="none"/>
        </w:rPr>
        <w:t xml:space="preserve">19、投标文件</w:t>
      </w:r>
      <w:bookmarkEnd w:id="48"/>
      <w:r/>
      <w:bookmarkEnd w:id="49"/>
      <w:r>
        <w:rPr>
          <w:rFonts w:hint="eastAsia" w:ascii="宋体" w:hAnsi="宋体" w:eastAsia="宋体"/>
          <w:color w:val="000000"/>
          <w:sz w:val="21"/>
          <w:szCs w:val="21"/>
          <w:highlight w:val="none"/>
        </w:rPr>
        <w:t xml:space="preserve">的拒收</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p>
    <w:p>
      <w:pPr>
        <w:pStyle w:val="918"/>
        <w:ind w:firstLine="422"/>
        <w:spacing w:before="0" w:after="0" w:line="360" w:lineRule="auto"/>
        <w:rPr>
          <w:rFonts w:hint="eastAsia" w:ascii="宋体" w:hAnsi="宋体" w:eastAsia="宋体"/>
          <w:color w:val="000000"/>
          <w:sz w:val="21"/>
          <w:szCs w:val="21"/>
          <w:highlight w:val="none"/>
        </w:rPr>
      </w:pPr>
      <w:r/>
      <w:bookmarkStart w:id="50" w:name="_Toc20823300"/>
      <w:r/>
      <w:bookmarkStart w:id="51" w:name="_Toc16938544"/>
      <w:r>
        <w:rPr>
          <w:rFonts w:hint="eastAsia" w:ascii="宋体" w:hAnsi="宋体" w:eastAsia="宋体"/>
          <w:color w:val="000000"/>
          <w:sz w:val="21"/>
          <w:szCs w:val="21"/>
          <w:highlight w:val="none"/>
        </w:rPr>
        <w:t xml:space="preserve">20、投标文件的撤回和修改</w:t>
      </w:r>
      <w:bookmarkEnd w:id="50"/>
      <w:r/>
      <w:bookmarkEnd w:id="51"/>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20.1投标文件的撤回</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20.1.1电子投标文件的撤回</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20.1.2投标人撤回电子投标文件，则认为其不再参与本项目投标活动。</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20.2投标文件的修改</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p>
    <w:p>
      <w:pPr>
        <w:ind w:firstLine="420"/>
        <w:spacing w:line="360" w:lineRule="auto"/>
        <w:rPr>
          <w:rFonts w:hint="eastAsia" w:ascii="宋体" w:hAnsi="宋体"/>
          <w:color w:val="000000"/>
          <w:highlight w:val="none"/>
        </w:rPr>
      </w:pPr>
      <w:r>
        <w:rPr>
          <w:rFonts w:hint="eastAsia" w:ascii="宋体" w:hAnsi="宋体"/>
          <w:color w:val="000000"/>
          <w:highlight w:val="none"/>
        </w:rPr>
        <w:t xml:space="preserve">20.3在投标截止时间之后，投标人不得对其电子投标文件作任何修改。</w:t>
      </w:r>
      <w:r/>
    </w:p>
    <w:p>
      <w:pPr>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20.4在投标截止时间至招标文件中规定的投标有效期满之间的这段时间内，投标人不得撤回其投标。</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21.4投标人在开标过程中涉及到的投标文件解密、开标结果确认等工作，应按照《操作手册》规定执行。</w:t>
      </w:r>
      <w:r/>
    </w:p>
    <w:p>
      <w:pPr>
        <w:pStyle w:val="918"/>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p>
    <w:p>
      <w:pPr>
        <w:spacing w:line="360" w:lineRule="auto"/>
        <w:rPr>
          <w:rFonts w:ascii="宋体" w:hAnsi="宋体"/>
          <w:bCs/>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szCs w:val="21"/>
          <w:highlight w:val="none"/>
        </w:rPr>
        <w:t xml:space="preserve">22.1开标后，代理机构将立即组织评标委员会（以下简称评委会）进行评标。</w:t>
      </w:r>
      <w:r/>
    </w:p>
    <w:p>
      <w:pPr>
        <w:spacing w:line="360" w:lineRule="auto"/>
        <w:rPr>
          <w:rFonts w:ascii="宋体" w:hAnsi="宋体"/>
          <w:bCs/>
          <w:szCs w:val="21"/>
          <w:highlight w:val="none"/>
        </w:rPr>
      </w:pPr>
      <w:r>
        <w:rPr>
          <w:rFonts w:hint="eastAsia" w:ascii="宋体" w:hAnsi="宋体"/>
          <w:bCs/>
          <w:szCs w:val="21"/>
          <w:highlight w:val="none"/>
        </w:rPr>
        <w:t xml:space="preserve">    22.2评委会由采购人代表和有关技术、经济等方面的专家组成，且人员构成符合政府采购有关规定。</w:t>
      </w:r>
      <w:r/>
    </w:p>
    <w:p>
      <w:pPr>
        <w:spacing w:line="360" w:lineRule="auto"/>
        <w:rPr>
          <w:rFonts w:hint="eastAsia" w:ascii="宋体" w:hAnsi="宋体"/>
          <w:color w:val="000000"/>
          <w:highlight w:val="none"/>
        </w:rPr>
      </w:pPr>
      <w:r>
        <w:rPr>
          <w:rFonts w:hint="eastAsia" w:ascii="宋体" w:hAnsi="宋体"/>
          <w:bCs/>
          <w:szCs w:val="21"/>
          <w:highlight w:val="none"/>
        </w:rPr>
        <w:t xml:space="preserve">    22.3评委会独立工作，负责评审所有投标文件并确定中标候选人。</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23.3在评标期间，代理机构将设专门工作人员与投标人联系。</w:t>
      </w:r>
      <w:r/>
    </w:p>
    <w:p>
      <w:pPr>
        <w:ind w:firstLine="420"/>
        <w:spacing w:line="360" w:lineRule="auto"/>
        <w:rPr>
          <w:rFonts w:ascii="宋体" w:hAnsi="宋体"/>
          <w:bCs/>
          <w:szCs w:val="21"/>
          <w:highlight w:val="none"/>
        </w:rPr>
      </w:pPr>
      <w:r>
        <w:rPr>
          <w:rFonts w:hint="eastAsia" w:ascii="宋体" w:hAnsi="宋体"/>
          <w:bCs/>
          <w:szCs w:val="21"/>
          <w:highlight w:val="none"/>
        </w:rPr>
        <w:t xml:space="preserve">23.4代理机构和评委会不向未中标的投标人解释未中标原因，也不公布评标过程中的相关细节。</w:t>
      </w:r>
      <w:r/>
    </w:p>
    <w:p>
      <w:pPr>
        <w:ind w:firstLine="420"/>
        <w:spacing w:line="360" w:lineRule="auto"/>
        <w:rPr>
          <w:rFonts w:hint="eastAsia" w:ascii="宋体" w:hAnsi="宋体"/>
          <w:color w:val="000000"/>
          <w:highlight w:val="none"/>
        </w:rPr>
      </w:pPr>
      <w:r>
        <w:rPr>
          <w:rFonts w:hint="eastAsia" w:ascii="宋体" w:hAnsi="宋体"/>
          <w:bCs/>
          <w:szCs w:val="21"/>
          <w:highlight w:val="none"/>
        </w:rPr>
        <w:t xml:space="preserve">23.5采用综合评分法的项目，未中标的投标人可于中标结果公告期限届满之日起通过“政府采购管理交易系统（苏采云）”查看自己的评审得分及排序情况。</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olor w:val="000000"/>
          <w:highlight w:val="none"/>
        </w:rPr>
      </w:pPr>
      <w:r>
        <w:rPr>
          <w:rFonts w:hint="eastAsia" w:ascii="宋体" w:hAnsi="宋体"/>
          <w:bCs/>
          <w:szCs w:val="21"/>
          <w:highlight w:val="none"/>
        </w:rPr>
        <w:t xml:space="preserve">    24.3接到评委会澄清要求的投标人如未按规定做出澄清，其风险由投标人自行承担。</w:t>
      </w:r>
      <w:r/>
    </w:p>
    <w:p>
      <w:pPr>
        <w:pStyle w:val="918"/>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p>
    <w:p>
      <w:pPr>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hint="eastAsia" w:ascii="宋体" w:hAnsi="宋体"/>
          <w:highlight w:val="none"/>
        </w:rPr>
      </w:pPr>
      <w:r>
        <w:rPr>
          <w:rFonts w:hint="eastAsia" w:ascii="宋体" w:hAnsi="宋体"/>
          <w:highlight w:val="none"/>
        </w:rPr>
        <w:t xml:space="preserve">25.</w:t>
      </w:r>
      <w:r>
        <w:rPr>
          <w:rFonts w:hint="eastAsia" w:ascii="宋体" w:hAnsi="宋体"/>
          <w:highlight w:val="none"/>
          <w:lang w:val="en-US" w:eastAsia="zh-CN"/>
        </w:rPr>
        <w:t xml:space="preserve">6</w:t>
      </w:r>
      <w:r>
        <w:rPr>
          <w:rFonts w:hint="eastAsia" w:ascii="宋体" w:hAnsi="宋体"/>
          <w:color w:val="auto"/>
          <w:highlight w:val="none"/>
        </w:rPr>
        <w:t xml:space="preserve">投标人在开、评标全过程中应保持通讯畅通，及时登录苏采云系统查阅、答复相关信息，并安排专人与</w:t>
      </w:r>
      <w:r>
        <w:rPr>
          <w:rFonts w:hint="eastAsia" w:ascii="宋体" w:hAnsi="宋体"/>
          <w:color w:val="auto"/>
          <w:highlight w:val="none"/>
          <w:lang w:val="en-US" w:eastAsia="zh-CN"/>
        </w:rPr>
        <w:t xml:space="preserve">代理机构</w:t>
      </w:r>
      <w:r>
        <w:rPr>
          <w:rFonts w:hint="eastAsia" w:ascii="宋体" w:hAnsi="宋体"/>
          <w:color w:val="auto"/>
          <w:highlight w:val="none"/>
        </w:rPr>
        <w:t xml:space="preserve">及评标委员会联系。</w:t>
      </w:r>
      <w:r/>
    </w:p>
    <w:p>
      <w:pPr>
        <w:pStyle w:val="918"/>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26、无效投标、废标及投标人不足三家的处理</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投标人未成功解密电子投标文件的。</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26.1.3投标人在报价时采用选择性报价的。</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8"/>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w:t>
      </w:r>
      <w:r>
        <w:rPr>
          <w:rFonts w:hint="eastAsia" w:ascii="宋体" w:hAnsi="宋体" w:eastAsia="宋体"/>
          <w:b/>
          <w:bCs/>
          <w:color w:val="ff0000"/>
          <w:sz w:val="21"/>
          <w:szCs w:val="21"/>
          <w:highlight w:val="none"/>
          <w:lang w:val="en-US" w:eastAsia="zh-CN"/>
        </w:rPr>
        <w:t xml:space="preserve">45</w:t>
      </w:r>
      <w:r>
        <w:rPr>
          <w:rFonts w:hint="eastAsia" w:ascii="宋体" w:hAnsi="宋体" w:eastAsia="宋体"/>
          <w:b/>
          <w:bCs/>
          <w:color w:val="ff0000"/>
          <w:sz w:val="21"/>
          <w:szCs w:val="21"/>
          <w:highlight w:val="none"/>
        </w:rPr>
        <w:t xml:space="preserve">%的，即投标报价&lt;采购项目最高限价×</w:t>
      </w:r>
      <w:r>
        <w:rPr>
          <w:rFonts w:hint="eastAsia" w:ascii="宋体" w:hAnsi="宋体" w:eastAsia="宋体"/>
          <w:b/>
          <w:bCs/>
          <w:color w:val="ff0000"/>
          <w:sz w:val="21"/>
          <w:szCs w:val="21"/>
          <w:highlight w:val="none"/>
          <w:lang w:val="en-US" w:eastAsia="zh-CN"/>
        </w:rPr>
        <w:t xml:space="preserve">45</w:t>
      </w:r>
      <w:r>
        <w:rPr>
          <w:rFonts w:hint="eastAsia" w:ascii="宋体" w:hAnsi="宋体" w:eastAsia="宋体"/>
          <w:b/>
          <w:bCs/>
          <w:color w:val="ff0000"/>
          <w:sz w:val="21"/>
          <w:szCs w:val="21"/>
          <w:highlight w:val="none"/>
        </w:rPr>
        <w:t xml:space="preserve">%；</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18"/>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26.1.12 投标文件未按照招标文件要求加盖电子签章。</w:t>
      </w:r>
      <w:r/>
    </w:p>
    <w:p>
      <w:pPr>
        <w:ind w:firstLine="420"/>
        <w:spacing w:line="360" w:lineRule="auto"/>
        <w:rPr>
          <w:rFonts w:hint="default" w:ascii="宋体" w:hAnsi="宋体" w:eastAsia="宋体"/>
          <w:bCs/>
          <w:szCs w:val="21"/>
          <w:highlight w:val="none"/>
          <w:lang w:val="en-US" w:eastAsia="zh-CN"/>
        </w:rPr>
      </w:pPr>
      <w:r>
        <w:rPr>
          <w:rFonts w:hint="eastAsia" w:ascii="宋体" w:hAnsi="宋体"/>
          <w:bCs/>
          <w:szCs w:val="21"/>
          <w:highlight w:val="none"/>
          <w:lang w:val="en-US" w:eastAsia="zh-CN"/>
        </w:rPr>
        <w:t xml:space="preserve">26.1.13 投标人所投标产品不符合招标文件中所列国家强制性标准的。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w:t>
      </w:r>
      <w:r>
        <w:rPr>
          <w:rFonts w:hint="eastAsia" w:ascii="宋体" w:hAnsi="宋体"/>
          <w:bCs/>
          <w:szCs w:val="21"/>
          <w:highlight w:val="none"/>
          <w:lang w:val="en-US" w:eastAsia="zh-CN"/>
        </w:rPr>
        <w:t xml:space="preserve">4 </w:t>
      </w:r>
      <w:r>
        <w:rPr>
          <w:rFonts w:hint="eastAsia" w:ascii="宋体" w:hAnsi="宋体"/>
          <w:bCs/>
          <w:szCs w:val="21"/>
          <w:highlight w:val="none"/>
        </w:rPr>
        <w:t xml:space="preserve">其他法律、法规及本招标文件规定的属无效投标的情形。</w:t>
      </w:r>
      <w:r/>
    </w:p>
    <w:p>
      <w:pPr>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p>
    <w:p>
      <w:pPr>
        <w:ind w:left="420"/>
        <w:spacing w:line="360" w:lineRule="auto"/>
        <w:rPr>
          <w:rFonts w:hint="eastAsia" w:ascii="宋体" w:hAnsi="宋体"/>
          <w:bCs/>
          <w:szCs w:val="21"/>
          <w:highlight w:val="none"/>
        </w:rPr>
      </w:pPr>
      <w:r>
        <w:rPr>
          <w:rFonts w:hint="eastAsia" w:ascii="宋体" w:hAnsi="宋体"/>
          <w:bCs/>
          <w:szCs w:val="21"/>
          <w:highlight w:val="none"/>
        </w:rPr>
        <w:t xml:space="preserve">26.2.1符合专业条件的供应商或者对招标文件作实质响应的供应商不足三家的。</w:t>
      </w:r>
      <w:r/>
    </w:p>
    <w:p>
      <w:pPr>
        <w:ind w:left="420"/>
        <w:spacing w:line="360" w:lineRule="auto"/>
        <w:rPr>
          <w:rFonts w:ascii="宋体" w:hAnsi="宋体"/>
          <w:bCs/>
          <w:szCs w:val="21"/>
          <w:highlight w:val="none"/>
        </w:rPr>
      </w:pPr>
      <w:r>
        <w:rPr>
          <w:rFonts w:hint="eastAsia" w:ascii="宋体" w:hAnsi="宋体"/>
          <w:bCs/>
          <w:szCs w:val="21"/>
          <w:highlight w:val="none"/>
        </w:rPr>
        <w:t xml:space="preserve">26.2.2出现影响采购公正的违法、违规行为的。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投标截止时间结束后参加投标的供应商不足三家的处理：</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27、确定中标单位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27.1中标候选人的选取原则和数量见招标文件第五章规定。</w:t>
      </w:r>
      <w:r/>
    </w:p>
    <w:p>
      <w:pPr>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w:t>
      </w:r>
      <w:r>
        <w:rPr>
          <w:rFonts w:hint="eastAsia" w:ascii="宋体" w:hAnsi="宋体"/>
          <w:bCs/>
          <w:szCs w:val="21"/>
          <w:highlight w:val="none"/>
          <w:lang w:val="en-US" w:eastAsia="zh-CN"/>
        </w:rPr>
        <w:t xml:space="preserve">供应商</w:t>
      </w:r>
      <w:r>
        <w:rPr>
          <w:rFonts w:hint="eastAsia" w:ascii="宋体" w:hAnsi="宋体"/>
          <w:bCs/>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27.3代理机构将在“仪征市政府采购网”、“扬州市政府采购网”、“江苏省政府采购网”</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中国政府采购网</w:t>
      </w:r>
      <w:r>
        <w:rPr>
          <w:rFonts w:hint="eastAsia" w:ascii="宋体" w:hAnsi="宋体"/>
          <w:bCs/>
          <w:szCs w:val="21"/>
          <w:highlight w:val="none"/>
          <w:lang w:eastAsia="zh-CN"/>
        </w:rPr>
        <w:t xml:space="preserve">”</w:t>
      </w:r>
      <w:r>
        <w:rPr>
          <w:rFonts w:hint="eastAsia" w:ascii="宋体" w:hAnsi="宋体"/>
          <w:bCs/>
          <w:szCs w:val="21"/>
          <w:highlight w:val="none"/>
        </w:rPr>
        <w:t xml:space="preserve">发布中标公告，公告期限为1个工作日。</w:t>
      </w:r>
      <w:r/>
    </w:p>
    <w:p>
      <w:pPr>
        <w:ind w:firstLine="420"/>
        <w:spacing w:line="360" w:lineRule="auto"/>
        <w:rPr>
          <w:rFonts w:ascii="宋体" w:hAnsi="宋体"/>
          <w:bCs/>
          <w:szCs w:val="21"/>
          <w:highlight w:val="none"/>
        </w:rPr>
      </w:pPr>
      <w:r>
        <w:rPr>
          <w:rFonts w:hint="eastAsia" w:ascii="宋体" w:hAnsi="宋体"/>
          <w:bCs/>
          <w:szCs w:val="21"/>
          <w:highlight w:val="none"/>
        </w:rPr>
        <w:t xml:space="preserve">27.4若有充分证据证明，中标</w:t>
      </w:r>
      <w:r>
        <w:rPr>
          <w:rFonts w:hint="eastAsia" w:ascii="宋体" w:hAnsi="宋体"/>
          <w:bCs/>
          <w:szCs w:val="21"/>
          <w:highlight w:val="none"/>
          <w:lang w:val="en-US" w:eastAsia="zh-CN"/>
        </w:rPr>
        <w:t xml:space="preserve">供应商</w:t>
      </w:r>
      <w:r>
        <w:rPr>
          <w:rFonts w:hint="eastAsia" w:ascii="宋体" w:hAnsi="宋体"/>
          <w:bCs/>
          <w:szCs w:val="21"/>
          <w:highlight w:val="none"/>
        </w:rPr>
        <w:t xml:space="preserve">出现下列情况之一的，一经查实，将被取消中标资格：</w:t>
      </w:r>
      <w:r/>
    </w:p>
    <w:p>
      <w:pPr>
        <w:ind w:firstLine="420"/>
        <w:spacing w:line="36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w:t>
      </w:r>
      <w:r>
        <w:rPr>
          <w:rFonts w:hint="eastAsia" w:ascii="宋体" w:hAnsi="宋体"/>
          <w:bCs/>
          <w:szCs w:val="21"/>
          <w:highlight w:val="none"/>
          <w:lang w:val="en-US" w:eastAsia="zh-CN"/>
        </w:rPr>
        <w:t xml:space="preserve">3</w:t>
      </w:r>
      <w:r>
        <w:rPr>
          <w:rFonts w:hint="eastAsia" w:ascii="宋体" w:hAnsi="宋体"/>
          <w:bCs/>
          <w:szCs w:val="21"/>
          <w:highlight w:val="none"/>
        </w:rPr>
        <w:t xml:space="preserve">属于本文件规定的无效条件，但在评标过程中又未被评委会发现的；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w:t>
      </w:r>
      <w:r>
        <w:rPr>
          <w:rFonts w:hint="eastAsia" w:ascii="宋体" w:hAnsi="宋体"/>
          <w:bCs/>
          <w:szCs w:val="21"/>
          <w:highlight w:val="none"/>
          <w:lang w:val="en-US" w:eastAsia="zh-CN"/>
        </w:rPr>
        <w:t xml:space="preserve">4</w:t>
      </w:r>
      <w:r>
        <w:rPr>
          <w:rFonts w:hint="eastAsia" w:ascii="宋体" w:hAnsi="宋体"/>
          <w:bCs/>
          <w:szCs w:val="21"/>
          <w:highlight w:val="none"/>
        </w:rPr>
        <w:t xml:space="preserve">与采购人或者其他</w:t>
      </w:r>
      <w:r>
        <w:rPr>
          <w:rFonts w:hint="eastAsia" w:ascii="宋体" w:hAnsi="宋体"/>
          <w:bCs/>
          <w:szCs w:val="21"/>
          <w:highlight w:val="none"/>
          <w:lang w:val="en-US" w:eastAsia="zh-CN"/>
        </w:rPr>
        <w:t xml:space="preserve">供应商</w:t>
      </w:r>
      <w:r>
        <w:rPr>
          <w:rFonts w:hint="eastAsia" w:ascii="宋体" w:hAnsi="宋体"/>
          <w:bCs/>
          <w:szCs w:val="21"/>
          <w:highlight w:val="none"/>
        </w:rPr>
        <w:t xml:space="preserve">恶意串通的；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w:t>
      </w:r>
      <w:r>
        <w:rPr>
          <w:rFonts w:hint="eastAsia" w:ascii="宋体" w:hAnsi="宋体"/>
          <w:bCs/>
          <w:szCs w:val="21"/>
          <w:highlight w:val="none"/>
          <w:lang w:val="en-US" w:eastAsia="zh-CN"/>
        </w:rPr>
        <w:t xml:space="preserve">5</w:t>
      </w:r>
      <w:r>
        <w:rPr>
          <w:rFonts w:hint="eastAsia" w:ascii="宋体" w:hAnsi="宋体"/>
          <w:bCs/>
          <w:szCs w:val="21"/>
          <w:highlight w:val="none"/>
        </w:rPr>
        <w:t xml:space="preserve">采取不正当手段诋毁、排挤其他供应商的；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ascii="宋体" w:hAnsi="宋体"/>
          <w:bCs/>
          <w:color w:val="ff0000"/>
          <w:szCs w:val="21"/>
          <w:highlight w:val="none"/>
        </w:rPr>
      </w:pPr>
      <w:r>
        <w:rPr>
          <w:rFonts w:hint="eastAsia" w:ascii="宋体" w:hAnsi="宋体"/>
          <w:bCs/>
          <w:szCs w:val="21"/>
          <w:highlight w:val="none"/>
        </w:rPr>
        <w:t xml:space="preserve">27.5.1</w:t>
      </w:r>
      <w:r>
        <w:rPr>
          <w:rFonts w:hint="eastAsia" w:ascii="宋体" w:hAnsi="宋体"/>
          <w:bCs/>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bCs/>
          <w:color w:val="ff0000"/>
          <w:szCs w:val="21"/>
          <w:highlight w:val="none"/>
        </w:rPr>
        <w:t xml:space="preserve">。</w:t>
      </w:r>
      <w:r/>
    </w:p>
    <w:p>
      <w:pPr>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2"/>
        <w:spacing w:line="360" w:lineRule="auto"/>
        <w:rPr>
          <w:rFonts w:ascii="宋体" w:hAnsi="宋体"/>
          <w:b/>
          <w:szCs w:val="21"/>
          <w:highlight w:val="none"/>
        </w:rPr>
      </w:pPr>
      <w:r>
        <w:rPr>
          <w:rFonts w:hint="eastAsia" w:ascii="宋体" w:hAnsi="宋体"/>
          <w:b/>
          <w:szCs w:val="21"/>
          <w:highlight w:val="none"/>
        </w:rPr>
        <w:t xml:space="preserve">28、质疑处理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28.2投标人认为采购文件、采购过程和中标或成交结果使自己的权益受到损害的，可以在知道或应知其权益受到损害之日起7个工作日内，以书面形式根据下述28.4条款的规定向</w:t>
      </w:r>
      <w:r>
        <w:rPr>
          <w:rFonts w:hint="eastAsia" w:ascii="宋体" w:hAnsi="宋体"/>
          <w:bCs/>
          <w:szCs w:val="21"/>
          <w:highlight w:val="none"/>
          <w:lang w:val="en-US" w:eastAsia="zh-CN"/>
        </w:rPr>
        <w:t xml:space="preserve">代理机构</w:t>
      </w:r>
      <w:r>
        <w:rPr>
          <w:rFonts w:hint="eastAsia" w:ascii="宋体" w:hAnsi="宋体"/>
          <w:bCs/>
          <w:szCs w:val="21"/>
          <w:highlight w:val="none"/>
        </w:rPr>
        <w:t xml:space="preserve">或采购人提出质疑。上述应知其权益受到损害之日，是指：</w:t>
      </w:r>
      <w:r/>
    </w:p>
    <w:p>
      <w:pPr>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28.2.2对采购过程提出质疑的，为各采购程序环节结束之日起7个工作日内提出。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28.2.3对中标结果提出质疑的，为中标结果公告期限届满之日起7个工作日内提出。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28.5代理机构及采购人只接收以纸质原件形式送达的质疑。</w:t>
      </w:r>
      <w:r>
        <w:rPr>
          <w:rFonts w:hint="eastAsia" w:ascii="宋体" w:hAnsi="宋体"/>
          <w:bCs/>
          <w:color w:val="auto"/>
          <w:szCs w:val="21"/>
          <w:highlight w:val="none"/>
        </w:rPr>
        <w:t xml:space="preserve">。</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28.8以下情形的质疑不予受理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28.8.1内容不符合《政府采购质疑和投诉办法》第十二条规定的质疑。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28.8.2超出政府采购法定期限的质疑。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28.8.3以传真、电子邮件等方式递交的非原件形式的质疑。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highlight w:val="none"/>
        </w:rPr>
      </w:pPr>
      <w:r>
        <w:rPr>
          <w:rFonts w:hint="eastAsia" w:ascii="宋体" w:hAnsi="宋体"/>
          <w:b/>
          <w:szCs w:val="21"/>
          <w:highlight w:val="none"/>
        </w:rPr>
        <w:t xml:space="preserve">29、中标通知书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29.l中标结果确定后，代理机构将向中标人发出中标通知书。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29.2中标人可在“政府采购管理交易系统（苏采云）”中标通知书下载模块中自行下载中标通知书。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18"/>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2"/>
        <w:spacing w:line="360" w:lineRule="auto"/>
        <w:rPr>
          <w:rFonts w:ascii="宋体" w:hAnsi="宋体"/>
          <w:bCs/>
          <w:szCs w:val="21"/>
          <w:highlight w:val="none"/>
        </w:rPr>
      </w:pPr>
      <w:r>
        <w:rPr>
          <w:b/>
          <w:bCs/>
          <w:highlight w:val="none"/>
        </w:rPr>
        <w:t xml:space="preserve">3</w:t>
      </w:r>
      <w:r>
        <w:rPr>
          <w:rFonts w:hint="eastAsia"/>
          <w:b/>
          <w:bCs/>
          <w:highlight w:val="none"/>
        </w:rPr>
        <w:t xml:space="preserve">3、其他</w:t>
      </w:r>
      <w:r>
        <w:rPr>
          <w:highlight w:val="none"/>
        </w:rPr>
        <w:br/>
      </w:r>
      <w:r>
        <w:rPr>
          <w:highlight w:val="none"/>
        </w:rPr>
        <w:t xml:space="preserve">    3</w:t>
      </w:r>
      <w:r>
        <w:rPr>
          <w:rFonts w:hint="eastAsia"/>
          <w:highlight w:val="none"/>
        </w:rPr>
        <w:t xml:space="preserve">3</w:t>
      </w:r>
      <w:r>
        <w:rPr>
          <w:highlight w:val="none"/>
        </w:rPr>
        <w:t xml:space="preserve">.1 </w:t>
      </w:r>
      <w:r>
        <w:rPr>
          <w:rFonts w:hint="eastAsia"/>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szCs w:val="21"/>
          <w:highlight w:val="none"/>
        </w:rPr>
      </w:pPr>
      <w:r>
        <w:rPr>
          <w:rFonts w:ascii="宋体" w:hAnsi="宋体"/>
          <w:szCs w:val="21"/>
          <w:highlight w:val="none"/>
        </w:rPr>
      </w:r>
      <w:r/>
    </w:p>
    <w:p>
      <w:pPr>
        <w:rPr>
          <w:highlight w:val="none"/>
        </w:rPr>
        <w:sectPr>
          <w:footerReference w:type="default" r:id="rId12"/>
          <w:footnotePr/>
          <w:endnotePr/>
          <w:type w:val="nextPage"/>
          <w:pgSz w:w="11906" w:h="16838" w:orient="portrait"/>
          <w:pgMar w:top="1440" w:right="1417" w:bottom="1440" w:left="1417" w:header="851" w:footer="992" w:gutter="0"/>
          <w:pgNumType w:start="1"/>
          <w:cols w:num="1" w:sep="0" w:space="720" w:equalWidth="1"/>
          <w:docGrid w:linePitch="360"/>
        </w:sectPr>
      </w:pPr>
      <w:r>
        <w:rPr>
          <w:highlight w:val="none"/>
        </w:rPr>
      </w:r>
      <w:r/>
    </w:p>
    <w:p>
      <w:pPr>
        <w:pStyle w:val="925"/>
        <w:numPr>
          <w:ilvl w:val="0"/>
          <w:numId w:val="0"/>
        </w:numPr>
        <w:jc w:val="center"/>
        <w:rPr>
          <w:rFonts w:hint="eastAsia" w:ascii="宋体" w:hAnsi="宋体"/>
          <w:color w:val="000000"/>
          <w:sz w:val="36"/>
          <w:highlight w:val="none"/>
        </w:rPr>
      </w:pPr>
      <w:r/>
      <w:bookmarkStart w:id="52" w:name="_Toc31186"/>
      <w:r/>
      <w:bookmarkStart w:id="53" w:name="_Toc22415"/>
      <w:r/>
      <w:bookmarkStart w:id="54" w:name="_Toc501353473"/>
      <w:r>
        <w:rPr>
          <w:rFonts w:hint="eastAsia" w:ascii="宋体" w:hAnsi="宋体" w:eastAsia="楷体_GB2312" w:cs="Times New Roman"/>
          <w:color w:val="000000"/>
          <w:sz w:val="36"/>
          <w:szCs w:val="28"/>
          <w:lang w:val="en-US" w:eastAsia="zh-CN" w:bidi="ar-SA"/>
        </w:rPr>
        <w:t xml:space="preserve">第三章</w:t>
      </w:r>
      <w:r>
        <w:rPr>
          <w:rFonts w:hint="eastAsia" w:ascii="宋体" w:hAnsi="宋体"/>
          <w:color w:val="000000"/>
          <w:sz w:val="36"/>
          <w:highlight w:val="none"/>
        </w:rPr>
        <w:t xml:space="preserve">合同条款及格式</w:t>
      </w:r>
      <w:bookmarkEnd w:id="52"/>
      <w:r/>
      <w:bookmarkEnd w:id="53"/>
      <w:r/>
      <w:bookmarkEnd w:id="54"/>
      <w:r/>
      <w:r/>
    </w:p>
    <w:p>
      <w:pPr>
        <w:ind w:firstLine="420"/>
        <w:keepLines w:val="0"/>
        <w:keepNext w:val="0"/>
        <w:pageBreakBefore w:val="0"/>
        <w:spacing w:line="360" w:lineRule="auto"/>
        <w:widowControl w:val="off"/>
        <w:rPr>
          <w:rFonts w:hint="eastAsia" w:hAnsi="宋体"/>
          <w:highlight w:val="none"/>
        </w:rPr>
      </w:pPr>
      <w:r>
        <w:rPr>
          <w:rFonts w:hint="eastAsia" w:ascii="宋体" w:hAnsi="宋体"/>
          <w:bCs/>
          <w:szCs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left="0"/>
        <w:jc w:val="center"/>
        <w:keepLines w:val="0"/>
        <w:keepNext w:val="0"/>
        <w:pageBreakBefore w:val="0"/>
        <w:spacing w:line="360" w:lineRule="auto"/>
        <w:widowControl w:val="off"/>
        <w:rPr>
          <w:rFonts w:hint="eastAsia" w:ascii="宋体" w:hAnsi="宋体"/>
          <w:b/>
          <w:szCs w:val="21"/>
          <w:highlight w:val="none"/>
        </w:rPr>
        <w:outlineLvl w:val="9"/>
      </w:pPr>
      <w:r/>
      <w:bookmarkStart w:id="55" w:name="_Toc25028"/>
      <w:r>
        <w:rPr>
          <w:rFonts w:hint="eastAsia" w:ascii="宋体" w:hAnsi="宋体"/>
          <w:b/>
          <w:szCs w:val="21"/>
          <w:highlight w:val="none"/>
        </w:rPr>
        <w:t xml:space="preserve">政府采购合同（货物）</w:t>
      </w:r>
      <w:bookmarkEnd w:id="55"/>
      <w:r/>
      <w:r/>
    </w:p>
    <w:p>
      <w:pPr>
        <w:ind w:left="0"/>
        <w:jc w:val="center"/>
        <w:keepLines w:val="0"/>
        <w:keepNext w:val="0"/>
        <w:pageBreakBefore w:val="0"/>
        <w:spacing w:line="360" w:lineRule="auto"/>
        <w:widowControl w:val="off"/>
        <w:rPr>
          <w:rFonts w:hint="eastAsia" w:ascii="宋体" w:hAnsi="宋体"/>
          <w:b/>
          <w:bCs/>
          <w:szCs w:val="21"/>
          <w:highlight w:val="none"/>
        </w:rPr>
        <w:outlineLvl w:val="0"/>
      </w:pPr>
      <w:r>
        <w:rPr>
          <w:rFonts w:hint="eastAsia" w:ascii="宋体" w:hAnsi="宋体"/>
          <w:b/>
          <w:bCs/>
          <w:szCs w:val="21"/>
          <w:highlight w:val="none"/>
        </w:rPr>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项目名称：</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仪征市公安局执法办案管理中心智能化改造项目</w:t>
      </w:r>
      <w:r>
        <w:rPr>
          <w:rFonts w:hint="eastAsia" w:ascii="宋体" w:hAnsi="宋体"/>
          <w:bCs/>
          <w:szCs w:val="21"/>
          <w:highlight w:val="none"/>
          <w:u w:val="single"/>
        </w:rPr>
        <w:t xml:space="preserve">   </w:t>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编号：</w:t>
      </w:r>
      <w:r>
        <w:rPr>
          <w:rFonts w:hint="eastAsia" w:ascii="宋体" w:hAnsi="宋体"/>
          <w:bCs/>
          <w:szCs w:val="21"/>
          <w:highlight w:val="none"/>
          <w:u w:val="single"/>
        </w:rPr>
        <w:t xml:space="preserve">JSZC-321081-CCXM-G2026-0002</w:t>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甲方（采购人/甲方）：</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lang w:eastAsia="zh-CN"/>
        </w:rPr>
        <w:t xml:space="preserve">仪征市公安局</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p>
    <w:p>
      <w:pPr>
        <w:ind w:left="0"/>
        <w:keepLines w:val="0"/>
        <w:keepNext w:val="0"/>
        <w:pageBreakBefore w:val="0"/>
        <w:spacing w:line="360" w:lineRule="auto"/>
        <w:widowControl w:val="off"/>
        <w:rPr>
          <w:rFonts w:hint="eastAsia" w:ascii="宋体" w:hAnsi="宋体"/>
          <w:bCs/>
          <w:szCs w:val="21"/>
          <w:highlight w:val="none"/>
          <w:u w:val="single"/>
        </w:rPr>
      </w:pPr>
      <w:r>
        <w:rPr>
          <w:rFonts w:hint="eastAsia" w:ascii="宋体" w:hAnsi="宋体"/>
          <w:bCs/>
          <w:szCs w:val="21"/>
          <w:highlight w:val="none"/>
        </w:rPr>
        <w:t xml:space="preserve">乙方（供应商/卖方）：</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p>
    <w:p>
      <w:pPr>
        <w:ind w:left="0"/>
        <w:keepLines w:val="0"/>
        <w:keepNext w:val="0"/>
        <w:pageBreakBefore w:val="0"/>
        <w:spacing w:line="360" w:lineRule="auto"/>
        <w:widowControl w:val="off"/>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rPr>
        <w:t xml:space="preserve">见证方：</w:t>
      </w:r>
      <w:r>
        <w:rPr>
          <w:rFonts w:hint="eastAsia" w:ascii="宋体" w:hAnsi="宋体" w:cs="Times New Roman"/>
          <w:bCs/>
          <w:szCs w:val="21"/>
          <w:highlight w:val="none"/>
          <w:lang w:eastAsia="zh-CN"/>
        </w:rPr>
        <w:t xml:space="preserve">扬州创晨项目管理咨询有限公司</w:t>
      </w:r>
      <w:r/>
    </w:p>
    <w:p>
      <w:pPr>
        <w:pStyle w:val="928"/>
        <w:ind w:firstLine="400"/>
        <w:keepLines w:val="0"/>
        <w:keepNext w:val="0"/>
        <w:pageBreakBefore w:val="0"/>
        <w:spacing w:line="500" w:lineRule="exact"/>
        <w:widowControl w:val="off"/>
        <w:rPr>
          <w:rFonts w:hint="eastAsia" w:hAnsi="宋体" w:cs="Times New Roman"/>
          <w:color w:val="auto"/>
          <w:sz w:val="21"/>
          <w:highlight w:val="none"/>
        </w:rPr>
      </w:pPr>
      <w:r>
        <w:rPr>
          <w:rFonts w:hint="eastAsia" w:ascii="宋体" w:hAnsi="宋体" w:eastAsia="宋体" w:cs="Times New Roman"/>
          <w:bCs/>
          <w:szCs w:val="21"/>
          <w:highlight w:val="none"/>
        </w:rPr>
        <w:t xml:space="preserve">甲、乙双方根据</w:t>
      </w:r>
      <w:r>
        <w:rPr>
          <w:rFonts w:hint="eastAsia" w:ascii="宋体" w:hAnsi="宋体" w:cs="Times New Roman"/>
          <w:bCs/>
          <w:szCs w:val="21"/>
          <w:highlight w:val="none"/>
          <w:lang w:eastAsia="zh-CN"/>
        </w:rPr>
        <w:t xml:space="preserve">扬州创晨项目管理咨询有限公司</w:t>
      </w:r>
      <w:r>
        <w:rPr>
          <w:rFonts w:hint="eastAsia" w:hAnsi="宋体"/>
          <w:sz w:val="21"/>
          <w:highlight w:val="none"/>
          <w:u w:val="single"/>
          <w:lang w:eastAsia="zh-CN"/>
        </w:rPr>
        <w:t xml:space="preserve">仪征市公安局执法办案管理中心智能化改造项目</w:t>
      </w:r>
      <w:r>
        <w:rPr>
          <w:rFonts w:hint="eastAsia" w:hAnsi="宋体"/>
          <w:sz w:val="21"/>
          <w:highlight w:val="none"/>
        </w:rPr>
        <w:t xml:space="preserve">公开</w:t>
      </w:r>
      <w:r>
        <w:rPr>
          <w:rFonts w:hint="eastAsia" w:hAnsi="宋体" w:cs="Times New Roman"/>
          <w:color w:val="auto"/>
          <w:sz w:val="21"/>
          <w:highlight w:val="none"/>
        </w:rPr>
        <w:t xml:space="preserve">招标的结果，签署本合同。</w:t>
      </w:r>
      <w:r/>
    </w:p>
    <w:p>
      <w:pPr>
        <w:pStyle w:val="928"/>
        <w:ind w:firstLine="422"/>
        <w:keepLines w:val="0"/>
        <w:keepNext w:val="0"/>
        <w:pageBreakBefore w:val="0"/>
        <w:spacing w:line="500" w:lineRule="exact"/>
        <w:widowControl w:val="off"/>
        <w:rPr>
          <w:rFonts w:hint="eastAsia" w:hAnsi="宋体" w:cs="Times New Roman"/>
          <w:b/>
          <w:bCs/>
          <w:color w:val="auto"/>
          <w:sz w:val="21"/>
          <w:highlight w:val="none"/>
        </w:rPr>
      </w:pPr>
      <w:r>
        <w:rPr>
          <w:rFonts w:hint="eastAsia" w:hAnsi="宋体" w:cs="Times New Roman"/>
          <w:b/>
          <w:bCs/>
          <w:color w:val="auto"/>
          <w:sz w:val="21"/>
          <w:highlight w:val="none"/>
        </w:rPr>
        <w:t xml:space="preserve">1、合同标的</w:t>
      </w:r>
      <w:r/>
    </w:p>
    <w:p>
      <w:pPr>
        <w:pStyle w:val="928"/>
        <w:ind w:firstLine="420"/>
        <w:keepLines w:val="0"/>
        <w:keepNext w:val="0"/>
        <w:pageBreakBefore w:val="0"/>
        <w:spacing w:line="500" w:lineRule="exact"/>
        <w:widowControl w:val="off"/>
        <w:rPr>
          <w:rFonts w:hint="default" w:hAnsi="宋体" w:cs="Times New Roman"/>
          <w:color w:val="auto"/>
          <w:sz w:val="21"/>
          <w:highlight w:val="none"/>
          <w:lang w:val="en-US" w:eastAsia="zh-CN"/>
        </w:rPr>
      </w:pPr>
      <w:r>
        <w:rPr>
          <w:rFonts w:hint="eastAsia" w:hAnsi="宋体" w:cs="Times New Roman"/>
          <w:color w:val="auto"/>
          <w:sz w:val="21"/>
          <w:highlight w:val="none"/>
        </w:rPr>
        <w:t xml:space="preserve">1.1 标的名称：</w:t>
      </w:r>
      <w:r>
        <w:rPr>
          <w:rFonts w:hint="eastAsia" w:hAnsi="宋体" w:cs="Times New Roman"/>
          <w:color w:val="auto"/>
          <w:sz w:val="21"/>
          <w:highlight w:val="none"/>
          <w:lang w:val="en-US" w:eastAsia="zh-CN"/>
        </w:rPr>
        <w:t xml:space="preserve">                  </w:t>
      </w:r>
      <w:r/>
    </w:p>
    <w:p>
      <w:pPr>
        <w:pStyle w:val="928"/>
        <w:ind w:firstLine="420"/>
        <w:keepLines w:val="0"/>
        <w:keepNext w:val="0"/>
        <w:pageBreakBefore w:val="0"/>
        <w:spacing w:line="500" w:lineRule="exact"/>
        <w:widowControl w:val="off"/>
        <w:rPr>
          <w:rFonts w:hint="eastAsia" w:hAnsi="宋体" w:cs="Times New Roman"/>
          <w:color w:val="auto"/>
          <w:sz w:val="21"/>
          <w:highlight w:val="none"/>
        </w:rPr>
      </w:pPr>
      <w:r>
        <w:rPr>
          <w:rFonts w:hint="eastAsia" w:hAnsi="宋体" w:cs="Times New Roman"/>
          <w:color w:val="auto"/>
          <w:sz w:val="21"/>
          <w:highlight w:val="none"/>
        </w:rPr>
        <w:t xml:space="preserve">1.2 标的质量：</w:t>
      </w:r>
      <w:r>
        <w:rPr>
          <w:rFonts w:hint="eastAsia" w:hAnsi="宋体" w:cs="Times New Roman"/>
          <w:color w:val="auto"/>
          <w:sz w:val="21"/>
          <w:highlight w:val="none"/>
          <w:lang w:val="en-US" w:eastAsia="zh-CN"/>
        </w:rPr>
        <w:t xml:space="preserve">                  </w:t>
      </w:r>
      <w:r/>
    </w:p>
    <w:p>
      <w:pPr>
        <w:pStyle w:val="928"/>
        <w:ind w:firstLine="420"/>
        <w:keepLines w:val="0"/>
        <w:keepNext w:val="0"/>
        <w:pageBreakBefore w:val="0"/>
        <w:spacing w:line="500" w:lineRule="exact"/>
        <w:widowControl w:val="off"/>
        <w:rPr>
          <w:rFonts w:hint="eastAsia" w:hAnsi="宋体" w:cs="Times New Roman"/>
          <w:color w:val="auto"/>
          <w:sz w:val="21"/>
          <w:highlight w:val="none"/>
        </w:rPr>
      </w:pPr>
      <w:r>
        <w:rPr>
          <w:rFonts w:hint="eastAsia" w:hAnsi="宋体" w:cs="Times New Roman"/>
          <w:color w:val="auto"/>
          <w:sz w:val="21"/>
          <w:highlight w:val="none"/>
        </w:rPr>
        <w:t xml:space="preserve">1.3 标的数量（规模）：</w:t>
      </w:r>
      <w:r>
        <w:rPr>
          <w:rFonts w:hint="eastAsia" w:hAnsi="宋体" w:cs="Times New Roman"/>
          <w:color w:val="auto"/>
          <w:sz w:val="21"/>
          <w:highlight w:val="none"/>
          <w:lang w:val="en-US" w:eastAsia="zh-CN"/>
        </w:rPr>
        <w:t xml:space="preserve">                  </w:t>
      </w:r>
      <w:r/>
    </w:p>
    <w:p>
      <w:pPr>
        <w:pStyle w:val="928"/>
        <w:ind w:firstLine="420"/>
        <w:keepLines w:val="0"/>
        <w:keepNext w:val="0"/>
        <w:pageBreakBefore w:val="0"/>
        <w:spacing w:line="500" w:lineRule="exact"/>
        <w:widowControl w:val="off"/>
        <w:rPr>
          <w:rFonts w:hint="eastAsia" w:hAnsi="宋体" w:cs="Times New Roman"/>
          <w:color w:val="auto"/>
          <w:sz w:val="21"/>
          <w:highlight w:val="none"/>
        </w:rPr>
      </w:pPr>
      <w:r>
        <w:rPr>
          <w:rFonts w:hint="eastAsia" w:hAnsi="宋体" w:cs="Times New Roman"/>
          <w:color w:val="auto"/>
          <w:sz w:val="21"/>
          <w:highlight w:val="none"/>
        </w:rPr>
        <w:t xml:space="preserve">1.4 履行时间（期限）：</w:t>
      </w:r>
      <w:r>
        <w:rPr>
          <w:rFonts w:hint="eastAsia" w:hAnsi="宋体" w:cs="Times New Roman"/>
          <w:color w:val="auto"/>
          <w:sz w:val="21"/>
          <w:highlight w:val="none"/>
          <w:lang w:val="en-US" w:eastAsia="zh-CN"/>
        </w:rPr>
        <w:t xml:space="preserve">                  </w:t>
      </w:r>
      <w:r/>
    </w:p>
    <w:p>
      <w:pPr>
        <w:pStyle w:val="928"/>
        <w:ind w:firstLine="420"/>
        <w:keepLines w:val="0"/>
        <w:keepNext w:val="0"/>
        <w:pageBreakBefore w:val="0"/>
        <w:spacing w:line="500" w:lineRule="exact"/>
        <w:widowControl w:val="off"/>
        <w:rPr>
          <w:rFonts w:hint="eastAsia" w:hAnsi="宋体" w:cs="Times New Roman"/>
          <w:color w:val="auto"/>
          <w:sz w:val="21"/>
          <w:highlight w:val="none"/>
        </w:rPr>
      </w:pPr>
      <w:r>
        <w:rPr>
          <w:rFonts w:hint="eastAsia" w:hAnsi="宋体" w:cs="Times New Roman"/>
          <w:color w:val="auto"/>
          <w:sz w:val="21"/>
          <w:highlight w:val="none"/>
        </w:rPr>
        <w:t xml:space="preserve">1.5 履行地点：</w:t>
      </w:r>
      <w:r>
        <w:rPr>
          <w:rFonts w:hint="eastAsia" w:hAnsi="宋体" w:cs="Times New Roman"/>
          <w:color w:val="auto"/>
          <w:sz w:val="21"/>
          <w:highlight w:val="none"/>
          <w:lang w:val="en-US" w:eastAsia="zh-CN"/>
        </w:rPr>
        <w:t xml:space="preserve">                  </w:t>
      </w:r>
      <w:r/>
    </w:p>
    <w:p>
      <w:pPr>
        <w:pStyle w:val="928"/>
        <w:ind w:firstLine="420"/>
        <w:keepLines w:val="0"/>
        <w:keepNext w:val="0"/>
        <w:pageBreakBefore w:val="0"/>
        <w:spacing w:line="500" w:lineRule="exact"/>
        <w:widowControl w:val="off"/>
        <w:rPr>
          <w:rFonts w:hint="eastAsia" w:hAnsi="宋体" w:cs="Times New Roman"/>
          <w:color w:val="auto"/>
          <w:sz w:val="21"/>
          <w:highlight w:val="none"/>
        </w:rPr>
      </w:pPr>
      <w:r>
        <w:rPr>
          <w:rFonts w:hint="eastAsia" w:hAnsi="宋体" w:cs="Times New Roman"/>
          <w:color w:val="auto"/>
          <w:sz w:val="21"/>
          <w:highlight w:val="none"/>
        </w:rPr>
        <w:t xml:space="preserve">1.6 履行方式：</w:t>
      </w:r>
      <w:r>
        <w:rPr>
          <w:rFonts w:hint="eastAsia" w:hAnsi="宋体" w:cs="Times New Roman"/>
          <w:color w:val="auto"/>
          <w:sz w:val="21"/>
          <w:highlight w:val="none"/>
          <w:lang w:val="en-US" w:eastAsia="zh-CN"/>
        </w:rPr>
        <w:t xml:space="preserve">                  </w:t>
      </w:r>
      <w:r/>
    </w:p>
    <w:p>
      <w:pPr>
        <w:pStyle w:val="928"/>
        <w:ind w:firstLine="420"/>
        <w:keepLines w:val="0"/>
        <w:keepNext w:val="0"/>
        <w:pageBreakBefore w:val="0"/>
        <w:spacing w:line="500" w:lineRule="exact"/>
        <w:widowControl w:val="off"/>
        <w:rPr>
          <w:rFonts w:hint="eastAsia" w:hAnsi="宋体" w:cs="Times New Roman"/>
          <w:color w:val="auto"/>
          <w:sz w:val="21"/>
          <w:highlight w:val="none"/>
        </w:rPr>
      </w:pPr>
      <w:r>
        <w:rPr>
          <w:rFonts w:hint="eastAsia" w:hAnsi="宋体" w:cs="Times New Roman"/>
          <w:color w:val="auto"/>
          <w:sz w:val="21"/>
          <w:highlight w:val="none"/>
        </w:rPr>
        <w:t xml:space="preserve">1.7 包装方式：</w:t>
      </w:r>
      <w:r>
        <w:rPr>
          <w:rFonts w:hint="eastAsia" w:hAnsi="宋体" w:cs="Times New Roman"/>
          <w:color w:val="auto"/>
          <w:sz w:val="21"/>
          <w:highlight w:val="none"/>
          <w:lang w:val="en-US" w:eastAsia="zh-CN"/>
        </w:rPr>
        <w:t xml:space="preserve">                  </w:t>
      </w:r>
      <w:r/>
    </w:p>
    <w:p>
      <w:pPr>
        <w:pStyle w:val="928"/>
        <w:ind w:firstLine="422"/>
        <w:keepLines w:val="0"/>
        <w:keepNext w:val="0"/>
        <w:pageBreakBefore w:val="0"/>
        <w:spacing w:line="500" w:lineRule="exact"/>
        <w:widowControl w:val="off"/>
        <w:rPr>
          <w:rFonts w:hint="eastAsia" w:hAnsi="宋体" w:cs="Times New Roman"/>
          <w:b/>
          <w:bCs/>
          <w:color w:val="auto"/>
          <w:sz w:val="21"/>
          <w:highlight w:val="none"/>
        </w:rPr>
      </w:pPr>
      <w:r>
        <w:rPr>
          <w:rFonts w:hint="eastAsia" w:hAnsi="宋体" w:cs="Times New Roman"/>
          <w:b/>
          <w:bCs/>
          <w:color w:val="auto"/>
          <w:sz w:val="21"/>
          <w:highlight w:val="none"/>
        </w:rPr>
        <w:t xml:space="preserve">2、合同总金额</w:t>
      </w:r>
      <w:r/>
    </w:p>
    <w:p>
      <w:pPr>
        <w:pStyle w:val="928"/>
        <w:ind w:firstLine="420"/>
        <w:keepLines w:val="0"/>
        <w:keepNext w:val="0"/>
        <w:pageBreakBefore w:val="0"/>
        <w:spacing w:line="500" w:lineRule="exact"/>
        <w:widowControl w:val="off"/>
        <w:rPr>
          <w:rFonts w:hint="eastAsia" w:hAnsi="宋体" w:cs="Times New Roman"/>
          <w:color w:val="auto"/>
          <w:sz w:val="21"/>
          <w:highlight w:val="none"/>
        </w:rPr>
      </w:pPr>
      <w:r>
        <w:rPr>
          <w:rFonts w:hint="eastAsia" w:hAnsi="宋体" w:cs="Times New Roman"/>
          <w:color w:val="auto"/>
          <w:sz w:val="21"/>
          <w:highlight w:val="none"/>
        </w:rPr>
        <w:t xml:space="preserve">2.1 本合同总金额为（大写）：</w:t>
      </w:r>
      <w:r>
        <w:rPr>
          <w:rFonts w:hint="eastAsia" w:hAnsi="宋体" w:cs="Times New Roman"/>
          <w:color w:val="auto"/>
          <w:sz w:val="21"/>
          <w:highlight w:val="none"/>
          <w:u w:val="single"/>
        </w:rPr>
        <w:t xml:space="preserve">          </w:t>
      </w:r>
      <w:r>
        <w:rPr>
          <w:rFonts w:hint="eastAsia" w:hAnsi="宋体" w:cs="Times New Roman"/>
          <w:color w:val="auto"/>
          <w:sz w:val="21"/>
          <w:highlight w:val="none"/>
          <w:u w:val="single"/>
          <w:lang w:val="en-US" w:eastAsia="zh-CN"/>
        </w:rPr>
        <w:t xml:space="preserve">      </w:t>
      </w:r>
      <w:r>
        <w:rPr>
          <w:rFonts w:hint="eastAsia" w:hAnsi="宋体" w:cs="Times New Roman"/>
          <w:color w:val="auto"/>
          <w:sz w:val="21"/>
          <w:highlight w:val="none"/>
          <w:u w:val="single"/>
        </w:rPr>
        <w:t xml:space="preserve">   </w:t>
      </w:r>
      <w:r>
        <w:rPr>
          <w:rFonts w:hint="eastAsia" w:hAnsi="宋体" w:cs="Times New Roman"/>
          <w:color w:val="auto"/>
          <w:sz w:val="21"/>
          <w:highlight w:val="none"/>
        </w:rPr>
        <w:t xml:space="preserve">元人民币（</w:t>
      </w:r>
      <w:r>
        <w:rPr>
          <w:rFonts w:hint="default" w:hAnsi="宋体" w:cs="Times New Roman"/>
          <w:color w:val="auto"/>
          <w:sz w:val="21"/>
          <w:highlight w:val="none"/>
        </w:rPr>
        <w:t xml:space="preserve">¥</w:t>
      </w:r>
      <w:r>
        <w:rPr>
          <w:rFonts w:hint="eastAsia" w:hAnsi="宋体" w:cs="Times New Roman"/>
          <w:color w:val="auto"/>
          <w:sz w:val="21"/>
          <w:highlight w:val="none"/>
        </w:rPr>
        <w:t xml:space="preserve"> </w:t>
      </w:r>
      <w:r>
        <w:rPr>
          <w:rFonts w:hint="eastAsia" w:hAnsi="宋体" w:cs="Times New Roman"/>
          <w:color w:val="auto"/>
          <w:sz w:val="21"/>
          <w:highlight w:val="none"/>
          <w:u w:val="single"/>
        </w:rPr>
        <w:t xml:space="preserve">         </w:t>
      </w:r>
      <w:r>
        <w:rPr>
          <w:rFonts w:hint="eastAsia" w:hAnsi="宋体" w:cs="Times New Roman"/>
          <w:color w:val="auto"/>
          <w:sz w:val="21"/>
          <w:highlight w:val="none"/>
        </w:rPr>
        <w:t xml:space="preserve">元）。</w:t>
      </w:r>
      <w:r/>
    </w:p>
    <w:p>
      <w:pPr>
        <w:pStyle w:val="928"/>
        <w:ind w:firstLine="422"/>
        <w:keepLines w:val="0"/>
        <w:keepNext w:val="0"/>
        <w:pageBreakBefore w:val="0"/>
        <w:spacing w:line="500" w:lineRule="exact"/>
        <w:widowControl w:val="off"/>
        <w:rPr>
          <w:rFonts w:hint="eastAsia" w:hAnsi="宋体" w:cs="Times New Roman"/>
          <w:b/>
          <w:bCs/>
          <w:color w:val="auto"/>
          <w:sz w:val="21"/>
          <w:highlight w:val="none"/>
        </w:rPr>
      </w:pPr>
      <w:r>
        <w:rPr>
          <w:rFonts w:hint="eastAsia" w:hAnsi="宋体" w:cs="Times New Roman"/>
          <w:b/>
          <w:bCs/>
          <w:color w:val="auto"/>
          <w:sz w:val="21"/>
          <w:highlight w:val="none"/>
        </w:rPr>
        <w:t xml:space="preserve">3、组成本合同的有关文件</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3.1乙方应按招标文件规定的时间向甲方提供使用货物的有关技术资料。</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928"/>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4、知识产权保证</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lang w:val="en-US" w:eastAsia="zh-CN"/>
        </w:rPr>
        <w:t xml:space="preserve">4.1</w:t>
      </w:r>
      <w:r>
        <w:rPr>
          <w:rFonts w:hint="eastAsia" w:ascii="宋体" w:hAnsi="宋体"/>
          <w:bCs/>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28"/>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5、产权保证</w:t>
      </w:r>
      <w:r/>
    </w:p>
    <w:p>
      <w:pPr>
        <w:pStyle w:val="928"/>
        <w:ind w:firstLine="420"/>
        <w:keepLines w:val="0"/>
        <w:keepNext w:val="0"/>
        <w:pageBreakBefore w:val="0"/>
        <w:spacing w:line="360" w:lineRule="auto"/>
        <w:widowControl w:val="off"/>
        <w:rPr>
          <w:rFonts w:hint="eastAsia" w:hAnsi="宋体"/>
          <w:sz w:val="21"/>
          <w:highlight w:val="none"/>
        </w:rPr>
      </w:pPr>
      <w:r>
        <w:rPr>
          <w:rFonts w:hint="eastAsia" w:hAnsi="宋体"/>
          <w:sz w:val="21"/>
          <w:highlight w:val="none"/>
          <w:lang w:val="en-US" w:eastAsia="zh-CN"/>
        </w:rPr>
        <w:t xml:space="preserve">5.1</w:t>
      </w:r>
      <w:r>
        <w:rPr>
          <w:rFonts w:hint="eastAsia" w:hAnsi="宋体"/>
          <w:sz w:val="21"/>
          <w:highlight w:val="none"/>
        </w:rPr>
        <w:t xml:space="preserve">乙方保证所交付的货物及服务的所有权完全属于乙方且无任何抵押、查封等产权瑕疵。</w:t>
      </w:r>
      <w:r/>
    </w:p>
    <w:p>
      <w:pPr>
        <w:pStyle w:val="928"/>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6、履约保证金</w:t>
      </w:r>
      <w:r/>
    </w:p>
    <w:p>
      <w:pPr>
        <w:pStyle w:val="928"/>
        <w:ind w:firstLine="422"/>
        <w:keepLines w:val="0"/>
        <w:keepNext w:val="0"/>
        <w:pageBreakBefore w:val="0"/>
        <w:spacing w:line="360" w:lineRule="auto"/>
        <w:widowControl w:val="off"/>
        <w:rPr>
          <w:rFonts w:hint="eastAsia" w:hAnsi="宋体"/>
          <w:bCs/>
          <w:sz w:val="21"/>
          <w:szCs w:val="22"/>
          <w:highlight w:val="none"/>
          <w:u w:val="single"/>
          <w:lang w:val="en-US"/>
        </w:rPr>
      </w:pPr>
      <w:r>
        <w:rPr>
          <w:rFonts w:hint="eastAsia" w:hAnsi="宋体"/>
          <w:bCs/>
          <w:sz w:val="21"/>
          <w:szCs w:val="22"/>
          <w:highlight w:val="none"/>
          <w:u w:val="single"/>
          <w:lang w:val="en-US" w:eastAsia="zh-CN"/>
        </w:rPr>
        <w:t xml:space="preserve">本项目无需缴纳履约保证金</w:t>
      </w:r>
      <w:r/>
    </w:p>
    <w:p>
      <w:pPr>
        <w:pStyle w:val="928"/>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7、转包或分包</w:t>
      </w:r>
      <w:r/>
    </w:p>
    <w:p>
      <w:pPr>
        <w:pStyle w:val="928"/>
        <w:ind w:firstLine="420"/>
        <w:keepLines w:val="0"/>
        <w:keepNext w:val="0"/>
        <w:pageBreakBefore w:val="0"/>
        <w:spacing w:line="360" w:lineRule="auto"/>
        <w:widowControl w:val="off"/>
        <w:rPr>
          <w:rFonts w:hint="eastAsia" w:hAnsi="宋体" w:cs="Times New Roman"/>
          <w:sz w:val="21"/>
          <w:highlight w:val="none"/>
        </w:rPr>
      </w:pPr>
      <w:r>
        <w:rPr>
          <w:rFonts w:hint="eastAsia" w:hAnsi="宋体" w:cs="Times New Roman"/>
          <w:sz w:val="21"/>
          <w:highlight w:val="none"/>
        </w:rPr>
        <w:t xml:space="preserve">7.1 乙方不得将合同标的转包给他人履行。</w:t>
      </w:r>
      <w:r/>
    </w:p>
    <w:p>
      <w:pPr>
        <w:pStyle w:val="928"/>
        <w:ind w:firstLine="420"/>
        <w:keepLines w:val="0"/>
        <w:keepNext w:val="0"/>
        <w:pageBreakBefore w:val="0"/>
        <w:spacing w:line="360" w:lineRule="auto"/>
        <w:widowControl w:val="off"/>
        <w:rPr>
          <w:rFonts w:hint="eastAsia" w:hAnsi="宋体" w:cs="Times New Roman"/>
          <w:sz w:val="21"/>
          <w:highlight w:val="none"/>
        </w:rPr>
      </w:pPr>
      <w:r>
        <w:rPr>
          <w:rFonts w:hint="eastAsia" w:hAnsi="宋体" w:cs="Times New Roman"/>
          <w:sz w:val="21"/>
          <w:highlight w:val="none"/>
        </w:rPr>
        <w:t xml:space="preserve">7.2 乙方不得将合同标的分包给他人履行。</w:t>
      </w:r>
      <w:r/>
    </w:p>
    <w:p>
      <w:pPr>
        <w:pStyle w:val="928"/>
        <w:ind w:firstLine="420"/>
        <w:keepLines w:val="0"/>
        <w:keepNext w:val="0"/>
        <w:pageBreakBefore w:val="0"/>
        <w:spacing w:line="360" w:lineRule="auto"/>
        <w:widowControl w:val="off"/>
        <w:rPr>
          <w:rFonts w:hint="eastAsia" w:hAnsi="宋体" w:cs="Times New Roman"/>
          <w:sz w:val="21"/>
          <w:highlight w:val="none"/>
        </w:rPr>
      </w:pPr>
      <w:r>
        <w:rPr>
          <w:rFonts w:hint="eastAsia" w:hAnsi="宋体" w:cs="Times New Roman"/>
          <w:sz w:val="21"/>
          <w:highlight w:val="none"/>
        </w:rPr>
        <w:t xml:space="preserve">7.3</w:t>
      </w:r>
      <w:r>
        <w:rPr>
          <w:rFonts w:hint="eastAsia" w:hAnsi="宋体" w:cs="Times New Roman"/>
          <w:sz w:val="21"/>
          <w:highlight w:val="none"/>
          <w:lang w:val="en-US" w:eastAsia="zh-CN"/>
        </w:rPr>
        <w:t xml:space="preserve"> </w:t>
      </w:r>
      <w:r>
        <w:rPr>
          <w:rFonts w:hint="eastAsia" w:hAnsi="宋体" w:cs="Times New Roman"/>
          <w:sz w:val="21"/>
          <w:highlight w:val="none"/>
        </w:rPr>
        <w:t xml:space="preserve">乙方如有转包或未经甲方同意的分包行为，甲方有权给予终止合同。</w:t>
      </w:r>
      <w:r/>
    </w:p>
    <w:p>
      <w:pPr>
        <w:pStyle w:val="928"/>
        <w:ind w:firstLine="422"/>
        <w:keepLines w:val="0"/>
        <w:keepNext w:val="0"/>
        <w:pageBreakBefore w:val="0"/>
        <w:spacing w:line="360" w:lineRule="auto"/>
        <w:widowControl w:val="off"/>
        <w:rPr>
          <w:rFonts w:hint="eastAsia" w:hAnsi="宋体" w:cs="Times New Roman"/>
          <w:b/>
          <w:bCs/>
          <w:sz w:val="21"/>
          <w:highlight w:val="none"/>
        </w:rPr>
      </w:pPr>
      <w:r>
        <w:rPr>
          <w:rFonts w:hint="eastAsia" w:hAnsi="宋体" w:cs="Times New Roman"/>
          <w:b/>
          <w:bCs/>
          <w:sz w:val="21"/>
          <w:highlight w:val="none"/>
        </w:rPr>
        <w:t xml:space="preserve">8、质保期</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rPr>
        <w:t xml:space="preserve">8.1质保期</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年。（自交货验收合格之日起计）</w:t>
      </w:r>
      <w:r/>
    </w:p>
    <w:p>
      <w:pPr>
        <w:pStyle w:val="928"/>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lang w:val="en-US" w:eastAsia="zh-CN"/>
        </w:rPr>
        <w:t xml:space="preserve">9</w:t>
      </w:r>
      <w:r>
        <w:rPr>
          <w:rFonts w:hint="eastAsia" w:hAnsi="宋体"/>
          <w:b/>
          <w:bCs/>
          <w:sz w:val="21"/>
          <w:highlight w:val="none"/>
        </w:rPr>
        <w:t xml:space="preserve">、货款支付</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lang w:val="en-US" w:eastAsia="zh-CN"/>
        </w:rPr>
        <w:t xml:space="preserve">9</w:t>
      </w:r>
      <w:r>
        <w:rPr>
          <w:rFonts w:ascii="宋体" w:hAnsi="宋体"/>
          <w:bCs/>
          <w:szCs w:val="21"/>
          <w:highlight w:val="none"/>
        </w:rPr>
        <w:t xml:space="preserve">.1 </w:t>
      </w:r>
      <w:r>
        <w:rPr>
          <w:rFonts w:hint="eastAsia" w:ascii="宋体" w:hAnsi="宋体"/>
          <w:bCs/>
          <w:szCs w:val="21"/>
          <w:highlight w:val="none"/>
        </w:rPr>
        <w:t xml:space="preserve">本合同项下所有款项均以人民币支付。 </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bCs/>
          <w:szCs w:val="21"/>
          <w:highlight w:val="none"/>
          <w:lang w:val="en-US" w:eastAsia="zh-CN"/>
        </w:rPr>
        <w:t xml:space="preserve">9</w:t>
      </w:r>
      <w:r>
        <w:rPr>
          <w:rFonts w:hint="eastAsia" w:ascii="宋体" w:hAnsi="宋体"/>
          <w:bCs/>
          <w:szCs w:val="21"/>
          <w:highlight w:val="none"/>
        </w:rPr>
        <w:t xml:space="preserve">.2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9</w:t>
      </w:r>
      <w:r>
        <w:rPr>
          <w:rFonts w:hint="eastAsia" w:ascii="宋体" w:hAnsi="宋体"/>
          <w:bCs/>
          <w:color w:val="000000"/>
          <w:szCs w:val="21"/>
          <w:highlight w:val="none"/>
        </w:rPr>
        <w:t xml:space="preserve">.3 甲方付款方式：</w:t>
      </w:r>
      <w:r/>
    </w:p>
    <w:p>
      <w:pPr>
        <w:numPr>
          <w:ilvl w:val="0"/>
          <w:numId w:val="0"/>
        </w:numPr>
        <w:ind w:firstLine="420"/>
        <w:keepLines w:val="0"/>
        <w:keepNext w:val="0"/>
        <w:pageBreakBefore w:val="0"/>
        <w:spacing w:line="360" w:lineRule="auto"/>
        <w:widowControl w:val="off"/>
        <w:rPr>
          <w:rFonts w:hint="eastAsia" w:ascii="宋体" w:hAnsi="宋体" w:cs="Times New Roman"/>
          <w:bCs/>
          <w:szCs w:val="21"/>
          <w:highlight w:val="none"/>
          <w:u w:val="single"/>
          <w:lang w:val="en-US" w:eastAsia="zh-CN"/>
        </w:rPr>
      </w:pPr>
      <w:r>
        <w:rPr>
          <w:rFonts w:hint="eastAsia" w:ascii="宋体" w:hAnsi="宋体"/>
          <w:bCs/>
          <w:szCs w:val="21"/>
          <w:highlight w:val="none"/>
          <w:u w:val="none"/>
          <w:lang w:eastAsia="zh-CN"/>
        </w:rPr>
        <w:t xml:space="preserve">（</w:t>
      </w:r>
      <w:r>
        <w:rPr>
          <w:rFonts w:hint="eastAsia" w:ascii="宋体" w:hAnsi="宋体"/>
          <w:bCs/>
          <w:szCs w:val="21"/>
          <w:highlight w:val="none"/>
          <w:u w:val="none"/>
          <w:lang w:val="en-US" w:eastAsia="zh-CN"/>
        </w:rPr>
        <w:t xml:space="preserve">1</w:t>
      </w:r>
      <w:r>
        <w:rPr>
          <w:rFonts w:hint="eastAsia" w:ascii="宋体" w:hAnsi="宋体"/>
          <w:bCs/>
          <w:szCs w:val="21"/>
          <w:highlight w:val="none"/>
          <w:u w:val="none"/>
          <w:lang w:eastAsia="zh-CN"/>
        </w:rPr>
        <w:t xml:space="preserve">）</w:t>
      </w:r>
      <w:r>
        <w:rPr>
          <w:rFonts w:hint="eastAsia" w:ascii="宋体" w:hAnsi="宋体"/>
          <w:bCs/>
          <w:szCs w:val="21"/>
          <w:highlight w:val="none"/>
          <w:u w:val="single"/>
        </w:rPr>
        <w:t xml:space="preserve">合同签订后，</w:t>
      </w:r>
      <w:r>
        <w:rPr>
          <w:rFonts w:hint="eastAsia" w:ascii="宋体" w:hAnsi="宋体"/>
          <w:bCs/>
          <w:szCs w:val="21"/>
          <w:highlight w:val="none"/>
          <w:u w:val="single"/>
          <w:lang w:val="en-US" w:eastAsia="zh-CN"/>
        </w:rPr>
        <w:t xml:space="preserve">乙方向甲方开具发票，</w:t>
      </w:r>
      <w:r>
        <w:rPr>
          <w:rFonts w:hint="eastAsia" w:ascii="宋体" w:hAnsi="宋体"/>
          <w:bCs/>
          <w:szCs w:val="21"/>
          <w:highlight w:val="none"/>
          <w:u w:val="single"/>
        </w:rPr>
        <w:t xml:space="preserve">甲方自收到发票之日起</w:t>
      </w:r>
      <w:r>
        <w:rPr>
          <w:rFonts w:hint="eastAsia" w:ascii="宋体" w:hAnsi="宋体"/>
          <w:bCs/>
          <w:szCs w:val="21"/>
          <w:highlight w:val="none"/>
          <w:u w:val="single"/>
          <w:lang w:val="en-US" w:eastAsia="zh-CN"/>
        </w:rPr>
        <w:t xml:space="preserve">10个工作日内支</w:t>
      </w:r>
      <w:r>
        <w:rPr>
          <w:rFonts w:hint="eastAsia" w:ascii="宋体" w:hAnsi="宋体"/>
          <w:bCs/>
          <w:szCs w:val="21"/>
          <w:highlight w:val="none"/>
          <w:u w:val="single"/>
        </w:rPr>
        <w:t xml:space="preserve">付合同价的30%为预付款。</w:t>
      </w:r>
      <w:r/>
    </w:p>
    <w:p>
      <w:pPr>
        <w:numPr>
          <w:ilvl w:val="0"/>
          <w:numId w:val="0"/>
        </w:numPr>
        <w:ind w:firstLine="420"/>
        <w:keepLines w:val="0"/>
        <w:keepNext w:val="0"/>
        <w:pageBreakBefore w:val="0"/>
        <w:spacing w:line="360" w:lineRule="auto"/>
        <w:widowControl w:val="off"/>
        <w:rPr>
          <w:rFonts w:hint="eastAsia" w:ascii="宋体" w:hAnsi="宋体"/>
          <w:szCs w:val="21"/>
          <w:highlight w:val="none"/>
          <w:u w:val="single"/>
        </w:rPr>
      </w:pPr>
      <w:r>
        <w:rPr>
          <w:rFonts w:hint="eastAsia" w:ascii="宋体" w:hAnsi="宋体" w:cs="Times New Roman"/>
          <w:szCs w:val="21"/>
          <w:highlight w:val="none"/>
          <w:u w:val="single"/>
          <w:lang w:val="en-US" w:eastAsia="zh-CN"/>
        </w:rPr>
        <w:t xml:space="preserve">（2）</w:t>
      </w:r>
      <w:r>
        <w:rPr>
          <w:rFonts w:hint="eastAsia" w:ascii="宋体" w:hAnsi="宋体" w:eastAsia="宋体" w:cs="Times New Roman"/>
          <w:szCs w:val="21"/>
          <w:highlight w:val="none"/>
          <w:u w:val="single"/>
          <w:lang w:val="en-US" w:eastAsia="zh-CN"/>
        </w:rPr>
        <w:t xml:space="preserve">乙方按约定完成供货及安装</w:t>
      </w:r>
      <w:r>
        <w:rPr>
          <w:rFonts w:hint="eastAsia" w:ascii="宋体" w:hAnsi="宋体" w:cs="Times New Roman"/>
          <w:szCs w:val="21"/>
          <w:highlight w:val="none"/>
          <w:u w:val="single"/>
          <w:lang w:val="en-US" w:eastAsia="zh-CN"/>
        </w:rPr>
        <w:t xml:space="preserve">完成</w:t>
      </w:r>
      <w:r>
        <w:rPr>
          <w:rFonts w:hint="eastAsia" w:ascii="宋体" w:hAnsi="宋体" w:eastAsia="宋体" w:cs="Times New Roman"/>
          <w:szCs w:val="21"/>
          <w:highlight w:val="none"/>
          <w:u w:val="single"/>
          <w:lang w:val="en-US" w:eastAsia="zh-CN"/>
        </w:rPr>
        <w:t xml:space="preserve">后，乙方向甲方开具发票，甲方自收到发票之日起10个工作日内</w:t>
      </w:r>
      <w:r>
        <w:rPr>
          <w:rFonts w:hint="eastAsia" w:ascii="宋体" w:hAnsi="宋体"/>
          <w:bCs/>
          <w:color w:val="auto"/>
          <w:sz w:val="21"/>
          <w:szCs w:val="21"/>
          <w:highlight w:val="none"/>
          <w:u w:val="single"/>
          <w:lang w:eastAsia="zh-CN"/>
        </w:rPr>
        <w:t xml:space="preserve">支付乙方合同总价的</w:t>
      </w:r>
      <w:r>
        <w:rPr>
          <w:rFonts w:hint="eastAsia" w:ascii="宋体" w:hAnsi="宋体"/>
          <w:bCs/>
          <w:color w:val="auto"/>
          <w:sz w:val="21"/>
          <w:szCs w:val="21"/>
          <w:highlight w:val="none"/>
          <w:u w:val="single"/>
          <w:lang w:val="en-US" w:eastAsia="zh-CN"/>
        </w:rPr>
        <w:t xml:space="preserve">40</w:t>
      </w:r>
      <w:r>
        <w:rPr>
          <w:rFonts w:hint="eastAsia" w:ascii="宋体" w:hAnsi="宋体"/>
          <w:bCs/>
          <w:color w:val="auto"/>
          <w:sz w:val="21"/>
          <w:szCs w:val="21"/>
          <w:highlight w:val="none"/>
          <w:u w:val="single"/>
          <w:lang w:eastAsia="zh-CN"/>
        </w:rPr>
        <w:t xml:space="preserve">%；</w:t>
      </w:r>
      <w:r>
        <w:rPr>
          <w:rFonts w:hint="eastAsia" w:ascii="宋体" w:hAnsi="宋体"/>
          <w:szCs w:val="21"/>
          <w:highlight w:val="none"/>
          <w:u w:val="single"/>
        </w:rPr>
        <w:t xml:space="preserve">（以上付款均无利息） </w:t>
      </w:r>
      <w:r/>
    </w:p>
    <w:p>
      <w:pPr>
        <w:ind w:firstLine="420"/>
        <w:keepLines w:val="0"/>
        <w:keepNext w:val="0"/>
        <w:pageBreakBefore w:val="0"/>
        <w:spacing w:line="360" w:lineRule="auto"/>
        <w:widowControl w:val="off"/>
        <w:rPr>
          <w:rFonts w:hint="eastAsia" w:ascii="宋体" w:hAnsi="宋体" w:cs="Times New Roman"/>
          <w:bCs/>
          <w:szCs w:val="21"/>
          <w:highlight w:val="none"/>
          <w:u w:val="single"/>
        </w:rPr>
      </w:pPr>
      <w:r>
        <w:rPr>
          <w:rFonts w:hint="eastAsia" w:ascii="宋体" w:hAnsi="宋体" w:cs="Times New Roman"/>
          <w:bCs/>
          <w:szCs w:val="21"/>
          <w:highlight w:val="none"/>
          <w:u w:val="single"/>
          <w:lang w:eastAsia="zh-CN"/>
        </w:rPr>
        <w:t xml:space="preserve">（</w:t>
      </w:r>
      <w:r>
        <w:rPr>
          <w:rFonts w:hint="eastAsia" w:ascii="宋体" w:hAnsi="宋体" w:cs="Times New Roman"/>
          <w:bCs/>
          <w:szCs w:val="21"/>
          <w:highlight w:val="none"/>
          <w:u w:val="single"/>
          <w:lang w:val="en-US" w:eastAsia="zh-CN"/>
        </w:rPr>
        <w:t xml:space="preserve">3</w:t>
      </w:r>
      <w:r>
        <w:rPr>
          <w:rFonts w:hint="eastAsia" w:ascii="宋体" w:hAnsi="宋体" w:cs="Times New Roman"/>
          <w:bCs/>
          <w:szCs w:val="21"/>
          <w:highlight w:val="none"/>
          <w:u w:val="single"/>
          <w:lang w:eastAsia="zh-CN"/>
        </w:rPr>
        <w:t xml:space="preserve">）项目试运行三个月，验收合格并审计结束后，甲方自收到发票之日起10个工作日内支付结算审定价的余款。</w:t>
      </w:r>
      <w:r/>
    </w:p>
    <w:p>
      <w:pPr>
        <w:ind w:firstLine="420"/>
        <w:keepLines w:val="0"/>
        <w:keepNext w:val="0"/>
        <w:pageBreakBefore w:val="0"/>
        <w:spacing w:line="360" w:lineRule="auto"/>
        <w:widowControl w:val="off"/>
        <w:rPr>
          <w:rFonts w:hint="eastAsia" w:ascii="宋体" w:hAnsi="宋体" w:cs="Times New Roman"/>
          <w:bCs/>
          <w:szCs w:val="21"/>
          <w:highlight w:val="none"/>
        </w:rPr>
      </w:pPr>
      <w:r>
        <w:rPr>
          <w:rFonts w:hint="eastAsia" w:ascii="宋体" w:hAnsi="宋体" w:cs="Times New Roman"/>
          <w:bCs/>
          <w:szCs w:val="21"/>
          <w:highlight w:val="none"/>
        </w:rPr>
        <w:t xml:space="preserve">1</w:t>
      </w:r>
      <w:r>
        <w:rPr>
          <w:rFonts w:hint="eastAsia" w:ascii="宋体" w:hAnsi="宋体" w:cs="Times New Roman"/>
          <w:bCs/>
          <w:szCs w:val="21"/>
          <w:highlight w:val="none"/>
          <w:lang w:val="en-US" w:eastAsia="zh-CN"/>
        </w:rPr>
        <w:t xml:space="preserve">0</w:t>
      </w:r>
      <w:r>
        <w:rPr>
          <w:rFonts w:hint="eastAsia" w:ascii="宋体" w:hAnsi="宋体" w:cs="Times New Roman"/>
          <w:bCs/>
          <w:szCs w:val="21"/>
          <w:highlight w:val="none"/>
        </w:rPr>
        <w:t xml:space="preserve">、税费</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Times New Roman"/>
          <w:bCs/>
          <w:szCs w:val="21"/>
          <w:highlight w:val="none"/>
          <w:lang w:val="en-US" w:eastAsia="zh-CN"/>
        </w:rPr>
        <w:t xml:space="preserve">10.1</w:t>
      </w:r>
      <w:r>
        <w:rPr>
          <w:rFonts w:hint="eastAsia" w:ascii="宋体" w:hAnsi="宋体" w:cs="Times New Roman"/>
          <w:bCs/>
          <w:szCs w:val="21"/>
          <w:highlight w:val="none"/>
        </w:rPr>
        <w:t xml:space="preserve">本合同执行中相</w:t>
      </w:r>
      <w:r>
        <w:rPr>
          <w:rFonts w:hint="eastAsia" w:ascii="宋体" w:hAnsi="宋体"/>
          <w:bCs/>
          <w:szCs w:val="21"/>
          <w:highlight w:val="none"/>
        </w:rPr>
        <w:t xml:space="preserve">关的一切税费均由乙方负担。</w:t>
      </w:r>
      <w:r/>
    </w:p>
    <w:p>
      <w:pPr>
        <w:pStyle w:val="928"/>
        <w:ind w:firstLine="422"/>
        <w:keepLines w:val="0"/>
        <w:keepNext w:val="0"/>
        <w:pageBreakBefore w:val="0"/>
        <w:spacing w:line="360" w:lineRule="auto"/>
        <w:widowControl w:val="off"/>
        <w:rPr>
          <w:rFonts w:hint="eastAsia" w:hAnsi="宋体"/>
          <w:b/>
          <w:bCs/>
          <w:sz w:val="21"/>
          <w:highlight w:val="none"/>
        </w:rPr>
      </w:pPr>
      <w:r>
        <w:rPr>
          <w:rFonts w:hint="eastAsia" w:hAnsi="宋体"/>
          <w:b/>
          <w:bCs/>
          <w:sz w:val="21"/>
          <w:highlight w:val="none"/>
        </w:rPr>
        <w:t xml:space="preserve">1</w:t>
      </w:r>
      <w:r>
        <w:rPr>
          <w:rFonts w:hint="eastAsia" w:hAnsi="宋体"/>
          <w:b/>
          <w:bCs/>
          <w:sz w:val="21"/>
          <w:highlight w:val="none"/>
          <w:lang w:val="en-US" w:eastAsia="zh-CN"/>
        </w:rPr>
        <w:t xml:space="preserve">1</w:t>
      </w:r>
      <w:r>
        <w:rPr>
          <w:rFonts w:hint="eastAsia" w:hAnsi="宋体"/>
          <w:b/>
          <w:bCs/>
          <w:sz w:val="21"/>
          <w:highlight w:val="none"/>
        </w:rPr>
        <w:t xml:space="preserve">、质量保证及售后服务</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11.1 乙方应按招标文件规定的货物性能、技术要求、质量标准向甲方提供未经使用的全新产品。</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11.2 乙方提供的货物在质量期内因货物本身的质量问题发生故障，乙方应负责免费更换。对达不到技术要求者，根据实际情况，经双方协商，可按以下办法处理：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lang w:val="en-US" w:eastAsia="zh-CN"/>
        </w:rPr>
        <w:t xml:space="preserve">更换：由乙方承担所发生的全部费用。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（2）</w:t>
      </w:r>
      <w:r>
        <w:rPr>
          <w:rFonts w:hint="eastAsia" w:ascii="宋体" w:hAnsi="宋体" w:eastAsia="宋体" w:cs="Times New Roman"/>
          <w:bCs/>
          <w:color w:val="auto"/>
          <w:szCs w:val="21"/>
          <w:highlight w:val="none"/>
          <w:lang w:val="en-US" w:eastAsia="zh-CN"/>
        </w:rPr>
        <w:t xml:space="preserve">贬值处理：由甲乙双方合议定价。</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lang w:val="en-US" w:eastAsia="zh-CN"/>
        </w:rPr>
        <w:t xml:space="preserve">退货处理：乙方应退还甲方支付的合同款，同时应承担该货物的直接费用（运输、保险、检验、货款利息及银行手续费等）。</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11.3 如在使用过程中发生质量问题，乙方在接到甲方通知后在___小时内到达甲方现场。</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11.4 在质保期内，乙方应对货物出现的质量及安全问题负责处理解决并承担一切费用。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11.5上述的货物免费保修期为</w:t>
      </w:r>
      <w:r>
        <w:rPr>
          <w:rFonts w:hint="eastAsia" w:ascii="宋体" w:hAnsi="宋体" w:cs="Times New Roman"/>
          <w:bCs/>
          <w:color w:val="auto"/>
          <w:szCs w:val="21"/>
          <w:highlight w:val="none"/>
          <w:u w:val="single"/>
          <w:lang w:val="en-US" w:eastAsia="zh-CN"/>
        </w:rPr>
        <w:t xml:space="preserve">     </w:t>
      </w:r>
      <w:r>
        <w:rPr>
          <w:rFonts w:hint="eastAsia" w:ascii="宋体" w:hAnsi="宋体" w:cs="Times New Roman"/>
          <w:bCs/>
          <w:color w:val="auto"/>
          <w:szCs w:val="21"/>
          <w:highlight w:val="none"/>
          <w:lang w:val="en-US" w:eastAsia="zh-CN"/>
        </w:rPr>
        <w:t xml:space="preserve"> </w:t>
      </w:r>
      <w:r>
        <w:rPr>
          <w:rFonts w:hint="eastAsia" w:ascii="宋体" w:hAnsi="宋体" w:eastAsia="宋体" w:cs="Times New Roman"/>
          <w:bCs/>
          <w:color w:val="auto"/>
          <w:szCs w:val="21"/>
          <w:highlight w:val="none"/>
          <w:lang w:val="en-US" w:eastAsia="zh-CN"/>
        </w:rPr>
        <w:t xml:space="preserve">年（自交货验收合格之日起计），因人为因素出现的故障不在免费保修范围内。超过保修期的机器设备，终生维修，维修时只收部件成本费。</w:t>
      </w:r>
      <w:r/>
    </w:p>
    <w:p>
      <w:pPr>
        <w:pStyle w:val="928"/>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12</w:t>
      </w:r>
      <w:r>
        <w:rPr>
          <w:rFonts w:hint="eastAsia" w:ascii="宋体" w:hAnsi="宋体" w:eastAsia="宋体" w:cs="Times New Roman"/>
          <w:b/>
          <w:bCs/>
          <w:color w:val="auto"/>
          <w:sz w:val="21"/>
          <w:highlight w:val="none"/>
        </w:rPr>
        <w:t xml:space="preserve">、项目验收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12.1 甲方依法组织履约验收工作。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12.3 对于实际使用人和甲方分离的项目，甲方邀请实际使用人参与验收。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12.4 如有必要，甲方邀请参加本项目的其他供应商或第三方专业机构及专家参与验收，相关意见将作为验收书的参考资料。</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8"/>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13</w:t>
      </w:r>
      <w:r>
        <w:rPr>
          <w:rFonts w:hint="eastAsia" w:ascii="宋体" w:hAnsi="宋体" w:eastAsia="宋体" w:cs="Times New Roman"/>
          <w:b/>
          <w:bCs/>
          <w:color w:val="auto"/>
          <w:sz w:val="21"/>
          <w:highlight w:val="none"/>
        </w:rPr>
        <w:t xml:space="preserve">、货物的包装、发运及运输</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13.1 乙方应在货物发运前对其进行满足运输距离、防潮、防震、防锈和防破损装卸等要求包装，以保证货物安全运达甲方指定地点。</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13.2 使用说明书、质量检验证明书、随配附件和工具以及清单一并附于货物内。</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13.3 乙方在货物发运手续办理完毕后24小时内或货到甲方48小时前通知甲方，以准备接货。</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13.4 货物在交付甲方前发生的风险均由乙方负责。</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13.5 货物在规定的交付期限内由乙方送达甲方指定的地点视为交付，乙方同时需通知甲方货物已送达。</w:t>
      </w:r>
      <w:r/>
    </w:p>
    <w:p>
      <w:pPr>
        <w:pStyle w:val="928"/>
        <w:ind w:firstLine="422"/>
        <w:keepLines w:val="0"/>
        <w:keepNext w:val="0"/>
        <w:pageBreakBefore w:val="0"/>
        <w:spacing w:line="360" w:lineRule="auto"/>
        <w:widowControl w:val="off"/>
        <w:rPr>
          <w:rFonts w:hint="eastAsia" w:hAnsi="宋体"/>
          <w:b/>
          <w:bCs/>
          <w:sz w:val="21"/>
          <w:szCs w:val="22"/>
          <w:highlight w:val="none"/>
        </w:rPr>
      </w:pPr>
      <w:r>
        <w:rPr>
          <w:rFonts w:hint="eastAsia" w:hAnsi="宋体"/>
          <w:b/>
          <w:bCs/>
          <w:sz w:val="21"/>
          <w:szCs w:val="22"/>
          <w:highlight w:val="none"/>
        </w:rPr>
        <w:t xml:space="preserve">1</w:t>
      </w:r>
      <w:r>
        <w:rPr>
          <w:rFonts w:hint="eastAsia" w:hAnsi="宋体"/>
          <w:b/>
          <w:bCs/>
          <w:sz w:val="21"/>
          <w:szCs w:val="22"/>
          <w:highlight w:val="none"/>
          <w:lang w:val="en-US" w:eastAsia="zh-CN"/>
        </w:rPr>
        <w:t xml:space="preserve">4</w:t>
      </w:r>
      <w:r>
        <w:rPr>
          <w:rFonts w:hint="eastAsia" w:hAnsi="宋体"/>
          <w:b/>
          <w:bCs/>
          <w:sz w:val="21"/>
          <w:szCs w:val="22"/>
          <w:highlight w:val="none"/>
        </w:rPr>
        <w:t xml:space="preserve">、违约责任</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14.1 甲方无正当理由拒收货物的，甲方向乙方偿付拒收货款总值</w:t>
      </w:r>
      <w:r>
        <w:rPr>
          <w:rFonts w:hint="eastAsia" w:ascii="宋体" w:hAnsi="宋体" w:eastAsia="宋体" w:cs="Times New Roman"/>
          <w:bCs/>
          <w:color w:val="auto"/>
          <w:szCs w:val="21"/>
          <w:highlight w:val="none"/>
          <w:u w:val="single"/>
          <w:lang w:val="en-US" w:eastAsia="zh-CN"/>
        </w:rPr>
        <w:t xml:space="preserve">百分之五</w:t>
      </w:r>
      <w:r>
        <w:rPr>
          <w:rFonts w:hint="eastAsia" w:ascii="宋体" w:hAnsi="宋体" w:eastAsia="宋体" w:cs="Times New Roman"/>
          <w:bCs/>
          <w:color w:val="auto"/>
          <w:szCs w:val="21"/>
          <w:highlight w:val="none"/>
          <w:lang w:val="en-US" w:eastAsia="zh-CN"/>
        </w:rPr>
        <w:t xml:space="preserve">的违约金。</w:t>
      </w:r>
      <w:r/>
    </w:p>
    <w:p>
      <w:pPr>
        <w:ind w:left="0" w:firstLine="420"/>
        <w:jc w:val="left"/>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14.2 甲方无故逾期验收和办理货款支付手续的,甲方应按逾期付款总额每日</w:t>
      </w:r>
      <w:r>
        <w:rPr>
          <w:rFonts w:hint="eastAsia" w:ascii="宋体" w:hAnsi="宋体" w:eastAsia="宋体" w:cs="Times New Roman"/>
          <w:bCs/>
          <w:color w:val="auto"/>
          <w:szCs w:val="21"/>
          <w:highlight w:val="none"/>
          <w:u w:val="single"/>
          <w:lang w:val="en-US" w:eastAsia="zh-CN"/>
        </w:rPr>
        <w:t xml:space="preserve">万分之五</w:t>
      </w:r>
      <w:r>
        <w:rPr>
          <w:rFonts w:hint="eastAsia" w:ascii="宋体" w:hAnsi="宋体" w:eastAsia="宋体" w:cs="Times New Roman"/>
          <w:bCs/>
          <w:color w:val="auto"/>
          <w:szCs w:val="21"/>
          <w:highlight w:val="none"/>
          <w:lang w:val="en-US" w:eastAsia="zh-CN"/>
        </w:rPr>
        <w:t xml:space="preserve">向乙方支付违约金。</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14.3 乙方逾期交付货物的，乙方应按逾期交货总额每日</w:t>
      </w:r>
      <w:r>
        <w:rPr>
          <w:rFonts w:hint="eastAsia" w:ascii="宋体" w:hAnsi="宋体" w:eastAsia="宋体" w:cs="Times New Roman"/>
          <w:bCs/>
          <w:color w:val="auto"/>
          <w:szCs w:val="21"/>
          <w:highlight w:val="none"/>
          <w:u w:val="single"/>
          <w:lang w:val="en-US" w:eastAsia="zh-CN"/>
        </w:rPr>
        <w:t xml:space="preserve">千分之六 </w:t>
      </w:r>
      <w:r>
        <w:rPr>
          <w:rFonts w:hint="eastAsia" w:ascii="宋体" w:hAnsi="宋体" w:eastAsia="宋体" w:cs="Times New Roman"/>
          <w:bCs/>
          <w:color w:val="auto"/>
          <w:szCs w:val="21"/>
          <w:highlight w:val="none"/>
          <w:lang w:val="en-US" w:eastAsia="zh-CN"/>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Times New Roman"/>
          <w:bCs/>
          <w:color w:val="auto"/>
          <w:szCs w:val="21"/>
          <w:highlight w:val="none"/>
          <w:u w:val="single"/>
          <w:lang w:val="en-US" w:eastAsia="zh-CN"/>
        </w:rPr>
        <w:t xml:space="preserve">5% </w:t>
      </w:r>
      <w:r>
        <w:rPr>
          <w:rFonts w:hint="eastAsia" w:ascii="宋体" w:hAnsi="宋体" w:eastAsia="宋体" w:cs="Times New Roman"/>
          <w:bCs/>
          <w:color w:val="auto"/>
          <w:szCs w:val="21"/>
          <w:highlight w:val="none"/>
          <w:lang w:val="en-US" w:eastAsia="zh-CN"/>
        </w:rPr>
        <w:t xml:space="preserve">的违约金，如造成甲方损失超过违约金的，超出部分由乙方继续承担赔偿责任。 </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28"/>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15、不可抗力事件处理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15.1 在合同有效期内，任何一方因不可抗力事件导致不能履行合同，则合同履行期可延长，其延长期与不可抗力影响期相同。</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15.2 不可抗力事件发生后，应立即通知对方，并寄送有关权威机构出具的证明。</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15.3 不可抗力事件延续120天以上，双方应通过友好协商，确定是否继续履行合同。</w:t>
      </w:r>
      <w:r/>
    </w:p>
    <w:p>
      <w:pPr>
        <w:pStyle w:val="928"/>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16、解决争议的方法</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16.1甲乙双方因合同签订、履行而发生的一切争议，应通过友好协商解决。如协商不成由甲方住所地人民法院管辖。</w:t>
      </w:r>
      <w:r/>
    </w:p>
    <w:p>
      <w:pPr>
        <w:pStyle w:val="928"/>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hAnsi="宋体" w:cs="Times New Roman"/>
          <w:b/>
          <w:bCs/>
          <w:color w:val="auto"/>
          <w:sz w:val="21"/>
          <w:highlight w:val="none"/>
          <w:lang w:val="en-US" w:eastAsia="zh-CN"/>
        </w:rPr>
        <w:t xml:space="preserve">17</w:t>
      </w:r>
      <w:r>
        <w:rPr>
          <w:rFonts w:hint="eastAsia" w:ascii="宋体" w:hAnsi="宋体" w:eastAsia="宋体" w:cs="Times New Roman"/>
          <w:b/>
          <w:bCs/>
          <w:color w:val="auto"/>
          <w:sz w:val="21"/>
          <w:highlight w:val="none"/>
          <w:lang w:val="en-US" w:eastAsia="zh-CN"/>
        </w:rPr>
        <w:t xml:space="preserve">、合同生效及其它</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.1 合同经双方法定代表人签章并加盖单位公章，并经扬州</w:t>
      </w:r>
      <w:r>
        <w:rPr>
          <w:rFonts w:hint="eastAsia" w:ascii="宋体" w:hAnsi="宋体" w:cs="宋体"/>
          <w:color w:val="auto"/>
          <w:szCs w:val="21"/>
          <w:highlight w:val="none"/>
          <w:lang w:val="en-US" w:eastAsia="zh-CN"/>
        </w:rPr>
        <w:t xml:space="preserve">创晨项目管理咨询有限公司</w:t>
      </w:r>
      <w:r>
        <w:rPr>
          <w:rFonts w:hint="eastAsia" w:ascii="宋体" w:hAnsi="宋体" w:cs="宋体"/>
          <w:color w:val="auto"/>
          <w:szCs w:val="21"/>
          <w:highlight w:val="none"/>
        </w:rPr>
        <w:t xml:space="preserve">见证盖章后生效。</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.2本合同未尽事宜，遵照《民法典》有关条文执行。</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.3 本合同正本一式陆份，具有同等法律效力，甲方、乙方各执贰份，见证方及财政监管部门（仪征市财政局政府采购与部门资产管理科）各执壹份。  </w:t>
      </w:r>
      <w:r/>
    </w:p>
    <w:tbl>
      <w:tblPr>
        <w:tblStyle w:val="920"/>
        <w:tblpPr w:horzAnchor="page" w:tblpX="1866" w:vertAnchor="text" w:tblpY="4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8"/>
              <w:spacing w:before="120" w:after="120" w:line="360" w:lineRule="auto"/>
              <w:rPr>
                <w:rFonts w:hint="eastAsia" w:ascii="宋体" w:hAnsi="宋体" w:eastAsia="宋体" w:cs="Times New Roman"/>
                <w:sz w:val="21"/>
                <w:highlight w:val="none"/>
                <w:lang w:eastAsia="zh-CN"/>
              </w:rPr>
            </w:pPr>
            <w:r>
              <w:rPr>
                <w:rFonts w:hint="eastAsia" w:ascii="宋体" w:hAnsi="宋体" w:eastAsia="宋体" w:cs="Times New Roman"/>
                <w:sz w:val="21"/>
                <w:highlight w:val="none"/>
              </w:rPr>
              <w:t xml:space="preserve">甲方：</w:t>
            </w:r>
            <w:r>
              <w:rPr>
                <w:rFonts w:hint="eastAsia" w:hAnsi="宋体" w:cs="Times New Roman"/>
                <w:sz w:val="21"/>
                <w:highlight w:val="none"/>
                <w:lang w:eastAsia="zh-CN"/>
              </w:rPr>
              <w:t xml:space="preserve">仪征市公安局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8"/>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8"/>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8"/>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8"/>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8"/>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8"/>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8"/>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8"/>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8"/>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日期：      年    月    日</w:t>
            </w:r>
            <w:r/>
          </w:p>
        </w:tc>
      </w:tr>
    </w:tbl>
    <w:p>
      <w:pPr>
        <w:pStyle w:val="928"/>
        <w:ind w:firstLine="420"/>
        <w:spacing w:before="120" w:after="120" w:line="360" w:lineRule="auto"/>
        <w:rPr>
          <w:rFonts w:hint="eastAsia" w:ascii="宋体" w:hAnsi="宋体" w:eastAsia="宋体" w:cs="Times New Roman"/>
          <w:sz w:val="21"/>
          <w:highlight w:val="none"/>
        </w:rPr>
      </w:pPr>
      <w:r>
        <w:rPr>
          <w:rFonts w:hint="eastAsia" w:ascii="宋体" w:hAnsi="宋体" w:eastAsia="宋体" w:cs="Times New Roman"/>
          <w:sz w:val="21"/>
          <w:highlight w:val="none"/>
        </w:rPr>
        <w:t xml:space="preserve"> </w:t>
      </w:r>
      <w:r/>
    </w:p>
    <w:p>
      <w:pPr>
        <w:pStyle w:val="928"/>
        <w:ind w:firstLine="0"/>
        <w:keepLines w:val="0"/>
        <w:keepNext w:val="0"/>
        <w:pageBreakBefore w:val="0"/>
        <w:spacing w:before="120" w:after="120" w:line="360" w:lineRule="auto"/>
        <w:widowControl w:val="off"/>
        <w:rPr>
          <w:rFonts w:hint="eastAsia" w:ascii="宋体" w:hAnsi="宋体" w:eastAsia="宋体" w:cs="Times New Roman"/>
          <w:sz w:val="21"/>
          <w:highlight w:val="none"/>
        </w:rPr>
      </w:pPr>
      <w:r>
        <w:rPr>
          <w:rFonts w:hint="eastAsia" w:ascii="宋体" w:hAnsi="宋体" w:eastAsia="宋体" w:cs="Times New Roman"/>
          <w:sz w:val="21"/>
          <w:highlight w:val="none"/>
        </w:rPr>
      </w:r>
      <w:r/>
    </w:p>
    <w:p>
      <w:pPr>
        <w:pStyle w:val="928"/>
        <w:ind w:firstLine="0"/>
        <w:keepLines w:val="0"/>
        <w:keepNext w:val="0"/>
        <w:pageBreakBefore w:val="0"/>
        <w:spacing w:before="120" w:after="120" w:line="360" w:lineRule="auto"/>
        <w:widowControl w:val="off"/>
        <w:rPr>
          <w:rFonts w:hint="eastAsia" w:ascii="宋体" w:hAnsi="宋体" w:eastAsia="宋体" w:cs="Times New Roman"/>
          <w:sz w:val="21"/>
          <w:highlight w:val="none"/>
          <w:lang w:eastAsia="zh-CN"/>
        </w:rPr>
      </w:pPr>
      <w:r>
        <w:rPr>
          <w:rFonts w:hint="eastAsia" w:ascii="宋体" w:hAnsi="宋体" w:eastAsia="宋体" w:cs="Times New Roman"/>
          <w:sz w:val="21"/>
          <w:highlight w:val="none"/>
        </w:rPr>
        <w:t xml:space="preserve">见证方：</w:t>
      </w:r>
      <w:r>
        <w:rPr>
          <w:rFonts w:hint="eastAsia" w:hAnsi="宋体" w:cs="Times New Roman"/>
          <w:sz w:val="21"/>
          <w:highlight w:val="none"/>
          <w:lang w:eastAsia="zh-CN"/>
        </w:rPr>
        <w:t xml:space="preserve">扬州创晨项目管理咨询有限公司</w:t>
      </w:r>
      <w:r/>
    </w:p>
    <w:p>
      <w:pPr>
        <w:pStyle w:val="928"/>
        <w:ind w:firstLine="0"/>
        <w:keepLines w:val="0"/>
        <w:keepNext w:val="0"/>
        <w:pageBreakBefore w:val="0"/>
        <w:spacing w:before="120" w:after="120" w:line="360" w:lineRule="auto"/>
        <w:widowControl w:val="off"/>
        <w:rPr>
          <w:rFonts w:hint="eastAsia" w:ascii="宋体" w:hAnsi="宋体" w:eastAsia="宋体" w:cs="Times New Roman"/>
          <w:sz w:val="21"/>
          <w:highlight w:val="none"/>
        </w:rPr>
      </w:pPr>
      <w:r>
        <w:rPr>
          <w:rFonts w:hint="eastAsia" w:ascii="宋体" w:hAnsi="宋体" w:eastAsia="宋体" w:cs="Times New Roman"/>
          <w:sz w:val="21"/>
          <w:highlight w:val="none"/>
        </w:rPr>
        <w:t xml:space="preserve">日期：     年   月   日</w:t>
      </w:r>
      <w:r/>
    </w:p>
    <w:p>
      <w:pPr>
        <w:pStyle w:val="928"/>
        <w:ind w:firstLine="420"/>
        <w:spacing w:before="120" w:after="120" w:line="360" w:lineRule="auto"/>
        <w:rPr>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cs="Times New Roman"/>
          <w:sz w:val="21"/>
          <w:highlight w:val="none"/>
        </w:rPr>
        <w:t xml:space="preserve">    </w:t>
      </w:r>
      <w:r/>
    </w:p>
    <w:p>
      <w:pPr>
        <w:pStyle w:val="915"/>
        <w:numPr>
          <w:ilvl w:val="0"/>
          <w:numId w:val="4"/>
        </w:numPr>
        <w:jc w:val="center"/>
        <w:pageBreakBefore w:val="0"/>
        <w:spacing w:before="0" w:after="0" w:line="360" w:lineRule="auto"/>
        <w:widowControl w:val="off"/>
        <w:rPr>
          <w:rFonts w:hint="eastAsia"/>
          <w:sz w:val="36"/>
          <w:szCs w:val="36"/>
        </w:rPr>
      </w:pPr>
      <w:r/>
      <w:bookmarkStart w:id="56" w:name="_Toc21448"/>
      <w:r/>
      <w:bookmarkStart w:id="57" w:name="_Toc512692550"/>
      <w:r/>
      <w:bookmarkStart w:id="58" w:name="_Toc32147"/>
      <w:r>
        <w:rPr>
          <w:rFonts w:hint="eastAsia"/>
          <w:sz w:val="36"/>
          <w:szCs w:val="36"/>
        </w:rPr>
        <w:t xml:space="preserve">项目需求</w:t>
      </w:r>
      <w:bookmarkEnd w:id="56"/>
      <w:r/>
      <w:r/>
    </w:p>
    <w:p>
      <w:pPr>
        <w:ind w:firstLine="241"/>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241"/>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项目属性:</w:t>
      </w:r>
      <w:r>
        <w:rPr>
          <w:rFonts w:hint="eastAsia" w:ascii="宋体" w:hAnsi="宋体" w:eastAsia="宋体" w:cs="宋体"/>
          <w:b w:val="0"/>
          <w:bCs w:val="0"/>
          <w:sz w:val="24"/>
          <w:szCs w:val="24"/>
          <w:highlight w:val="none"/>
          <w:lang w:eastAsia="zh-CN"/>
        </w:rPr>
        <w:t xml:space="preserve">货物类项目。</w:t>
      </w:r>
      <w:r/>
    </w:p>
    <w:p>
      <w:pPr>
        <w:ind w:firstLine="24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highlight w:val="none"/>
          <w:u w:val="single"/>
          <w:lang w:eastAsia="zh-CN"/>
        </w:rPr>
        <w:t xml:space="preserve">如属政府强制采购产品未提供认证证书的或认证证书提供不全的将视为未实质性响应采购要求</w:t>
      </w:r>
      <w:r>
        <w:rPr>
          <w:rFonts w:hint="eastAsia" w:ascii="宋体" w:hAnsi="宋体" w:eastAsia="宋体" w:cs="宋体"/>
          <w:sz w:val="24"/>
          <w:szCs w:val="24"/>
          <w:highlight w:val="none"/>
          <w:lang w:eastAsia="zh-CN"/>
        </w:rPr>
        <w:t xml:space="preserve">。其他条件相同情况下，应当优先采购节能产品、环境标志产品。</w:t>
      </w:r>
      <w:r/>
    </w:p>
    <w:p>
      <w:pPr>
        <w:ind w:firstLine="24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供应商对于投标产品的包装应按照“财办库〔2020〕123号《关于印发《商品包装政府采购需求标准（试行）》《快递包装政府采购需求标准（试行）》的通知》”执行。</w:t>
      </w:r>
      <w:r/>
    </w:p>
    <w:p>
      <w:pPr>
        <w:ind w:firstLine="24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、政府采购中实施本国产品标准及相关政策</w:t>
      </w:r>
      <w:r/>
    </w:p>
    <w:p>
      <w:pPr>
        <w:ind w:firstLine="24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）本项目对采购本国产品给予政策支持，具体内容见招标文件“第五章 评标方法与评标标准”。</w:t>
      </w:r>
      <w:r/>
    </w:p>
    <w:p>
      <w:pPr>
        <w:ind w:firstLine="24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pageBreakBefore w:val="0"/>
        <w:spacing w:line="360" w:lineRule="auto"/>
        <w:widowControl w:val="off"/>
        <w:rPr>
          <w:rFonts w:hint="eastAsia"/>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核心产品：</w:t>
      </w:r>
      <w:r>
        <w:rPr>
          <w:rFonts w:hint="eastAsia" w:ascii="宋体" w:hAnsi="宋体" w:eastAsia="宋体" w:cs="宋体"/>
          <w:b/>
          <w:bCs/>
          <w:sz w:val="24"/>
          <w:szCs w:val="24"/>
          <w:highlight w:val="none"/>
          <w:lang w:val="en-US" w:eastAsia="zh-CN"/>
        </w:rPr>
        <w:t xml:space="preserve">出入口结构化定位摄像机</w:t>
      </w:r>
      <w:r/>
    </w:p>
    <w:p>
      <w:pPr>
        <w:ind w:left="0" w:right="0" w:firstLine="0"/>
        <w:jc w:val="center"/>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spacing w:before="0" w:after="0" w:line="49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采购标的对应的中小企业划分标准所属行业一览表</w:t>
      </w:r>
      <w:r/>
    </w:p>
    <w:tbl>
      <w:tblPr>
        <w:tblStyle w:val="93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4933"/>
        <w:gridCol w:w="3193"/>
      </w:tblGrid>
      <w:tr>
        <w:trPr>
          <w:trHeight w:val="9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对应中小企业划分标准所属行业</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lang w:eastAsia="zh-CN"/>
              </w:rPr>
              <w:t xml:space="preserve">仪征市公安局执法办案管理中心智能化改造项目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工业</w:t>
            </w:r>
            <w:r/>
          </w:p>
        </w:tc>
      </w:tr>
    </w:tbl>
    <w:p>
      <w:pPr>
        <w:numPr>
          <w:ilvl w:val="0"/>
          <w:numId w:val="0"/>
        </w:numPr>
        <w:ind w:firstLine="241"/>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highlight w:val="none"/>
          <w:lang w:val="en-US" w:eastAsia="zh-CN"/>
        </w:rPr>
        <w:t xml:space="preserve">项目概述</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为切实规范执法办案场所设置、使用与管理，全面提升公安机关执法办案质效，公安部先后印发《公安部关于加强公安机关执法办案管理中心建设的指导意见》《公安信息化建设“十四五”规划》《关于推进公安装备建设“十四五”规划法制条线重点建设项目的通知》《关于进一步推动执法办案管理中心提质增效的意见》等系列文件，明确要求标准化、集约化建设执法办案管理中心，达成执法办案安全规范、办案资源融合运用、监督管理智能精准、运行机制高效顺畅、服务保障健全有力、管理队伍专业过硬建设目标，打造民警实战好用、实效实用的一体化执法办案基地。</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为落实公安部执法办案“四个一律”硬性要求，实现办案场所规范化、标准化、流程化闭环管理，保障办案全过程合法、安全、高效，仪征市公安局结合本局现有执法管理现状，对标全国先进地市建设经验，启动本次执法办案管理中心一体化采购建设项目。</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主要是根据上级关于公安执法规范化建设的相关工作要求，按照“执法规范化、职能前置化、效能最大化、服务人性化”的设计原则，对仪征市原公安执法办案管理中心进行升级改造，通过综合运用规范化的硬件设施、流程化的运行方式、标准化的管理模式，在充分利旧使用原有各类信息化设备设施基础上改造。</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次办案区域内采用结构化视频轨迹跟踪定位管理方式，实现对办案区内办案民警及违法犯罪嫌疑人全流程、无死角、实时的监督管理，提高民警执法办案工作效率，构建起全程公开透明、全程规范智能、全程监督可控的公安智慧执法办案管理示范区。通过本次项目改造，将实现对复杂、重大或指定管辖的刑事案件集中办案，实现对公安机关执法办案的集中化、集约化、智能化监督及管理，同时将会进一步提升公安执法规范化建设水平。</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次项目建设内容包括：新建各类视频监控摄像机、出入口人体结构化摄像机、拾音器、网络存储服务器、一案一打包、地图服务器、流媒体服务器、对接网关主机、AI智能行为分析等，以及超融合算法分析主机与3D地图可视化建模、智慧执法办案区管理系统平台；此外还有与之配套的机房UPS系统、门禁系统改造、网络</w:t>
      </w:r>
      <w:r>
        <w:rPr>
          <w:rFonts w:hint="eastAsia" w:ascii="宋体" w:hAnsi="宋体" w:eastAsia="宋体" w:cs="宋体"/>
          <w:sz w:val="24"/>
          <w:szCs w:val="24"/>
          <w:highlight w:val="none"/>
          <w:lang w:val="en-US" w:eastAsia="zh-CN"/>
        </w:rPr>
        <w:t xml:space="preserve">设备更新及综合布线施工等；同时本次项目需充分利旧使用原仪征市公安执法办案管理区原有各类信息化设备，包括各类视频监控摄像机、拾音器、审讯主机、随身物品柜、信息采集一体机、网络存储服务器等设备，要求须对原有全部信息化设备（原有旧设备均已列入公安固定资产目录）进行全面检测、维修与更换恢复至正常状态后，正式启用并接入本次慧执法办案中心管理系统平台。另外，本次项目新建系统还应根据公安不同业务场景的实际需求情况，将各类业务数据无缝接入或对接推送至江苏省公安厅、扬州及仪征市公安局相关业务系统平台，以满足公安实战应用需求。</w:t>
      </w:r>
      <w:r/>
    </w:p>
    <w:p>
      <w:pPr>
        <w:ind w:firstLine="241"/>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三、建设功能区概述</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1、执法办案中心：</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核心目标：落实“四个一律”，实现办案全流程标准化闭环管控，配套纯视频无感知定位、智能违规预警、多审讯室协同办案能力。</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入区出区全闭环管控</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所有进出办案区人员自动生成电子登记台账；嫌疑人入区完成人像采集、人体结构化无感建模；办案民警、工作人员同步人脸核验登记。系统自动统计每日出入人员数据，生成可视化报表，支撑日常管理、工作汇报与决策分析。</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纯视频无感知人员定位跟踪</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不依赖手环、标签等穿戴设备，仅通过前端人体结构化摄像机实现人员实时定位、行动轨迹留存、录像一键联动回放。</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执法办案流程标准化刚性管控</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覆盖全业务链路：入区登记→人身安全检查→随身财物暂存→信息采集→候问管理→询/讯问→物品返还→出区登记。系统串联人员信息、安全检查记录、涉案物证、案件卷宗全类数据；流程环节缺失、跳步操作自动弹窗声光报警，强制规范办案操作。</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全场景智能巡查监督预警</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平台内置7×24小时自动巡查引擎，实时识别单人审讯、审讯超时、嫌疑人无人看管、攀爬翻越等违规执法行为，即时推送报警信息至法制民警、值班管理终端；法制管理人员可在线下发整改通知书，全程留痕。 具备多维度办案数据统计导出功能：办案场所使用分析、涉案财物台账分析、案卷流转分析、智能监督违规记录分析，自动生成标准化日志报表，为执法监督、宏观研判提供数据支撑。</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default" w:ascii="宋体" w:hAnsi="宋体" w:eastAsia="宋体" w:cs="宋体"/>
          <w:sz w:val="24"/>
          <w:szCs w:val="24"/>
          <w:highlight w:val="none"/>
          <w:lang w:val="en-US" w:eastAsia="zh-CN"/>
        </w:rPr>
        <w:t xml:space="preserve">嫌疑人全程视频轨迹追溯</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按办案区域划分独立定位单元，各区域部署高清人体结构化摄像机；嫌疑人入区完成人体建模后，全时段轨迹自动绑定对应录像，支持任意时段历史轨迹回放、视频一键调取。</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default" w:ascii="宋体" w:hAnsi="宋体" w:eastAsia="宋体" w:cs="宋体"/>
          <w:sz w:val="24"/>
          <w:szCs w:val="24"/>
          <w:highlight w:val="none"/>
          <w:lang w:val="en-US" w:eastAsia="zh-CN"/>
        </w:rPr>
        <w:t xml:space="preserve">多审讯室协同办案</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同一案件多名嫌疑人分室审讯时，各审讯终端互联互通，支持跨房间实时视频查看、电子笔录共享、内部文字/语音通信，提升团伙案件审讯攻坚效率。</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2、案管中心：实现纸质卷宗集中闭环管理，杜绝 “抽屉卷、遗留卷、超期卷”。</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（1）智能案卷柜出入柜精细化管控</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卷宗存取全程电子化登记，柜体内置抓拍相机，卷宗入柜、出柜自动抓拍存档，操作人、操作时间、卷宗信息全程留痕，全程可追溯。</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（2）多维度案卷数据统计分析</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自动统计案卷柜占用状态、卷宗出入库频次、案件所处办理环节、强制措施适用类型、办案周期等数据，支持自定义报表导出。</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（3）案卷流转全程留痕</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系统完整记录每本卷宗流转节点、操作人员、流转时间，形成不可篡改电子流转档案。</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（4）案件超期预警催办</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自动检测超期未办结案件，系统自动推送催办提醒；办案负责人、法制监督人员可手动发起催办通知，压实办案时限责任。</w:t>
      </w:r>
      <w:r/>
    </w:p>
    <w:p>
      <w:pPr>
        <w:ind w:firstLine="24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成作战中心：搭建远程可视化指挥调度体系：指挥人员可实时调阅各办案室音视频、电子笔录、案件基础信息；支持语音对讲、文字消息、视频连线、远程桌面投屏四种交互方式，实现办案过程远程实时监控、在线指挥、同步研判。</w:t>
      </w:r>
      <w:r/>
    </w:p>
    <w:p>
      <w:pPr>
        <w:ind w:firstLine="241"/>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lang w:val="en-US" w:eastAsia="zh-CN"/>
        </w:rPr>
        <w:t xml:space="preserve">、建设内容概述</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整体包含：执法办案区（入区登记、人身安检、随身物品暂存、医疗救助、信息采集、尿检、候问、询/讯问室、特殊讯问室、辨认室、心理疏导室、专用卫生间）、未成年一站式办案专区、案管中心、合成作战研判指挥室、巡查培训中心、中心配套机房。</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1、主要内容：</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（1）软件平台类：执法办案区智能管理系统、智能案卷管理模块、涉案财物一体化管理模块；含多系统数字化对接开发、跨平台数据互通接口、智慧法制一体化平台集成、综合应用管理一体机配套软件。</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（2）执法办案区硬件设备：人体结构化摄像机、人体建模摄像机、超融合算法分析主机、人证核验终端、一体化智能审讯桌、电子笔录签字板、智能门禁系统、一案一打包采集终端。</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（3）案管中心硬件设备：高清拼接显示大屏、智能案卷管理存储柜、卷宗抓拍设备。</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（4）合成作战、巡查培训设备：研判指挥室音视频扩声系统、可视化调度终端；培训巡查室业务电脑、综合管理软件。</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（5）配套辅材与集成设备：高清显示输出设备、业务操作终端、标准服务器机柜、音频功放、音箱；综合布线系统（六类网线、核心交换机、光模块、配线架、桥架等）。</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2、配套服务采购内容</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全部货物供货、现场安装、系统调试、多设备集成联调、民警业务操作培训、整体质保期运维、全周期技术售后服务。</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3、对接测试硬性要求</w:t>
      </w:r>
      <w:r/>
    </w:p>
    <w:p>
      <w:pPr>
        <w:ind w:firstLine="482"/>
        <w:pageBreakBefore w:val="0"/>
        <w:spacing w:line="360" w:lineRule="auto"/>
        <w:widowControl w:val="off"/>
        <w:rPr>
          <w:rFonts w:hint="eastAsia" w:eastAsia="宋体" w:cs="Times New Roman"/>
          <w:b/>
          <w:bCs w:val="0"/>
          <w:i/>
          <w:iCs w:val="0"/>
          <w:sz w:val="24"/>
          <w:szCs w:val="24"/>
          <w:u w:val="single"/>
          <w:lang w:val="en-US" w:eastAsia="zh-CN"/>
        </w:rPr>
      </w:pPr>
      <w:r>
        <w:rPr>
          <w:rFonts w:hint="eastAsia" w:ascii="宋体" w:hAnsi="宋体" w:cs="宋体"/>
          <w:b/>
          <w:bCs/>
          <w:i/>
          <w:iCs/>
          <w:sz w:val="24"/>
          <w:szCs w:val="24"/>
          <w:highlight w:val="none"/>
          <w:u w:val="single"/>
          <w:lang w:val="en-US" w:eastAsia="zh-CN"/>
        </w:rPr>
        <w:t xml:space="preserve">投标人所有投标软硬件产品，须与仪征市局现有公安执法类业务平台无缝兼容对接，采购人不额外支付任何接口开发、二次改造、数据互通费用。该项目在建设过程中如遇上级部门对软件系统出台新规定，本项目需同步执行。</w:t>
      </w:r>
      <w:r>
        <w:rPr>
          <w:rFonts w:hint="eastAsia" w:eastAsia="宋体" w:cs="Times New Roman"/>
          <w:b/>
          <w:bCs w:val="0"/>
          <w:i/>
          <w:iCs w:val="0"/>
          <w:sz w:val="24"/>
          <w:szCs w:val="24"/>
          <w:u w:val="single"/>
          <w:lang w:val="en-US" w:eastAsia="zh-CN"/>
        </w:rPr>
        <w:t xml:space="preserve">（提供承诺函，扫描上传，格式自拟）</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对接内容主要包括：</w:t>
      </w:r>
      <w:r/>
    </w:p>
    <w:tbl>
      <w:tblPr>
        <w:tblStyle w:val="9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876"/>
        <w:gridCol w:w="1993"/>
        <w:gridCol w:w="4720"/>
      </w:tblGrid>
      <w:tr>
        <w:trPr/>
        <w:tc>
          <w:tcPr>
            <w:tcMar>
              <w:left w:w="108" w:type="dxa"/>
              <w:top w:w="0" w:type="dxa"/>
              <w:right w:w="108" w:type="dxa"/>
              <w:bottom w:w="0" w:type="dxa"/>
            </w:tcMar>
            <w:tcW w:w="374" w:type="pct"/>
            <w:vAlign w:val="center"/>
            <w:vMerge w:val="restart"/>
            <w:textDirection w:val="lrTb"/>
            <w:noWrap w:val="false"/>
          </w:tcPr>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Mar>
              <w:left w:w="108" w:type="dxa"/>
              <w:top w:w="0" w:type="dxa"/>
              <w:right w:w="108" w:type="dxa"/>
              <w:bottom w:w="0" w:type="dxa"/>
            </w:tcMar>
            <w:tcW w:w="1010" w:type="pct"/>
            <w:vAlign w:val="center"/>
            <w:vMerge w:val="restart"/>
            <w:textDirection w:val="lrTb"/>
            <w:noWrap w:val="false"/>
          </w:tcPr>
          <w:p>
            <w:pPr>
              <w:ind w:left="0" w:right="0" w:firstLine="0"/>
              <w:jc w:val="center"/>
              <w:spacing w:before="0" w:after="0" w:line="4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执法办案区智能管理</w:t>
            </w:r>
            <w:r>
              <w:rPr>
                <w:rFonts w:hint="eastAsia" w:ascii="宋体" w:hAnsi="宋体" w:eastAsia="宋体" w:cs="宋体"/>
                <w:color w:val="000000"/>
                <w:sz w:val="21"/>
                <w:lang w:val="en-US" w:eastAsia="zh-CN"/>
              </w:rPr>
              <w:t xml:space="preserve">模块</w:t>
            </w:r>
            <w:r/>
          </w:p>
        </w:tc>
        <w:tc>
          <w:tcPr>
            <w:tcMar>
              <w:left w:w="108" w:type="dxa"/>
              <w:top w:w="0" w:type="dxa"/>
              <w:right w:w="108" w:type="dxa"/>
              <w:bottom w:w="0" w:type="dxa"/>
            </w:tcMar>
            <w:tcW w:w="1073" w:type="pct"/>
            <w:vAlign w:val="center"/>
            <w:textDirection w:val="lrTb"/>
            <w:noWrap w:val="false"/>
          </w:tcPr>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管理系统平台升级及配套应用</w:t>
            </w:r>
            <w:r/>
          </w:p>
        </w:tc>
        <w:tc>
          <w:tcPr>
            <w:tcMar>
              <w:left w:w="108" w:type="dxa"/>
              <w:top w:w="0" w:type="dxa"/>
              <w:right w:w="108" w:type="dxa"/>
              <w:bottom w:w="0" w:type="dxa"/>
            </w:tcMar>
            <w:tcW w:w="2541" w:type="pct"/>
            <w:vAlign w:val="center"/>
            <w:textDirection w:val="lrTb"/>
            <w:noWrap w:val="false"/>
          </w:tcPr>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1、本次项目所建系统是作为</w:t>
            </w:r>
            <w:r>
              <w:rPr>
                <w:rFonts w:hint="eastAsia"/>
                <w:lang w:val="en-US" w:eastAsia="zh-CN"/>
              </w:rPr>
              <w:t xml:space="preserve">仪征市</w:t>
            </w:r>
            <w:r>
              <w:rPr>
                <w:rFonts w:ascii="宋体" w:hAnsi="宋体" w:eastAsia="宋体" w:cs="宋体"/>
                <w:color w:val="000000"/>
                <w:sz w:val="21"/>
              </w:rPr>
              <w:t xml:space="preserve">局执法办案管理中心，现用执法办案区管理系统平台升级配套应用，故所建各系统功能均需无缝接入</w:t>
            </w:r>
            <w:r>
              <w:rPr>
                <w:rFonts w:hint="eastAsia"/>
                <w:lang w:val="en-US" w:eastAsia="zh-CN"/>
              </w:rPr>
              <w:t xml:space="preserve">仪征市</w:t>
            </w:r>
            <w:r>
              <w:rPr>
                <w:rFonts w:ascii="宋体" w:hAnsi="宋体" w:eastAsia="宋体" w:cs="宋体"/>
                <w:color w:val="000000"/>
                <w:sz w:val="21"/>
              </w:rPr>
              <w:t xml:space="preserve">局执法办案管理中心系统平台。</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2、需对</w:t>
            </w:r>
            <w:r>
              <w:rPr>
                <w:rFonts w:hint="eastAsia"/>
                <w:lang w:val="en-US" w:eastAsia="zh-CN"/>
              </w:rPr>
              <w:t xml:space="preserve">仪征市</w:t>
            </w:r>
            <w:r>
              <w:rPr>
                <w:rFonts w:ascii="宋体" w:hAnsi="宋体" w:eastAsia="宋体" w:cs="宋体"/>
                <w:color w:val="000000"/>
                <w:sz w:val="21"/>
              </w:rPr>
              <w:t xml:space="preserve">局目前部署的公安执法办案区管理软件进行系统升级开发，以便原办案中心系统平台能同时支持人员手环定位、视频轨迹追踪及派出所简易登记等多种不同定位模式的混合接入方案，在不影</w:t>
            </w:r>
            <w:r>
              <w:rPr>
                <w:rFonts w:ascii="宋体" w:hAnsi="宋体" w:eastAsia="宋体" w:cs="宋体"/>
                <w:color w:val="000000"/>
                <w:sz w:val="21"/>
                <w:highlight w:val="none"/>
              </w:rPr>
              <w:t xml:space="preserve">响</w:t>
            </w:r>
            <w:r>
              <w:rPr>
                <w:rFonts w:hint="eastAsia" w:ascii="宋体" w:hAnsi="宋体" w:cs="宋体"/>
                <w:color w:val="000000"/>
                <w:sz w:val="21"/>
                <w:highlight w:val="none"/>
                <w:lang w:val="en-US" w:eastAsia="zh-CN"/>
              </w:rPr>
              <w:t xml:space="preserve">仪征市</w:t>
            </w:r>
            <w:r>
              <w:rPr>
                <w:rFonts w:ascii="宋体" w:hAnsi="宋体" w:eastAsia="宋体" w:cs="宋体"/>
                <w:color w:val="000000"/>
                <w:sz w:val="21"/>
                <w:highlight w:val="none"/>
              </w:rPr>
              <w:t xml:space="preserve">局</w:t>
            </w:r>
            <w:r>
              <w:rPr>
                <w:rFonts w:ascii="宋体" w:hAnsi="宋体" w:eastAsia="宋体" w:cs="宋体"/>
                <w:color w:val="000000"/>
                <w:sz w:val="21"/>
              </w:rPr>
              <w:t xml:space="preserve">办案中心系统功能应用的前提下，对后续其他单位新建二级子平台所采取的各类型人员定位模式均可灵活、无缝接入，且下级子系统间互不影响正常使用。</w:t>
            </w:r>
            <w:r/>
          </w:p>
        </w:tc>
      </w:tr>
      <w:tr>
        <w:trPr>
          <w:trHeight w:val="540"/>
        </w:trPr>
        <w:tc>
          <w:tcPr>
            <w:tcW w:w="374" w:type="pct"/>
            <w:vMerge w:val="continue"/>
            <w:textDirection w:val="lrTb"/>
            <w:noWrap w:val="false"/>
          </w:tcPr>
          <w:p>
            <w:r/>
            <w:r/>
          </w:p>
        </w:tc>
        <w:tc>
          <w:tcPr>
            <w:tcW w:w="1010" w:type="pct"/>
            <w:vMerge w:val="continue"/>
            <w:textDirection w:val="lrTb"/>
            <w:noWrap w:val="false"/>
          </w:tcPr>
          <w:p>
            <w:r/>
            <w:r/>
          </w:p>
        </w:tc>
        <w:tc>
          <w:tcPr>
            <w:tcMar>
              <w:left w:w="108" w:type="dxa"/>
              <w:top w:w="0" w:type="dxa"/>
              <w:right w:w="108" w:type="dxa"/>
              <w:bottom w:w="0" w:type="dxa"/>
            </w:tcMar>
            <w:tcW w:w="1073" w:type="pct"/>
            <w:vAlign w:val="center"/>
            <w:textDirection w:val="lrTb"/>
            <w:noWrap w:val="false"/>
          </w:tcPr>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出入口结构化定位摄像机</w:t>
            </w:r>
            <w:r/>
          </w:p>
        </w:tc>
        <w:tc>
          <w:tcPr>
            <w:tcMar>
              <w:left w:w="108" w:type="dxa"/>
              <w:top w:w="0" w:type="dxa"/>
              <w:right w:w="108" w:type="dxa"/>
              <w:bottom w:w="0" w:type="dxa"/>
            </w:tcMar>
            <w:tcW w:w="2541" w:type="pct"/>
            <w:vAlign w:val="center"/>
            <w:vMerge w:val="restart"/>
            <w:textDirection w:val="lrTb"/>
            <w:noWrap w:val="false"/>
          </w:tcPr>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需无缝接入本项目中公安执法办案区智能管理软件系统，采用</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人脸+体态”的纯视频定位技术，综合应用多种AI智能识别和深度学习算法，配合前端结构化采集设备，实现对执法办案区内嫌疑人活动轨迹的无感、实时、准确定位。嫌疑人入区时采集人脸及其他结构化数据，以此作为嫌疑人身份标识，人体结构化摄像机无死角覆盖，可无感、实时地采集嫌疑人结构化信息，采集到的信息精准匹配识别嫌疑人身份，实现目标人物的实时定位、视频接力和全流程轨迹跟踪。</w:t>
            </w:r>
            <w:r/>
          </w:p>
        </w:tc>
      </w:tr>
      <w:tr>
        <w:trPr>
          <w:trHeight w:val="540"/>
        </w:trPr>
        <w:tc>
          <w:tcPr>
            <w:tcW w:w="374" w:type="pct"/>
            <w:vMerge w:val="continue"/>
            <w:textDirection w:val="lrTb"/>
            <w:noWrap w:val="false"/>
          </w:tcPr>
          <w:p>
            <w:r/>
            <w:r/>
          </w:p>
        </w:tc>
        <w:tc>
          <w:tcPr>
            <w:tcW w:w="1010" w:type="pct"/>
            <w:vMerge w:val="continue"/>
            <w:textDirection w:val="lrTb"/>
            <w:noWrap w:val="false"/>
          </w:tcPr>
          <w:p>
            <w:r/>
            <w:r/>
          </w:p>
        </w:tc>
        <w:tc>
          <w:tcPr>
            <w:tcMar>
              <w:left w:w="108" w:type="dxa"/>
              <w:top w:w="0" w:type="dxa"/>
              <w:right w:w="108" w:type="dxa"/>
              <w:bottom w:w="0" w:type="dxa"/>
            </w:tcMar>
            <w:tcW w:w="1073" w:type="pct"/>
            <w:vAlign w:val="center"/>
            <w:textDirection w:val="lrTb"/>
            <w:noWrap w:val="false"/>
          </w:tcPr>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hint="eastAsia"/>
              </w:rPr>
              <w:t xml:space="preserve">人体建模摄像机</w:t>
            </w:r>
            <w:r/>
          </w:p>
        </w:tc>
        <w:tc>
          <w:tcPr>
            <w:tcW w:w="2541" w:type="pct"/>
            <w:vMerge w:val="continue"/>
            <w:textDirection w:val="lrTb"/>
            <w:noWrap w:val="false"/>
          </w:tcPr>
          <w:p>
            <w:r/>
            <w:r/>
          </w:p>
        </w:tc>
      </w:tr>
      <w:tr>
        <w:trPr>
          <w:trHeight w:val="540"/>
        </w:trPr>
        <w:tc>
          <w:tcPr>
            <w:tcW w:w="374" w:type="pct"/>
            <w:vMerge w:val="continue"/>
            <w:textDirection w:val="lrTb"/>
            <w:noWrap w:val="false"/>
          </w:tcPr>
          <w:p>
            <w:r/>
            <w:r/>
          </w:p>
        </w:tc>
        <w:tc>
          <w:tcPr>
            <w:tcW w:w="1010" w:type="pct"/>
            <w:vMerge w:val="continue"/>
            <w:textDirection w:val="lrTb"/>
            <w:noWrap w:val="false"/>
          </w:tcPr>
          <w:p>
            <w:r/>
            <w:r/>
          </w:p>
        </w:tc>
        <w:tc>
          <w:tcPr>
            <w:tcMar>
              <w:left w:w="108" w:type="dxa"/>
              <w:top w:w="0" w:type="dxa"/>
              <w:right w:w="108" w:type="dxa"/>
              <w:bottom w:w="0" w:type="dxa"/>
            </w:tcMar>
            <w:tcW w:w="1073" w:type="pct"/>
            <w:vAlign w:val="center"/>
            <w:textDirection w:val="lrTb"/>
            <w:noWrap w:val="false"/>
          </w:tcPr>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hint="eastAsia"/>
              </w:rPr>
              <w:t xml:space="preserve">超融合算法分析主机</w:t>
            </w:r>
            <w:r/>
          </w:p>
        </w:tc>
        <w:tc>
          <w:tcPr>
            <w:tcW w:w="2541" w:type="pct"/>
            <w:vMerge w:val="continue"/>
            <w:textDirection w:val="lrTb"/>
            <w:noWrap w:val="false"/>
          </w:tcPr>
          <w:p>
            <w:r/>
            <w:r/>
          </w:p>
        </w:tc>
      </w:tr>
      <w:tr>
        <w:trPr>
          <w:trHeight w:val="180"/>
        </w:trPr>
        <w:tc>
          <w:tcPr>
            <w:tcW w:w="374" w:type="pct"/>
            <w:vMerge w:val="continue"/>
            <w:textDirection w:val="lrTb"/>
            <w:noWrap w:val="false"/>
          </w:tcPr>
          <w:p>
            <w:r/>
            <w:r/>
          </w:p>
        </w:tc>
        <w:tc>
          <w:tcPr>
            <w:tcW w:w="1010" w:type="pct"/>
            <w:vMerge w:val="continue"/>
            <w:textDirection w:val="lrTb"/>
            <w:noWrap w:val="false"/>
          </w:tcPr>
          <w:p>
            <w:r/>
            <w:r/>
          </w:p>
        </w:tc>
        <w:tc>
          <w:tcPr>
            <w:tcMar>
              <w:left w:w="108" w:type="dxa"/>
              <w:top w:w="0" w:type="dxa"/>
              <w:right w:w="108" w:type="dxa"/>
              <w:bottom w:w="0" w:type="dxa"/>
            </w:tcMar>
            <w:tcW w:w="1073" w:type="pct"/>
            <w:vAlign w:val="center"/>
            <w:textDirection w:val="lrTb"/>
            <w:noWrap w:val="false"/>
          </w:tcPr>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公安专用审讯主机</w:t>
            </w:r>
            <w:r/>
          </w:p>
        </w:tc>
        <w:tc>
          <w:tcPr>
            <w:tcW w:w="2541" w:type="pct"/>
            <w:vMerge w:val="continue"/>
            <w:textDirection w:val="lrTb"/>
            <w:noWrap w:val="false"/>
          </w:tcPr>
          <w:p>
            <w:r/>
            <w:r/>
          </w:p>
        </w:tc>
      </w:tr>
      <w:tr>
        <w:trPr>
          <w:trHeight w:val="180"/>
        </w:trPr>
        <w:tc>
          <w:tcPr>
            <w:tcW w:w="374" w:type="pct"/>
            <w:vMerge w:val="continue"/>
            <w:textDirection w:val="lrTb"/>
            <w:noWrap w:val="false"/>
          </w:tcPr>
          <w:p>
            <w:r/>
            <w:r/>
          </w:p>
        </w:tc>
        <w:tc>
          <w:tcPr>
            <w:tcW w:w="1010" w:type="pct"/>
            <w:vMerge w:val="continue"/>
            <w:textDirection w:val="lrTb"/>
            <w:noWrap w:val="false"/>
          </w:tcPr>
          <w:p>
            <w:r/>
            <w:r/>
          </w:p>
        </w:tc>
        <w:tc>
          <w:tcPr>
            <w:tcMar>
              <w:left w:w="108" w:type="dxa"/>
              <w:top w:w="0" w:type="dxa"/>
              <w:right w:w="108" w:type="dxa"/>
              <w:bottom w:w="0" w:type="dxa"/>
            </w:tcMar>
            <w:tcW w:w="1073" w:type="pct"/>
            <w:vAlign w:val="center"/>
            <w:textDirection w:val="lrTb"/>
            <w:noWrap w:val="false"/>
          </w:tcPr>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一案一打包</w:t>
            </w:r>
            <w:r/>
          </w:p>
        </w:tc>
        <w:tc>
          <w:tcPr>
            <w:tcW w:w="2541" w:type="pct"/>
            <w:vMerge w:val="continue"/>
            <w:textDirection w:val="lrTb"/>
            <w:noWrap w:val="false"/>
          </w:tcPr>
          <w:p>
            <w:r/>
            <w:r/>
          </w:p>
        </w:tc>
      </w:tr>
      <w:tr>
        <w:trPr>
          <w:trHeight w:val="180"/>
        </w:trPr>
        <w:tc>
          <w:tcPr>
            <w:tcW w:w="374" w:type="pct"/>
            <w:textDirection w:val="lrTb"/>
            <w:noWrap w:val="false"/>
          </w:tcPr>
          <w:p>
            <w:r/>
            <w:r/>
          </w:p>
        </w:tc>
        <w:tc>
          <w:tcPr>
            <w:tcW w:w="1010" w:type="pct"/>
            <w:textDirection w:val="lrTb"/>
            <w:noWrap w:val="false"/>
          </w:tcPr>
          <w:p>
            <w:pPr>
              <w:ind w:left="0" w:right="0" w:firstLine="0"/>
              <w:jc w:val="center"/>
              <w:spacing w:before="0" w:after="0" w:line="46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计算机网络系统</w:t>
            </w:r>
            <w:r/>
          </w:p>
        </w:tc>
        <w:tc>
          <w:tcPr>
            <w:tcMar>
              <w:left w:w="108" w:type="dxa"/>
              <w:top w:w="0" w:type="dxa"/>
              <w:right w:w="108" w:type="dxa"/>
              <w:bottom w:w="0" w:type="dxa"/>
            </w:tcMar>
            <w:tcW w:w="1073" w:type="pct"/>
            <w:vAlign w:val="center"/>
            <w:textDirection w:val="lrTb"/>
            <w:noWrap w:val="false"/>
          </w:tcPr>
          <w:p>
            <w:pPr>
              <w:ind w:left="0" w:right="0" w:firstLine="0"/>
              <w:jc w:val="center"/>
              <w:spacing w:before="0" w:after="0" w:line="460" w:lineRule="atLeast"/>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所有交换机设备</w:t>
            </w:r>
            <w:r/>
          </w:p>
        </w:tc>
        <w:tc>
          <w:tcPr>
            <w:tcW w:w="2541" w:type="pct"/>
            <w:textDirection w:val="lrTb"/>
            <w:noWrap w:val="false"/>
          </w:tcPr>
          <w:p>
            <w:pPr>
              <w:ind w:left="0" w:right="0" w:firstLine="0"/>
              <w:jc w:val="center"/>
              <w:spacing w:before="0" w:after="0" w:line="4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需功能无缝对接仪征市公安局现有网管系统</w:t>
            </w:r>
            <w:r/>
          </w:p>
        </w:tc>
      </w:tr>
    </w:tbl>
    <w:p>
      <w:pPr>
        <w:ind w:firstLine="241"/>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、售后服务和人员培训</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（一）售后服务</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1、项目建成后主要由中标人负责管理和维护，项目终验后，中标人需提供整体系统三年保修服务，费用包含在投标总价中。三年以后终身提供服务，只收取材料成本费。</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维护机制：本项目要求中标人自项目验收之日起，提供3年维护，中标人须派专业维护技术人员提供系统运行维护并伴随保修。系统各软、硬件设备因设计或质量问题出现故障或是损坏，均由中标人负责维修和更换；提供系统扩充、升级方面的技术支持服务。</w:t>
      </w:r>
      <w:r/>
    </w:p>
    <w:p>
      <w:pPr>
        <w:ind w:firstLine="480"/>
        <w:pageBreakBefore w:val="0"/>
        <w:spacing w:line="360" w:lineRule="auto"/>
        <w:widowControl w:val="off"/>
        <w:rPr>
          <w:sz w:val="24"/>
          <w:szCs w:val="24"/>
        </w:rPr>
      </w:pPr>
      <w:r>
        <w:rPr>
          <w:rFonts w:ascii="宋体" w:hAnsi="宋体" w:eastAsia="宋体" w:cs="宋体"/>
          <w:color w:val="000000"/>
          <w:sz w:val="24"/>
          <w:szCs w:val="24"/>
        </w:rPr>
        <w:t xml:space="preserve">3、</w:t>
      </w:r>
      <w:r>
        <w:rPr>
          <w:rFonts w:hint="eastAsia" w:ascii="宋体" w:hAnsi="宋体" w:eastAsia="宋体" w:cs="宋体"/>
          <w:b/>
          <w:bCs/>
          <w:i/>
          <w:color w:val="000000"/>
          <w:sz w:val="24"/>
          <w:szCs w:val="24"/>
          <w:u w:val="single"/>
          <w:lang w:val="en-US" w:eastAsia="zh-CN"/>
        </w:rPr>
        <w:t xml:space="preserve">投标人</w:t>
      </w:r>
      <w:r>
        <w:rPr>
          <w:rFonts w:ascii="宋体" w:hAnsi="宋体" w:eastAsia="宋体" w:cs="宋体"/>
          <w:b/>
          <w:bCs/>
          <w:i/>
          <w:color w:val="000000"/>
          <w:sz w:val="24"/>
          <w:szCs w:val="24"/>
          <w:u w:val="single"/>
        </w:rPr>
        <w:t xml:space="preserve">能确保2小时内到场，配合解决运行中的各种问题。投标人应提供售后服务承诺书，且承诺内容满足上述要求，否则视为无效投标。</w:t>
      </w:r>
      <w:r>
        <w:rPr>
          <w:rFonts w:hint="eastAsia" w:eastAsia="宋体" w:cs="Times New Roman"/>
          <w:b/>
          <w:bCs w:val="0"/>
          <w:i/>
          <w:iCs w:val="0"/>
          <w:sz w:val="24"/>
          <w:szCs w:val="24"/>
          <w:u w:val="single"/>
          <w:lang w:val="en-US" w:eastAsia="zh-CN"/>
        </w:rPr>
        <w:t xml:space="preserve">（提供承诺函，扫描上传，格式自拟）</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（二）人员培训</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1、培训要求：</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（1）对采购人的技术人员进行系统的使用、维护和保养培训，所有培训以中文进行。该培训应教会学员在日常和紧急情况下如何操作系统。</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在系统完工测试之前为采购人技术人员进行现场培训，该培训包括正常操作程序和怎样处理紧急情况。在培训工作开始前向采购人提供所有中文培训资料，包括中文操作、维修手册，要求受训人员能够了解系统及设备的基本结构、工作原理及操作程序，能进行实际操作和日常维护、排除一般故障。</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2、培训事项中标人根据合同清单提供详细的产品说明书，系统使用说明书和系统维护说明书。</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培训需求应对一般操作人员的培训、项目技术人员的培训及管理人员的培训分别进行阐述。运行维护技术人员经过培训应能进行日常设备运行维护工作，掌握软件、硬件的操作，熟悉硬件基本功能。能熟练地分析软件、硬件信息等工作，并能有效地组织、开展业务应用能力。高级项目技术人员培训后，能够处理一般维护人员不能处理的技术问题。管理人员经培训后，应能负责全面的技术管理工作，了解系统建设的过程，系统功能及未来建设的规划。</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（2）培训课程包括理论课/实践课，主要内容包括：系统的基本工作原理、系统的设备安装情况、系统的操作和管理、系统的维修和保养、设备实物、系统图纸的查阅、系统的故障诊断等。</w:t>
      </w:r>
      <w:r/>
    </w:p>
    <w:p>
      <w:pPr>
        <w:ind w:firstLine="241"/>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商务要求</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完成仪征市公安局执法办案管理中心智能化改造任务，确保满足</w:t>
      </w:r>
      <w:r>
        <w:rPr>
          <w:rFonts w:hint="eastAsia" w:ascii="宋体" w:hAnsi="宋体" w:eastAsia="宋体" w:cs="宋体"/>
          <w:sz w:val="24"/>
          <w:szCs w:val="24"/>
          <w:highlight w:val="none"/>
          <w:lang w:val="en-US" w:eastAsia="zh-CN"/>
        </w:rPr>
        <w:t xml:space="preserve">采购</w:t>
      </w:r>
      <w:r>
        <w:rPr>
          <w:rFonts w:hint="default" w:ascii="宋体" w:hAnsi="宋体" w:eastAsia="宋体" w:cs="宋体"/>
          <w:sz w:val="24"/>
          <w:szCs w:val="24"/>
          <w:highlight w:val="none"/>
          <w:lang w:val="en-US" w:eastAsia="zh-CN"/>
        </w:rPr>
        <w:t xml:space="preserve">文件的要求和采购人的实际使用需求，保障正常稳定运行</w:t>
      </w:r>
      <w:r>
        <w:rPr>
          <w:rFonts w:hint="eastAsia" w:ascii="宋体" w:hAnsi="宋体" w:eastAsia="宋体" w:cs="宋体"/>
          <w:sz w:val="24"/>
          <w:szCs w:val="24"/>
          <w:highlight w:val="none"/>
          <w:lang w:val="en-US" w:eastAsia="zh-CN"/>
        </w:rPr>
        <w:t xml:space="preserve">。</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bookmarkStart w:id="59" w:name="_Toc184145593"/>
      <w:r>
        <w:rPr>
          <w:rFonts w:hint="eastAsia" w:ascii="宋体" w:hAnsi="宋体" w:eastAsia="宋体" w:cs="宋体"/>
          <w:sz w:val="24"/>
          <w:szCs w:val="24"/>
          <w:highlight w:val="none"/>
          <w:lang w:val="en-US" w:eastAsia="zh-CN"/>
        </w:rPr>
        <w:t xml:space="preserve">1、合同</w:t>
      </w:r>
      <w:bookmarkStart w:id="60" w:name="履行期限"/>
      <w:r>
        <w:rPr>
          <w:rFonts w:hint="eastAsia" w:ascii="宋体" w:hAnsi="宋体" w:eastAsia="宋体" w:cs="宋体"/>
          <w:sz w:val="24"/>
          <w:szCs w:val="24"/>
          <w:highlight w:val="none"/>
          <w:lang w:val="en-US" w:eastAsia="zh-CN"/>
        </w:rPr>
        <w:t xml:space="preserve">履行期限</w:t>
      </w:r>
      <w:bookmarkEnd w:id="59"/>
      <w:r/>
      <w:bookmarkEnd w:id="60"/>
      <w:r>
        <w:rPr>
          <w:rFonts w:hint="eastAsia" w:ascii="宋体" w:hAnsi="宋体" w:eastAsia="宋体" w:cs="宋体"/>
          <w:sz w:val="24"/>
          <w:szCs w:val="24"/>
          <w:highlight w:val="none"/>
          <w:lang w:val="en-US" w:eastAsia="zh-CN"/>
        </w:rPr>
        <w:t xml:space="preserve">：合同签订后90日历天内安装调试完毕，确保正常稳定运行，满足采购人的使用需求。 </w:t>
      </w:r>
      <w:r/>
    </w:p>
    <w:p>
      <w:pPr>
        <w:ind w:firstLine="24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2、质量要求：产品及安装质量应符合各项技术标准和国家强制性标准，确保正常稳定运行，并满足采购人的使用需求。</w:t>
      </w:r>
      <w:r/>
    </w:p>
    <w:p>
      <w:pPr>
        <w:pStyle w:val="921"/>
        <w:numPr>
          <w:ilvl w:val="4"/>
          <w:numId w:val="0"/>
        </w:numPr>
        <w:ind w:firstLine="24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3、报价要求</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（1）投标人应按照采购文件格式完整地填写报价表。</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（2）每项清单只允许有一个报价，任何有选择的报价将不予接受。</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投标人须对覆盖区域进行全面的现场勘测，结合现场情况综合报价，中标后不得因踏勘不全增加任何费用。投标报价除标的物的价款外还应包含完成本项目所确定的全部内容中所必须的生产、运输、售后服务、配件、耗材及材料费、人工费、维护费、试验费、安全措施费、与采购人及相关部门现有系统的接口、对接等费用、食宿、车旅费、社会保险、公积金、不可预见性风险费、直接成本、间接成本、风险、税金、规费、合理利润等有可能发生的全部费用。投标报价应包括招标文件所确定的招标范围内所必须的全部费用，招标人不再另行支付其他费用。</w:t>
      </w:r>
      <w:r/>
    </w:p>
    <w:p>
      <w:pPr>
        <w:numPr>
          <w:ilvl w:val="0"/>
          <w:numId w:val="0"/>
        </w:numPr>
        <w:ind w:firstLine="24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br w:type="page" w:clear="all"/>
      </w:r>
      <w:r/>
    </w:p>
    <w:p>
      <w:pPr>
        <w:numPr>
          <w:ilvl w:val="0"/>
          <w:numId w:val="0"/>
        </w:numPr>
        <w:ind w:firstLine="241"/>
        <w:pageBreakBefore w:val="0"/>
        <w:spacing w:line="360" w:lineRule="auto"/>
        <w:widowControl w:val="off"/>
        <w:rPr>
          <w:rFonts w:hint="eastAsia"/>
          <w:b/>
          <w:bCs/>
          <w:lang w:val="en-US" w:eastAsia="zh-CN"/>
        </w:rPr>
      </w:pPr>
      <w:r>
        <w:rPr>
          <w:rFonts w:hint="eastAsia" w:ascii="宋体" w:hAnsi="宋体" w:cs="宋体"/>
          <w:b/>
          <w:bCs/>
          <w:sz w:val="24"/>
          <w:szCs w:val="24"/>
          <w:highlight w:val="none"/>
          <w:lang w:val="en-US" w:eastAsia="zh-CN"/>
        </w:rPr>
        <w:t xml:space="preserve">七、采购清单和技术标准要求</w:t>
      </w:r>
      <w:r/>
    </w:p>
    <w:tbl>
      <w:tblPr>
        <w:tblStyle w:val="92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9"/>
        <w:gridCol w:w="1139"/>
        <w:gridCol w:w="4725"/>
        <w:gridCol w:w="716"/>
        <w:gridCol w:w="417"/>
        <w:gridCol w:w="1465"/>
      </w:tblGrid>
      <w:tr>
        <w:trPr>
          <w:trHeight w:val="500"/>
        </w:trPr>
        <w:tc>
          <w:tcPr>
            <w:shd w:val="clear" w:color="auto" w:fill="ddebf7"/>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ddebf7"/>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ddebf7"/>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ddebf7"/>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ddebf7"/>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ddebf7"/>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用途</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执法办案中心</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登记大厅（登记大厅）</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实现对嫌疑人进入执法办案区到离开执法办案区全过程音频清晰拾取</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智能核验终端</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1、系统内存不低于2GB；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2、触控屏尺寸不低于10.1英寸，分辨率不低于1280x800，支持5点触控，屏幕亮度可调；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3、内置双目摄像机不低于300万像素；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4、支持人脸活体检测功能；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5、支持拍摄人脸照片并进行人证比对；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6、支持人脸识别功能，支持智能逆光补偿，增强人脸轮廓边缘，通过程序自动化采集人脸照片；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7、内置公安部最新推出居民身份证阅读器，自动读取居民身份证芯片中的文字、人脸等特征信息；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★8、支持防掉电数据安全保护，在完全掉电的情况下，数据不丢失；</w:t>
            </w:r>
            <w:r>
              <w:rPr>
                <w:rFonts w:hint="eastAsia" w:ascii="宋体" w:hAnsi="宋体" w:eastAsia="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★9、支持将获取的身份证号码、人员照片等信息自动录入公安执法办案管理平台。</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高清摄像头、身份证识别仪、人脸识别系统、身份证核验系统接入等采集人像信息、身份证信息，并调用人脸识别系统、身份证核验系统比对，确保人证一致</w:t>
            </w:r>
            <w:r/>
          </w:p>
        </w:tc>
      </w:tr>
      <w:tr>
        <w:trPr>
          <w:trHeight w:val="545"/>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85寸</w:t>
            </w:r>
            <w:r>
              <w:rPr>
                <w:rFonts w:hint="eastAsia" w:ascii="宋体" w:hAnsi="宋体" w:cs="宋体"/>
                <w:i w:val="0"/>
                <w:iCs w:val="0"/>
                <w:color w:val="000000"/>
                <w:sz w:val="20"/>
                <w:szCs w:val="20"/>
                <w:u w:val="none"/>
                <w:lang w:val="en-US" w:eastAsia="zh-CN" w:bidi="ar"/>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1、尺寸：不低于85寸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3、分辨率：不低于3840×2160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4、刷新率：不低于60Hz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5、视角：不低于178°/178°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6、标配喇叭，具有HDMI+DP双接口，丰富连接性和兼容性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显示在区、入区人员状况</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高拍仪</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1、小巧便携，产品可折叠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2、最大拍摄A4幅面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3、高清晰定焦镜头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4、标配LED三级调光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5、标配纸张定位软垫</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用于前台登记文书等材料扫描上传</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解码一体机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1、接口不少于：2路HDMI输入+6路HDMI输出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2、支持4K高分辨率输入输出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3、应支持 H.265、H.264（Baseline/Main/High Profile)、MPEG4视频解码。应支持G.711A、G.711U、AAC、ADPCM音频解码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4、最大应支持整机解码通道数不少于96路，应支持不小于6路12MP、12路8MP、18路5MP、24路4MP、48路1080P、96路720P、144路960H视频解码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5、能设置不少于16个系统预案，并支持快速调取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6、应支持拼接LED拼接屏；应支持拼接、开窗、叠加、漫游、跨屏等功能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7、支持不少于6块屏拼接、开窗、叠加、漫游、跨屏等功能</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解码监控、电脑图片上大屏</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全光盘自动刻录机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1、支持CD/DVD/BD多种规格光盘刻录与读取，集网络自动刻录、自动打印一体；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2、支持不小于5寸触控屏，可视化操作界面，支持国产化客户端操作；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3、支持智能机械臂，可实现在打印期间自动从盘仓取盘、送盘操作，无需值守；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4、生产速度（刻录＋打印）：CD不小于30张/小时、DVD不小于15张/小时、BD不小于8张/小时；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5、支持2个刻录机；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6、支持定制盘面：内容标题、背景图、文字、日期、二维码、自定义图片等；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7、支持光盘格式：CD-R、 CD-RW 、DVD±R、DVD+R DL、BD-R、BD-R DL、BD-R TL、BD-R QL；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8、支持定时刻录，可设置任务时间，进行单次、每天、每周、每月和每年刻录任务；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9、支持多任务刻录，实现多任务批量队列刻录打印；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10、支持光盘回读，并支持保存为文件或ISO格式</w:t>
            </w:r>
            <w:r>
              <w:rPr>
                <w:rFonts w:hint="eastAsia" w:ascii="宋体" w:hAnsi="宋体" w:cs="宋体"/>
                <w:i w:val="0"/>
                <w:iCs w:val="0"/>
                <w:color w:val="000000"/>
                <w:sz w:val="20"/>
                <w:szCs w:val="20"/>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用于刻录讯（询）问同步录音录像视频及指定嫌疑人的全程视频轨迹信息和盘面</w:t>
            </w:r>
            <w:r/>
          </w:p>
        </w:tc>
      </w:tr>
      <w:tr>
        <w:trPr>
          <w:trHeight w:val="1655"/>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加密录像指纹签章一体机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1、应具备指纹采集、电子签名功能，并实现电子签名、电子指纹采集过程同步录音录像，实现证据链的不间断和可追溯性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2、显示屏不小于 10 寸 ，分辨率不低于1280x800，无故障点击次数不低于 100 万次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3、标配人像鱼眼摄像机，并支持畸变矫正、3D降噪、颜色矫正、亮度矫正等功能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4、指纹仪认假率&lt;0.0001%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5、内置安卓系统，支持原笔迹签名、信息交互、录音录像等应用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6、应内置国密芯片，能对整机的用户静态数据进行加密处理，保障用户的静态数据安全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7、传输数据应采用加密+签名的手段，保证数据传输过程的保密性和防篡改，保障数据传输安全</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出区用于现嫌疑人、民警结果进行确认</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三合一功能区（人身检查室+随身物品+信息采集）</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实现对嫌疑人进入执法办案区到离开执法办案区全过程音频清晰拾取</w:t>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手持金属探测器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9"/>
                <w:lang w:val="en-US" w:eastAsia="zh-CN" w:bidi="ar"/>
              </w:rPr>
              <w:t xml:space="preserve">安检门、金属探测仪</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安检门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265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安全检查终端</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1、具有多点触控电容屏，显示屏尺寸应不小于5英寸，屏幕分辨率不低于：1280x720；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2、后置800万像素摄像头，具有闪光灯、自动对焦功能；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3、具有不低于64位四核CPU，主频不低于1.3GHz，内存支持不低于RAM（2GB）和ROM（16GB）；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★4、嫌疑人入区后，终端可接收到平台下发的人脸信息；嫌疑人出区后，终端可清除已下发的人脸信息；支持联网时，终端可自动更新人脸信息；</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★5、支持通过人脸识别关联嫌疑人信息；支持 1：N 人脸识别比对功能；人脸库支持存放≥10000张人脸照片；</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★6、支持对嫌疑人身体痕迹部位进行标记拍照，同一点位最多支持拍摄 3 张；支持终端离线操作；支持签字确认等。</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用于对涉案人员体表伤情拍摄记录，形成检查表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验钞机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1、计数显示屏：有；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2、点钞速度：≥900张/分钟。</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用于嫌疑人物品暂存，现金清点</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高拍仪</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1、小巧便携，产品可折叠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2、最大拍摄A4幅面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3、高清晰定焦镜头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4、标配LED三级调光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5、标配纸张定位软垫</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用于嫌疑人物品扫描上传</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1、额定工作电压(V/DC) 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2、工作电压范围(V) 9-15V；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3、工作电流范围(mA) ≤300；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4、工作温度(℃) ﹣20~﹢60℃；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5、声压(dB) ≥105dB/m；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6、连续工作时间 ≥45min 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随身物品抓拍</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1、不低于500万像素CMOS传感器，变焦范围 2.8-17mm；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2、接口要求不少于：1个音频输入接口、1个音频输出接口、1个RS485接口、2路报警输入接口，1路报警输出接口、1个TF卡槽、1个复位按钮、内置MIC；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 H.265、H.264（MP/HP/BP）、M-JPEG等视频编码标准和 AAC、G.711A、G.711U、 ADPCM 等音频编码标准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4、TF 卡最大支持 256G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5、分辨率不低于 3072×1728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6、最低照度彩色不高于0.002lx（@F1.4，彩色模式）；黑白不高于 0.001lx（@F1.6，黑白模式）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7、亮度等级不低于11级，支持不低于30米红外距离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8、信噪比不低于60dB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9、水平旋转范围不低于350°,垂直旋转范围不低于0°~90°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10、支持音频异常侦测、视频丢失报警、磁盘满、IP 地址冲突、FTP 服务器异常报警功能；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★11、支持绊线、双绊线、周界、物品遗留、物品丢失、徘徊、奔跑、人数统计、人群聚集、值岗检测等智能算法</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★12、摄像机检测到警戒区域有人员出现时，自动抓拍、录像，并进行语音警示；</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用于对涉案人员随身物品拍摄记录，形成检查表</w:t>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智能双面随身物品柜</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柜子具备管理终端，支持刷卡、人脸识别登录客户端，可以通过管理终端查看柜子状态、存放信息及控制开柜等功能。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1、双面柜主柜由柜体、触摸显示屏、主机、摄像头、指纹仪、电控锁和电气控制箱组合而成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2、板材采用优质镀锌板、厚度不小于0.8mm，经酸洗磷化后静电喷塑，确保长期使用不易生锈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3、门锁采用电控锁，用于控制箱门的自动打开，锁具安装在柜内，具有防盗防撬功能，同时具有机械应急开锁功能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4、主柜每面不少于12个箱门，正反面箱门相同，柜子整体尺寸不小于(mm)：W1000*D400*H1900，箱门分为大、中、小三种，适合不同大小物品存放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5、触摸显示屏不小于15寸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6、支持人脸识别登录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7、支持双目摄像头，像素均不低于200万，支持人脸活体检测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8、支持电子签名和指纹捺印功能</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、采用主副机组合的方式；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、从柜由柜体、电控锁和主控电器三大部分组合而成；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、板材采用优质镀锌板，厚度不小于0.8mm，冷加工成型，经酸洗磷化后静电喷塑，确保长期使用不易生锈；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、门锁采用电控锁，用于控制箱门的自动打开，同时具有机械应急开锁功能；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、从柜由嵌入式智能管理系统控制、配合主柜可实现对嫌疑人随身物品物品的智能管理；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、从柜每面不少于16个箱门，正反面箱门相同；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、柜子整体尺寸不小于(mm)：W1000*D400*H1900；</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lang w:val="en-US" w:eastAsia="zh-CN" w:bidi="ar"/>
              </w:rPr>
              <w:t xml:space="preserve">、箱门分为大、中、小三种，适合不同大小物品存放。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实现对随身物品登记信息进行管理记录，通过人脸、指纹等实现自存自取，实现一面存取，另一面取物，不走回头路。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人体伤痕抓拍</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1、不低于 500 万像素 CMOS 传感器，变焦范围 2.8-17mm；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2、接口要求不少于：1个音频输入接口、1个音频输出接口、1个RS485接口、2路报警输入接口，1路报警输出接口、1个TF卡槽、1个复位按钮、内置MIC；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 H.265、H.264（MP/HP/BP）、M-JPEG等视频编码标准和AAC、G.711A、G.711U、ADPCM等音频编码标准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4、TF 卡最大支持256G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5、分辨率不低于3072×1728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6、最低照度彩色不高于 0.002lx（@F1.4，彩色模式）；黑白不高于0.001lx（@F1.6，黑白模式）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7、亮度等级不低于11级，支持不低于30米红外距离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8、信噪比不低于 60dB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9、水平旋转范围不低于350°,垂直旋转范围不低于0°~90°;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10、支持音频异常侦测、视频丢失报警、磁盘满、IP 地址冲突、FTP 服务器异常报警功能；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★11、支持绊线、双绊线、周界、物品遗留、物品丢失、徘徊、奔跑、人数统计、人群聚集、值岗检测等智能算法</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★12、摄像机检测到警戒区域有人员出现时，自动抓拍、录像，并进行语音警示；</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用于对涉案人员体表伤情拍摄记录，形成检查表</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加密录像指纹签章一体机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1、应具备指纹采集、电子签名功能，并实现电子签名、电子指纹采集过程同步录音录像，实现证据链的不间断和可追溯性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2、显示屏不小于 10 寸 ，分辨率不低于1280x800，无故障点击次数不低于 100 万次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3、标配人像鱼眼摄像机，并支持畸变矫正、3D 降噪、颜色矫正、亮度矫正等功能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4、指纹仪认假率&lt;0.0001%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5、内置安卓系统，支持原笔迹签名、信息交互、录音录像等应用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6、应内置国密芯片，能对整机的用户静态数据进行加密处理，保障用户的静态数据安全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7、传输数据应采用加密+签名的手段，保证数据传输过程的保密性和防篡改，保障数据传输安全</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用于对人身安全检查结果进行确认</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尿检、卫生间</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实现对嫌疑人进入执法办案区到离开执法办案区全过程音频清晰拾取</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手动报警按钮</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1、额定工作电压(V/DC) 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2、工作电压范围(V) 9-15V；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3、工作电流范围(mA) ≤300；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4、工作温度(℃) ﹣20~﹢60℃；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5、声压(dB) ≥105dB/m；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6、连续工作时间 ≥45min 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冷藏柜</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1、500L以上。</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储存检测试剂设备</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候问室（单间+多间）、候问管理</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实现对嫌疑人进入执法办案区到离开执法办案区全过程音频清晰拾取</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全景温湿度显示屏</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4095"/>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IP对讲主机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pStyle w:val="921"/>
              <w:numPr>
                <w:ilvl w:val="4"/>
                <w:numId w:val="0"/>
              </w:numPr>
              <w:rPr>
                <w:rFonts w:hint="eastAsia"/>
              </w:rPr>
            </w:pPr>
            <w:r>
              <w:rPr>
                <w:rFonts w:hint="eastAsia" w:ascii="宋体" w:hAnsi="宋体" w:eastAsia="宋体" w:cs="宋体"/>
                <w:i w:val="0"/>
                <w:iCs w:val="0"/>
                <w:color w:val="000000"/>
                <w:sz w:val="20"/>
                <w:szCs w:val="20"/>
                <w:u w:val="none"/>
                <w:lang w:val="en-US" w:eastAsia="zh-CN" w:bidi="ar"/>
              </w:rPr>
              <w:t xml:space="preserve">1. 一键呼叫：可一键快速呼叫系统内任一台管理机或并全双工可视对讲。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双工对讲：可与分机双工（单向）对讲；可与其他管理机双工可视（双向）对讲。对讲方式有免提、手柄、TALK键。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VOIP电话接入：支持标准SIP通讯协议，可与VOIP电话进行双向对讲。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管理机托管：可将本管理机管理的分机托管给其它的管理机管理。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呼叫上传：当分机呼叫超时无人应答时，可将呼叫信息上传到高级别管理机上。可设定不同时段的超时无应答上传时间。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状态提示：分机报警、对讲状态可用红、绿色提示，每路按键可添加备注信息。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通话转接：可将分机的通话转接到系统内的任意一台管理机上。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通话保持：可将通话保持（hold）后，再选择与其它呼入分机通话。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9.快切喊话：可对通话中的分机一键快速切换至全区喊话，结束后可恢复通话。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10.会议模式：与会议成员讲话，其他成员也能听到发言，实现多方通话功能。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11.喧哗报警：当分机端有喧哗时，可向管理机报警。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12.广播播放：可用MP3文件对所有分机进行全区、分区、定时广播、消防广播。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13.关机转移：当管理机处于关机或未连接时，可将分机的呼叫转移到其它管理机上。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14.报警联动：分机报警时，通过TCP连接与其它平台联动。如：开启监控摄像头。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15.语音播报：可语音播报呼叫的分机备注信息或分机号。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16.数据保密：对传输中的数据进行加密，以防止他人窃听利用，使通话更安全。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17.在线检测：可实时检测分机的在线状态，方便调试、检修和维护。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18.接口多样：有音频输入接口、485通讯接口、报警输出口。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19.有以太网口的地方即可接入，支持跨网段和跨路由。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20.支持WEB设置界面，支持远程操作升级。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21.内置SD卡，可将SD卡或点播的MP3文件作为音源广播给其他终端。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22.可管理</w:t>
            </w:r>
            <w:r>
              <w:rPr>
                <w:rFonts w:hint="eastAsia" w:ascii="宋体" w:hAnsi="宋体" w:cs="宋体"/>
                <w:i w:val="0"/>
                <w:iCs w:val="0"/>
                <w:color w:val="000000"/>
                <w:sz w:val="20"/>
                <w:szCs w:val="20"/>
                <w:u w:val="none"/>
                <w:lang w:val="en-US" w:eastAsia="zh-CN" w:bidi="ar"/>
              </w:rPr>
              <w:t xml:space="preserve">不少于</w:t>
            </w:r>
            <w:r>
              <w:rPr>
                <w:rFonts w:hint="eastAsia" w:ascii="宋体" w:hAnsi="宋体" w:eastAsia="宋体" w:cs="宋体"/>
                <w:i w:val="0"/>
                <w:iCs w:val="0"/>
                <w:color w:val="000000"/>
                <w:sz w:val="20"/>
                <w:szCs w:val="20"/>
                <w:u w:val="none"/>
                <w:lang w:val="en-US" w:eastAsia="zh-CN" w:bidi="ar"/>
              </w:rPr>
              <w:t xml:space="preserve">160路终端分机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 网络接口：RJ45接口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 电源：DC12V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 操作系统：Android4.4</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 显示屏：10.1寸TFT(触摸电容屏)</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 分辨率</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1024*600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 额定功耗</w:t>
            </w:r>
            <w:r>
              <w:rPr>
                <w:rFonts w:hint="eastAsia" w:ascii="宋体" w:hAnsi="宋体" w:cs="宋体"/>
                <w:i w:val="0"/>
                <w:iCs w:val="0"/>
                <w:color w:val="000000"/>
                <w:sz w:val="20"/>
                <w:szCs w:val="20"/>
                <w:u w:val="none"/>
                <w:lang w:val="en-US" w:eastAsia="zh-CN" w:bidi="ar"/>
              </w:rPr>
              <w:t xml:space="preserve">不大于</w:t>
            </w:r>
            <w:r>
              <w:rPr>
                <w:rFonts w:hint="eastAsia" w:ascii="宋体" w:hAnsi="宋体" w:eastAsia="宋体" w:cs="宋体"/>
                <w:i w:val="0"/>
                <w:iCs w:val="0"/>
                <w:color w:val="000000"/>
                <w:sz w:val="20"/>
                <w:szCs w:val="20"/>
                <w:u w:val="none"/>
                <w:lang w:val="en-US" w:eastAsia="zh-CN" w:bidi="ar"/>
              </w:rPr>
              <w:t xml:space="preserve">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 网络通信协议：TCP、UDP、RTP、ARP、IGMP、HTTP、SIP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 网络通信速率：100Mbps</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31.音频采样率：G.711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32.工作温度：-20℃～+55℃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33.工作湿度20%～93%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34.产品尺</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303*194*42.5mm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35.安装方式：桌面式</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IP网络对讲分机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1.采用铝合金面板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2.双工对讲：可与管理机双工可视对讲。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3.监听、监视：可接收管理机的监听、监视，可作监听头用。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4.广播播放：可通过网络接收管理机的MP3文件广播或喊话。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5.指令控制：可以接受第三方软件的控制指令，播放指定的音频文件。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6.VOIP电话接入：支持标准SIP通讯协议，可与VOIP电话进行双向对讲。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7.报警联动：报警呼叫时，通过TCP连接与其它平台联动。如：开启监控摄像头。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8.数据保密：对传输中的数据进行加密，以防止他人窃听利用，使通话更安全。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9.有以太网口的地方即可接入，支持跨网段和跨路由。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10.可向所属管理机呼叫报警，发起通话请求。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11.接口多样：1输入1输出。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12.可采取集中供电、POE供电等模式。支持WEB设置界面修改参数。支持在线升级。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13.支持网页在线抓包分析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14.可将通话记录信息上传给第三方平台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15.支持语音播报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16.支持设备的名称备注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17.工作电压：DC12V±10%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18.待机功耗</w:t>
            </w:r>
            <w:r>
              <w:rPr>
                <w:rFonts w:hint="eastAsia" w:ascii="宋体" w:hAnsi="宋体" w:cs="宋体"/>
                <w:i w:val="0"/>
                <w:iCs w:val="0"/>
                <w:color w:val="000000"/>
                <w:sz w:val="20"/>
                <w:szCs w:val="20"/>
                <w:u w:val="none"/>
                <w:lang w:val="en-US" w:eastAsia="zh-CN" w:bidi="ar"/>
              </w:rPr>
              <w:t xml:space="preserve">不大于</w:t>
            </w:r>
            <w:r>
              <w:rPr>
                <w:rFonts w:hint="eastAsia" w:ascii="宋体" w:hAnsi="宋体" w:eastAsia="宋体" w:cs="宋体"/>
                <w:i w:val="0"/>
                <w:iCs w:val="0"/>
                <w:color w:val="000000"/>
                <w:sz w:val="20"/>
                <w:szCs w:val="20"/>
                <w:u w:val="none"/>
                <w:lang w:val="en-US" w:eastAsia="zh-CN" w:bidi="ar"/>
              </w:rPr>
              <w:t xml:space="preserve">1.8W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19.额定功率</w:t>
            </w:r>
            <w:r>
              <w:rPr>
                <w:rFonts w:hint="eastAsia" w:ascii="宋体" w:hAnsi="宋体" w:cs="宋体"/>
                <w:i w:val="0"/>
                <w:iCs w:val="0"/>
                <w:color w:val="000000"/>
                <w:sz w:val="20"/>
                <w:szCs w:val="20"/>
                <w:u w:val="none"/>
                <w:lang w:val="en-US" w:eastAsia="zh-CN" w:bidi="ar"/>
              </w:rPr>
              <w:t xml:space="preserve">不大于</w:t>
            </w:r>
            <w:r>
              <w:rPr>
                <w:rFonts w:hint="eastAsia" w:ascii="宋体" w:hAnsi="宋体" w:eastAsia="宋体" w:cs="宋体"/>
                <w:i w:val="0"/>
                <w:iCs w:val="0"/>
                <w:color w:val="000000"/>
                <w:sz w:val="20"/>
                <w:szCs w:val="20"/>
                <w:u w:val="none"/>
                <w:lang w:val="en-US" w:eastAsia="zh-CN" w:bidi="ar"/>
              </w:rPr>
              <w:t xml:space="preserve">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20.音频信噪比</w:t>
            </w:r>
            <w:r>
              <w:rPr>
                <w:rFonts w:hint="eastAsia" w:ascii="宋体" w:hAnsi="宋体" w:cs="宋体"/>
                <w:i w:val="0"/>
                <w:iCs w:val="0"/>
                <w:color w:val="000000"/>
                <w:sz w:val="20"/>
                <w:szCs w:val="20"/>
                <w:u w:val="none"/>
                <w:lang w:val="en-US" w:eastAsia="zh-CN" w:bidi="ar"/>
              </w:rPr>
              <w:t xml:space="preserve">不大于</w:t>
            </w:r>
            <w:r>
              <w:rPr>
                <w:rFonts w:hint="eastAsia" w:ascii="宋体" w:hAnsi="宋体" w:eastAsia="宋体" w:cs="宋体"/>
                <w:i w:val="0"/>
                <w:iCs w:val="0"/>
                <w:color w:val="000000"/>
                <w:sz w:val="20"/>
                <w:szCs w:val="20"/>
                <w:u w:val="none"/>
                <w:lang w:val="en-US" w:eastAsia="zh-CN" w:bidi="ar"/>
              </w:rPr>
              <w:t xml:space="preserve">45dB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21.通话方式：双向通话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22.主芯片：CotexA7，工作频率1.2GHz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23.网络通信速率：100Mbps</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24.操作系统:Linux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25.通信协议: TCP、UDP、RTP、ARP、IGMP、HTTP、SIP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26.音频编解码:G.711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27.视频编解码:H.264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28.工作温度:-20～+70℃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29.成品尺寸</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86*86*44mm</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满足各功能室、点位紧急情况下向值班室或监控室提示需要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1、额定工作电压(V/DC) 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2、工作电压范围(V) 9-15V；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3、工作电流范围(mA) ≤300；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4、工作温度(℃) ﹣20~﹢60℃；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5、声压(dB) ≥105dB/m；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6、连续工作时间 ≥45min 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55寸</w:t>
            </w:r>
            <w:r>
              <w:rPr>
                <w:rFonts w:hint="eastAsia" w:ascii="宋体" w:hAnsi="宋体" w:cs="宋体"/>
                <w:i w:val="0"/>
                <w:iCs w:val="0"/>
                <w:color w:val="000000"/>
                <w:sz w:val="20"/>
                <w:szCs w:val="20"/>
                <w:u w:val="none"/>
                <w:lang w:val="en-US" w:eastAsia="zh-CN" w:bidi="ar"/>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55寸</w:t>
            </w:r>
            <w:r>
              <w:rPr>
                <w:rFonts w:hint="eastAsia" w:ascii="宋体" w:hAnsi="宋体" w:cs="宋体"/>
                <w:i w:val="0"/>
                <w:iCs w:val="0"/>
                <w:color w:val="000000"/>
                <w:sz w:val="20"/>
                <w:szCs w:val="20"/>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用于候问室嫌疑人状态巡查</w:t>
            </w:r>
            <w:r/>
          </w:p>
        </w:tc>
      </w:tr>
      <w:tr>
        <w:trPr>
          <w:trHeight w:val="151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人脸巡</w:t>
            </w:r>
            <w:r>
              <w:rPr>
                <w:rFonts w:hint="eastAsia" w:ascii="宋体" w:hAnsi="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1、采用不小于8英寸触摸屏；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2、采用不低于1/2.8 2MP CMOS高清宽动态双摄像头；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3、支持人脸、密码等多种识别方式，并支持多种组合识别鉴权方式；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4、支持CPU卡，用户容量5万个，人脸底库5万张，卡片容量10万张，密码容量5万个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5、支持活体检测功能，支持手机照片、打印照片和视频防假；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6、支持胁迫报警、 防拆报警、 闯入报警、 门超时报警、非法超次报警；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7、支持人脸验证准确率99.5%，1：N比对时间不高于0.2s/人；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8、支持本机WEB人员管理，支持人员新增、删除和修改；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9、支持本地考勤管理和考勤报表导出功能；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10、支持门铃功能、远程控制功能；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11、支持消防报警联动。</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管控看管人员</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讯（询）问室（17间）</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1、采用两只高保真预极化电容传声器，对前期音频无差别拾取；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2、内置可调电位器，音量调节最小可关闭（无声音输出）；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3、重点突出还原度，清晰度、声音高频不刺耳、中低频不含糊、清晰度高，声像定位准确；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4、高速DSP浮点运算，实时对拾取到的音频信号进行噪音滤除；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5、内置浪涌防护、电源极性反接保护和静电保护；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6、内置自主产权降噪算法、音频补偿算法，通过和原音信号的对比，在消除环境噪音的同时，尽最大程度还原拾取到的声音。</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实现对嫌疑人进入执法办案区到离开执法办案区全过程音频清晰拾取</w:t>
            </w:r>
            <w:r/>
          </w:p>
        </w:tc>
      </w:tr>
      <w:tr>
        <w:trPr>
          <w:trHeight w:val="115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公安专用审讯主机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★1、光驱模块化设计，不用拆机箱即可更换光驱</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 1 路本地示证、1 路远程示证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3、支持不少于 4 个前置硬盘插槽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采集讯问室实时音视频和环境信息，包括讯问民警人声、嫌疑人人声、其他环境声音、嫌疑人正面画面、室内全景画面、时间、温度、湿度等；采集的声音和图像应清晰无损坏，支持8路视频通道和3路合成通</w:t>
            </w:r>
            <w:r>
              <w:rPr>
                <w:rFonts w:hint="eastAsia" w:ascii="宋体" w:hAnsi="宋体" w:eastAsia="宋体" w:cs="宋体"/>
                <w:i w:val="0"/>
                <w:iCs w:val="0"/>
                <w:color w:val="000000"/>
                <w:sz w:val="21"/>
                <w:szCs w:val="21"/>
                <w:u w:val="none"/>
                <w:lang w:val="en-US" w:eastAsia="zh-CN" w:bidi="ar"/>
              </w:rPr>
              <w:t xml:space="preserve">道共11路通道的同时采集录像</w:t>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cs="宋体"/>
                <w:b/>
                <w:bCs/>
                <w:i w:val="0"/>
                <w:iCs w:val="0"/>
                <w:color w:val="000000"/>
                <w:sz w:val="21"/>
                <w:szCs w:val="21"/>
                <w:u w:val="none"/>
                <w:lang w:val="en-US" w:eastAsia="zh-CN" w:bidi="ar"/>
              </w:rPr>
              <w:t xml:space="preserve">提供有资质的第三方检测机构</w:t>
            </w:r>
            <w:r>
              <w:rPr>
                <w:rFonts w:hint="eastAsia" w:ascii="宋体" w:hAnsi="宋体" w:cs="宋体"/>
                <w:b/>
                <w:bCs/>
                <w:i w:val="0"/>
                <w:iCs w:val="0"/>
                <w:color w:val="000000"/>
                <w:sz w:val="20"/>
                <w:szCs w:val="20"/>
                <w:u w:val="none"/>
                <w:lang w:val="en-US" w:eastAsia="zh-CN" w:bidi="ar"/>
              </w:rPr>
              <w:t xml:space="preserve">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5、最大解码性能 6*4K 或者5*4K+3*1080P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 4 画面画中画叠加，叠加方式多样，小画面大小可手动调节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7、合成画面支持音频波形图显示，支持4K 合成画面独立编码，全数字化嵌入式架构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8、标配 7 寸电容触摸屏，最大支持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1080P 显示，可实时预览视频，硬盘录像回放及光盘录像回放，支持自动息屏和密码锁定功能，锁定后需输入用户密码方能进入预览界面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9、触摸屏可实时显示刻录和硬盘信息，可实时显示刻录剩余时间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★10、单张光盘刻录的音视频时长不低于4小时，且不影响刻录的音视频质量，讯问结束后刻录的时间不超过5分钟。支持通过硬盘音视频数据实现光盘更换自动回补刻录 ；</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11、UI和 IE 界面支持叠加用户名数字水印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★12、谈话音视频回放应保证画面清晰，声音无提前或滞后且不失真，支持通过国产化客户端电脑同步清晰回放谈话音视频，支持光盘一键回放，支持无声权限设置，可对无声权限的人员传输屏蔽音频的视频</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13、支持录像下载和刻录文件为标准 MP4格式，支持案件下载、刻录和事后上传录像是单一文件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14、支持无声权限设置，可对无声权限的人员传输屏蔽音频的视频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15、支持硬盘报警、网络报警UI 弹窗，支持显示硬盘剩余录像时间，支持随意配置刻录通道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16、支持 raid0、1、5、10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17、标配电源开关、录像、刻录、回放、消警等 5 个感应式触摸按键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18、支持视频画面叠加生命体征、温湿度、案卷片头等信息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19、支持对光盘进行加密，未通过验证不可进行擦写或拷贝操作，支持音频混音。可显示声音波形。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20、支持光盘刻录完毕自动校验，保证录像内容的完整性和准确性。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21、UI 支持双光盘回放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★22、支持视频画面质量检测，支持不少于场景变化、黑白异常、对比度异常、视频抖动、条纹干扰、人为干扰、亮度异常、视频模糊、噪声干扰、视频偏色、画面冻结、信号缺失等 12 种视频诊断算法。支持不少于 8 个数字和示证通道同步分析 ；</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23、具有案件信息管理功能，谈话前可录入相关信息，进行统一管理。事后可根据案件信息查询录像及光盘补刻，支持案件删除，案件加锁功能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★24、支持通过国产化客户端电脑同步清晰回放讯问音视频，在CPU为龙芯、飞腾、兆芯，操作系统为麒麟V10、龙芯、统信的客户端电脑上均能正常回放，同时支持光盘一键回放；</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用于讯（询）问过程同步录音录像、笔录、画面合成</w:t>
            </w:r>
            <w:r/>
          </w:p>
        </w:tc>
      </w:tr>
      <w:tr>
        <w:trPr>
          <w:trHeight w:val="88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公安专用审讯主机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利旧，更换加密光驱+质保</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75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IP可视对讲分机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12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IP可视对讲分机（内置耳机拔插自动切换模块）</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主要功能：对讲、接收主机监听监视、自动应答、广播、开关量信号输入输出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摄像头：200W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通话方式：免提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MIC类型：TRADIO全指向拾音器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MIC灵敏度:-42dB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MIC指向性:全指向性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最大输入声压SPL：80dB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扬声器频率响应:400Hz～5KHz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扬声器谐波失真:&lt;0.5%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扬声器信噪比:80dB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回声消除:先进的数字回声消除技术，可全面消除回声，防止啸叫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音频处理电路：ClearSpeech数字语音降噪处理（需提供相关证明材料）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音频编解码：G.711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视频压缩标准：H.264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额定功率：6W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安装模式：嵌入式\壁挂式安装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成品尺寸：95*190*34mm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录音录像：基于标准的ONVIF协议，可将自带内置摄像头和麦克所采集到的音视频，实时传输到网络硬盘录像机（NVR/HDVR）上进行存储、回放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符合标准：3C强制认证、电子兼容性检测报告（需提供相关证明材料）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内置耳机拔插自动切换模块，可实现拔插耳机自动切换耳机和喇叭扩声</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满足各功能室、点位紧急情况下向值班室或监控室提示需要</w:t>
            </w:r>
            <w:r/>
          </w:p>
        </w:tc>
      </w:tr>
      <w:tr>
        <w:trPr>
          <w:trHeight w:val="138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微表情摄像机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1、不低于500万像素CMOS传感器，变焦范围4.3-142mm。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2、球机支持不少于1对音频输入/输出接口、1个TF卡槽、1个复位按钮、内置MIC，支持3路报警输入，2路报警输出。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3、至少支持H.265、H.264（Main Profile，High Profile，Baseline Profile）、M-JPEG视频编码方式。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4、变焦不低于33倍。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5、球机（F=1.6）彩色模式所需最低照度不高于0.002 lx；黑白模式最低照度不高于0.001 lx。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6、支持水平360°旋转；垂直旋转范围可达到-30°~90°，水平手控最大速度不小于300°/s。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7、支持三码流同时输出，主码流最大支持不低于3072×1728@30fps。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8、可通过客户端或者IE对亮度、对比度、饱和度等进行调整。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★9、支持通过连接温湿度屏、温湿度传感器，将温湿度信息在视频上进行叠加；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10、具有白平衡、开启/关闭背光补偿、开启/关闭强光抑制、画面镜像及旋转功能。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11、可将视频图像及抓拍图片存储至TF卡或客户端；设备能够最大支持512GB内存卡；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★12、操作系统支持文件双重备份，当操作系统文件损坏或异常时，重启后仍可正常运行；</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★13、亮度鉴别等级不小于11级</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14、IP防护等级不低于IP50。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微表情4间</w:t>
            </w:r>
            <w:r/>
          </w:p>
        </w:tc>
      </w:tr>
      <w:tr>
        <w:trPr>
          <w:trHeight w:val="49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智能审讯桌（定制）</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讯一体桌是一款多功能审讯设备，可集成审讯过程中所用到的一系列外围设备，解决了审讯室因外设备较多造成的线路杂乱问题，减少安全隐患，支持播报执法对象权利义务告知，本地示证投屏、快速打印等功能，方便办案人快速办案，简化办案人员问讯繁杂操作，提升办案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两位办案人员同时开展工作，可集成国内主流品牌审讯终端、同步录音录像终端、打印刻录终端、实物展台等与开展讯（询）问工作相关的所有辅助设备设施，满足远程提讯或审讯工作功能要求，符合公安机关执法办案场所规范化建设标准。审讯台主要材质为钢制+抗倍特板材质，曲线设计，整体无尖锐棱角，无裸露线缆线束，桌沿采用弹性缓冲圆角防撞处理；桌面民警输入端配置万向LCD托臂式显示终端及有线键鼠， IPS全视角高清液晶屏；嵌入式安装43寸笔录显示及示证终端：D-LED屏幕比例16:9，最佳分辨率</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1920×1080，可视角度</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178 度（水平）/178 度（垂直），对比度1000:1；支持一键展示及关闭等功能，支持告知书宣读、笔录显示及证据展示等功能； 设备舱内置设备自然散热及线缆线束管理系统，专业线束线缆管理及防浪涌电源，以确保所有接入设备的正常运转。</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集成讯（询）问过程所用设备的多功能审讯设施</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智能审讯椅（定制）</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受讯椅由座椅框架、腿部约束舱、玻璃纤维防割腕带三部分</w:t>
            </w:r>
            <w:r>
              <w:rPr>
                <w:rFonts w:hint="eastAsia" w:ascii="宋体" w:hAnsi="宋体" w:eastAsia="宋体" w:cs="宋体"/>
                <w:i w:val="0"/>
                <w:iCs w:val="0"/>
                <w:color w:val="000000"/>
                <w:sz w:val="20"/>
                <w:szCs w:val="20"/>
                <w:u w:val="none"/>
                <w:lang w:val="en-US" w:eastAsia="zh-CN" w:bidi="ar"/>
              </w:rPr>
              <w:t xml:space="preserve">组成，主要材质为钢制+PU软包材质，软硬适中，机械力学原理，无需借助辅助工具或钥匙，无需通电，落座即锁定；后置解锁踏板轻踩即打开，并标配应急解锁功能，紧急情况下可一键快速解锁及复位；腿部约束舱在嫌疑人落座后无延时弹力触发锁定，且双脚可完全着地，并具有一定范围的活动空间；双手采用玻璃纤维防割腕带进行约束控制，且增加模压缓冲防撞装置，无需在胸腹部采取任何约束措施，也能对其上肢自动形成安全缓冲区，360度保证其始终都在一个安全可控的约束区域内，可有效避免嫌疑人在接受讯（询）问期间脱逃或产生过激行为伤及自身或他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能够全方位安全防范控制嫌疑人，保障审讯安全</w:t>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有线耳机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三段耳机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1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笔录签字板</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1.使用场景：应用于办案区内；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2.实现功能：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实现电子签名功能；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实现电子捺印功能；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控制数字签名板完成电子签名捺印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1.屏幕尺寸：≥10英寸；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2.显示屏：IPS LCD屏幕，显示区域不小于216*135mm；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3.分辨率：≥1280*800，屏幕颜色16.7M色；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4.触控：无源电磁笔，压感级别≥8192级；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5.电子签名：设备内置手写笔签字功能，支持获取签字轨迹；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6.指纹采集设备：公安部二代证标准，指纹图像不小于256*360；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7.摄像头：支持单目或双目摄像头，像素≥500万，支持人脸比对（双目支持活体检测）；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内置国密芯片：支持国密算法SM1，SM2、 SM3、SM4;支持1：1笔迹特征识别，支持原笔迹图片和数据防篡改鉴别。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9.支持图像加签验签技术，可以对签字图像指纹图像，进行原 RGB级别 SM3+SM2 加密封装，确保图像原始 RGB 不被篡改，并可 F5 隐写如 RGB中形成不可变水印，并且数据链条可加时间戳确保时间的可溯源性。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 可将采集的笔迹原始数据封装在指定格式的笔迹图片(BMP，JPEG，PNG)中，通过特殊算法可从原笔迹数据图片中，提取当次的原笔迹数据(X，Y，P)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 可将多页 PDF 按照指定规则进行摘选，也可将指定页面转换成图片保存</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用于对电子笔录进行签名、捺印确认。</w:t>
            </w:r>
            <w:r/>
          </w:p>
        </w:tc>
      </w:tr>
      <w:tr>
        <w:trPr>
          <w:trHeight w:val="116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笔录签字板</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用于对电子笔录进行签名、捺印确认</w:t>
            </w:r>
            <w:r/>
          </w:p>
        </w:tc>
      </w:tr>
      <w:tr>
        <w:trPr>
          <w:trHeight w:val="51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温湿度一体机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1、标准时钟温湿度屏设计，具有RS485接口；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2、静态数字显示，适于同步录音录像；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3、采用超高精度时钟，精度可达2PPM；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4、支持自动校准时钟，与摄像机、审讯主机时间同步；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5、温湿度和紧急情况报警设定及处理；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6、12V低压供电，标配电源适配器；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7、支持年月日、时间、星期、温度、湿度显示；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8、支持时间调节、显示屏开关；</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显示日期、温度、湿度等，</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智能交互电子门牌</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1、支持双行双色显示，第一行显示房间号，第二行显示房间状态；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2、第二行可以通过平台联动显示办案中、空闲中、预约中等；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3、每行最多可同时显示5个汉字，超过5字支持滚动显示；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4、采用网络控制协议，RJ45接口。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5、功率</w:t>
            </w:r>
            <w:r>
              <w:rPr>
                <w:rFonts w:hint="eastAsia" w:ascii="宋体" w:hAnsi="宋体" w:cs="宋体"/>
                <w:i w:val="0"/>
                <w:iCs w:val="0"/>
                <w:color w:val="000000"/>
                <w:sz w:val="20"/>
                <w:szCs w:val="20"/>
                <w:u w:val="none"/>
                <w:lang w:val="en-US" w:eastAsia="zh-CN" w:bidi="ar"/>
              </w:rPr>
              <w:t xml:space="preserve">不大于</w:t>
            </w:r>
            <w:r>
              <w:rPr>
                <w:rFonts w:hint="eastAsia" w:ascii="宋体" w:hAnsi="宋体" w:eastAsia="宋体" w:cs="宋体"/>
                <w:i w:val="0"/>
                <w:iCs w:val="0"/>
                <w:color w:val="000000"/>
                <w:sz w:val="20"/>
                <w:szCs w:val="20"/>
                <w:u w:val="none"/>
                <w:lang w:val="en-US" w:eastAsia="zh-CN" w:bidi="ar"/>
              </w:rPr>
              <w:t xml:space="preserve">20~30W；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6、参考尺寸</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长53cm，宽23cm，高 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7、背面孔间距</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用于显示办案区、功能室使用状态</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1、额定工作电压(V/DC) 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2、工作电压范围(V) 9-15V；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3、工作电流范围(mA) ≤300；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4、工作温度(℃) ﹣20~﹢60℃；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5、声压(dB) ≥105dB/m；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6、连续工作时间 ≥45min 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特殊讯（询）问室&amp;未成年询问室、未成年一站式取证、行政案件快办 5间</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4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超高保真拾音器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实现对嫌疑人进入执法办案区到离开执法办案区全过程音频清晰拾取</w:t>
            </w:r>
            <w:r/>
          </w:p>
        </w:tc>
      </w:tr>
      <w:tr>
        <w:trPr>
          <w:trHeight w:val="12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笔录签字板</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用于对电子笔录进行签名、捺印确认</w:t>
            </w:r>
            <w:r/>
          </w:p>
        </w:tc>
      </w:tr>
      <w:tr>
        <w:trPr>
          <w:trHeight w:val="77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公安专用审讯主机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利旧，更换加密光驱+质保</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智能审讯桌（定制）</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讯一体桌是一款多功能审讯设备，可集成审讯过程中所用到的一系列外围设备，解决了审讯室因外设备较多造成的线路杂乱问题，减少安全隐患，支持播报执法对象权利义务告知，本地示证投屏、快速打印等功能，方便办案人快速办案，简化办案人员问讯繁杂操作，提升办案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两位办案人员同时开展工作，可集成国内主流品牌审讯终端、同步录音录像终端、打印刻录终端、实物展台等与开展讯（询）问工作相关的所有辅助设备设施，满足远程提讯或审讯工作功能要求，符合公安机关执法办案场所规范化建设标准。审讯台主要材质为钢制+抗倍特板材质，曲线设计，整体无尖锐棱角，无裸露线缆线束，桌沿采用弹性缓冲圆角防撞处理；桌面民警输入端配置万向LCD托臂式显示终端及有线键鼠， 立面嵌入式安装43寸笔录显示及示证终端：D-LED屏幕比例16:9，最佳分辨率</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1920×1080，可视角度</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178 度（水平）/178 度（垂直），对比度1000:1；支持一键展示及关闭等功能，支持告知书宣读、笔录显示及证据展示等功能； 设备舱内置设备自然散热及线缆线束管理系统，专业线束线缆管理及防浪涌电源，以确保所有接入设备的正常运转。</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集成讯（询）问过程所用设备的多功能审讯设施</w:t>
            </w:r>
            <w:r/>
          </w:p>
        </w:tc>
      </w:tr>
      <w:tr>
        <w:trPr>
          <w:trHeight w:val="12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智能审讯椅（定制）</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受讯椅由座椅框架、腿部约束舱、玻璃纤维防割腕带三部分</w:t>
            </w:r>
            <w:r>
              <w:rPr>
                <w:rFonts w:hint="eastAsia" w:ascii="宋体" w:hAnsi="宋体" w:eastAsia="宋体" w:cs="宋体"/>
                <w:i w:val="0"/>
                <w:iCs w:val="0"/>
                <w:color w:val="000000"/>
                <w:sz w:val="20"/>
                <w:szCs w:val="20"/>
                <w:u w:val="none"/>
                <w:lang w:val="en-US" w:eastAsia="zh-CN" w:bidi="ar"/>
              </w:rPr>
              <w:t xml:space="preserve">组成，主要材质为钢制+PU软包材质，软硬适中，机械力学原理，无需借助辅助工具或钥匙，无需通电，落座即锁定；后置解锁踏板轻踩即打开，并标配应急解锁功能，紧急情况下可一键快速解锁及复位；腿部约束舱在嫌疑人落座后无延时弹力触发锁定，且双脚可完全着地，并具有一定范围的活动空间；双手采用玻璃纤维防割腕带进行约束控制，且增加模压缓冲防撞装置，无需在胸腹部采取任何约束措施，也能对其上肢自动形成安全缓冲区，360度保证其始终都在一个安全可控的约束区域内，可有效避免嫌疑人在接受讯（询）问期间脱逃或产生过激行为伤及自身或他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能够全方位安全防范控制嫌疑人，保障审讯安全</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IP可视对讲分机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有线耳机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三段耳机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实物展台</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生命体征椅</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74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温湿度一体机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显示日期、温度、湿度等</w:t>
            </w:r>
            <w:r/>
          </w:p>
        </w:tc>
      </w:tr>
      <w:tr>
        <w:trPr>
          <w:trHeight w:val="41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智能交互电子门牌</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1、支持双行双色显示，第一行显示房间号，第二行显示房间状态；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2、第二行可以通过平台联动显示办案中、空闲中、预约中等；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3、每行最多可同时显示5个汉字，超过5字支持滚动显示；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4、采用网络控制协议，RJ45接口。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5、功率</w:t>
            </w:r>
            <w:r>
              <w:rPr>
                <w:rFonts w:hint="eastAsia" w:ascii="宋体" w:hAnsi="宋体" w:cs="宋体"/>
                <w:i w:val="0"/>
                <w:iCs w:val="0"/>
                <w:color w:val="000000"/>
                <w:sz w:val="20"/>
                <w:szCs w:val="20"/>
                <w:u w:val="none"/>
                <w:lang w:val="en-US" w:eastAsia="zh-CN" w:bidi="ar"/>
              </w:rPr>
              <w:t xml:space="preserve">不大于</w:t>
            </w:r>
            <w:r>
              <w:rPr>
                <w:rFonts w:hint="eastAsia" w:ascii="宋体" w:hAnsi="宋体" w:eastAsia="宋体" w:cs="宋体"/>
                <w:i w:val="0"/>
                <w:iCs w:val="0"/>
                <w:color w:val="000000"/>
                <w:sz w:val="20"/>
                <w:szCs w:val="20"/>
                <w:u w:val="none"/>
                <w:lang w:val="en-US" w:eastAsia="zh-CN" w:bidi="ar"/>
              </w:rPr>
              <w:t xml:space="preserve">20~30W；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6、参考尺寸</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长53cm，宽23cm，高 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7、背面孔间距</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用于显示办案区、功能室使用状态</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1、额定工作电压(V/DC) 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2、工作电压范围(V) 9-15V；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3、工作电流范围(mA) ≤300；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4、工作温度(℃) ﹣20~﹢60℃；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5、声压(dB) ≥105dB/m；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6、连续工作时间 ≥45min 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71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窗口对讲机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双向通话</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辨认室律师会见、民警调度室</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实现对嫌疑人进入执法办案区到离开执法办案区全过程音频清晰拾取</w:t>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窗口对讲机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双向通话</w:t>
            </w:r>
            <w:r/>
          </w:p>
        </w:tc>
      </w:tr>
      <w:tr>
        <w:trPr>
          <w:trHeight w:val="41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IP对讲主机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一键呼叫：可一键快速呼叫系统内任一台管理机或并全双工可视对讲。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双工对讲：可与分机双工（单向）对讲；可与其他管理机双工可视（双向）对讲。对讲方式有免提、手柄、TALK键。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VOIP电话接入：支持标准SIP通讯协议，可与VOIP电话进行双向对讲。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管理机托管：可将本管理机管理的分机托管给其它的管理机管理。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呼叫上传：当分机呼叫超时无人应答时，可将呼叫信息上传到高级别管理机上。可设定不同时段的超时无应答上传时间。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状态提示：分机报警、对讲状态可用红、绿色提示，每路按键可添加备注信息。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通话转接：可将分机的通话转接到系统内的任意一台管理机上。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通话保持：可将通话保持（hold）后，再选择与其它呼入分机通话。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9.快切喊话：可对通话中的分机一键快速切换至全区喊话，结束后可恢复通话。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10.会议模式：与会议成员讲话，其他成员也能听到发言，实现多方通话功能。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11.喧哗报警：当分机端有喧哗时，可向管理机报警。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12.广播播放：可用MP3文件对所有分机进行全区、分区、定时广播、消防广播。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13.关机转移：当管理机处于关机或未连接时，可将分机的呼叫转移到其它管理机上。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14.报警联动：分机报警时，通过TCP连接与其它平台联动。如：开启监控摄像头。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15.语音播报：可语音播报呼叫的分机备注信息或分机号。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16.数据保密：对传输中的数据进行加密，以防止他人窃听利用，使通话更安全。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17.在线检测：可实时检测分机的在线状态，方便调试、检修和维护。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18.接口多样：有音频输入接口、485通讯接口、报警输出口。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19.有以太网口的地方即可接入，支持跨网段和跨路由。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20.支持WEB设置界面，支持远程操作升级。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21.内置SD卡，可将SD卡或点播的MP3文件作为音源广播给其他终端。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22.可管理160路终端分机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 网络接口：RJ45接口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 电源：DC12V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 操作系统：Android4.4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 显示屏：10.1寸TFT(触摸电容屏)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 分辨率：1024*600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 额定功耗：&lt;6W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 网络通信协议：TCP、UDP、RTP、ARP、IGMP、HTTP、SIP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 网络通信速率：100Mbps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31.音频采样率：G.711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32.工作温度：-20℃～+55℃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33.工作湿度：20%～93%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34.产品尺寸：303*194*42.5mm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35.安装方式：桌面式</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55寸</w:t>
            </w:r>
            <w:r>
              <w:rPr>
                <w:rFonts w:hint="eastAsia" w:ascii="宋体" w:hAnsi="宋体" w:cs="宋体"/>
                <w:i w:val="0"/>
                <w:iCs w:val="0"/>
                <w:color w:val="000000"/>
                <w:sz w:val="20"/>
                <w:szCs w:val="20"/>
                <w:u w:val="none"/>
                <w:lang w:val="en-US" w:eastAsia="zh-CN" w:bidi="ar"/>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55寸</w:t>
            </w:r>
            <w:r>
              <w:rPr>
                <w:rFonts w:hint="eastAsia" w:ascii="宋体" w:hAnsi="宋体" w:cs="宋体"/>
                <w:i w:val="0"/>
                <w:iCs w:val="0"/>
                <w:color w:val="000000"/>
                <w:sz w:val="20"/>
                <w:szCs w:val="20"/>
                <w:u w:val="none"/>
                <w:lang w:val="en-US" w:eastAsia="zh-CN" w:bidi="ar"/>
              </w:rPr>
              <w:t xml:space="preserve">电视机</w:t>
            </w:r>
            <w:r>
              <w:rPr>
                <w:rFonts w:hint="eastAsia" w:ascii="宋体" w:hAnsi="宋体" w:eastAsia="宋体" w:cs="宋体"/>
                <w:i w:val="0"/>
                <w:iCs w:val="0"/>
                <w:color w:val="000000"/>
                <w:sz w:val="20"/>
                <w:szCs w:val="20"/>
                <w:u w:val="none"/>
                <w:lang w:val="en-US" w:eastAsia="zh-CN" w:bidi="ar"/>
              </w:rPr>
              <w:t xml:space="preserve">，利旧现有中心1台</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用于办案中心状态巡查，便于调度指挥</w:t>
            </w:r>
            <w:r/>
          </w:p>
        </w:tc>
      </w:tr>
      <w:tr>
        <w:trPr>
          <w:trHeight w:val="425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解码器</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1、接口不少于：2路HDMI输入+6路HDMI输出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2、支持4K高分辨率输入输出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3、应支持 H.265、H.264（Baseline/Main/High Profile)、MPEG4视频解码。应支持G.711A、G.711U、AAC、ADPCM音频解码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4、最大应支持整机解码通道数不少于96路，应支持不小于6路12MP、12路8MP、18路5MP、24路4MP、48路1080P、96路720P、144路960H视频解码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5、能设置不少于16个系统预案，并支持快速调取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6、应支持拼接LED拼接屏；应支持拼接、开窗、叠加、漫游、跨屏等功能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7、支持不少于6块屏拼接、开窗、叠加、漫游、跨屏等功能</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解办案中心监控上墙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1、额定工作电压(V/DC) 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2、工作电压范围(V) 9-15V；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3、工作电流范围(mA) ≤300；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4、工作温度(℃) ﹣20~﹢60℃；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5、声压(dB) ≥105dB/m；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6、连续工作时间 ≥45min 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满足各功能室、点位紧急情况下向值班室或监控室报警需要</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嫌疑人定位轨迹</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5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主动智能摄像机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用于安全监控全覆盖</w:t>
            </w:r>
            <w:r/>
          </w:p>
        </w:tc>
      </w:tr>
      <w:tr>
        <w:trPr>
          <w:trHeight w:val="78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实现对嫌疑人进入执法办案区到离开执法办案区全过程音频清晰拾取</w:t>
            </w:r>
            <w:r/>
          </w:p>
        </w:tc>
      </w:tr>
      <w:tr>
        <w:trPr>
          <w:trHeight w:val="31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出入口结构化定位摄像机</w:t>
            </w:r>
            <w:r/>
          </w:p>
        </w:tc>
        <w:tc>
          <w:tcPr>
            <w:shd w:val="clear" w:color="000000"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★1、不低于800万像素CMOS传感器；</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 </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2、2.7~13.5mm电动变焦，支持一键聚焦；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3、支持三码流同时输出，主码流最高分辨率达8MP@20fps；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4、支持人脸抓拍，单画面同时检测人脸数不低于32张，单画面同时抓拍人脸数不低于16张；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5、人脸识别距离不少于10米；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6、支持通过浏览器显示人员表情、戴眼镜、戴口罩、是否有胡子、衣服颜色、上衣类型、是否背包、戴帽子等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7、人脸抓拍率不低于97%；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8、红外补光距离不低于50米，支持补光变倍匹配功能；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9、支持对经过设定区域内的行人进行人体检测并抓拍，可抓拍人体正面、背面、侧面人体图片并上传至平台；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10、支持人脸大小过滤功能和人脸抓拍质量过滤功能；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11、接口不少于：音频输入/输出各一个、内置MIC、报警输入2个，报警输出1个，支持SD卡槽（最大支持512G）；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12、支持宽动态、背光补偿、强光抑制、3D降噪和图像翻转功能；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13、防护等级不低于：外壳防尘防水IP67，防暴等级IK10，4级防雷；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14、支持POE、DC12V供电。</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ff0000"/>
                <w:sz w:val="20"/>
                <w:szCs w:val="20"/>
                <w:u w:val="none"/>
                <w:lang w:val="en-US" w:eastAsia="zh-CN"/>
              </w:rPr>
              <w:t xml:space="preserve">核心产品</w:t>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人体建模摄像机</w:t>
            </w:r>
            <w:r/>
          </w:p>
        </w:tc>
        <w:tc>
          <w:tcPr>
            <w:shd w:val="clear" w:color="000000"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1、不低于500万像素CMOS传感器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2、2.8～12mm高清电动变焦，支持一键聚焦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3、支持三码流同时输出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4、支持人脸抓拍，单画面同时检测人脸数不低于32张，单画面同时抓拍人脸数不低于10张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5、人脸抓拍率不低于97%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6、红外补光距离不低于30米，白光补光距离不低于10米，支持补光变倍匹配功能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7、接口要求不少于：音频输入/输出各一个、内置MIC、扬声器、报警输入2个，报警输出1个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8、支持宽动态、背光补偿、强光抑制、3D降噪和图像翻转功能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9、防护等级不低于：外壳防尘防水IP66，防暴等级IK10，4级防雷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10、支持POE、DC12V供电</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超融合算法分析主机</w:t>
            </w:r>
            <w:r/>
          </w:p>
        </w:tc>
        <w:tc>
          <w:tcPr>
            <w:shd w:val="clear" w:color="000000"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1、人脸人体抓拍相机视频接入处理能力不低于100路；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2、支持不少于1个VGA接口、4个USB接口；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★3、支持人体结构化数据分析和人脸识别分析；支持通过人脸与人员信息关联；</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4、支持抓拍人脸或人体并存入系统，作为身份标识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★5、支持对实时视频进行人脸比对分析；</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6、支持对图片和录像进行人脸比对分析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★7、支持对嫌疑人从入区到出区的全过程轨迹进行视频拼接 ；</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8、支持在办案区地图界面，实时显示嫌疑人、民警及其它人员位置。 </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人员轨迹定位管理软件</w:t>
            </w:r>
            <w:r/>
          </w:p>
        </w:tc>
        <w:tc>
          <w:tcPr>
            <w:shd w:val="clear" w:color="000000"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1、实时处理人员行动轨迹和位置/进入区域时间及停留时长；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2、对危险区域/禁入区域动态监控，有人禁入，联动管理平台报警；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3、嫌疑人人员数量/信息/位置实时同步管理平台；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4、人员位置发生变化实时更新人员位置信息，数据同步传输地图服务器显示人员位置和视频；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5、汇总各区域工作人员数量，对于越权的行为进行及时告警，联动摄像头，查看人员视频信息等；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6、支持人员的基本信息和详细信息的处理和数据关联；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7、监控记录查询对进出人员的区域记录，并提供关联查询到其进入区域的登记信息功能。监控记录信息包括记录时间、监控区域、监控对象。</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地图定位跟踪</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企业级高性能平台服务器，不低于1U/4盘位，前置硬盘；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2、CPU：≥8核16线程处理器，主频2.8GHz；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3、内存：≥16GB（2*8GB）DDR4 3200MHz，4个内存插槽，整机容量最高支持扩容至256GB；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5、接口：≥4个千兆以太网口（RJ45）、≥1个VGA视频接口、≥1个RS-232接口、≥2个前置USB2.0接口、≥2个后置USB3.0接口、≥2个PCIE 3.0插槽；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6、硬盘：≥1块4T企业级硬盘作为系统盘使用（占用1个硬盘槽位）、支持2.5寸或3.5寸SATA硬盘，支持热插拔；</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7、电源：AC200V~AC240V内置电源，50Hz；</w:t>
            </w:r>
            <w:r/>
          </w:p>
          <w:p>
            <w:pPr>
              <w:numPr>
                <w:ilvl w:val="0"/>
                <w:numId w:val="0"/>
              </w:numPr>
              <w:jc w:val="left"/>
              <w:keepLines w:val="0"/>
              <w:keepNext w:val="0"/>
              <w:widowControl/>
              <w:rPr>
                <w:rFonts w:hint="eastAsia"/>
              </w:rPr>
              <w:suppressLineNumbers w:val="0"/>
            </w:pPr>
            <w:r>
              <w:rPr>
                <w:rFonts w:hint="eastAsia" w:ascii="宋体" w:hAnsi="宋体" w:eastAsia="宋体" w:cs="宋体"/>
                <w:i w:val="0"/>
                <w:iCs w:val="0"/>
                <w:color w:val="000000"/>
                <w:sz w:val="20"/>
                <w:szCs w:val="20"/>
                <w:u w:val="none"/>
                <w:lang w:val="en-US" w:eastAsia="zh-CN" w:bidi="ar"/>
              </w:rPr>
              <w:t xml:space="preserve">8、功率：250W，整机峰值：158W，整机平均：142W。</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案管中心、合成作战中心</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不低于55寸，双边拼缝不大于0.88mm;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接口要求不低于：VGA输入X1、DVI输入X1、HDMI输入X1、CVBS（BNC接口）输入X1、USBX1;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可视角度（水平/垂直）178/178；平均无故障时间（MTBF）不低于60000小时；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净重≤28kg，毛重≤33kg，功率250W</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大屏用于展示案管工作质态、办案中心管理应用情况</w:t>
            </w:r>
            <w:r/>
          </w:p>
        </w:tc>
      </w:tr>
      <w:tr>
        <w:trPr>
          <w:trHeight w:val="39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会议扩声</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980"/>
                <w:lang w:val="en-US" w:eastAsia="zh-CN" w:bidi="ar"/>
              </w:rPr>
              <w:t xml:space="preserve">天花喇叭</w:t>
            </w:r>
            <w:r>
              <w:rPr>
                <w:rStyle w:val="981"/>
                <w:lang w:val="en-US" w:eastAsia="zh-CN" w:bidi="ar"/>
              </w:rPr>
              <w:br/>
            </w:r>
            <w:r>
              <w:rPr>
                <w:rStyle w:val="981"/>
                <w:lang w:val="en-US" w:eastAsia="zh-CN" w:bidi="ar"/>
              </w:rPr>
              <w:t xml:space="preserve">1.采用6.5寸中低音喇叭单元和1只1.5"球顶高音单元；</w:t>
            </w:r>
            <w:r>
              <w:rPr>
                <w:rStyle w:val="981"/>
                <w:lang w:val="en-US" w:eastAsia="zh-CN" w:bidi="ar"/>
              </w:rPr>
              <w:br/>
            </w:r>
            <w:r>
              <w:rPr>
                <w:rStyle w:val="981"/>
                <w:lang w:val="en-US" w:eastAsia="zh-CN" w:bidi="ar"/>
              </w:rPr>
              <w:t xml:space="preserve">2.自带塑胶后壳箱体，前面板精确设计的倒相孔，增加低频响应力度，铁质网罩内贴防尘网棉；</w:t>
            </w:r>
            <w:r>
              <w:rPr>
                <w:rStyle w:val="981"/>
                <w:lang w:val="en-US" w:eastAsia="zh-CN" w:bidi="ar"/>
              </w:rPr>
              <w:br/>
            </w:r>
            <w:r>
              <w:rPr>
                <w:rStyle w:val="981"/>
                <w:lang w:val="en-US" w:eastAsia="zh-CN" w:bidi="ar"/>
              </w:rPr>
              <w:t xml:space="preserve">3.精确设计的分频器优化功率响应及人声部分的中频表现力；</w:t>
            </w:r>
            <w:r>
              <w:rPr>
                <w:rStyle w:val="981"/>
                <w:lang w:val="en-US" w:eastAsia="zh-CN" w:bidi="ar"/>
              </w:rPr>
              <w:br/>
            </w:r>
            <w:r>
              <w:rPr>
                <w:rStyle w:val="981"/>
                <w:lang w:val="en-US" w:eastAsia="zh-CN" w:bidi="ar"/>
              </w:rPr>
              <w:t xml:space="preserve">4.简易快捷的安装方式。</w:t>
            </w:r>
            <w:r>
              <w:rPr>
                <w:rStyle w:val="981"/>
                <w:lang w:val="en-US" w:eastAsia="zh-CN" w:bidi="ar"/>
              </w:rPr>
              <w:br/>
            </w:r>
            <w:r>
              <w:rPr>
                <w:rStyle w:val="981"/>
                <w:lang w:val="en-US" w:eastAsia="zh-CN" w:bidi="ar"/>
              </w:rPr>
              <w:t xml:space="preserve">技术参数</w:t>
            </w:r>
            <w:r>
              <w:rPr>
                <w:rStyle w:val="981"/>
                <w:lang w:val="en-US" w:eastAsia="zh-CN" w:bidi="ar"/>
              </w:rPr>
              <w:br/>
            </w:r>
            <w:r>
              <w:rPr>
                <w:rStyle w:val="981"/>
                <w:lang w:val="en-US" w:eastAsia="zh-CN" w:bidi="ar"/>
              </w:rPr>
              <w:t xml:space="preserve">1.额定功率：100W；</w:t>
            </w:r>
            <w:r>
              <w:rPr>
                <w:rStyle w:val="981"/>
                <w:lang w:val="en-US" w:eastAsia="zh-CN" w:bidi="ar"/>
              </w:rPr>
              <w:br/>
            </w:r>
            <w:r>
              <w:rPr>
                <w:rStyle w:val="981"/>
                <w:lang w:val="en-US" w:eastAsia="zh-CN" w:bidi="ar"/>
              </w:rPr>
              <w:t xml:space="preserve">2.阻抗：8</w:t>
            </w:r>
            <w:r>
              <w:rPr>
                <w:rStyle w:val="982"/>
                <w:rFonts w:eastAsia="宋体"/>
                <w:lang w:val="en-US" w:eastAsia="zh-CN" w:bidi="ar"/>
              </w:rPr>
              <w:t xml:space="preserve">Ω</w:t>
            </w:r>
            <w:r>
              <w:rPr>
                <w:rStyle w:val="981"/>
                <w:lang w:val="en-US" w:eastAsia="zh-CN" w:bidi="ar"/>
              </w:rPr>
              <w:t xml:space="preserve">；</w:t>
            </w:r>
            <w:r>
              <w:rPr>
                <w:rStyle w:val="981"/>
                <w:lang w:val="en-US" w:eastAsia="zh-CN" w:bidi="ar"/>
              </w:rPr>
              <w:br/>
            </w:r>
            <w:r>
              <w:rPr>
                <w:rStyle w:val="981"/>
                <w:lang w:val="en-US" w:eastAsia="zh-CN" w:bidi="ar"/>
              </w:rPr>
              <w:t xml:space="preserve">3.灵敏度(1W/1M)：92dB；</w:t>
            </w:r>
            <w:r>
              <w:rPr>
                <w:rStyle w:val="981"/>
                <w:lang w:val="en-US" w:eastAsia="zh-CN" w:bidi="ar"/>
              </w:rPr>
              <w:br/>
            </w:r>
            <w:r>
              <w:rPr>
                <w:rStyle w:val="981"/>
                <w:lang w:val="en-US" w:eastAsia="zh-CN" w:bidi="ar"/>
              </w:rPr>
              <w:t xml:space="preserve">4.频率响应(-10dB)：60Hz-20KHz；                                                                                                                                                                                                   </w:t>
            </w:r>
            <w:r>
              <w:rPr>
                <w:rStyle w:val="980"/>
                <w:lang w:val="en-US" w:eastAsia="zh-CN" w:bidi="ar"/>
              </w:rPr>
              <w:t xml:space="preserve">专业功放</w:t>
            </w:r>
            <w:r>
              <w:rPr>
                <w:rStyle w:val="981"/>
                <w:lang w:val="en-US" w:eastAsia="zh-CN" w:bidi="ar"/>
              </w:rPr>
              <w:br/>
            </w:r>
            <w:r>
              <w:rPr>
                <w:rStyle w:val="981"/>
                <w:lang w:val="en-US" w:eastAsia="zh-CN" w:bidi="ar"/>
              </w:rPr>
              <w:t xml:space="preserve">1.1U机箱设计，采用最新D类数字功放设计方案；</w:t>
            </w:r>
            <w:r>
              <w:rPr>
                <w:rStyle w:val="981"/>
                <w:lang w:val="en-US" w:eastAsia="zh-CN" w:bidi="ar"/>
              </w:rPr>
              <w:br/>
            </w:r>
            <w:r>
              <w:rPr>
                <w:rStyle w:val="981"/>
                <w:lang w:val="en-US" w:eastAsia="zh-CN" w:bidi="ar"/>
              </w:rPr>
              <w:t xml:space="preserve">2.标准XLR输入接口，和LINK输出口，简洁的接口更加方便不同用户需求；</w:t>
            </w:r>
            <w:r>
              <w:rPr>
                <w:rStyle w:val="981"/>
                <w:lang w:val="en-US" w:eastAsia="zh-CN" w:bidi="ar"/>
              </w:rPr>
              <w:br/>
            </w:r>
            <w:r>
              <w:rPr>
                <w:rStyle w:val="981"/>
                <w:lang w:val="en-US" w:eastAsia="zh-CN" w:bidi="ar"/>
              </w:rPr>
              <w:t xml:space="preserve">3.电源采用开关电源技术，效率高，有效的抑制电源谐波；</w:t>
            </w:r>
            <w:r>
              <w:rPr>
                <w:rStyle w:val="981"/>
                <w:lang w:val="en-US" w:eastAsia="zh-CN" w:bidi="ar"/>
              </w:rPr>
              <w:br/>
            </w:r>
            <w:r>
              <w:rPr>
                <w:rStyle w:val="981"/>
                <w:lang w:val="en-US" w:eastAsia="zh-CN" w:bidi="ar"/>
              </w:rPr>
              <w:t xml:space="preserve">4.内置智能削峰限幅器，支持开机软启动，防止开机时向电网吸收大电流，干扰其它用电设备； </w:t>
            </w:r>
            <w:r>
              <w:rPr>
                <w:rStyle w:val="981"/>
                <w:lang w:val="en-US" w:eastAsia="zh-CN" w:bidi="ar"/>
              </w:rPr>
              <w:br/>
            </w:r>
            <w:r>
              <w:rPr>
                <w:rStyle w:val="981"/>
                <w:lang w:val="en-US" w:eastAsia="zh-CN" w:bidi="ar"/>
              </w:rPr>
              <w:t xml:space="preserve">5.具有：过压保护，欠压保护，过流保护，直流保护，输出短路保护，温控风扇等功能；</w:t>
            </w:r>
            <w:r>
              <w:rPr>
                <w:rStyle w:val="981"/>
                <w:lang w:val="en-US" w:eastAsia="zh-CN" w:bidi="ar"/>
              </w:rPr>
              <w:br/>
            </w:r>
            <w:r>
              <w:rPr>
                <w:rStyle w:val="981"/>
                <w:lang w:val="en-US" w:eastAsia="zh-CN" w:bidi="ar"/>
              </w:rPr>
              <w:t xml:space="preserve">6.输出功率：立体声@8</w:t>
            </w:r>
            <w:r>
              <w:rPr>
                <w:rStyle w:val="982"/>
                <w:rFonts w:eastAsia="宋体"/>
                <w:lang w:val="en-US" w:eastAsia="zh-CN" w:bidi="ar"/>
              </w:rPr>
              <w:t xml:space="preserve">Ω</w:t>
            </w:r>
            <w:r>
              <w:rPr>
                <w:rStyle w:val="981"/>
                <w:lang w:val="en-US" w:eastAsia="zh-CN" w:bidi="ar"/>
              </w:rPr>
              <w:t xml:space="preserve">：≥200W×2；立体声@4</w:t>
            </w:r>
            <w:r>
              <w:rPr>
                <w:rStyle w:val="982"/>
                <w:rFonts w:eastAsia="宋体"/>
                <w:lang w:val="en-US" w:eastAsia="zh-CN" w:bidi="ar"/>
              </w:rPr>
              <w:t xml:space="preserve">Ω</w:t>
            </w:r>
            <w:r>
              <w:rPr>
                <w:rStyle w:val="981"/>
                <w:lang w:val="en-US" w:eastAsia="zh-CN" w:bidi="ar"/>
              </w:rPr>
              <w:t xml:space="preserve">：≥400W×2。                                                                                                                                                                 </w:t>
            </w:r>
            <w:r>
              <w:rPr>
                <w:rStyle w:val="980"/>
                <w:lang w:val="en-US" w:eastAsia="zh-CN" w:bidi="ar"/>
              </w:rPr>
              <w:t xml:space="preserve">调音台</w:t>
            </w:r>
            <w:r>
              <w:rPr>
                <w:rStyle w:val="981"/>
                <w:lang w:val="en-US" w:eastAsia="zh-CN" w:bidi="ar"/>
              </w:rPr>
              <w:br/>
            </w:r>
            <w:r>
              <w:rPr>
                <w:rStyle w:val="981"/>
                <w:lang w:val="en-US" w:eastAsia="zh-CN" w:bidi="ar"/>
              </w:rPr>
              <w:t xml:space="preserve">1.专业型紧凑式调音台,超低噪声离散式麦克风前置放大器和+48V幻象电源，功能强大齐全，音质动听；</w:t>
            </w:r>
            <w:r>
              <w:rPr>
                <w:rStyle w:val="981"/>
                <w:lang w:val="en-US" w:eastAsia="zh-CN" w:bidi="ar"/>
              </w:rPr>
              <w:br/>
            </w:r>
            <w:r>
              <w:rPr>
                <w:rStyle w:val="981"/>
                <w:lang w:val="en-US" w:eastAsia="zh-CN" w:bidi="ar"/>
              </w:rPr>
              <w:t xml:space="preserve">2、提供8路Mic输入接口兼容6路线路输入接口，话筒输入接口带48V幻像电源；</w:t>
            </w:r>
            <w:r>
              <w:rPr>
                <w:rStyle w:val="981"/>
                <w:lang w:val="en-US" w:eastAsia="zh-CN" w:bidi="ar"/>
              </w:rPr>
              <w:br/>
            </w:r>
            <w:r>
              <w:rPr>
                <w:rStyle w:val="981"/>
                <w:lang w:val="en-US" w:eastAsia="zh-CN" w:bidi="ar"/>
              </w:rPr>
              <w:t xml:space="preserve">3、具有≥2组立体主输出、≥4路编组输出、≥4路辅助输出、≥1组立体声监听输出、≥1个耳机监听输出、≥2个效果输出、≥1组主混音断点插入、≥6个断点插入；</w:t>
            </w:r>
            <w:r>
              <w:rPr>
                <w:rStyle w:val="981"/>
                <w:lang w:val="en-US" w:eastAsia="zh-CN" w:bidi="ar"/>
              </w:rPr>
              <w:br/>
            </w:r>
            <w:r>
              <w:rPr>
                <w:rStyle w:val="981"/>
                <w:lang w:val="en-US" w:eastAsia="zh-CN" w:bidi="ar"/>
              </w:rPr>
              <w:t xml:space="preserve">4、具有13个60mm行程的高精密碳膜推子；</w:t>
            </w:r>
            <w:r>
              <w:rPr>
                <w:rStyle w:val="981"/>
                <w:lang w:val="en-US" w:eastAsia="zh-CN" w:bidi="ar"/>
              </w:rPr>
              <w:br/>
            </w:r>
            <w:r>
              <w:rPr>
                <w:rStyle w:val="981"/>
                <w:lang w:val="en-US" w:eastAsia="zh-CN" w:bidi="ar"/>
              </w:rPr>
              <w:t xml:space="preserve">5、内置MP3播放器，支持1路USB接口，外接U盘播放音乐；</w:t>
            </w:r>
            <w:r>
              <w:rPr>
                <w:rStyle w:val="981"/>
                <w:lang w:val="en-US" w:eastAsia="zh-CN" w:bidi="ar"/>
              </w:rPr>
              <w:br/>
            </w:r>
            <w:r>
              <w:rPr>
                <w:rStyle w:val="981"/>
                <w:lang w:val="en-US" w:eastAsia="zh-CN" w:bidi="ar"/>
              </w:rPr>
              <w:t xml:space="preserve">6、内置USB声卡模块，支持连接电脑进行音乐播放和声音录音；内置MP3播放器，支持1个USB接口接U盘播放音乐；</w:t>
            </w:r>
            <w:r>
              <w:rPr>
                <w:rStyle w:val="981"/>
                <w:lang w:val="en-US" w:eastAsia="zh-CN" w:bidi="ar"/>
              </w:rPr>
              <w:br/>
            </w:r>
            <w:r>
              <w:rPr>
                <w:rStyle w:val="981"/>
                <w:lang w:val="en-US" w:eastAsia="zh-CN" w:bidi="ar"/>
              </w:rPr>
              <w:t xml:space="preserve">7、内置24位DSP效果器，提供100种预设效果；</w:t>
            </w:r>
            <w:r>
              <w:rPr>
                <w:rStyle w:val="981"/>
                <w:lang w:val="en-US" w:eastAsia="zh-CN" w:bidi="ar"/>
              </w:rPr>
              <w:br/>
            </w:r>
            <w:r>
              <w:rPr>
                <w:rStyle w:val="981"/>
                <w:lang w:val="en-US" w:eastAsia="zh-CN" w:bidi="ar"/>
              </w:rPr>
              <w:t xml:space="preserve">8、提供1个USB供电接口，可连接USB照明灯；</w:t>
            </w:r>
            <w:r>
              <w:rPr>
                <w:rStyle w:val="981"/>
                <w:lang w:val="en-US" w:eastAsia="zh-CN" w:bidi="ar"/>
              </w:rPr>
              <w:br/>
            </w:r>
            <w:r>
              <w:rPr>
                <w:rStyle w:val="981"/>
                <w:lang w:val="en-US" w:eastAsia="zh-CN" w:bidi="ar"/>
              </w:rPr>
              <w:t xml:space="preserve">9.支持7段图示均衡推子调节。</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底座式维护支架</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1、55寸底座后维护支架。</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3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IP对讲主机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 一键呼叫：可一键快速呼叫系统内任一台管理机或并全双工可视对讲。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双工对讲：可与分机双工（单向）对讲；可与其他管理机双工可视（双向）对讲。对讲方式有免提、手柄、TALK键。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VOIP电话接入：支持标准SIP通讯协议，可与VOIP电话进行双向对讲。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管理机托管：可将本管理机管理的分机托管给其它的管理机管理。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呼叫上传：当分机呼叫超时无人应答时，可将呼叫信息上传到高级别管理机上。可设定不同时段的超时无应答上传时间。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状态提示：分机报警、对讲状态可用红、绿色提示，每路按键可添加备注信息。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通话转接：可将分机的通话转接到系统内的任意一台管理机上。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通话保持：可将通话保持（hold）后，再选择与其它呼入分机通话。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9.快切喊话：可对通话中的分机一键快速切换至全区喊话，结束后可恢复通话。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10.会议模式：与会议成员讲话，其他成员也能听到发言，实现多方通话功能。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11.喧哗报警：当分机端有喧哗时，可向管理机报警。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12.广播播放：可用MP3文件对所有分机进行全区、分区、定时广播、消防广播。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13.关机转移：当管理机处于关机或未连接时，可将分机的呼叫转移到其它管理机上。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14.报警联动：分机报警时，通过TCP连接与其它平台联动。如：开启监控摄像头。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15.语音播报：可语音播报呼叫的分机备注信息或分机号。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16.数据保密：对传输中的数据进行加密，以防止他人窃听利用，使通话更安全。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17.在线检测：可实时检测分机的在线状态，方便调试、检修和维护。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18.接口多样：有音频输入接口、485通讯接口、报警输出口。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19.有以太网口的地方即可接入，支持跨网段和跨路由。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20.支持WEB设置界面，支持远程操作升级。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21.内置SD卡，可将SD卡或点播的MP3文件作为音源广播给其他终端。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22.可管理</w:t>
            </w:r>
            <w:r>
              <w:rPr>
                <w:rFonts w:hint="eastAsia" w:ascii="宋体" w:hAnsi="宋体" w:cs="宋体"/>
                <w:i w:val="0"/>
                <w:iCs w:val="0"/>
                <w:color w:val="000000"/>
                <w:sz w:val="20"/>
                <w:szCs w:val="20"/>
                <w:u w:val="none"/>
                <w:lang w:val="en-US" w:eastAsia="zh-CN" w:bidi="ar"/>
              </w:rPr>
              <w:t xml:space="preserve">不少于</w:t>
            </w:r>
            <w:r>
              <w:rPr>
                <w:rFonts w:hint="eastAsia" w:ascii="宋体" w:hAnsi="宋体" w:eastAsia="宋体" w:cs="宋体"/>
                <w:i w:val="0"/>
                <w:iCs w:val="0"/>
                <w:color w:val="000000"/>
                <w:sz w:val="20"/>
                <w:szCs w:val="20"/>
                <w:u w:val="none"/>
                <w:lang w:val="en-US" w:eastAsia="zh-CN" w:bidi="ar"/>
              </w:rPr>
              <w:t xml:space="preserve">160路终端分机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 网络接口：RJ45接口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 电源：DC12V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 操作系统：Android4.4</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 显示屏：10.1寸TFT(触摸电容屏)</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 分辨率</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1024*600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 额定功耗</w:t>
            </w:r>
            <w:r>
              <w:rPr>
                <w:rFonts w:hint="eastAsia" w:ascii="宋体" w:hAnsi="宋体" w:cs="宋体"/>
                <w:i w:val="0"/>
                <w:iCs w:val="0"/>
                <w:color w:val="000000"/>
                <w:sz w:val="20"/>
                <w:szCs w:val="20"/>
                <w:u w:val="none"/>
                <w:lang w:val="en-US" w:eastAsia="zh-CN" w:bidi="ar"/>
              </w:rPr>
              <w:t xml:space="preserve">不大于</w:t>
            </w:r>
            <w:r>
              <w:rPr>
                <w:rFonts w:hint="eastAsia" w:ascii="宋体" w:hAnsi="宋体" w:eastAsia="宋体" w:cs="宋体"/>
                <w:i w:val="0"/>
                <w:iCs w:val="0"/>
                <w:color w:val="000000"/>
                <w:sz w:val="20"/>
                <w:szCs w:val="20"/>
                <w:u w:val="none"/>
                <w:lang w:val="en-US" w:eastAsia="zh-CN" w:bidi="ar"/>
              </w:rPr>
              <w:t xml:space="preserve">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 网络通信协议：TCP、UDP、RTP、ARP、IGMP、HTTP、SIP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 网络通信速率：100Mbps</w:t>
            </w:r>
            <w:r>
              <w:rPr>
                <w:rFonts w:hint="eastAsia" w:ascii="宋体" w:hAnsi="宋体" w:cs="宋体"/>
                <w:i w:val="0"/>
                <w:iCs w:val="0"/>
                <w:color w:val="000000"/>
                <w:sz w:val="20"/>
                <w:szCs w:val="20"/>
                <w:u w:val="none"/>
                <w:lang w:val="en-US" w:eastAsia="zh-CN" w:bidi="ar"/>
              </w:rPr>
              <w:t xml:space="preserve">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31.音频采样率：G.711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32.工作温度：-20℃～+55℃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33.工作湿度20%～93%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34.产品尺</w:t>
            </w: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303*194*42.5mm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35.安装方式：桌面式</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1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视频会议</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1、采用嵌入式硬件一体化结构，内置1080p高清摄像头，部署便捷；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2、会议速率支持64Kbps－8Mbps；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3、支持ITU-T H.323和IETF SIP通信标准；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4、支持H.261、H.263、MPEG4、H.264 High Profile、H.265视频编解码协议，具备较强的兼容性；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5、支持G.711、G.722、G.728、G.722.1AnnexC、G.719、MPEG4-AAC LC/LD、Opus等音频协议，可达到20KHz以上的宽频效果；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6、支持H.239、BFCP双流协议标准；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7、内置高清PTZ摄像机，支持5倍光学变焦，支持不小于72.5°水平广角视野；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8、采用H.265编解码协议时，支持1080p30、720p60、720p30高清图像格式；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在较低的带宽下实现高清视频会议效果，H.265协议时512Kbps带宽下实现1080P60帧图像格式编解码，384Kbps带宽下实现1080P30帧图像格式编解码，256Kbps带宽下实现720P30帧图像格式编解码，最大限度节省用户网络资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10、采用H.265编解码协议时，在保证主视频1080p30fps前提下，辅视频也可以支持到1080p30fps；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11、提供不少于2路高清视频输入、3路高清视频输出接口、1路10/100M/1000M以太网接口；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12、支持不少于2进1出独立的音频输入输出接口，支持HDMI伴随音频输入输出功能；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13、支持1个RJ11电话接口，支持空闲或会议中电话接入；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14、终端具备USB接口，支持通过USB接口插入U盘实现配置文件及地址簿的导入导出，以及终端U盘本地录像等功能；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15、支持有线和无线两种双流输入连接方式，可通过线缆连接接入或者通过WIFI无线网络将计算机图像发送至终端作为辅流源，图像可达1080p高清；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16、支持VGA断电环回，在终端断电状态下，VGA接口输入输出环回；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17、支持智能语音控制，支持通过语音助手加入会议，支持通过语音助手进行会议控制（调节音量、邀请终端、发送内容共享、延长会议、点名选看）；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18、支持云端联系人功能，终端注册入网后，可获取本用户域内的云端共享联系人，并支持将部分联系人作为自己的联系人存储在云端；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19、支持云虚拟会议室功能，终端注册入网后，可实时获取当前已创建的虚拟会议室列表及状态（预约或会议中），可以直接选择需要参加的虚拟会议室加入；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20、支持云搜索功能，终端注册到云平台后可通过首字母模糊搜索联系人、云端会议室；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21、支持终端自主创建多方视频会议，会议模板可保存在云平台；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22、支持不低于120个摄像机预置位存储和调用，支持摄像机预置位快照及预览功能，可直观地显示预置位场景；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23、系统具有字幕叠加功能，可通过终端控制系统在本地图像上不同位置设置叠加中文会场名、横幅、滚动字幕；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24、终端配套的遥控器可控范围至少20m、控制信号不易被遮挡；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25、支持防火墙和NAT穿越；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26、支持H.235协议的音视频加密，支持AES256加密算法，SIP协议支持TLS、SRTP加密。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拼接屏底座</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1、55寸拼接屏底座，高度H800mm。</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高清线缆</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1、15米HDMI视频线。</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2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解码拼控一体机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1、接口不少于：4路HDMI输入+12路HDMI输出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2、支持4K高分辨率输入输出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3、应支持 H.265、H.264（Baseline/Main/High Profile)、MPEG4视频解码。应支持G.711A、G.711U、AAC、ADPCM音频解码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4、最大应支持整机解码通道数不少于192路，应支持不小于16路12MP、32路8MP、48路5MP、64路4MP、128路1080P视频解码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5、能设置不少于16个系统预案，并支持快速调取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6、应支持拼接LED拼接屏；应支持拼接、开窗、叠加、漫游、跨屏等功能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7、支持不少于12块屏拼接、开窗、叠加、漫游、跨屏等功能</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利旧4楼法制大队会议室1台</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43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解码一体机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1、接口不少于：2路HDMI输入+6路HDMI输出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2、支持4K高分辨率输入输出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3、应支持 H.265、H.264（Baseline/Main/High Profile)、MPEG4视频解码。应支持G.711A、G.711U、AAC、ADPCM音频解码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4、最大应支持整机解码通道数不少于96路，应支持不小于6路12MP、12路8MP、18路5MP、24路4MP、48路1080P、96路720P、144路960H视频解码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5、能设置不少于16个系统预案，并支持快速调取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6、应支持拼接LED拼接屏；应支持拼接、开窗、叠加、漫游、跨屏等功能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7、支持不少于6块屏拼接、开窗、叠加、漫游、跨屏等功能</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智慧平板一体机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用于显示需要的图像，会议等 便于指挥作战。</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标签打印机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1、技术类型：标签打印；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2、连接方式：有线，USB，移动APP打印。</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6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智能案卷柜</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用于纸质卷宗材料存储，具有案卷集中存放、集中保管、智能开柜、网上查询等功能</w:t>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中心机房</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86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办案区管理模块</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执法办案区管理系统软件：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1、首页功能支持展示办案区数据(预约未入区、在区人数、临时出区、审讯中、看押中、安检/信采/存物、今日裁决出区)人数，支持列表查看数据详情；支持展示24小时动态、我的应用、我的申请等功能。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首页功能支持展示系统通知(序号、报警类型、报警地点、报警时间),支持对系统中的报警进行实时展示；支持轮播在区涉案人员的信息，显示嫌疑人的照片以及其对应的各流程环节的完成状态；支持根据相关权限需求展示关联的案件相关信息，并可视化展示办案室、候问室的使用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流程管控功能支持对嫌疑人带入办案区按照入区登记、人身安全检查信息登记、随身物品登记保管、信息采集、候问、讯(询)问、随身物品返还、离区管理的流程顺序完成办案活动；支持嫌疑人通过人证核验进行控制入出区，支持通过人员信息实时查看所在流程节点及功能区域信息和监控录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4、支持嫌疑人临时出区并绑定随同出区民警，重新入区时可以查询和复用临时出区的信息，支持人脸识别联动人员信息回显并进行出区登记；支持提交出区申请，根据审批结果判定是否能够出区。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★5、支持同案标记，同一案件不同嫌疑人的主管、协管民警互相能够看到对方的案件信息，同时支持协同办案。</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6、涉案人员在区时长支持延长至24 小时或 48 小时；可检索延长操作记录或撤销最近一次的延长操作记录。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7、支持民警和非嫌疑人批量入区登记，可填写入区原因、人员类型、国籍、案件性质、案由等信息，并可关联预约、嫌疑人；也可实现批量出区，并可按出区原因筛选出区记录。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8、未成年嫌疑人登记时，支持选择是否需要监护人，支持监护人员一同入区。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9、入区检查功能支持人脸快速登记人身安全检查、吸毒检测、信息采集信息，进行安全检查的民警强制与嫌疑人同性别，医疗人员可配置是否强制同性别。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10、支持对嫌疑人的病情进行登记，可以在人形图对应的位置标记伤病情况且进行检查抓拍，支持嫌疑人对安全检查文书进行确定和签字捺印，平台保存其签字录像。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11、物品暂存与物品返还功能支持人脸识别快速绑定人员进行财物暂存业务；支持接入智能和非智能 物品柜；支持财物暂存登记功能，并远程开柜存入。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12、嫌疑人无随身财物时，支持以无财物暂存模式继续进行信息记录，未做财物暂存操作时平台可进行报警。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★13、候问管理功能支持对嫌疑人分配候问室，分配支持男女分离、同案分离、传染病、残疾人、未成年人分离等规则，可视化展示各候问室状态和当前在押人数及人员详细信息，并支持人员信息的修改。</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14、支持标记显示当前候问室男女、未成年人、特殊疾病人人数；给男/女、未成年人分配办案室时，系统会有相应提示。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饮食休息管理支持涉案人员饮食和休息管理功能，支持休息的时间、饮食、上厕所和吃药等信息记录，并可进行相关信息的搜索；人员饮食休息登记表支持签字捺印和下载；支持批量添加人员饮食休息信息。</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酒精检测信息功能支持涉案人员以呼气式和抽血化验两种方法进行酒精检测的信息录入，录入信息包括录入时间、地点、区域、酒精浓度和照片，照片支持使用前端设备抓拍和或上传检测图片，支持检索检测的历史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17、审讯管理功能支持自动或手动录入案件及审讯基本信息，支持预设办案笔录，笔录支持蒙文、维文，嫌疑人信息可自动关联并更新到笔录表头，支持选择辨认笔录。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18、支持联动办案室强电控制器 控制 LED 电子门牌打开和关闭，开始办案后自动开始同步录音录像；提供常用问答模板辅助民警讯问问答，可以查看相关法律法规；前端设备支持进行体征检测并展示报警信息，支持询/讯问室超时办案报警提醒。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★19、支持协同办案，同案件的多个审讯室可互相查看对方的笔录和视频信息；在办案现场同级或上级领导可以打开即时指挥的会话界面进行查看预览和指挥，可通过即时通信功能进行文件及文件夹的传输 。</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20、支持在副屏展示告知书，可全文朗读、 光标朗读、选择朗读告知书，并可打印告知书。支持资料管理，包括证据信息、证据文件。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21、支持对其他场所的办案室房间进行远程提讯，支持嫌疑人在权利义务告知书签字、捺印，权利义务告知书、签字视频、笔录、审讯视频可一起刻录光盘。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22、支持联动审讯椅或其他检测设备，监测嫌疑人心率、体温、血压、呼吸等生命体征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23、支持远程提讯、远程辨认、远程会见、远程收案、远程会商、远程指挥等远程办案方式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支持远程讯问进行预约、审批、预约取消；支持电子文书网上推送与流转；支持远程电子笔录、远程权利义务告知书、远程电子示证、画中画实时录像、远程照片辨认、远程音视频对话、远程指挥等功能；支持指挥人员实时观看讯问视频和笔录，也支持同时查看多路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25、即时通讯功能支持场所下民警使用即时通讯功能进行单独沟通、建群沟通，支持发送文字、语音、附件、音频、视频、共享模板等进行沟通。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26、支持查看案件的涉案财物，展示物品信息和操作记录，支持图形化和列表两种方式展示物品操作节点名称、操作时间等。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27、支持查看案件的案卷文书，展示案卷信息和操作记录，支持图形化和列表两种方式展示案卷操作节点名称、操作人、操作时间、查看回执和抓拍等。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28、支持对违规行为保存抓拍照片和录像视频进行下发督导。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★29、支持回放人员在区视频，回放视频时地图上有对应轨迹画线；支持接收人员报警信号，可在电子地图上显示报警位置并弹出实时视频。</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支持自动调用关联的摄像头对定位人员进行视频跟踪；视频中支持人员顶气泡，顶气泡显示信息可通过平台配置，可根据人员角色,在线轨迹录像中顶气泡能固定在嫌疑人或当前画面中的人顶部，可随人员移动，可开关顶气泡，可配置并显示角色类型 。</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支持自动下发民警全部门禁权限和分别手动下发门禁权限，支持自动下发民警入区场所内所有门禁权限，支持民警入区时手动下发登记大厅权限；支持民警使用门禁卡和人脸识别两种方式开门；支持门禁卡加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32、支持对系统用户分配、取消分配、重新分配巡更卡并保存分配记录，可导入导出，支持巡更按照岗位排班或安排人值班，可以查看巡更计划、处理异常巡更点、保留巡更记录并可查看详情。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★33、会见管理功能支持本地会见和远程会见功能。</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p>
          <w:p>
            <w:pPr>
              <w:pStyle w:val="921"/>
              <w:numPr>
                <w:ilvl w:val="4"/>
                <w:numId w:val="0"/>
              </w:numPr>
              <w:rPr>
                <w:rFonts w:hint="eastAsia"/>
              </w:rPr>
            </w:pPr>
            <w:r>
              <w:rPr>
                <w:rFonts w:hint="eastAsia" w:ascii="宋体" w:hAnsi="宋体" w:eastAsia="宋体" w:cs="宋体"/>
                <w:i w:val="0"/>
                <w:iCs w:val="0"/>
                <w:color w:val="000000"/>
                <w:sz w:val="20"/>
                <w:szCs w:val="20"/>
                <w:u w:val="none"/>
                <w:lang w:val="en-US" w:eastAsia="zh-CN" w:bidi="ar"/>
              </w:rPr>
              <w:t xml:space="preserve">34、本次项目所建系统是作为仪征市局执法办案管理中心，现用执法办案区管理系统平台升级配套应用，故所建各系统功能及模块均需无缝接入仪征市局执法办案管理中心系统平台。需对仪征市局目前部署的公安执法办案区管理软件进行系统升级开发，以便原办案中心系统平台能同时支持人员手环定位、视频轨迹追踪及派出所简易登记等多种不同定位模式的混合接入方案，在不影响市局办案中心系统功能应用的前提下，对后续其它单位新建二级子平台所采取的各类型人员定位模式均可灵活、无缝接入，且下级子系统间互不影响正常使用；</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根据用户需求升级版本，符合上级最新考核要求</w:t>
            </w:r>
            <w:r/>
          </w:p>
        </w:tc>
      </w:tr>
      <w:tr>
        <w:trPr>
          <w:trHeight w:val="81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案卷管理模块</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案件卷宗管理系统是一套全新的卷宗管理平台，包括案卷登记、案卷流转、案卷借阅归还等，除此还包括案卷柜自助存取、权限分配、日志记录等功能，能够将办案时的所需案卷从立案就开始保存，中途可以完成在办转已结等一系列案卷必备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2、该系统具有一套独立的审批流程，方便不同角色权限的用户进行审批跟踪。该系统还集成了视频预览的功能，可以在线预览案卷保管室相关监控视频。</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根据用户需求升级版本，符合上级最新考核要求</w:t>
            </w:r>
            <w:r/>
          </w:p>
        </w:tc>
      </w:tr>
      <w:tr>
        <w:trPr>
          <w:trHeight w:val="267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涉案物品管理模块</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在现有涉案财物中心平台基础上深化软件内容：                                                                                                                                                                                      1、支持对物品进行录入、编辑、查看，自动分配条码，可添加相关附件，支持涉案物品信息批量导入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支持涉案物品查询，可按照编号、名称、承办部门、涉案人员、创建日期等多种条件查询；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2、支持涉案物品抓拍，将抓拍的图片保存到涉案物品信息；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3、支持涉案物品入库、出库、借阅、归还、移送主要流程，流转信息系统自动记录；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4、支持物品借出、归还等超时报警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支持通过RFID电子标签管理，将写好的电子标签贴到涉案物品上，实现一物一码；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5、支持批量盘库功能，基于RFID无线射频技术，可以通过手持机远程批量盘库；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6、支持当有非法出库的涉案物品时，平台自动弹出门口监控画面以及涉案物品信息，并且可以联动声光报警；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7、支持远程控制涉案物品柜开柜，支持根据民警实际使用需求分配涉案物品保管柜；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8、支持按照涉案物品柜箱门数选择不同的排列方式；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9、支持对涉案物品柜进行添加、修改和删除操作；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10、支持统计分析功能，具备多种统计维度，统计结果图表展现；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11、支持登录到执法办案区，支持执法办案区数据对接；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12、支持视频预览监控功能，可以预览、回放、视频基础功能；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13、支持1080p/720p/4CIF等主流视频格式；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14、支持用户操作日志管理，支持设置系统名称；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15、支持角色分配和用户管理；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支持案件合并，支持根据条件对案件进行查询并可进行导入导出操作，案件下可查看案件信息、民警信息、有关案件的人员信息、案件的证据材料支撑、案件相关人员的审讯记录和在区记录以及案件下涉案的财物和物品文书流转记录，审讯记录和人员在区记录支持在线查看、下载，支持本地光驱刻录、审讯室前端刻录、中心集中多组刻录、全自动刻录；</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★17、支持物品入库，支持展示物品箱是否被占用，支持民警对入库的物品回执单进行签字捺印，物品入库时的视频和民警签字录像在物品流转记录或案件管理中可以查看；</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支持首页和大屏自定义模块，以柱状图、环状图等形式展示涉案财物处理情况统计、最新动态、特殊物品统计、物品移送统计、物品出入统计、智能柜使用情况统计、物品状态、预警提示统计、案件性质统计、案件办理趋势统计和物品总数统计等，待办任务支持跳转到任务办理的界面；</w:t>
            </w:r>
            <w:r>
              <w:rPr>
                <w:rFonts w:hint="eastAsia" w:ascii="宋体" w:hAnsi="宋体" w:eastAsia="宋体" w:cs="宋体"/>
                <w:b/>
                <w:bCs/>
                <w:i w:val="0"/>
                <w:iCs w:val="0"/>
                <w:color w:val="000000"/>
                <w:sz w:val="20"/>
                <w:szCs w:val="20"/>
                <w:u w:val="none"/>
                <w:lang w:val="en-US" w:eastAsia="zh-CN" w:bidi="ar"/>
              </w:rPr>
              <w:t xml:space="preserve">（</w:t>
            </w:r>
            <w:r>
              <w:rPr>
                <w:rFonts w:hint="eastAsia" w:ascii="宋体" w:hAnsi="宋体" w:cs="宋体"/>
                <w:b/>
                <w:bCs/>
                <w:i w:val="0"/>
                <w:iCs w:val="0"/>
                <w:color w:val="000000"/>
                <w:sz w:val="20"/>
                <w:szCs w:val="20"/>
                <w:u w:val="none"/>
                <w:lang w:val="en-US" w:eastAsia="zh-CN" w:bidi="ar"/>
              </w:rPr>
              <w:t xml:space="preserve">提供有资质的第三方检测机构出具的检测报告，原件扫描上传</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根据用户需求升级版本，符合上级最新考核要求</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执法监督管理模块</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系统支持将接处警、扣押、传唤、抓捕、押送、现堪、搜查、办案区讯（询）问等主要执法环节的音视频统一规范存储管理，也可实现警情、案件的监督预警及相关数据的统计研判。</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围绕警情、案件、涉案人员、涉案财物、卷宗、场所开展执法监督管理，实现风险预警防范，实行执法质量考评，开展执法过错问责等</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公安部数字化平台对接</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新场所数据公安部对接</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新场所数据公安部对接</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数据软件对接</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新场所等级化对接</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新场所等级化对接，</w:t>
            </w:r>
            <w:r>
              <w:rPr>
                <w:rStyle w:val="983"/>
                <w:color w:val="auto"/>
                <w:lang w:val="en-US" w:eastAsia="zh-CN" w:bidi="ar"/>
              </w:rPr>
              <w:t xml:space="preserve">数据省厅对接</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市支队平台对接</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1、办案区电子台账；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2、办案区音视频；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3、办案区审讯视频；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4、办案区出入中心数据 ，满足上级业务考核要求。</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新场所数据应用对接</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场所监控平台接入</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所有派出所的音视频接入办案中心平台</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全市场所对接</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案卷管理、涉案物品管理服务器</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执法办案管应用服务器</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执法办案数据中心</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1、企业级高性能平台服务器，不低于2U/8盘位，前置硬盘；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2、CPU：≥2颗8核16线程处理器，主频不低于3.0GHz；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3、内存：≥64GB（8*8GB）DDR4 3200MHz，≥8个内存插槽，整机容量最高支持扩容至≥512GB；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4、接口：≥4个千兆以太网口（RJ45）、≥1个独立BMC控制接口（RJ45）、≥1个VGA视频接口、≥2个前置USB2.0接口，≥4个后置USB3.0接口、≥4个PCIE 3.0插槽；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5、硬盘：≥1块4T企业级硬盘作为系统盘使用（占用1个硬盘槽位）、支持2.5寸或3.5寸SATA硬盘，支持热插拔。</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本地、市局、省厅、公安部数据应用库+对接</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3D地图模块</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1、3D地图建模根据办案区现场实际房间布局定制。</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现场实际情形基于图定制化3D地图，图形。人员的实时定位及轨迹显示。</w:t>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流媒体服务主机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1、支持Onvif，兼容主流品牌网络视频设备，可接入IPC、NVR/DVR、解码器等多种设备；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2、支持移动设备的代理服务和主动注册；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3、支持平台级联服务，支持上下级平台间的信令转分发，支持跨网段/网关传输；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4、可被多个上级管理平台级联访问，资源可多次共享；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5、采用中间件技术，可分布式部署，提高存储效率和数据安全性；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6、支持管理平台根据指定路由规则，自动组建中间件集群路由连接；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7、基于平台客户端，录像回放定位准确，支持多路回放、切片快照、录像标签、单帧播放、快放慢放、电子放大、回放抓拍，可实现秒级检索、录像解码上墙、地图回放录像；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8、通过转分发机制，最大限度利用现有网络资源，节约网络带宽，减轻多路回放时对设备端的压力，实现海量数据的接入和分发；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9、支持报警联动和报警转发。</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设备转发</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网关主机</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对接市局，省厅，公安部</w:t>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证据电子证据</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color w:val="auto"/>
                <w:lang w:val="en-US" w:eastAsia="zh-CN" w:bidi="ar"/>
              </w:rPr>
              <w:t xml:space="preserve">抓拍图片文书存储，</w:t>
            </w:r>
            <w:r>
              <w:rPr>
                <w:rFonts w:hint="eastAsia" w:ascii="宋体" w:hAnsi="宋体" w:eastAsia="宋体" w:cs="宋体"/>
                <w:i w:val="0"/>
                <w:iCs w:val="0"/>
                <w:color w:val="auto"/>
                <w:sz w:val="20"/>
                <w:szCs w:val="20"/>
                <w:u w:val="none"/>
                <w:lang w:val="en-US" w:eastAsia="zh-CN" w:bidi="ar"/>
              </w:rPr>
              <w:t xml:space="preserve">包含派出所</w:t>
            </w:r>
            <w:r/>
          </w:p>
        </w:tc>
      </w:tr>
      <w:tr>
        <w:trPr>
          <w:trHeight w:val="57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网络存储服务器</w:t>
            </w:r>
            <w:r/>
          </w:p>
        </w:tc>
        <w:tc>
          <w:tcPr>
            <w:shd w:val="clear" w:color="auto"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rPr>
            </w:r>
            <w:r/>
          </w:p>
        </w:tc>
      </w:tr>
      <w:tr>
        <w:trPr>
          <w:trHeight w:val="1355"/>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一案一打包</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1、企业级高性能集中存储服务器，国产化操作系统，6U/48盘位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2、不低于2核4线程处理器，主频不低于3.0GHz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3、不低于 8G内存，共不低于 4 个内存插槽，整机容量最高支持扩容至 64GB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4、不低于 4 个千兆以太网口（RJ45）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5、不低于 1 块 64GB 固态硬盘作为系统盘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6、支持不低于 2.5 寸或 3.5 寸 SATA 协议企业级机械硬盘（HDD），支持不低于 2.5寸固态硬盘（SSD），支持硬盘热插拔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7、不低于 4 个 USB 接口，2个RS-485接口，1个RS-232接口，支持8路报警输入，4路报警输出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 RAID0、1、3、5、6、10、50、 60 模式（软 RAID），支持动态热备盘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9、基于全中文 WEB GUI 界面，RAID 管理界面、中间件管理界面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10、标配 1+1 冗余电源，AC100V～AC240V， 50Hz</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全流程视频轨迹</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录入介质</w:t>
            </w:r>
            <w:r/>
          </w:p>
        </w:tc>
        <w:tc>
          <w:tcPr>
            <w:shd w:val="clear" w:color="000000"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1、16T企业级硬盘。</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全流程视频轨迹录像存储</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AI智能行为分析</w:t>
            </w:r>
            <w:r/>
          </w:p>
        </w:tc>
        <w:tc>
          <w:tcPr>
            <w:shd w:val="clear" w:color="000000"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利旧</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8"/>
                <w:lang w:val="en-US" w:eastAsia="zh-CN" w:bidi="ar"/>
              </w:rPr>
              <w:t xml:space="preserve">对在区涉候问室异常行为分析预警，</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北斗校时系统</w:t>
            </w:r>
            <w:r/>
          </w:p>
        </w:tc>
        <w:tc>
          <w:tcPr>
            <w:shd w:val="clear" w:color="000000" w:fill="ffffff"/>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1、基于 NTP（v2,v3,v4）/SNTP 协议；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2、标准的时钟信息通过 TCP/IP 网络传输，支持点对点和广播传输模式；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3、接入 GNSS 卫星天线，整个网络即可进行时间同步，即插即用。</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设备校时</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600*600*2000mm</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不小于</w:t>
            </w:r>
            <w:r>
              <w:rPr>
                <w:rFonts w:hint="eastAsia" w:ascii="宋体" w:hAnsi="宋体" w:eastAsia="宋体" w:cs="宋体"/>
                <w:i w:val="0"/>
                <w:iCs w:val="0"/>
                <w:color w:val="000000"/>
                <w:sz w:val="20"/>
                <w:szCs w:val="20"/>
                <w:u w:val="none"/>
                <w:lang w:val="en-US" w:eastAsia="zh-CN" w:bidi="ar"/>
              </w:rPr>
              <w:t xml:space="preserve">600*1000*2000mm</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8位、16A</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rPr>
            </w:pPr>
            <w:r>
              <w:rPr>
                <w:rFonts w:hint="eastAsia"/>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lang w:val="en-US" w:eastAsia="zh-CN"/>
              </w:rPr>
            </w:pPr>
            <w:r>
              <w:rPr>
                <w:rFonts w:hint="eastAsia"/>
                <w:lang w:val="en-US" w:eastAsia="zh-CN"/>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rPr>
            </w:pPr>
            <w:r>
              <w:rPr>
                <w:rFonts w:hint="eastAsia"/>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电池箱</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rPr>
            </w:pPr>
            <w:r>
              <w:rPr>
                <w:rFonts w:hint="eastAsia"/>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rPr>
            </w:pPr>
            <w:r>
              <w:rPr>
                <w:rFonts w:hint="eastAsia"/>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机房空调</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机房</w:t>
            </w:r>
            <w:r>
              <w:rPr>
                <w:rFonts w:hint="eastAsia" w:ascii="宋体" w:hAnsi="宋体" w:cs="宋体"/>
                <w:i w:val="0"/>
                <w:iCs w:val="0"/>
                <w:color w:val="000000"/>
                <w:sz w:val="20"/>
                <w:szCs w:val="20"/>
                <w:u w:val="none"/>
                <w:lang w:val="en-US" w:eastAsia="zh-CN" w:bidi="ar"/>
              </w:rPr>
              <w:t xml:space="preserve">专用</w:t>
            </w:r>
            <w:r>
              <w:rPr>
                <w:rFonts w:hint="eastAsia" w:ascii="宋体" w:hAnsi="宋体" w:eastAsia="宋体" w:cs="宋体"/>
                <w:i w:val="0"/>
                <w:iCs w:val="0"/>
                <w:color w:val="000000"/>
                <w:sz w:val="20"/>
                <w:szCs w:val="20"/>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rPr>
            </w:pPr>
            <w:r>
              <w:rPr>
                <w:rFonts w:hint="eastAsia"/>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温度报警器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温度报警器</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利旧设备搬运安装和质保</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利旧设备搬运安装和质保</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sz w:val="20"/>
                <w:szCs w:val="20"/>
                <w:u w:val="none"/>
              </w:rPr>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门卫、院内、外围安防</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智能警戒一体机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1、不低于1/2.7英寸500万像素CMOS传感器；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2、6mm定焦镜头，F1.6定光圈；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3、支持不少于4颗红外灯，红外补光不低于80米；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4、支持主副码流、主码流默认分辨率不低于20fps@2880x1620，默认码率4Mbps；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5、支持onvif Profile S/T、SDK、注册中心（主动模式）、GB28181-2016、CGI；</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6、支持HTTP、TCP、TCP/IP、UDP、UPnP、ICMP、IGMP、DHCP、DNS、DDNS、Easy DDNS、NTP、SMTP、IPv4、IPv6、Telnet、RTP、RTSP、FTP网络协议；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7、支持绊线、周界智能分析、移动报警、遮挡报警、IP冲突、网线断（日志）异常报警、邮件报警、上传中心；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8、支持不少于1个内置mic、1个RJ45,10M/100M自适应；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外围安全防范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邮政快递柜</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利旧</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keepLines w:val="0"/>
              <w:keepNext w:val="0"/>
              <w:widowControl/>
              <w:rPr>
                <w:rFonts w:hint="eastAsia" w:ascii="宋体" w:hAnsi="宋体" w:eastAsia="宋体" w:cs="宋体"/>
                <w:i w:val="0"/>
                <w:iCs w:val="0"/>
                <w:color w:val="ff0000"/>
                <w:sz w:val="20"/>
                <w:szCs w:val="20"/>
                <w:u w:val="none"/>
              </w:rPr>
              <w:suppressLineNumbers w:val="0"/>
            </w:pPr>
            <w:r>
              <w:rPr>
                <w:rStyle w:val="979"/>
                <w:lang w:val="en-US" w:eastAsia="zh-CN" w:bidi="ar"/>
              </w:rPr>
              <w:t xml:space="preserve">看守所不收的物品，帮代寄</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门卫人车道闸</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采用24V低压驱动;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采用直流无刷电机、霍尔数字限位、齿轮减速;具有短路、过载、过流、过压保护；最佳拍摄范围：3-6米；触发方式： 视频识别（虚拟地感）</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门禁系统（国密）</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四门门禁控制器 </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1、管控门数：4门；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2、通讯方式：上行TCP/IP；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3、可接读卡器：RS485读卡器、Wiegand读卡器；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4、支持多门互锁、单主机反潜回、多重卡认证等；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5、带消防联动继电器接口；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6、工作电压：DC 12V。</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实现执法办案区与其他区域物理隔离、功能室使用期间隔离</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人脸识别</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1、屏幕参数： 7英寸触摸显示屏，屏幕比例9:16，屏幕分辨率600*1024；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2、摄像头参数：采用宽动态200万双目摄像头；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3、认证方式：支持人脸、刷卡（IC卡、手机NFC卡、CPU卡(含加密内容)、身份证卡序列号）、密码等方式，可外接身份证、社保卡功能模块；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4、人脸验证：采用深度学习算法，支持照片、视频防假；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5、通信方式：有线网络。</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刷卡指纹门禁</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2、用户容量：≥10000个；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3、面部容量：≥10000张；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4、卡容量（IC）：≥10000张；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5、记录容量：≥30万条；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6、通讯方式：TCP/IP、U盘；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7、电源规格：DC12V 3A；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8、工作温度：-5℃~45℃；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9、工作湿度：10%RH~90%RH。</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3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电磁锁</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1、锁体主体颜色为：氧化银；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2、断电开锁，满足消防要求；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3、具有电锁状态指示灯（红灯为开锁状态， 绿灯为上锁状态）；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4、支持锁状态侦测信号(门磁)输出：NO/NC/COM接点；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5、高强铝合金，表面拉丝氧化。</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双门锁</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1、使用范围：木门、防火门、金属门、玻璃门等；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2、锁体参考尺寸：500*48*28mm；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3、吸板参考尺寸：180*38*11mm；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4、输入电压：DC12V或DC24V±10%；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5、工作电流：12V/380mA；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6、安全类型：通电上锁、断电开锁；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7、带锁状态信号反馈；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8、带锁状态信号反馈。</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1、适用空心门框及埋入式电器盒使用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2、PC防火材料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3、输出：常开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国密门禁卡</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国密门禁卡</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门禁电源</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1、DC12V2A。</w:t>
            </w:r>
            <w:r/>
          </w:p>
        </w:tc>
        <w:tc>
          <w:tcPr>
            <w:shd w:val="clear" w:color="auto" w:fill="ffffff"/>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综合布线系统</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网络信息面板（单口）</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86型网络信息面板，单口</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网络信息面板（双口）</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86型网络信息面板，双口</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网络地插</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网络插座，滑盖式</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多媒体桌插</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含网口,HDMI,音频口等</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非屏蔽六类RJ45模块</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网线（网络模块、AP)</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非屏蔽六类4对双绞线电缆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36905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语音配线架</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110型</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语音跳线</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RJ45-110跳线，3米</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非屏蔽24位RJ45配线架</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非屏蔽六类RJ45跳线，2米</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24芯光纤配线架，含耦合器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SC单模，1米</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机熔</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单模，SC-SC/SC-LC</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单模，24芯</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HDMI高清线</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HDMI高清线</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电源线(拾音器、门禁、开门按钮、磁力锁、室外监控杆）</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电源线(磁力锁）</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shd w:val="clear" w:color="auto" w:fill="eeece1"/>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w:t>
            </w:r>
            <w:r/>
          </w:p>
        </w:tc>
        <w:tc>
          <w:tcPr>
            <w:gridSpan w:val="2"/>
            <w:shd w:val="clear" w:color="auto" w:fill="eeece1"/>
            <w:tcBorders>
              <w:top w:val="single" w:color="000000" w:sz="4" w:space="0"/>
              <w:left w:val="single" w:color="000000" w:sz="4" w:space="0"/>
              <w:bottom w:val="single" w:color="000000" w:sz="4" w:space="0"/>
              <w:right w:val="single" w:color="000000" w:sz="4" w:space="0"/>
            </w:tcBorders>
            <w:tcW w:w="315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计算机网络系统、智能化设备系统安装调试，设备拆除</w:t>
            </w:r>
            <w:r/>
          </w:p>
        </w:tc>
        <w:tc>
          <w:tcPr>
            <w:shd w:val="clear" w:color="auto" w:fill="eeece1"/>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eeece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1.交换容量≥672Gbps，包转发率≥171Mpps；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2.为了提高设备散热的可靠性，支持风扇散热；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3.为了提高设备供电的可靠性，支持交流和直流电源，支持电源1+1主备；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4.CPU和LSW要求国产化；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5.支持专用堆叠口，不占用业务口带宽，堆叠带宽（双向）＞ 40Gbps；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6.支持静态路由、RIP、OSPF、RIPng、OSPFv3，ISIS，ISISv6，BGP，BGP4+；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7.支持MAC表项≥32K，支持IPv4 路由表≥8K，支持IPv6 路由表≥3K；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8.支持Telemetry技术，可实时采集设备数据；</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24口千兆接入交换机-公安网</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1.24个千兆电口，4个千兆SFP；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2.交换容量≥336Gbps，包转发率≥126Mpps；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3.采用无风扇设计，静音又节能；内置AC电源；</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48口千兆接入交换机-公安网</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1.交换容量≥432Gbps，包转发率≥166Mpps；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2.最大支持MAC地址≥16K，ARP表项≥2048，支持IPv4 FIB表项≥4000 ，支持IPv6 FIB表项≥1000；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3.支持4K个VLAN，支持基于MAC/协议/IP子网/策略/端口的VLAN；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4.支持静态路由；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24口POE千兆接入交换机-（监控、门禁）</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1.24个千兆电口（支持POE+供电），4个千兆SFP；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2.交换容量≥336Gbps，包转发率≥126Mpps；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3.内置AC电源，POE：400W；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4.支持IPv4/IPv6静态路由；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48口POE千兆接入交换机-（监控、门禁）</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1.48个千兆电口（支持POE+供电），4个千兆SFP；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2.交换容量≥432Gbps，包转发率≥166Mpps；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3.内置AC电源，POE≥400W；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4.支持IPv4/IPv6静态路由；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48口千兆接入交换机-互联网</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1.交换容量≥432Gbps，包转发率≥166Mpps；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2.最大支持MAC地址≥16K，ARP表项≥2048，支持IPv4 FIB表项≥4000 ，支持IPv6 FIB表项≥1000；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4.支持4K个VLAN，支持基于MAC/协议/IP子网/策略/端口的VLAN；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5.支持静态路由；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8口POE千兆接入交换机8</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1.24个千兆电口（支持POE+供电），4个千兆SFP；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2.交换容量≥336Gbps，包转发率≥126Mpps；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3.内置AC电源，POE：400W；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4.支持IPv4/IPv6静态路由；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1.常规AP最大数量≥144；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2.集中转发性能≥10Gbps；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3.为了满足设备的稳定性，要求所投产品满足双电源冗余供电；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4.具备≥8个千兆GE端口，≥2个万兆SFP+端口，≥2个2.5GE端口；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5.CAPWAP隧道同时支持IPv4和IPv6双栈，支持用户地址和隧道地址任意选择使用IPv4或IPv6，灵活组合使用；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6.实配AP授权。</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254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1.采用整机双频4流设计，可同时工作在802.11a/b/g/n/ac/acwave2/ax模式；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2.整机协商速率≥2.975Gbps，其中5G射频速率≥2.4G，2.4G射频速率≥0.575G；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3.固化接口数≥2个，包括1个100/1000M/2.5G光口，1个10M/100M/1000M电口，配套本地供电适配器；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w:t>
            </w:r>
            <w:r>
              <w:rPr>
                <w:rStyle w:val="984"/>
                <w:lang w:val="en-US" w:eastAsia="zh-CN" w:bidi="ar"/>
              </w:rPr>
              <w:t xml:space="preserve">⽀</w:t>
            </w:r>
            <w:r>
              <w:rPr>
                <w:rStyle w:val="979"/>
                <w:lang w:val="en-US" w:eastAsia="zh-CN" w:bidi="ar"/>
              </w:rPr>
              <w:t xml:space="preserve">持内置BLE5.1功能模块；</w:t>
            </w:r>
            <w:r>
              <w:rPr>
                <w:rStyle w:val="979"/>
                <w:lang w:val="en-US" w:eastAsia="zh-CN" w:bidi="ar"/>
              </w:rPr>
              <w:br/>
            </w:r>
            <w:r>
              <w:rPr>
                <w:rStyle w:val="979"/>
                <w:lang w:val="en-US" w:eastAsia="zh-CN" w:bidi="ar"/>
              </w:rPr>
              <w:t xml:space="preserve">5.满足壁挂.吸顶和面板安装方式；</w:t>
            </w:r>
            <w:r>
              <w:rPr>
                <w:rStyle w:val="979"/>
                <w:lang w:val="en-US" w:eastAsia="zh-CN" w:bidi="ar"/>
              </w:rPr>
              <w:br/>
            </w:r>
            <w:r>
              <w:rPr>
                <w:rStyle w:val="979"/>
                <w:lang w:val="en-US" w:eastAsia="zh-CN" w:bidi="ar"/>
              </w:rPr>
              <w:t xml:space="preserve">6.随着网络技术和多媒体技术的快速发展，应用种类日渐丰富且流量更加多样化；游戏.语音.视频.远程会议等应用成为日常主流。“边缘感知”功能可精细化识别各个应用，同时能对应用流量进行分析，并对识别出的应用优先调度，从而提高用户使用体验；</w:t>
            </w:r>
            <w:r>
              <w:rPr>
                <w:rStyle w:val="979"/>
                <w:lang w:val="en-US" w:eastAsia="zh-CN" w:bidi="ar"/>
              </w:rPr>
              <w:br/>
            </w:r>
            <w:r>
              <w:rPr>
                <w:rStyle w:val="979"/>
                <w:lang w:val="en-US" w:eastAsia="zh-CN" w:bidi="ar"/>
              </w:rPr>
              <w:t xml:space="preserve">7.支持WLAN上行链路检测功能，实时监测上行链路的可行性，当上行链路不可达时，将射频关闭，避免终端连接到不可用的网络。当上行链路恢复时，射频自动开启，无线终端可以正常接入；</w:t>
            </w:r>
            <w:r>
              <w:rPr>
                <w:rStyle w:val="979"/>
                <w:lang w:val="en-US" w:eastAsia="zh-CN" w:bidi="ar"/>
              </w:rPr>
              <w:br/>
            </w:r>
            <w:r>
              <w:rPr>
                <w:rStyle w:val="979"/>
                <w:lang w:val="en-US" w:eastAsia="zh-CN" w:bidi="ar"/>
              </w:rPr>
              <w:t xml:space="preserve">8.在自动功率调整基础上，支持检测信号覆盖黑洞功能，并对AP功率做出修正，保证处于特殊位置的终端接收到增强的AP信号，保证体验。</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政务外网</w:t>
            </w:r>
            <w:r/>
          </w:p>
        </w:tc>
      </w:tr>
    </w:tbl>
    <w:p>
      <w:pPr>
        <w:pStyle w:val="921"/>
        <w:numPr>
          <w:ilvl w:val="4"/>
          <w:numId w:val="0"/>
        </w:numPr>
        <w:rPr>
          <w:rFonts w:hint="default"/>
          <w:lang w:val="en-US" w:eastAsia="zh-CN"/>
        </w:rPr>
      </w:pPr>
      <w:r>
        <w:rPr>
          <w:rFonts w:hint="default"/>
          <w:lang w:val="en-US" w:eastAsia="zh-CN"/>
        </w:rPr>
      </w:r>
      <w:bookmarkEnd w:id="57"/>
      <w:r/>
      <w:bookmarkEnd w:id="58"/>
      <w:r/>
      <w:r/>
    </w:p>
    <w:p>
      <w:pPr>
        <w:pStyle w:val="971"/>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八</w:t>
      </w:r>
      <w:r>
        <w:rPr>
          <w:rFonts w:hint="eastAsia" w:ascii="宋体" w:hAnsi="宋体" w:eastAsia="宋体" w:cs="宋体"/>
          <w:b/>
          <w:bCs/>
          <w:sz w:val="24"/>
          <w:szCs w:val="24"/>
          <w:lang w:val="en-US" w:eastAsia="zh-CN" w:bidi="ar-SA"/>
        </w:rPr>
        <w:t xml:space="preserve">、其他</w:t>
      </w:r>
      <w:r/>
    </w:p>
    <w:p>
      <w:pPr>
        <w:numPr>
          <w:ilvl w:val="0"/>
          <w:numId w:val="0"/>
        </w:numPr>
        <w:ind w:firstLine="482"/>
        <w:keepLines w:val="0"/>
        <w:keepNext w:val="0"/>
        <w:pageBreakBefore w:val="0"/>
        <w:spacing w:after="156" w:line="400" w:lineRule="exact"/>
        <w:rPr>
          <w:sz w:val="21"/>
          <w:szCs w:val="21"/>
          <w:highlight w:val="none"/>
        </w:rPr>
      </w:pPr>
      <w:r>
        <w:rPr>
          <w:rFonts w:hint="eastAsia" w:ascii="宋体" w:hAnsi="宋体" w:eastAsia="宋体" w:cs="宋体"/>
          <w:b/>
          <w:sz w:val="24"/>
          <w:szCs w:val="24"/>
          <w:highlight w:val="none"/>
        </w:rPr>
        <w:t xml:space="preserve">本</w:t>
      </w:r>
      <w:r>
        <w:rPr>
          <w:rFonts w:hint="eastAsia" w:ascii="宋体" w:hAnsi="宋体" w:eastAsia="宋体" w:cs="宋体"/>
          <w:b/>
          <w:bCs/>
          <w:sz w:val="24"/>
          <w:szCs w:val="24"/>
          <w:highlight w:val="none"/>
          <w:lang w:val="en-US" w:eastAsia="zh-CN" w:bidi="ar-SA"/>
        </w:rPr>
        <w:t xml:space="preserve">项目为电子投标，中标单位在领取成交通知书时需递交二份完整的投标书。</w:t>
      </w:r>
      <w:r/>
    </w:p>
    <w:p>
      <w:pPr>
        <w:pStyle w:val="917"/>
        <w:rPr>
          <w:rFonts w:hint="eastAsia"/>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highlight w:val="none"/>
        </w:rPr>
      </w:r>
      <w:r/>
    </w:p>
    <w:p>
      <w:pPr>
        <w:pStyle w:val="915"/>
        <w:ind w:left="0"/>
        <w:jc w:val="center"/>
        <w:pageBreakBefore w:val="0"/>
        <w:spacing w:before="0" w:after="0" w:line="360" w:lineRule="auto"/>
        <w:widowControl w:val="off"/>
        <w:rPr>
          <w:rFonts w:hint="eastAsia" w:ascii="宋体" w:hAnsi="宋体"/>
          <w:color w:val="000000"/>
          <w:sz w:val="36"/>
          <w:highlight w:val="none"/>
        </w:rPr>
      </w:pPr>
      <w:r/>
      <w:bookmarkStart w:id="61" w:name="_Toc501353475"/>
      <w:r/>
      <w:bookmarkStart w:id="62" w:name="_Toc9031"/>
      <w:r/>
      <w:bookmarkStart w:id="63" w:name="_Toc12363"/>
      <w:r/>
      <w:bookmarkStart w:id="64" w:name="_Hlk525739388"/>
      <w:r>
        <w:rPr>
          <w:rFonts w:hint="eastAsia" w:ascii="宋体" w:hAnsi="宋体"/>
          <w:color w:val="000000"/>
          <w:sz w:val="36"/>
          <w:highlight w:val="none"/>
        </w:rPr>
        <w:t xml:space="preserve">第五章 评标方法及评标标准</w:t>
      </w:r>
      <w:bookmarkEnd w:id="61"/>
      <w:r/>
      <w:bookmarkEnd w:id="62"/>
      <w:r/>
      <w:bookmarkEnd w:id="63"/>
      <w:r/>
      <w:r/>
    </w:p>
    <w:p>
      <w:pPr>
        <w:pStyle w:val="961"/>
        <w:ind w:left="0" w:firstLine="442"/>
        <w:pageBreakBefore w:val="0"/>
        <w:spacing w:before="0" w:after="0" w:line="360" w:lineRule="auto"/>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一、评标方法</w:t>
      </w:r>
      <w:r/>
    </w:p>
    <w:p>
      <w:pPr>
        <w:pStyle w:val="961"/>
        <w:ind w:left="0" w:firstLine="440"/>
        <w:pageBreakBefore w:val="0"/>
        <w:spacing w:before="0" w:after="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442"/>
        <w:keepLines w:val="0"/>
        <w:keepNext w:val="0"/>
        <w:pageBreakBefore w:val="0"/>
        <w:spacing w:line="360" w:lineRule="auto"/>
        <w:widowControl w:val="off"/>
        <w:rPr>
          <w:rFonts w:hint="eastAsia" w:ascii="宋体" w:hAnsi="宋体" w:eastAsia="宋体" w:cs="宋体"/>
          <w:b/>
          <w:sz w:val="22"/>
          <w:szCs w:val="22"/>
          <w:highlight w:val="none"/>
        </w:rPr>
      </w:pPr>
      <w:r/>
      <w:bookmarkStart w:id="65" w:name="_Toc449016388"/>
      <w:r/>
      <w:bookmarkStart w:id="66" w:name="_Toc449017024"/>
      <w:r>
        <w:rPr>
          <w:rFonts w:hint="eastAsia" w:ascii="宋体" w:hAnsi="宋体" w:eastAsia="宋体" w:cs="宋体"/>
          <w:b/>
          <w:sz w:val="22"/>
          <w:szCs w:val="22"/>
          <w:highlight w:val="none"/>
        </w:rPr>
        <w:t xml:space="preserve">二、政府采购政策功能落实</w:t>
      </w:r>
      <w:bookmarkEnd w:id="65"/>
      <w:r/>
      <w:bookmarkEnd w:id="66"/>
      <w:r/>
      <w:r/>
    </w:p>
    <w:p>
      <w:pPr>
        <w:pStyle w:val="961"/>
        <w:ind w:left="0" w:firstLine="440"/>
        <w:keepLines w:val="0"/>
        <w:keepNext w:val="0"/>
        <w:pageBreakBefore w:val="0"/>
        <w:spacing w:before="0" w:after="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0" w:firstLine="11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1、小微型企业价格扣除</w:t>
      </w:r>
      <w:r/>
    </w:p>
    <w:p>
      <w:pPr>
        <w:ind w:left="0" w:firstLine="44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（1）本项目对小型和微型企业产品给予20%的扣除价格，用扣除后的价格参与评审。</w:t>
      </w:r>
      <w:r/>
    </w:p>
    <w:p>
      <w:pPr>
        <w:ind w:left="0" w:firstLine="44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（2）供应商需按照采购文件的要求提供相应的《企业声明函》。</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2、残疾人福利单位价格扣除</w:t>
      </w:r>
      <w:r/>
    </w:p>
    <w:p>
      <w:pPr>
        <w:ind w:left="0" w:firstLine="11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（1）本项目对残疾人福利性单位视同小型、微型企业，给予20%的价格扣除，用扣除后的价格参与评审。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（2）残疾人福利单位需按照采购文件的要求提供《残疾人福利性单位声明函》。</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3、监狱和戒毒企业价格扣除</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（1）本项目对监狱和戒毒企业（简称监狱企业）视同小型、微型企业，给予20%的价格扣除，用扣除后的价格参与评审。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w:t>
      </w:r>
      <w:r/>
    </w:p>
    <w:p>
      <w:pPr>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4、残疾人福利单位、监狱企业属于小型、微型企业的，不重复享受政策。</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6、联合体各方均为小型、微型企业（残疾人福利单位、监狱企业）的，联合体享受20%价格扣除，用扣除后的价格参与评审。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7、采购本国产品的支持政策</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供应商需按照招标文件的要求提供《关于符合本国产品标准的声明函》（以下简称《声明函》），如不提供将不享受本国产品价格评审优惠。</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jc w:val="left"/>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br w:type="page" w:clear="all"/>
      </w:r>
      <w:r/>
    </w:p>
    <w:p>
      <w:pPr>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评标标准</w:t>
      </w:r>
      <w:bookmarkEnd w:id="64"/>
      <w:r/>
      <w:bookmarkStart w:id="67" w:name="_Toc9577"/>
      <w:r/>
      <w:r/>
    </w:p>
    <w:tbl>
      <w:tblPr>
        <w:tblStyle w:val="9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1459"/>
        <w:gridCol w:w="5189"/>
        <w:gridCol w:w="847"/>
      </w:tblGrid>
      <w:tr>
        <w:trPr>
          <w:trHeight w:val="419"/>
        </w:trPr>
        <w:tc>
          <w:tcPr>
            <w:gridSpan w:val="2"/>
            <w:tcMar>
              <w:left w:w="108" w:type="dxa"/>
              <w:top w:w="0" w:type="dxa"/>
              <w:right w:w="108" w:type="dxa"/>
              <w:bottom w:w="0" w:type="dxa"/>
            </w:tcMar>
            <w:tcW w:w="1457"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评审内容</w:t>
            </w:r>
            <w:r/>
          </w:p>
        </w:tc>
        <w:tc>
          <w:tcPr>
            <w:tcMar>
              <w:left w:w="108" w:type="dxa"/>
              <w:top w:w="0" w:type="dxa"/>
              <w:right w:w="108" w:type="dxa"/>
              <w:bottom w:w="0" w:type="dxa"/>
            </w:tcMar>
            <w:tcW w:w="3045"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评分标准</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标准</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分值</w:t>
            </w:r>
            <w:r/>
          </w:p>
        </w:tc>
      </w:tr>
      <w:tr>
        <w:trPr>
          <w:trHeight w:val="1468"/>
        </w:trPr>
        <w:tc>
          <w:tcPr>
            <w:tcMar>
              <w:left w:w="108" w:type="dxa"/>
              <w:top w:w="0" w:type="dxa"/>
              <w:right w:w="108" w:type="dxa"/>
              <w:bottom w:w="0" w:type="dxa"/>
            </w:tcMar>
            <w:tcW w:w="601" w:type="pct"/>
            <w:vAlign w:val="center"/>
            <w:textDirection w:val="lrTb"/>
            <w:noWrap w:val="false"/>
          </w:tcPr>
          <w:p>
            <w:pPr>
              <w:ind w:left="0" w:right="0" w:firstLine="0"/>
              <w:jc w:val="center"/>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价格</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（30分）</w:t>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投标报价</w:t>
            </w:r>
            <w:r/>
          </w:p>
        </w:tc>
        <w:tc>
          <w:tcPr>
            <w:tcMar>
              <w:left w:w="108" w:type="dxa"/>
              <w:top w:w="0" w:type="dxa"/>
              <w:right w:w="108" w:type="dxa"/>
              <w:bottom w:w="0" w:type="dxa"/>
            </w:tcMar>
            <w:tcW w:w="3045" w:type="pct"/>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以满足招标文件要求的最低投标报价为评标基准价，得满分30分，其他投标报价得分=（评标基准价/其他投标报价）×30×100%。</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eastAsia="宋体"/>
                <w:highlight w:val="none"/>
                <w:lang w:val="en-US" w:eastAsia="zh-CN"/>
              </w:rPr>
              <w:t xml:space="preserve">30</w:t>
            </w:r>
            <w:r/>
          </w:p>
        </w:tc>
      </w:tr>
      <w:tr>
        <w:trPr>
          <w:trHeight w:val="3205"/>
        </w:trPr>
        <w:tc>
          <w:tcPr>
            <w:tcMar>
              <w:left w:w="108" w:type="dxa"/>
              <w:top w:w="0" w:type="dxa"/>
              <w:right w:w="108" w:type="dxa"/>
              <w:bottom w:w="0" w:type="dxa"/>
            </w:tcMar>
            <w:tcW w:w="601" w:type="pct"/>
            <w:vAlign w:val="center"/>
            <w:vMerge w:val="restart"/>
            <w:textDirection w:val="lrTb"/>
            <w:noWrap w:val="false"/>
          </w:tcPr>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商务部分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cs="宋体"/>
                <w:color w:val="000000"/>
                <w:sz w:val="21"/>
                <w:lang w:val="en-US" w:eastAsia="zh-CN"/>
              </w:rPr>
              <w:t xml:space="preserve">18</w:t>
            </w:r>
            <w:r>
              <w:rPr>
                <w:rFonts w:ascii="宋体" w:hAnsi="宋体" w:eastAsia="宋体" w:cs="宋体"/>
                <w:color w:val="000000"/>
                <w:sz w:val="21"/>
              </w:rPr>
              <w:t xml:space="preserve">分）</w:t>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综合实力</w:t>
            </w:r>
            <w:r/>
          </w:p>
        </w:tc>
        <w:tc>
          <w:tcPr>
            <w:tcMar>
              <w:left w:w="108" w:type="dxa"/>
              <w:top w:w="0" w:type="dxa"/>
              <w:right w:w="108" w:type="dxa"/>
              <w:bottom w:w="0" w:type="dxa"/>
            </w:tcMar>
            <w:tcW w:w="3045" w:type="pct"/>
            <w:vAlign w:val="center"/>
            <w:textDirection w:val="lrTb"/>
            <w:noWrap w:val="false"/>
          </w:tcPr>
          <w:p>
            <w:pPr>
              <w:numPr>
                <w:ilvl w:val="0"/>
                <w:numId w:val="0"/>
              </w:numPr>
              <w:ind w:left="0" w:right="0" w:firstLine="0"/>
              <w:jc w:val="left"/>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val="en-US" w:eastAsia="zh-CN" w:bidi="ar-SA"/>
              </w:rPr>
              <w:t xml:space="preserve">1、</w:t>
            </w:r>
            <w:r>
              <w:rPr>
                <w:rFonts w:hint="eastAsia" w:ascii="宋体" w:hAnsi="宋体" w:eastAsia="宋体" w:cs="宋体"/>
                <w:color w:val="000000"/>
                <w:sz w:val="21"/>
              </w:rPr>
              <w:t xml:space="preserve">投标人具有有效期内</w:t>
            </w:r>
            <w:r>
              <w:rPr>
                <w:rFonts w:hint="eastAsia" w:ascii="宋体" w:hAnsi="宋体" w:cs="宋体"/>
                <w:color w:val="000000"/>
                <w:sz w:val="21"/>
                <w:lang w:val="en-US" w:eastAsia="zh-CN"/>
              </w:rPr>
              <w:t xml:space="preserve">的</w:t>
            </w:r>
            <w:r>
              <w:rPr>
                <w:rFonts w:hint="eastAsia" w:ascii="宋体" w:hAnsi="宋体" w:eastAsia="宋体" w:cs="宋体"/>
                <w:color w:val="000000"/>
                <w:sz w:val="21"/>
              </w:rPr>
              <w:t xml:space="preserve">信息技术服务标准符合性证书（ITSS）运行维护一级得3分，二级得2分，二级以下得1分</w:t>
            </w:r>
            <w:r>
              <w:rPr>
                <w:rFonts w:ascii="宋体" w:hAnsi="宋体" w:eastAsia="宋体" w:cs="宋体"/>
                <w:color w:val="000000"/>
                <w:sz w:val="21"/>
              </w:rPr>
              <w:t xml:space="preserve">，不提供不得分。</w:t>
            </w:r>
            <w:r>
              <w:rPr>
                <w:rFonts w:ascii="宋体" w:hAnsi="宋体" w:eastAsia="宋体" w:cs="宋体"/>
                <w:color w:val="000000"/>
                <w:sz w:val="21"/>
              </w:rPr>
              <w:br/>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、投标人具备有效期内的</w:t>
            </w:r>
            <w:r>
              <w:rPr>
                <w:rFonts w:hint="eastAsia" w:ascii="宋体" w:hAnsi="宋体" w:eastAsia="宋体" w:cs="宋体"/>
                <w:color w:val="000000"/>
                <w:sz w:val="21"/>
              </w:rPr>
              <w:t xml:space="preserve">信息系统建设和服务能力(CS4)及以上证书得3分；具有信息系统建设和服务能力(CS3)证书得2分；具有信息系统建设和服务能力(CS2)证书得1分，</w:t>
            </w:r>
            <w:r>
              <w:rPr>
                <w:rFonts w:ascii="宋体" w:hAnsi="宋体" w:eastAsia="宋体" w:cs="宋体"/>
                <w:color w:val="000000"/>
                <w:sz w:val="21"/>
              </w:rPr>
              <w:t xml:space="preserve">不提供不得分。</w:t>
            </w:r>
            <w:r/>
          </w:p>
          <w:p>
            <w:pPr>
              <w:numPr>
                <w:ilvl w:val="0"/>
                <w:numId w:val="0"/>
              </w:numPr>
              <w:ind w:left="0" w:right="0" w:firstLine="0"/>
              <w:jc w:val="left"/>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投标人具备有效期内的电子与智能化工程专业承包证书二级以上得</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分，不提供不得分</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yellow"/>
              </w:rPr>
              <w:br/>
            </w:r>
            <w:r>
              <w:rPr>
                <w:rFonts w:hint="eastAsia" w:ascii="宋体" w:hAnsi="宋体" w:eastAsia="宋体" w:cs="宋体"/>
                <w:b/>
                <w:bCs/>
                <w:color w:val="auto"/>
                <w:sz w:val="21"/>
                <w:szCs w:val="21"/>
                <w:highlight w:val="none"/>
                <w:lang w:val="en-US" w:eastAsia="zh-CN" w:bidi="ar-SA"/>
              </w:rPr>
              <w:t xml:space="preserve">（提供以上1-</w:t>
            </w: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项证书，原件扫描上传）</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rPr>
                <w:rFonts w:hint="eastAsia" w:eastAsia="宋体"/>
                <w:highlight w:val="yellow"/>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7</w:t>
            </w:r>
            <w:r/>
          </w:p>
        </w:tc>
      </w:tr>
      <w:tr>
        <w:trPr>
          <w:trHeight w:val="741"/>
        </w:trPr>
        <w:tc>
          <w:tcPr>
            <w:tcW w:w="601" w:type="pct"/>
            <w:vMerge w:val="continue"/>
            <w:textDirection w:val="lrTb"/>
            <w:noWrap w:val="false"/>
          </w:tcPr>
          <w:p>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所投产品厂家实力</w:t>
            </w:r>
            <w:r/>
          </w:p>
        </w:tc>
        <w:tc>
          <w:tcPr>
            <w:tcMar>
              <w:left w:w="108" w:type="dxa"/>
              <w:top w:w="0" w:type="dxa"/>
              <w:right w:w="108" w:type="dxa"/>
              <w:bottom w:w="0" w:type="dxa"/>
            </w:tcMar>
            <w:tcW w:w="3045" w:type="pct"/>
            <w:vAlign w:val="center"/>
            <w:textDirection w:val="lrTb"/>
            <w:noWrap w:val="false"/>
          </w:tcPr>
          <w:p>
            <w:pPr>
              <w:numPr>
                <w:ilvl w:val="0"/>
                <w:numId w:val="0"/>
              </w:numPr>
              <w:ind w:right="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所投核心产品生产厂商具有国家信息安全漏洞库(CNNVD)二级及以上技术支撑单位证书的得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分，否则不得分。</w:t>
            </w:r>
            <w:r>
              <w:rPr>
                <w:rFonts w:hint="eastAsia" w:ascii="宋体" w:hAnsi="宋体" w:cs="宋体"/>
                <w:b/>
                <w:bCs/>
                <w:color w:val="000000"/>
                <w:sz w:val="21"/>
                <w:lang w:val="en-US" w:eastAsia="zh-CN"/>
              </w:rPr>
              <w:t xml:space="preserve">（须提供有效证书和官网查询截图，原件扫描上传</w:t>
            </w:r>
            <w:r>
              <w:rPr>
                <w:rFonts w:ascii="宋体" w:hAnsi="宋体" w:eastAsia="宋体" w:cs="宋体"/>
                <w:b/>
                <w:bCs/>
                <w:color w:val="000000"/>
                <w:sz w:val="21"/>
              </w:rPr>
              <w:t xml:space="preserve">)</w:t>
            </w:r>
            <w:r/>
          </w:p>
        </w:tc>
        <w:tc>
          <w:tcPr>
            <w:tcW w:w="497" w:type="pct"/>
            <w:vAlign w:val="center"/>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2</w:t>
            </w:r>
            <w:r/>
          </w:p>
        </w:tc>
      </w:tr>
      <w:tr>
        <w:trPr>
          <w:trHeight w:val="968"/>
        </w:trPr>
        <w:tc>
          <w:tcPr>
            <w:tcW w:w="601" w:type="pct"/>
            <w:vMerge w:val="continue"/>
            <w:textDirection w:val="lrTb"/>
            <w:noWrap w:val="false"/>
          </w:tcPr>
          <w:p>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业绩</w:t>
            </w:r>
            <w:r/>
          </w:p>
        </w:tc>
        <w:tc>
          <w:tcPr>
            <w:tcMar>
              <w:left w:w="108" w:type="dxa"/>
              <w:top w:w="0" w:type="dxa"/>
              <w:right w:w="108" w:type="dxa"/>
              <w:bottom w:w="0" w:type="dxa"/>
            </w:tcMar>
            <w:tcW w:w="3045" w:type="pct"/>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w:t>
            </w:r>
            <w:r>
              <w:rPr>
                <w:rFonts w:hint="eastAsia" w:ascii="宋体" w:hAnsi="宋体" w:cs="宋体"/>
                <w:color w:val="000000"/>
                <w:sz w:val="21"/>
                <w:lang w:val="en-US" w:eastAsia="zh-CN"/>
              </w:rPr>
              <w:t xml:space="preserve">23</w:t>
            </w:r>
            <w:r>
              <w:rPr>
                <w:rFonts w:ascii="宋体" w:hAnsi="宋体" w:eastAsia="宋体" w:cs="宋体"/>
                <w:color w:val="000000"/>
                <w:sz w:val="21"/>
              </w:rPr>
              <w:t xml:space="preserve">年1月1日以来至投标截止日期止，投标人</w:t>
            </w:r>
            <w:r>
              <w:rPr>
                <w:rFonts w:hint="eastAsia" w:ascii="宋体" w:hAnsi="宋体" w:cs="宋体"/>
                <w:color w:val="000000"/>
                <w:sz w:val="21"/>
                <w:lang w:val="en-US" w:eastAsia="zh-CN"/>
              </w:rPr>
              <w:t xml:space="preserve">承担过</w:t>
            </w:r>
            <w:r>
              <w:rPr>
                <w:rFonts w:ascii="宋体" w:hAnsi="宋体" w:eastAsia="宋体" w:cs="宋体"/>
                <w:color w:val="000000"/>
                <w:sz w:val="21"/>
              </w:rPr>
              <w:t xml:space="preserve">类似项目的业绩，每项得</w:t>
            </w:r>
            <w:r>
              <w:rPr>
                <w:rFonts w:hint="eastAsia" w:ascii="宋体" w:hAnsi="宋体" w:cs="宋体"/>
                <w:color w:val="000000"/>
                <w:sz w:val="21"/>
                <w:lang w:val="en-US" w:eastAsia="zh-CN"/>
              </w:rPr>
              <w:t xml:space="preserve">0.5</w:t>
            </w:r>
            <w:r>
              <w:rPr>
                <w:rFonts w:ascii="宋体" w:hAnsi="宋体" w:eastAsia="宋体" w:cs="宋体"/>
                <w:color w:val="000000"/>
                <w:sz w:val="21"/>
              </w:rPr>
              <w:t xml:space="preserve">分，满分</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w:t>
            </w:r>
            <w:r>
              <w:rPr>
                <w:rFonts w:ascii="宋体" w:hAnsi="宋体" w:eastAsia="宋体" w:cs="宋体"/>
                <w:b/>
                <w:bCs/>
                <w:color w:val="000000"/>
                <w:sz w:val="21"/>
              </w:rPr>
              <w:t xml:space="preserve">（</w:t>
            </w:r>
            <w:r>
              <w:rPr>
                <w:rFonts w:hint="eastAsia" w:ascii="宋体" w:hAnsi="宋体" w:cs="宋体"/>
                <w:b/>
                <w:bCs/>
                <w:color w:val="000000"/>
                <w:sz w:val="21"/>
                <w:lang w:val="en-US" w:eastAsia="zh-CN"/>
              </w:rPr>
              <w:t xml:space="preserve">须</w:t>
            </w:r>
            <w:r>
              <w:rPr>
                <w:rFonts w:ascii="宋体" w:hAnsi="宋体" w:eastAsia="宋体" w:cs="宋体"/>
                <w:b/>
                <w:bCs/>
                <w:color w:val="000000"/>
                <w:sz w:val="21"/>
              </w:rPr>
              <w:t xml:space="preserve">提供合同原件扫描</w:t>
            </w:r>
            <w:r>
              <w:rPr>
                <w:rFonts w:hint="eastAsia" w:ascii="宋体" w:hAnsi="宋体" w:cs="宋体"/>
                <w:b/>
                <w:bCs/>
                <w:color w:val="000000"/>
                <w:sz w:val="21"/>
                <w:lang w:val="en-US" w:eastAsia="zh-CN"/>
              </w:rPr>
              <w:t xml:space="preserve">上传</w:t>
            </w:r>
            <w:r>
              <w:rPr>
                <w:rFonts w:ascii="宋体" w:hAnsi="宋体" w:eastAsia="宋体" w:cs="宋体"/>
                <w:b/>
                <w:bCs/>
                <w:color w:val="000000"/>
                <w:sz w:val="21"/>
              </w:rPr>
              <w:t xml:space="preserve">）</w:t>
            </w:r>
            <w:r/>
          </w:p>
        </w:tc>
        <w:tc>
          <w:tcPr>
            <w:tcW w:w="497" w:type="pct"/>
            <w:vAlign w:val="center"/>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b w:val="0"/>
                <w:bCs w:val="0"/>
                <w:lang w:val="en-US" w:eastAsia="zh-CN"/>
              </w:rPr>
              <w:t xml:space="preserve">1</w:t>
            </w:r>
            <w:r/>
          </w:p>
        </w:tc>
      </w:tr>
      <w:tr>
        <w:trPr>
          <w:trHeight w:val="2791"/>
        </w:trPr>
        <w:tc>
          <w:tcPr>
            <w:tcW w:w="601" w:type="pct"/>
            <w:vMerge w:val="continue"/>
            <w:textDirection w:val="lrTb"/>
            <w:noWrap w:val="false"/>
          </w:tcPr>
          <w:p>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rPr>
                <w:rFonts w:hint="eastAsia"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人员</w:t>
            </w:r>
            <w:r>
              <w:rPr>
                <w:rFonts w:hint="eastAsia" w:ascii="宋体" w:hAnsi="宋体" w:cs="宋体"/>
                <w:color w:val="000000"/>
                <w:sz w:val="21"/>
                <w:lang w:val="en-US" w:eastAsia="zh-CN"/>
              </w:rPr>
              <w:t xml:space="preserve">配备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045" w:type="pct"/>
            <w:vAlign w:val="center"/>
            <w:textDirection w:val="lrTb"/>
            <w:noWrap w:val="false"/>
          </w:tcPr>
          <w:p>
            <w:pPr>
              <w:numPr>
                <w:ilvl w:val="0"/>
                <w:numId w:val="0"/>
              </w:numPr>
              <w:ind w:left="0" w:firstLine="0"/>
              <w:jc w:val="left"/>
              <w:spacing w:before="0" w:after="0" w:line="400" w:lineRule="atLeast"/>
              <w:tabs>
                <w:tab w:val="left" w:pos="312"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val="en-US" w:eastAsia="zh-CN" w:bidi="ar-SA"/>
              </w:rPr>
              <w:t xml:space="preserve">1、</w:t>
            </w:r>
            <w:r>
              <w:rPr>
                <w:rFonts w:ascii="宋体" w:hAnsi="宋体" w:eastAsia="宋体" w:cs="宋体"/>
                <w:color w:val="000000"/>
                <w:sz w:val="21"/>
              </w:rPr>
              <w:t xml:space="preserve">投标人针对本项目拟投入的项目负责人具备信息系统项目管理师、</w:t>
            </w:r>
            <w:r>
              <w:rPr>
                <w:rFonts w:hint="eastAsia" w:ascii="宋体" w:hAnsi="宋体" w:eastAsia="宋体" w:cs="宋体"/>
                <w:color w:val="000000"/>
                <w:sz w:val="21"/>
              </w:rPr>
              <w:t xml:space="preserve">系统</w:t>
            </w:r>
            <w:r>
              <w:rPr>
                <w:rFonts w:hint="eastAsia" w:ascii="宋体" w:hAnsi="宋体" w:cs="宋体"/>
                <w:color w:val="000000"/>
                <w:sz w:val="21"/>
                <w:lang w:val="en-US" w:eastAsia="zh-CN"/>
              </w:rPr>
              <w:t xml:space="preserve">集成项目管理工程师</w:t>
            </w:r>
            <w:r>
              <w:rPr>
                <w:rFonts w:hint="eastAsia" w:ascii="宋体" w:hAnsi="宋体" w:cs="宋体"/>
                <w:color w:val="000000"/>
                <w:sz w:val="21"/>
                <w:lang w:eastAsia="zh-CN"/>
              </w:rPr>
              <w:t xml:space="preserve">、信息安全工程师</w:t>
            </w:r>
            <w:r>
              <w:rPr>
                <w:rFonts w:hint="eastAsia" w:ascii="宋体" w:hAnsi="宋体" w:eastAsia="宋体" w:cs="宋体"/>
                <w:color w:val="000000"/>
                <w:sz w:val="21"/>
              </w:rPr>
              <w:t xml:space="preserve">证书</w:t>
            </w:r>
            <w:r>
              <w:rPr>
                <w:rFonts w:hint="eastAsia" w:ascii="宋体" w:hAnsi="宋体" w:cs="宋体"/>
                <w:color w:val="000000"/>
                <w:sz w:val="21"/>
                <w:lang w:val="en-US" w:eastAsia="zh-CN"/>
              </w:rPr>
              <w:t xml:space="preserve">的</w:t>
            </w:r>
            <w:r>
              <w:rPr>
                <w:rFonts w:ascii="宋体" w:hAnsi="宋体" w:eastAsia="宋体" w:cs="宋体"/>
                <w:color w:val="000000"/>
                <w:sz w:val="21"/>
              </w:rPr>
              <w:t xml:space="preserve">，</w:t>
            </w:r>
            <w:r>
              <w:rPr>
                <w:rFonts w:hint="eastAsia" w:ascii="宋体" w:hAnsi="宋体"/>
                <w:color w:val="000000"/>
              </w:rPr>
              <w:t xml:space="preserve">每提供一个有效证书得1分，</w:t>
            </w:r>
            <w:r>
              <w:rPr>
                <w:rFonts w:hint="eastAsia" w:ascii="宋体" w:hAnsi="宋体"/>
                <w:color w:val="000000"/>
                <w:lang w:val="en-US" w:eastAsia="zh-CN"/>
              </w:rPr>
              <w:t xml:space="preserve">满分3</w:t>
            </w:r>
            <w:r>
              <w:rPr>
                <w:rFonts w:hint="eastAsia" w:ascii="宋体" w:hAnsi="宋体"/>
                <w:color w:val="000000"/>
              </w:rPr>
              <w:t xml:space="preserve">分</w:t>
            </w:r>
            <w:r>
              <w:rPr>
                <w:rFonts w:ascii="宋体" w:hAnsi="宋体" w:eastAsia="宋体" w:cs="宋体"/>
                <w:color w:val="000000"/>
                <w:sz w:val="21"/>
              </w:rPr>
              <w:t xml:space="preserve">。</w:t>
            </w:r>
            <w:r>
              <w:rPr>
                <w:rFonts w:hint="eastAsia" w:ascii="宋体" w:hAnsi="宋体" w:cs="Times New Roman"/>
                <w:b/>
                <w:bCs/>
                <w:color w:val="auto"/>
                <w:szCs w:val="24"/>
              </w:rPr>
              <w:t xml:space="preserve">（提供证书及</w:t>
            </w:r>
            <w:r>
              <w:rPr>
                <w:rFonts w:hint="eastAsia" w:ascii="宋体" w:hAnsi="宋体" w:cs="宋体"/>
                <w:b/>
                <w:bCs/>
                <w:color w:val="auto"/>
                <w:szCs w:val="21"/>
              </w:rPr>
              <w:t xml:space="preserve">投标人为其缴纳近三个月内任意一个月的社保证明</w:t>
            </w:r>
            <w:r>
              <w:rPr>
                <w:rFonts w:hint="eastAsia" w:ascii="宋体" w:hAnsi="宋体"/>
                <w:b/>
                <w:bCs/>
                <w:color w:val="auto"/>
              </w:rPr>
              <w:t xml:space="preserve">，原件扫描上传</w:t>
            </w:r>
            <w:r>
              <w:rPr>
                <w:rFonts w:hint="eastAsia" w:ascii="宋体" w:hAnsi="宋体" w:cs="Times New Roman"/>
                <w:b/>
                <w:bCs/>
                <w:color w:val="auto"/>
                <w:szCs w:val="24"/>
                <w:lang w:eastAsia="zh-CN"/>
              </w:rPr>
              <w:t xml:space="preserve">。</w:t>
            </w:r>
            <w:r>
              <w:rPr>
                <w:rFonts w:hint="eastAsia" w:ascii="宋体" w:hAnsi="宋体" w:cs="Times New Roman"/>
                <w:b/>
                <w:bCs/>
                <w:color w:val="auto"/>
                <w:szCs w:val="24"/>
              </w:rPr>
              <w:t xml:space="preserve">）</w:t>
            </w:r>
            <w:r/>
          </w:p>
          <w:p>
            <w:pPr>
              <w:spacing w:line="360" w:lineRule="exact"/>
              <w:rPr>
                <w:rFonts w:hint="eastAsia" w:ascii="宋体" w:hAnsi="宋体" w:eastAsia="宋体" w:cs="宋体"/>
                <w:color w:val="000000"/>
                <w:sz w:val="21"/>
                <w:lang w:val="en-US" w:eastAsia="zh-CN"/>
              </w:rPr>
            </w:pPr>
            <w:r>
              <w:rPr>
                <w:rFonts w:hint="eastAsia" w:ascii="宋体" w:hAnsi="宋体" w:eastAsia="宋体" w:cs="Times New Roman"/>
                <w:lang w:val="en-US" w:eastAsia="zh-CN"/>
              </w:rPr>
              <w:t xml:space="preserve">2、</w:t>
            </w:r>
            <w:r>
              <w:rPr>
                <w:rFonts w:hint="eastAsia" w:ascii="宋体" w:hAnsi="宋体" w:eastAsia="宋体" w:cs="宋体"/>
                <w:color w:val="000000"/>
                <w:sz w:val="21"/>
                <w:lang w:val="en-US" w:eastAsia="zh-CN"/>
              </w:rPr>
              <w:t xml:space="preserve">拟投入项目技术负责人（与项目经理不为同一人）：具有高级安防系统集成项目经理专项技术证书、ITSS</w:t>
            </w:r>
            <w:r>
              <w:rPr>
                <w:rFonts w:hint="eastAsia" w:ascii="宋体" w:hAnsi="宋体" w:cs="宋体"/>
                <w:color w:val="000000"/>
                <w:sz w:val="21"/>
                <w:lang w:val="en-US" w:eastAsia="zh-CN"/>
              </w:rPr>
              <w:t xml:space="preserve"> </w:t>
            </w:r>
            <w:r>
              <w:rPr>
                <w:rFonts w:hint="eastAsia" w:ascii="宋体" w:hAnsi="宋体" w:eastAsia="宋体" w:cs="宋体"/>
                <w:color w:val="000000"/>
                <w:sz w:val="21"/>
                <w:lang w:val="en-US" w:eastAsia="zh-CN"/>
              </w:rPr>
              <w:t xml:space="preserve">IT服务工程师证书的，每提供一项有效认证证书得1分，满分2分。</w:t>
            </w:r>
            <w:r/>
          </w:p>
          <w:p>
            <w:pPr>
              <w:numPr>
                <w:ilvl w:val="0"/>
                <w:numId w:val="0"/>
              </w:numPr>
              <w:ind w:left="0" w:firstLine="0"/>
              <w:jc w:val="left"/>
              <w:spacing w:before="0" w:after="0" w:line="400"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cs="Times New Roman"/>
                <w:b/>
                <w:bCs/>
                <w:color w:val="auto"/>
                <w:szCs w:val="24"/>
              </w:rPr>
              <w:t xml:space="preserve">（提供证书及</w:t>
            </w:r>
            <w:r>
              <w:rPr>
                <w:rFonts w:hint="eastAsia" w:ascii="宋体" w:hAnsi="宋体" w:cs="宋体"/>
                <w:b/>
                <w:bCs/>
                <w:color w:val="auto"/>
                <w:szCs w:val="21"/>
              </w:rPr>
              <w:t xml:space="preserve">投标人为其缴纳近三个月内任意一个月的社保证明</w:t>
            </w:r>
            <w:r>
              <w:rPr>
                <w:rFonts w:hint="eastAsia" w:ascii="宋体" w:hAnsi="宋体"/>
                <w:b/>
                <w:bCs/>
                <w:color w:val="auto"/>
              </w:rPr>
              <w:t xml:space="preserve">，原件扫描上传</w:t>
            </w:r>
            <w:r>
              <w:rPr>
                <w:rFonts w:hint="eastAsia" w:ascii="宋体" w:hAnsi="宋体" w:cs="Times New Roman"/>
                <w:b/>
                <w:bCs/>
                <w:color w:val="auto"/>
                <w:szCs w:val="24"/>
                <w:lang w:eastAsia="zh-CN"/>
              </w:rPr>
              <w:t xml:space="preserve">。</w:t>
            </w:r>
            <w:r>
              <w:rPr>
                <w:rFonts w:hint="eastAsia" w:ascii="宋体" w:hAnsi="宋体" w:cs="Times New Roman"/>
                <w:b/>
                <w:bCs/>
                <w:color w:val="auto"/>
                <w:szCs w:val="24"/>
              </w:rPr>
              <w:t xml:space="preserve">）</w:t>
            </w:r>
            <w:r>
              <w:rPr>
                <w:rFonts w:ascii="宋体" w:hAnsi="宋体" w:eastAsia="宋体" w:cs="宋体"/>
                <w:color w:val="000000"/>
                <w:sz w:val="21"/>
              </w:rPr>
              <w:br/>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、项目组成员</w:t>
            </w:r>
            <w:r>
              <w:rPr>
                <w:rFonts w:hint="eastAsia" w:ascii="宋体" w:hAnsi="宋体" w:eastAsia="宋体" w:cs="Times New Roman"/>
                <w:lang w:val="en-US" w:eastAsia="zh-CN"/>
              </w:rPr>
              <w:t xml:space="preserve">（不含</w:t>
            </w:r>
            <w:r>
              <w:rPr>
                <w:rFonts w:hint="eastAsia" w:ascii="宋体" w:hAnsi="宋体" w:cs="Times New Roman"/>
                <w:lang w:val="en-US" w:eastAsia="zh-CN"/>
              </w:rPr>
              <w:t xml:space="preserve">项目负责人</w:t>
            </w:r>
            <w:r>
              <w:rPr>
                <w:rFonts w:hint="eastAsia" w:ascii="宋体" w:hAnsi="宋体" w:eastAsia="宋体" w:cs="Times New Roman"/>
                <w:lang w:val="en-US" w:eastAsia="zh-CN"/>
              </w:rPr>
              <w:t xml:space="preserve">、技术负责人</w:t>
            </w:r>
            <w:r>
              <w:rPr>
                <w:rFonts w:hint="eastAsia" w:ascii="宋体" w:hAnsi="宋体"/>
                <w:color w:val="000000" w:themeColor="text1"/>
                <w:highlight w:val="none"/>
                <w14:textFill>
                  <w14:solidFill>
                    <w14:schemeClr w14:val="tx1"/>
                  </w14:solidFill>
                </w14:textFill>
              </w:rPr>
              <w:t xml:space="preserve">）</w:t>
            </w:r>
            <w:r>
              <w:rPr>
                <w:rFonts w:ascii="宋体" w:hAnsi="宋体" w:eastAsia="宋体" w:cs="宋体"/>
                <w:color w:val="000000"/>
                <w:sz w:val="21"/>
              </w:rPr>
              <w:t xml:space="preserve">具有</w:t>
            </w:r>
            <w:r>
              <w:rPr>
                <w:rFonts w:hint="eastAsia"/>
              </w:rPr>
              <w:t xml:space="preserve">用户研究工程师证书</w:t>
            </w:r>
            <w:r>
              <w:rPr>
                <w:rFonts w:hint="eastAsia"/>
                <w:lang w:eastAsia="zh-CN"/>
              </w:rPr>
              <w:t xml:space="preserve">、</w:t>
            </w:r>
            <w:r>
              <w:rPr>
                <w:rFonts w:ascii="宋体" w:hAnsi="宋体" w:eastAsia="宋体" w:cs="宋体"/>
                <w:color w:val="000000"/>
                <w:sz w:val="21"/>
              </w:rPr>
              <w:t xml:space="preserve">网络技术工程师认证证书、信息安全保障人员认证证书（CISAW）证书，</w:t>
            </w:r>
            <w:r>
              <w:rPr>
                <w:rFonts w:hint="eastAsia" w:ascii="宋体" w:hAnsi="宋体"/>
                <w:color w:val="000000"/>
              </w:rPr>
              <w:t xml:space="preserve">每提供一个有效证书得1分，</w:t>
            </w:r>
            <w:r>
              <w:rPr>
                <w:rFonts w:hint="eastAsia" w:ascii="宋体" w:hAnsi="宋体"/>
                <w:color w:val="000000"/>
                <w:lang w:val="en-US" w:eastAsia="zh-CN"/>
              </w:rPr>
              <w:t xml:space="preserve">满分3</w:t>
            </w:r>
            <w:r>
              <w:rPr>
                <w:rFonts w:hint="eastAsia" w:ascii="宋体" w:hAnsi="宋体"/>
                <w:color w:val="000000"/>
              </w:rPr>
              <w:t xml:space="preserve">分</w:t>
            </w:r>
            <w:r>
              <w:rPr>
                <w:rFonts w:ascii="宋体" w:hAnsi="宋体" w:eastAsia="宋体" w:cs="宋体"/>
                <w:color w:val="000000"/>
                <w:sz w:val="21"/>
              </w:rPr>
              <w:t xml:space="preserve">。同一人员具有不同证书的不重复计算。</w:t>
            </w:r>
            <w:r>
              <w:rPr>
                <w:rFonts w:ascii="宋体" w:hAnsi="宋体" w:eastAsia="宋体" w:cs="宋体"/>
                <w:color w:val="000000"/>
                <w:sz w:val="21"/>
              </w:rPr>
              <w:br/>
            </w:r>
            <w:r>
              <w:rPr>
                <w:rFonts w:hint="eastAsia" w:ascii="宋体" w:hAnsi="宋体" w:cs="Times New Roman"/>
                <w:b/>
                <w:bCs/>
                <w:color w:val="auto"/>
                <w:szCs w:val="24"/>
              </w:rPr>
              <w:t xml:space="preserve">（提供证书及</w:t>
            </w:r>
            <w:r>
              <w:rPr>
                <w:rFonts w:hint="eastAsia" w:ascii="宋体" w:hAnsi="宋体" w:cs="宋体"/>
                <w:b/>
                <w:bCs/>
                <w:color w:val="auto"/>
                <w:szCs w:val="21"/>
              </w:rPr>
              <w:t xml:space="preserve">投标人为其缴纳近三个月内任意一个月的社保证明</w:t>
            </w:r>
            <w:r>
              <w:rPr>
                <w:rFonts w:hint="eastAsia" w:ascii="宋体" w:hAnsi="宋体"/>
                <w:b/>
                <w:bCs/>
                <w:color w:val="auto"/>
              </w:rPr>
              <w:t xml:space="preserve">，原件扫描上传</w:t>
            </w:r>
            <w:r>
              <w:rPr>
                <w:rFonts w:hint="eastAsia" w:ascii="宋体" w:hAnsi="宋体" w:cs="Times New Roman"/>
                <w:b/>
                <w:bCs/>
                <w:color w:val="auto"/>
                <w:szCs w:val="24"/>
                <w:lang w:eastAsia="zh-CN"/>
              </w:rPr>
              <w:t xml:space="preserve">。</w:t>
            </w:r>
            <w:r>
              <w:rPr>
                <w:rFonts w:hint="eastAsia" w:ascii="宋体" w:hAnsi="宋体" w:cs="Times New Roman"/>
                <w:b/>
                <w:bCs/>
                <w:color w:val="auto"/>
                <w:szCs w:val="24"/>
              </w:rPr>
              <w:t xml:space="preserve">）</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8</w:t>
            </w:r>
            <w:r/>
          </w:p>
        </w:tc>
      </w:tr>
      <w:tr>
        <w:trPr>
          <w:trHeight w:val="2566"/>
        </w:trPr>
        <w:tc>
          <w:tcPr>
            <w:tcMar>
              <w:left w:w="108" w:type="dxa"/>
              <w:top w:w="0" w:type="dxa"/>
              <w:right w:w="108" w:type="dxa"/>
              <w:bottom w:w="0" w:type="dxa"/>
            </w:tcMar>
            <w:tcW w:w="601" w:type="pct"/>
            <w:vAlign w:val="center"/>
            <w:vMerge w:val="restart"/>
            <w:textDirection w:val="lrTb"/>
            <w:noWrap w:val="false"/>
          </w:tcPr>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技术部分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宋体" w:hAnsi="宋体" w:cs="宋体"/>
                <w:color w:val="000000"/>
                <w:sz w:val="21"/>
                <w:lang w:val="en-US" w:eastAsia="zh-CN"/>
              </w:rPr>
              <w:t xml:space="preserve">52</w:t>
            </w:r>
            <w:r>
              <w:rPr>
                <w:rFonts w:ascii="宋体" w:hAnsi="宋体" w:eastAsia="宋体" w:cs="宋体"/>
                <w:color w:val="000000"/>
                <w:sz w:val="21"/>
              </w:rPr>
              <w:t xml:space="preserve">分)</w:t>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所投产品性能及技术指标</w:t>
            </w:r>
            <w:r/>
          </w:p>
        </w:tc>
        <w:tc>
          <w:tcPr>
            <w:tcMar>
              <w:left w:w="108" w:type="dxa"/>
              <w:top w:w="0" w:type="dxa"/>
              <w:right w:w="108" w:type="dxa"/>
              <w:bottom w:w="0" w:type="dxa"/>
            </w:tcMar>
            <w:tcW w:w="3045" w:type="pct"/>
            <w:vAlign w:val="center"/>
            <w:textDirection w:val="lrTb"/>
            <w:noWrap w:val="false"/>
          </w:tcPr>
          <w:p>
            <w:pPr>
              <w:contextualSpacing/>
              <w:ind w:right="0"/>
              <w:keepLines w:val="0"/>
              <w:keepNext w:val="0"/>
              <w:spacing w:before="0" w:beforeAutospacing="0" w:after="0" w:afterAutospacing="0" w:line="240" w:lineRule="auto"/>
              <w:rPr>
                <w:rFonts w:hint="eastAsia" w:ascii="宋体" w:hAnsi="宋体" w:cs="Times New Roman"/>
                <w:szCs w:val="24"/>
                <w:lang w:val="en-US" w:eastAsia="zh-CN"/>
              </w:rPr>
              <w:suppressLineNumbers w:val="0"/>
            </w:pPr>
            <w:r>
              <w:rPr>
                <w:rFonts w:hint="eastAsia" w:ascii="宋体" w:hAnsi="宋体" w:cs="Times New Roman"/>
                <w:szCs w:val="24"/>
                <w:lang w:val="en-US" w:eastAsia="zh-CN"/>
              </w:rPr>
              <w:t xml:space="preserve">根据招标文件详细技术要求，完全响应即满足招标文件各项技术指标、参数要求的得32分，加“★”的技术指标有一项负偏离的扣1分。</w:t>
            </w:r>
            <w:r/>
          </w:p>
          <w:p>
            <w:pPr>
              <w:ind w:left="0" w:right="0" w:firstLine="210"/>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szCs w:val="21"/>
                <w:lang w:val="en-US" w:eastAsia="zh-CN"/>
              </w:rPr>
              <w:t xml:space="preserve">（投标人须按照本招标文件的技术指标要求，在“技术参数响应偏离表”中如实详细填列所投功能参数，并提供有效的证明材料，不提供的视为不满足）</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32</w:t>
            </w:r>
            <w:r/>
          </w:p>
        </w:tc>
      </w:tr>
      <w:tr>
        <w:trPr>
          <w:trHeight w:val="5030"/>
        </w:trPr>
        <w:tc>
          <w:tcPr>
            <w:tcW w:w="601" w:type="pct"/>
            <w:vMerge w:val="continue"/>
            <w:textDirection w:val="lrTb"/>
            <w:noWrap w:val="false"/>
          </w:tcPr>
          <w:p>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设计</w:t>
            </w:r>
            <w:r>
              <w:rPr>
                <w:rFonts w:ascii="宋体" w:hAnsi="宋体" w:eastAsia="宋体" w:cs="宋体"/>
                <w:color w:val="000000"/>
                <w:sz w:val="21"/>
              </w:rPr>
              <w:t xml:space="preserve">方案</w:t>
            </w:r>
            <w:r/>
          </w:p>
        </w:tc>
        <w:tc>
          <w:tcPr>
            <w:tcMar>
              <w:left w:w="108" w:type="dxa"/>
              <w:top w:w="0" w:type="dxa"/>
              <w:right w:w="108" w:type="dxa"/>
              <w:bottom w:w="0" w:type="dxa"/>
            </w:tcMar>
            <w:tcW w:w="3045" w:type="pct"/>
            <w:vAlign w:val="center"/>
            <w:textDirection w:val="lrTb"/>
            <w:noWrap w:val="false"/>
          </w:tcPr>
          <w:p>
            <w:pPr>
              <w:ind w:right="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投标人根据招标文件第四章“项目需求”提供整体项目技术设计的专业性进行评价:技术设计</w:t>
            </w:r>
            <w:r>
              <w:rPr>
                <w:rFonts w:hint="eastAsia" w:ascii="宋体" w:hAnsi="宋体" w:eastAsia="宋体" w:cs="宋体"/>
                <w:color w:val="000000"/>
                <w:sz w:val="21"/>
              </w:rPr>
              <w:t xml:space="preserve">包括①公安执法办案区智能管理系统平台设计②对原有信息化设备全面检修及利旧使用方案③视频结构化定位系统入网部署设计</w:t>
            </w:r>
            <w:r>
              <w:rPr>
                <w:rFonts w:ascii="宋体" w:hAnsi="宋体" w:eastAsia="宋体" w:cs="宋体"/>
                <w:color w:val="000000"/>
                <w:sz w:val="21"/>
              </w:rPr>
              <w:fldChar w:fldCharType="begin"/>
            </w:r>
            <w:r>
              <w:rPr>
                <w:rFonts w:ascii="宋体" w:hAnsi="宋体" w:eastAsia="宋体" w:cs="宋体"/>
                <w:color w:val="000000"/>
                <w:sz w:val="21"/>
              </w:rPr>
              <w:instrText xml:space="preserve"> </w:instrText>
            </w:r>
            <w:r>
              <w:rPr>
                <w:rFonts w:hint="eastAsia" w:ascii="宋体" w:hAnsi="宋体" w:eastAsia="宋体" w:cs="宋体"/>
                <w:color w:val="000000"/>
                <w:sz w:val="21"/>
              </w:rPr>
              <w:instrText xml:space="preserve">= 4 \* GB3</w:instrText>
            </w:r>
            <w:r>
              <w:rPr>
                <w:rFonts w:ascii="宋体" w:hAnsi="宋体" w:eastAsia="宋体" w:cs="宋体"/>
                <w:color w:val="000000"/>
                <w:sz w:val="21"/>
              </w:rPr>
              <w:instrText xml:space="preserve"> </w:instrText>
            </w:r>
            <w:r>
              <w:rPr>
                <w:rFonts w:ascii="宋体" w:hAnsi="宋体" w:eastAsia="宋体" w:cs="宋体"/>
                <w:color w:val="000000"/>
                <w:sz w:val="21"/>
              </w:rPr>
              <w:fldChar w:fldCharType="separate"/>
            </w:r>
            <w:r>
              <w:rPr>
                <w:rFonts w:hint="eastAsia" w:ascii="宋体" w:hAnsi="宋体" w:eastAsia="宋体" w:cs="宋体"/>
                <w:color w:val="000000"/>
                <w:sz w:val="21"/>
              </w:rPr>
              <w:t xml:space="preserve">④</w:t>
            </w:r>
            <w:r>
              <w:rPr>
                <w:rFonts w:ascii="宋体" w:hAnsi="宋体" w:eastAsia="宋体" w:cs="宋体"/>
                <w:color w:val="000000"/>
                <w:sz w:val="21"/>
              </w:rPr>
              <w:fldChar w:fldCharType="end"/>
            </w:r>
            <w:r>
              <w:rPr>
                <w:rFonts w:ascii="宋体" w:hAnsi="宋体" w:eastAsia="宋体" w:cs="宋体"/>
                <w:color w:val="000000"/>
                <w:sz w:val="21"/>
              </w:rPr>
              <w:t xml:space="preserve">音视频等各类案件资料及</w:t>
            </w:r>
            <w:r>
              <w:rPr>
                <w:rFonts w:hint="eastAsia" w:ascii="宋体" w:hAnsi="宋体" w:eastAsia="宋体" w:cs="宋体"/>
                <w:color w:val="000000"/>
                <w:sz w:val="21"/>
              </w:rPr>
              <w:t xml:space="preserve">“一案一包”</w:t>
            </w:r>
            <w:r>
              <w:rPr>
                <w:rFonts w:ascii="宋体" w:hAnsi="宋体" w:eastAsia="宋体" w:cs="宋体"/>
                <w:color w:val="000000"/>
                <w:sz w:val="21"/>
              </w:rPr>
              <w:t xml:space="preserve">存储系统设计</w:t>
            </w:r>
            <w:r>
              <w:rPr>
                <w:rFonts w:hint="eastAsia" w:ascii="宋体" w:hAnsi="宋体" w:eastAsia="宋体" w:cs="宋体"/>
                <w:color w:val="000000"/>
                <w:sz w:val="21"/>
              </w:rPr>
              <w:t xml:space="preserve">⑤</w:t>
            </w:r>
            <w:r>
              <w:rPr>
                <w:rFonts w:ascii="宋体" w:hAnsi="宋体" w:eastAsia="宋体" w:cs="宋体"/>
                <w:color w:val="000000"/>
                <w:sz w:val="21"/>
              </w:rPr>
              <w:t xml:space="preserve">门禁系统整体改造方案</w:t>
            </w:r>
            <w:r>
              <w:rPr>
                <w:rFonts w:hint="eastAsia" w:ascii="宋体" w:hAnsi="宋体" w:eastAsia="宋体" w:cs="宋体"/>
                <w:color w:val="000000"/>
                <w:sz w:val="21"/>
              </w:rPr>
              <w:t xml:space="preserve">等</w:t>
            </w:r>
            <w:r>
              <w:rPr>
                <w:rFonts w:hint="eastAsia" w:ascii="宋体" w:hAnsi="宋体" w:cs="宋体"/>
                <w:color w:val="000000"/>
                <w:sz w:val="21"/>
                <w:lang w:eastAsia="zh-CN"/>
              </w:rPr>
              <w:t xml:space="preserve">。</w:t>
            </w:r>
            <w:r>
              <w:rPr>
                <w:rFonts w:ascii="宋体" w:hAnsi="宋体" w:eastAsia="宋体" w:cs="宋体"/>
                <w:color w:val="000000"/>
                <w:sz w:val="21"/>
              </w:rPr>
              <w:br/>
            </w:r>
            <w:r>
              <w:rPr>
                <w:rFonts w:ascii="宋体" w:hAnsi="宋体" w:eastAsia="宋体" w:cs="宋体"/>
                <w:color w:val="000000"/>
                <w:sz w:val="21"/>
              </w:rPr>
              <w:t xml:space="preserve">以上方案内容全面不漏项且有针对性解释说明的得5分；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以上内容有针对性解释说明，但漏缺1项的得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w:t>
            </w:r>
            <w:r/>
          </w:p>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2-3</w:t>
            </w:r>
            <w:r>
              <w:rPr>
                <w:rFonts w:ascii="宋体" w:hAnsi="宋体" w:eastAsia="宋体" w:cs="宋体"/>
                <w:color w:val="000000"/>
                <w:sz w:val="21"/>
              </w:rPr>
              <w:t xml:space="preserve">项的得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p>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4-5</w:t>
            </w:r>
            <w:r>
              <w:rPr>
                <w:rFonts w:ascii="宋体" w:hAnsi="宋体" w:eastAsia="宋体" w:cs="宋体"/>
                <w:color w:val="000000"/>
                <w:sz w:val="21"/>
              </w:rPr>
              <w:t xml:space="preserve">项的得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以上内容没有针对性解释说明或未提供方案的不得分。</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r>
      <w:tr>
        <w:trPr>
          <w:trHeight w:val="3685"/>
        </w:trPr>
        <w:tc>
          <w:tcPr>
            <w:tcW w:w="601" w:type="pct"/>
            <w:vMerge w:val="continue"/>
            <w:textDirection w:val="lrTb"/>
            <w:noWrap w:val="false"/>
          </w:tcPr>
          <w:p>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平台无缝对接方案</w:t>
            </w:r>
            <w:r/>
          </w:p>
        </w:tc>
        <w:tc>
          <w:tcPr>
            <w:tcMar>
              <w:left w:w="108" w:type="dxa"/>
              <w:top w:w="0" w:type="dxa"/>
              <w:right w:w="108" w:type="dxa"/>
              <w:bottom w:w="0" w:type="dxa"/>
            </w:tcMar>
            <w:tcW w:w="3045" w:type="pct"/>
            <w:vAlign w:val="center"/>
            <w:textDirection w:val="lrTb"/>
            <w:noWrap w:val="false"/>
          </w:tcPr>
          <w:p>
            <w:pPr>
              <w:ind w:left="0" w:right="0" w:firstLine="0"/>
              <w:spacing w:before="0" w:after="0" w:line="400" w:lineRule="atLeast"/>
              <w:rPr>
                <w:rFonts w:hint="eastAsia" w:ascii="宋体" w:hAnsi="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投标人根据招标文件第四章“项目需求”</w:t>
            </w:r>
            <w:r>
              <w:rPr>
                <w:rFonts w:hint="eastAsia" w:ascii="宋体" w:hAnsi="宋体" w:cs="宋体"/>
                <w:color w:val="000000"/>
                <w:sz w:val="21"/>
                <w:lang w:eastAsia="zh-CN"/>
              </w:rPr>
              <w:t xml:space="preserve">，</w:t>
            </w:r>
            <w:r>
              <w:rPr>
                <w:rFonts w:hint="eastAsia" w:ascii="宋体" w:hAnsi="宋体" w:eastAsia="宋体" w:cs="宋体"/>
                <w:color w:val="000000"/>
                <w:sz w:val="21"/>
              </w:rPr>
              <w:t xml:space="preserve">针对本项目所建设内容需与江苏省公安厅及</w:t>
            </w:r>
            <w:r>
              <w:rPr>
                <w:rFonts w:hint="eastAsia" w:ascii="宋体" w:hAnsi="宋体" w:eastAsia="宋体" w:cs="宋体"/>
                <w:color w:val="000000"/>
                <w:sz w:val="21"/>
                <w:lang w:val="en-US" w:eastAsia="zh-CN"/>
              </w:rPr>
              <w:t xml:space="preserve">扬州</w:t>
            </w:r>
            <w:r>
              <w:rPr>
                <w:rFonts w:hint="eastAsia" w:ascii="宋体" w:hAnsi="宋体" w:eastAsia="宋体" w:cs="宋体"/>
                <w:color w:val="000000"/>
                <w:sz w:val="21"/>
              </w:rPr>
              <w:t xml:space="preserve">公安、</w:t>
            </w:r>
            <w:r>
              <w:rPr>
                <w:rFonts w:hint="eastAsia" w:ascii="宋体" w:hAnsi="宋体" w:eastAsia="宋体" w:cs="宋体"/>
                <w:color w:val="000000"/>
                <w:sz w:val="21"/>
                <w:lang w:val="en-US" w:eastAsia="zh-CN"/>
              </w:rPr>
              <w:t xml:space="preserve">仪征</w:t>
            </w:r>
            <w:r>
              <w:rPr>
                <w:rFonts w:hint="eastAsia" w:ascii="宋体" w:hAnsi="宋体" w:eastAsia="宋体" w:cs="宋体"/>
                <w:color w:val="000000"/>
                <w:sz w:val="21"/>
              </w:rPr>
              <w:t xml:space="preserve">公安的相关业务系统及平台功能无缝对接，提供的系统无缝衔接方案，包括①各级公安现用系统平台的主要功能特点及接入规范与要求②与设备选型相关的各子系统功能及业务对接方案（含入网调试要求等）③业务系统对接相关数据汇聚及推送方案④系统平台在实战应用中常见问题与排查方法等</w:t>
            </w:r>
            <w:r>
              <w:rPr>
                <w:rFonts w:hint="eastAsia" w:ascii="宋体" w:hAnsi="宋体" w:cs="宋体"/>
                <w:color w:val="000000"/>
                <w:sz w:val="21"/>
                <w:lang w:eastAsia="zh-CN"/>
              </w:rPr>
              <w:t xml:space="preserve">。</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以上方案内容全面不漏项且有针对性解释说明的得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以上内容有针对性解释说明，但漏缺1项的得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2-3</w:t>
            </w:r>
            <w:r>
              <w:rPr>
                <w:rFonts w:ascii="宋体" w:hAnsi="宋体" w:eastAsia="宋体" w:cs="宋体"/>
                <w:color w:val="000000"/>
                <w:sz w:val="21"/>
              </w:rPr>
              <w:t xml:space="preserve">项</w:t>
            </w:r>
            <w:r>
              <w:rPr>
                <w:rFonts w:hint="eastAsia" w:ascii="宋体" w:hAnsi="宋体" w:cs="宋体"/>
                <w:color w:val="000000"/>
                <w:sz w:val="21"/>
                <w:lang w:val="en-US" w:eastAsia="zh-CN"/>
              </w:rPr>
              <w:t xml:space="preserve">及以上</w:t>
            </w:r>
            <w:r>
              <w:rPr>
                <w:rFonts w:ascii="宋体" w:hAnsi="宋体" w:eastAsia="宋体" w:cs="宋体"/>
                <w:color w:val="000000"/>
                <w:sz w:val="21"/>
              </w:rPr>
              <w:t xml:space="preserve">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p>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项的得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以上内容没有针对性解释说明或未提供方案的不得分。</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4</w:t>
            </w:r>
            <w:r/>
          </w:p>
        </w:tc>
      </w:tr>
      <w:tr>
        <w:trPr>
          <w:trHeight w:val="4510"/>
        </w:trPr>
        <w:tc>
          <w:tcPr>
            <w:tcW w:w="601" w:type="pct"/>
            <w:vMerge w:val="continue"/>
            <w:textDirection w:val="lrTb"/>
            <w:noWrap w:val="false"/>
          </w:tcPr>
          <w:p>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实施方案</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045" w:type="pct"/>
            <w:vAlign w:val="center"/>
            <w:textDirection w:val="lrTb"/>
            <w:noWrap w:val="false"/>
          </w:tcPr>
          <w:p>
            <w:pPr>
              <w:ind w:left="0" w:right="0" w:firstLine="0"/>
              <w:jc w:val="left"/>
              <w:spacing w:before="0" w:after="0" w:line="400" w:lineRule="atLeast"/>
              <w:rPr>
                <w:rFonts w:hint="eastAsia" w:ascii="宋体" w:hAnsi="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投标人</w:t>
            </w:r>
            <w:r>
              <w:rPr>
                <w:rFonts w:ascii="宋体" w:hAnsi="宋体" w:eastAsia="宋体" w:cs="宋体"/>
                <w:color w:val="000000"/>
                <w:sz w:val="21"/>
              </w:rPr>
              <w:t xml:space="preserve">根据招标文件第四章“项目需求”的要求，</w:t>
            </w:r>
            <w:r>
              <w:rPr>
                <w:rFonts w:hint="eastAsia" w:ascii="宋体" w:hAnsi="宋体" w:eastAsia="宋体" w:cs="宋体"/>
                <w:color w:val="000000"/>
                <w:sz w:val="21"/>
              </w:rPr>
              <w:t xml:space="preserve">针对本项目提供</w:t>
            </w:r>
            <w:r>
              <w:rPr>
                <w:rFonts w:ascii="宋体" w:hAnsi="宋体" w:eastAsia="宋体" w:cs="宋体"/>
                <w:color w:val="000000"/>
                <w:sz w:val="21"/>
              </w:rPr>
              <w:t xml:space="preserve">实施方案</w:t>
            </w:r>
            <w:r>
              <w:rPr>
                <w:rFonts w:hint="eastAsia" w:ascii="宋体" w:hAnsi="宋体" w:eastAsia="宋体" w:cs="宋体"/>
                <w:color w:val="000000"/>
                <w:sz w:val="21"/>
              </w:rPr>
              <w:t xml:space="preserve">，包括①项目施工进度管理（含工期、进度计划等）②项目安装调试方案③项目施工质量控制方案④项目验收环节⑤安全文明施工及环保措施等</w:t>
            </w:r>
            <w:r>
              <w:rPr>
                <w:rFonts w:hint="eastAsia" w:ascii="宋体" w:hAnsi="宋体" w:cs="宋体"/>
                <w:color w:val="000000"/>
                <w:sz w:val="21"/>
                <w:lang w:eastAsia="zh-CN"/>
              </w:rPr>
              <w:t xml:space="preserve">。</w:t>
            </w:r>
            <w:r/>
          </w:p>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以上方案内容全面不漏项且有针对性解释说明的得</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以上内容有针对性解释说明，但漏缺1项的得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w:t>
            </w:r>
            <w:r/>
          </w:p>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2-3</w:t>
            </w:r>
            <w:r>
              <w:rPr>
                <w:rFonts w:ascii="宋体" w:hAnsi="宋体" w:eastAsia="宋体" w:cs="宋体"/>
                <w:color w:val="000000"/>
                <w:sz w:val="21"/>
              </w:rPr>
              <w:t xml:space="preserve">项的得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p>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4-5</w:t>
            </w:r>
            <w:r>
              <w:rPr>
                <w:rFonts w:ascii="宋体" w:hAnsi="宋体" w:eastAsia="宋体" w:cs="宋体"/>
                <w:color w:val="000000"/>
                <w:sz w:val="21"/>
              </w:rPr>
              <w:t xml:space="preserve">项的得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以上内容没有针对性解释说明或未提供方案的不得分。</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5</w:t>
            </w:r>
            <w:r/>
          </w:p>
        </w:tc>
      </w:tr>
      <w:tr>
        <w:trPr>
          <w:trHeight w:val="499"/>
        </w:trPr>
        <w:tc>
          <w:tcPr>
            <w:tcW w:w="601" w:type="pct"/>
            <w:vMerge w:val="continue"/>
            <w:textDirection w:val="lrTb"/>
            <w:noWrap w:val="false"/>
          </w:tcPr>
          <w:p>
            <w:r/>
            <w:r/>
          </w:p>
        </w:tc>
        <w:tc>
          <w:tcPr>
            <w:shd w:val="clear" w:color="auto" w:fill="auto"/>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培训方案</w:t>
            </w:r>
            <w:r/>
          </w:p>
          <w:p>
            <w:pPr>
              <w:ind w:left="0" w:right="0" w:firstLine="0"/>
              <w:jc w:val="center"/>
              <w:spacing w:before="0" w:after="0" w:line="400" w:lineRule="atLeast"/>
              <w:rPr>
                <w:rFonts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2"/>
                <w:lang w:val="en-US" w:eastAsia="zh-CN" w:bidi="ar-SA"/>
              </w:rPr>
            </w:r>
            <w:r/>
          </w:p>
        </w:tc>
        <w:tc>
          <w:tcPr>
            <w:shd w:val="clear" w:color="auto" w:fill="auto"/>
            <w:tcMar>
              <w:left w:w="108" w:type="dxa"/>
              <w:top w:w="0" w:type="dxa"/>
              <w:right w:w="108" w:type="dxa"/>
              <w:bottom w:w="0" w:type="dxa"/>
            </w:tcMar>
            <w:tcW w:w="3045" w:type="pct"/>
            <w:vAlign w:val="center"/>
            <w:textDirection w:val="lrTb"/>
            <w:noWrap w:val="false"/>
          </w:tcPr>
          <w:p>
            <w:pPr>
              <w:ind w:left="0" w:right="0" w:firstLine="0"/>
              <w:jc w:val="left"/>
              <w:spacing w:before="0" w:after="0" w:line="400" w:lineRule="atLeast"/>
              <w:rPr>
                <w:rFonts w:hint="eastAsia" w:ascii="宋体" w:hAnsi="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投标人</w:t>
            </w:r>
            <w:r>
              <w:rPr>
                <w:rFonts w:ascii="宋体" w:hAnsi="宋体" w:eastAsia="宋体" w:cs="宋体"/>
                <w:color w:val="000000"/>
                <w:sz w:val="21"/>
              </w:rPr>
              <w:t xml:space="preserve">根据招标文件第四章“项目需求”的要求，</w:t>
            </w:r>
            <w:r>
              <w:rPr>
                <w:rFonts w:hint="eastAsia" w:ascii="宋体" w:hAnsi="宋体" w:eastAsia="宋体" w:cs="宋体"/>
                <w:color w:val="000000"/>
                <w:sz w:val="21"/>
              </w:rPr>
              <w:t xml:space="preserve">针对本项目提供培训方案，包括①培训计划（含详细课程安排、授课师资配备、时间地点等）②培训组织形式与目标要求③培训内容（含电子版培训资料及讲义等）</w:t>
            </w:r>
            <w:r>
              <w:rPr>
                <w:rFonts w:hint="eastAsia" w:ascii="宋体" w:hAnsi="宋体" w:cs="宋体"/>
                <w:color w:val="000000"/>
                <w:sz w:val="21"/>
                <w:lang w:eastAsia="zh-CN"/>
              </w:rPr>
              <w:t xml:space="preserve">。</w:t>
            </w:r>
            <w:r/>
          </w:p>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以上方案内容全面不漏项且有针对性解释说明的得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以上内容有针对性解释说明，但漏缺1项的得2分；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2-3</w:t>
            </w:r>
            <w:r>
              <w:rPr>
                <w:rFonts w:ascii="宋体" w:hAnsi="宋体" w:eastAsia="宋体" w:cs="宋体"/>
                <w:color w:val="000000"/>
                <w:sz w:val="21"/>
              </w:rPr>
              <w:t xml:space="preserve">项的得1分；</w:t>
            </w:r>
            <w:r/>
          </w:p>
          <w:p>
            <w:pPr>
              <w:ind w:left="0" w:right="0" w:firstLine="0"/>
              <w:spacing w:before="0" w:after="0" w:line="400" w:lineRule="atLeast"/>
              <w:rPr>
                <w:rFonts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以上内容没有针对性解释说明</w:t>
            </w:r>
            <w:r>
              <w:rPr>
                <w:rFonts w:hint="eastAsia" w:ascii="宋体" w:hAnsi="宋体" w:cs="宋体"/>
                <w:color w:val="000000"/>
                <w:sz w:val="21"/>
                <w:lang w:val="en-US" w:eastAsia="zh-CN"/>
              </w:rPr>
              <w:t xml:space="preserve">或</w:t>
            </w:r>
            <w:r>
              <w:rPr>
                <w:rFonts w:ascii="宋体" w:hAnsi="宋体" w:eastAsia="宋体" w:cs="宋体"/>
                <w:color w:val="000000"/>
                <w:sz w:val="21"/>
              </w:rPr>
              <w:t xml:space="preserve">未提供方案的不得分。</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3</w:t>
            </w:r>
            <w:r/>
          </w:p>
        </w:tc>
      </w:tr>
      <w:tr>
        <w:trPr>
          <w:trHeight w:val="3620"/>
        </w:trPr>
        <w:tc>
          <w:tcPr>
            <w:tcW w:w="601" w:type="pct"/>
            <w:vMerge w:val="continue"/>
            <w:textDirection w:val="lrTb"/>
            <w:noWrap w:val="false"/>
          </w:tcPr>
          <w:p>
            <w:r/>
            <w:r/>
          </w:p>
        </w:tc>
        <w:tc>
          <w:tcPr>
            <w:tcMar>
              <w:left w:w="108" w:type="dxa"/>
              <w:top w:w="0" w:type="dxa"/>
              <w:right w:w="108" w:type="dxa"/>
              <w:bottom w:w="0" w:type="dxa"/>
            </w:tcMar>
            <w:tcW w:w="856"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售后服务方案</w:t>
            </w:r>
            <w:r/>
          </w:p>
        </w:tc>
        <w:tc>
          <w:tcPr>
            <w:tcMar>
              <w:left w:w="108" w:type="dxa"/>
              <w:top w:w="0" w:type="dxa"/>
              <w:right w:w="108" w:type="dxa"/>
              <w:bottom w:w="0" w:type="dxa"/>
            </w:tcMar>
            <w:tcW w:w="3045" w:type="pct"/>
            <w:vAlign w:val="center"/>
            <w:textDirection w:val="lrTb"/>
            <w:noWrap w:val="false"/>
          </w:tcPr>
          <w:p>
            <w:pPr>
              <w:ind w:left="0" w:right="0" w:firstLine="0"/>
              <w:spacing w:before="0" w:after="0" w:line="40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投标人</w:t>
            </w:r>
            <w:r>
              <w:rPr>
                <w:rFonts w:ascii="宋体" w:hAnsi="宋体" w:eastAsia="宋体" w:cs="宋体"/>
                <w:color w:val="000000"/>
                <w:sz w:val="21"/>
              </w:rPr>
              <w:t xml:space="preserve">根据招标文件第四章“项目需求”的要求，</w:t>
            </w:r>
            <w:r>
              <w:rPr>
                <w:rFonts w:hint="eastAsia" w:ascii="宋体" w:hAnsi="宋体" w:eastAsia="宋体" w:cs="宋体"/>
                <w:color w:val="000000"/>
                <w:sz w:val="21"/>
              </w:rPr>
              <w:t xml:space="preserve">针对本项目提供售后服务机构和人员情况</w:t>
            </w:r>
            <w:r>
              <w:rPr>
                <w:rFonts w:ascii="宋体" w:hAnsi="宋体" w:eastAsia="宋体" w:cs="宋体"/>
                <w:color w:val="000000"/>
                <w:sz w:val="21"/>
              </w:rPr>
              <w:t xml:space="preserve">方案</w:t>
            </w:r>
            <w:r>
              <w:rPr>
                <w:rFonts w:hint="eastAsia" w:ascii="宋体" w:hAnsi="宋体" w:eastAsia="宋体" w:cs="宋体"/>
                <w:color w:val="000000"/>
                <w:sz w:val="21"/>
              </w:rPr>
              <w:t xml:space="preserve">，包括①</w:t>
            </w:r>
            <w:r>
              <w:rPr>
                <w:rFonts w:ascii="宋体" w:hAnsi="宋体" w:eastAsia="宋体" w:cs="宋体"/>
                <w:color w:val="000000"/>
                <w:sz w:val="21"/>
              </w:rPr>
              <w:t xml:space="preserve">售后</w:t>
            </w:r>
            <w:r>
              <w:rPr>
                <w:rFonts w:hint="eastAsia" w:ascii="宋体" w:hAnsi="宋体" w:eastAsia="宋体" w:cs="宋体"/>
                <w:color w:val="000000"/>
                <w:sz w:val="21"/>
              </w:rPr>
              <w:t xml:space="preserve">服务体系②</w:t>
            </w:r>
            <w:r>
              <w:rPr>
                <w:rFonts w:ascii="宋体" w:hAnsi="宋体" w:eastAsia="宋体" w:cs="宋体"/>
                <w:color w:val="000000"/>
                <w:sz w:val="21"/>
              </w:rPr>
              <w:t xml:space="preserve">售后服务保障措施</w:t>
            </w:r>
            <w:r>
              <w:rPr>
                <w:rFonts w:hint="eastAsia" w:ascii="宋体" w:hAnsi="宋体" w:eastAsia="宋体" w:cs="宋体"/>
                <w:color w:val="000000"/>
                <w:sz w:val="21"/>
              </w:rPr>
              <w:t xml:space="preserve">③项目应急预案</w:t>
            </w:r>
            <w:r>
              <w:rPr>
                <w:rFonts w:hint="eastAsia" w:ascii="宋体" w:hAnsi="宋体" w:cs="宋体"/>
                <w:color w:val="000000"/>
                <w:sz w:val="21"/>
                <w:lang w:val="en-US" w:eastAsia="zh-CN"/>
              </w:rPr>
              <w:t xml:space="preserve">等</w:t>
            </w:r>
            <w:r>
              <w:rPr>
                <w:rFonts w:ascii="宋体" w:hAnsi="宋体" w:eastAsia="宋体" w:cs="宋体"/>
                <w:color w:val="000000"/>
                <w:sz w:val="21"/>
              </w:rPr>
              <w:t xml:space="preserve">。</w:t>
            </w:r>
            <w:r>
              <w:rPr>
                <w:rFonts w:ascii="宋体" w:hAnsi="宋体" w:eastAsia="宋体" w:cs="宋体"/>
                <w:color w:val="000000"/>
                <w:sz w:val="21"/>
              </w:rPr>
              <w:br/>
            </w:r>
            <w:r>
              <w:rPr>
                <w:rFonts w:ascii="宋体" w:hAnsi="宋体" w:eastAsia="宋体" w:cs="宋体"/>
                <w:color w:val="000000"/>
                <w:sz w:val="21"/>
              </w:rPr>
              <w:t xml:space="preserve">以上方案内容全面不漏项且有针对性解释说明的得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以上内容有针对性解释说明，但漏缺1项的得</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以上内容有针对性解释说明，但漏缺</w:t>
            </w:r>
            <w:r>
              <w:rPr>
                <w:rFonts w:hint="eastAsia" w:ascii="宋体" w:hAnsi="宋体" w:cs="宋体"/>
                <w:color w:val="000000"/>
                <w:sz w:val="21"/>
                <w:lang w:val="en-US" w:eastAsia="zh-CN"/>
              </w:rPr>
              <w:t xml:space="preserve">2-3</w:t>
            </w:r>
            <w:r>
              <w:rPr>
                <w:rFonts w:ascii="宋体" w:hAnsi="宋体" w:eastAsia="宋体" w:cs="宋体"/>
                <w:color w:val="000000"/>
                <w:sz w:val="21"/>
              </w:rPr>
              <w:t xml:space="preserve">项的得1分；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以上内容没有针对性解释说明或未提供方案的不得分。</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3</w:t>
            </w:r>
            <w:r/>
          </w:p>
        </w:tc>
      </w:tr>
      <w:tr>
        <w:trPr>
          <w:trHeight w:val="440"/>
        </w:trPr>
        <w:tc>
          <w:tcPr>
            <w:gridSpan w:val="3"/>
            <w:tcMar>
              <w:left w:w="108" w:type="dxa"/>
              <w:top w:w="0" w:type="dxa"/>
              <w:right w:w="108" w:type="dxa"/>
              <w:bottom w:w="0" w:type="dxa"/>
            </w:tcMar>
            <w:tcW w:w="4502"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总分</w:t>
            </w:r>
            <w:r/>
          </w:p>
        </w:tc>
        <w:tc>
          <w:tcPr>
            <w:tcMar>
              <w:left w:w="108" w:type="dxa"/>
              <w:top w:w="0" w:type="dxa"/>
              <w:right w:w="108" w:type="dxa"/>
              <w:bottom w:w="0" w:type="dxa"/>
            </w:tcMar>
            <w:tcW w:w="497" w:type="pct"/>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w:t>
            </w:r>
            <w:r/>
          </w:p>
        </w:tc>
      </w:tr>
    </w:tbl>
    <w:p>
      <w:pPr>
        <w:pStyle w:val="915"/>
        <w:jc w:val="both"/>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color w:val="000000"/>
          <w:sz w:val="36"/>
          <w:szCs w:val="36"/>
          <w:highlight w:val="none"/>
        </w:rPr>
      </w:pPr>
      <w:r/>
      <w:bookmarkStart w:id="68" w:name="_Toc14740"/>
      <w:r>
        <w:rPr>
          <w:rFonts w:hint="eastAsia" w:ascii="宋体" w:hAnsi="宋体"/>
          <w:color w:val="000000"/>
          <w:sz w:val="36"/>
          <w:szCs w:val="36"/>
          <w:highlight w:val="none"/>
        </w:rPr>
        <w:br w:type="page" w:clear="all"/>
      </w:r>
      <w:r/>
    </w:p>
    <w:p>
      <w:pPr>
        <w:pStyle w:val="915"/>
        <w:jc w:val="center"/>
        <w:rPr>
          <w:sz w:val="36"/>
          <w:szCs w:val="36"/>
          <w:highlight w:val="none"/>
        </w:rPr>
      </w:pPr>
      <w:r>
        <w:rPr>
          <w:rFonts w:hint="eastAsia" w:ascii="宋体" w:hAnsi="宋体"/>
          <w:color w:val="000000"/>
          <w:sz w:val="36"/>
          <w:szCs w:val="36"/>
          <w:highlight w:val="none"/>
        </w:rPr>
        <w:t xml:space="preserve">第六章 投标文件格式</w:t>
      </w:r>
      <w:bookmarkEnd w:id="3"/>
      <w:r/>
      <w:bookmarkEnd w:id="4"/>
      <w:r/>
      <w:bookmarkEnd w:id="67"/>
      <w:r/>
      <w:bookmarkEnd w:id="68"/>
      <w:r/>
      <w:r/>
    </w:p>
    <w:p>
      <w:pPr>
        <w:pStyle w:val="926"/>
        <w:rPr>
          <w:highlight w:val="none"/>
        </w:rPr>
      </w:pPr>
      <w:r>
        <w:rPr>
          <w:highlight w:val="none"/>
        </w:rPr>
      </w:r>
      <w:r/>
    </w:p>
    <w:p>
      <w:pPr>
        <w:pStyle w:val="926"/>
        <w:rPr>
          <w:rFonts w:hint="eastAsia"/>
          <w:highlight w:val="none"/>
        </w:rPr>
      </w:pPr>
      <w:r>
        <w:rPr>
          <w:rFonts w:hint="eastAsia"/>
          <w:highlight w:val="none"/>
        </w:rPr>
      </w:r>
      <w:r/>
    </w:p>
    <w:p>
      <w:pPr>
        <w:pStyle w:val="926"/>
        <w:rPr>
          <w:rFonts w:hint="eastAsia"/>
          <w:highlight w:val="none"/>
        </w:rPr>
      </w:pPr>
      <w:r>
        <w:rPr>
          <w:rFonts w:hint="eastAsia"/>
          <w:highlight w:val="none"/>
        </w:rPr>
      </w:r>
      <w:r/>
    </w:p>
    <w:p>
      <w:pPr>
        <w:jc w:val="center"/>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22"/>
          <w:szCs w:val="21"/>
          <w:highlight w:val="none"/>
        </w:rPr>
      </w:pPr>
      <w:r>
        <w:rPr>
          <w:rFonts w:hint="eastAsia" w:ascii="宋体" w:hAnsi="宋体"/>
          <w:b/>
          <w:sz w:val="22"/>
          <w:szCs w:val="21"/>
          <w:highlight w:val="none"/>
        </w:rPr>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eastAsia="宋体"/>
          <w:b/>
          <w:sz w:val="72"/>
          <w:highlight w:val="none"/>
          <w:lang w:eastAsia="zh-CN"/>
        </w:rPr>
      </w:pPr>
      <w:r>
        <w:rPr>
          <w:rFonts w:hint="eastAsia" w:ascii="宋体" w:hAnsi="宋体" w:eastAsia="宋体"/>
          <w:b/>
          <w:sz w:val="72"/>
          <w:highlight w:val="none"/>
          <w:lang w:eastAsia="zh-CN"/>
        </w:rPr>
      </w:r>
      <w:r/>
    </w:p>
    <w:p>
      <w:pPr>
        <w:jc w:val="both"/>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投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投标主要文件目录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ascii="宋体" w:hAnsi="宋体"/>
          <w:sz w:val="24"/>
          <w:highlight w:val="none"/>
        </w:rPr>
      </w:pPr>
      <w:r>
        <w:rPr>
          <w:rFonts w:hint="eastAsia" w:ascii="宋体" w:hAnsi="宋体"/>
          <w:sz w:val="24"/>
          <w:highlight w:val="none"/>
        </w:rPr>
        <w:t xml:space="preserve">五、投标配置与分项报价表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jc w:val="center"/>
        <w:spacing w:after="312" w:line="360" w:lineRule="auto"/>
        <w:rPr>
          <w:rFonts w:hint="eastAsia" w:ascii="宋体" w:hAnsi="宋体"/>
          <w:b/>
          <w:bCs/>
          <w:szCs w:val="21"/>
          <w:highlight w:val="none"/>
        </w:rPr>
      </w:pPr>
      <w:r>
        <w:rPr>
          <w:rFonts w:hint="eastAsia" w:ascii="宋体" w:hAnsi="宋体"/>
          <w:b/>
          <w:bCs/>
          <w:szCs w:val="21"/>
          <w:highlight w:val="none"/>
        </w:rPr>
      </w:r>
      <w:r/>
    </w:p>
    <w:p>
      <w:pPr>
        <w:pStyle w:val="916"/>
        <w:jc w:val="center"/>
        <w:spacing w:line="360" w:lineRule="auto"/>
        <w:rPr>
          <w:rFonts w:ascii="宋体" w:hAnsi="宋体" w:eastAsia="宋体"/>
          <w:b w:val="0"/>
          <w:sz w:val="32"/>
          <w:szCs w:val="32"/>
          <w:highlight w:val="none"/>
        </w:rPr>
      </w:pPr>
      <w:r>
        <w:rPr>
          <w:rFonts w:hint="eastAsia" w:ascii="宋体" w:hAnsi="宋体" w:eastAsia="宋体"/>
          <w:sz w:val="32"/>
          <w:highlight w:val="none"/>
        </w:rPr>
        <w:t xml:space="preserve">一、资格审查响应对照表</w:t>
      </w:r>
      <w:r/>
    </w:p>
    <w:tbl>
      <w:tblPr>
        <w:tblStyle w:val="9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5626"/>
        <w:gridCol w:w="2227"/>
      </w:tblGrid>
      <w:tr>
        <w:trPr>
          <w:trHeight w:val="732"/>
        </w:trPr>
        <w:tc>
          <w:tcPr>
            <w:tcW w:w="391" w:type="pct"/>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序号</w:t>
            </w:r>
            <w:r/>
          </w:p>
        </w:tc>
        <w:tc>
          <w:tcPr>
            <w:tcW w:w="3301" w:type="pct"/>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1307" w:type="pct"/>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trHeight w:val="836"/>
        </w:trPr>
        <w:tc>
          <w:tcPr>
            <w:tcW w:w="391" w:type="pct"/>
            <w:vAlign w:val="center"/>
            <w:textDirection w:val="lrTb"/>
            <w:noWrap w:val="false"/>
          </w:tcPr>
          <w:p>
            <w:pPr>
              <w:jc w:val="center"/>
              <w:spacing w:line="360" w:lineRule="auto"/>
              <w:rPr>
                <w:rFonts w:ascii="宋体" w:hAnsi="宋体"/>
                <w:b/>
                <w:szCs w:val="21"/>
                <w:highlight w:val="none"/>
              </w:rPr>
            </w:pPr>
            <w:r>
              <w:rPr>
                <w:rFonts w:ascii="宋体" w:hAnsi="宋体"/>
                <w:b/>
                <w:szCs w:val="21"/>
                <w:highlight w:val="none"/>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836"/>
        </w:trPr>
        <w:tc>
          <w:tcPr>
            <w:tcW w:w="391" w:type="pct"/>
            <w:vAlign w:val="center"/>
            <w:textDirection w:val="lrTb"/>
            <w:noWrap w:val="false"/>
          </w:tcPr>
          <w:p>
            <w:pPr>
              <w:jc w:val="center"/>
              <w:spacing w:line="360" w:lineRule="auto"/>
              <w:rPr>
                <w:rFonts w:ascii="宋体" w:hAnsi="宋体"/>
                <w:b/>
                <w:szCs w:val="21"/>
                <w:highlight w:val="none"/>
              </w:rPr>
            </w:pPr>
            <w:r>
              <w:rPr>
                <w:rFonts w:ascii="宋体" w:hAnsi="宋体"/>
                <w:b/>
                <w:szCs w:val="21"/>
                <w:highlight w:val="none"/>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391"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391"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391"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35"/>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35"/>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806"/>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806"/>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806"/>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65"/>
        </w:trPr>
        <w:tc>
          <w:tcPr>
            <w:tcW w:w="391" w:type="pct"/>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r>
            <w:r/>
          </w:p>
        </w:tc>
        <w:tc>
          <w:tcPr>
            <w:tcW w:w="3301"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07" w:type="pct"/>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rPr>
          <w:rFonts w:hint="eastAsia" w:ascii="宋体" w:hAnsi="宋体"/>
          <w:b/>
          <w:bCs/>
          <w:highlight w:val="none"/>
        </w:rPr>
      </w:pPr>
      <w:r>
        <w:rPr>
          <w:rFonts w:hint="eastAsia" w:ascii="宋体" w:hAnsi="宋体"/>
          <w:b/>
          <w:bCs/>
          <w:highlight w:val="none"/>
        </w:rPr>
        <w:br w:type="page" w:clear="all"/>
      </w:r>
      <w:r/>
    </w:p>
    <w:p>
      <w:pPr>
        <w:ind w:firstLine="1476"/>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92"/>
        <w:spacing w:line="360" w:lineRule="auto"/>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62"/>
        <w:rPr>
          <w:rFonts w:hint="eastAsia" w:ascii="宋体" w:hAnsi="宋体"/>
          <w:szCs w:val="21"/>
          <w:highlight w:val="none"/>
        </w:rPr>
      </w:pPr>
      <w:r>
        <w:rPr>
          <w:rFonts w:hint="eastAsia" w:ascii="宋体" w:hAnsi="宋体"/>
          <w:szCs w:val="21"/>
          <w:highlight w:val="none"/>
        </w:rPr>
      </w:r>
      <w:r/>
    </w:p>
    <w:p>
      <w:pPr>
        <w:ind w:firstLine="420"/>
        <w:rPr>
          <w:rFonts w:hint="eastAsia" w:ascii="宋体" w:hAnsi="宋体"/>
          <w:szCs w:val="21"/>
          <w:highlight w:val="none"/>
        </w:rPr>
      </w:pPr>
      <w:r>
        <w:rPr>
          <w:rFonts w:hint="eastAsia" w:ascii="宋体" w:hAnsi="宋体"/>
          <w:szCs w:val="21"/>
          <w:highlight w:val="none"/>
        </w:rPr>
      </w:r>
      <w:r/>
    </w:p>
    <w:p>
      <w:pPr>
        <w:ind w:firstLine="420"/>
        <w:rPr>
          <w:rFonts w:hint="eastAsia" w:ascii="宋体" w:hAnsi="宋体"/>
          <w:szCs w:val="21"/>
          <w:highlight w:val="none"/>
        </w:rPr>
      </w:pPr>
      <w:r>
        <w:rPr>
          <w:rFonts w:hint="eastAsia" w:ascii="宋体" w:hAnsi="宋体"/>
          <w:szCs w:val="21"/>
          <w:highlight w:val="none"/>
        </w:rPr>
      </w:r>
      <w:r/>
    </w:p>
    <w:p>
      <w:pPr>
        <w:ind w:firstLine="4200"/>
        <w:spacing w:line="360" w:lineRule="auto"/>
        <w:rPr>
          <w:rFonts w:ascii="宋体" w:hAnsi="宋体"/>
          <w:bCs/>
          <w:highlight w:val="none"/>
        </w:rPr>
      </w:pPr>
      <w:r>
        <w:rPr>
          <w:rFonts w:hint="eastAsia" w:ascii="宋体" w:hAnsi="宋体"/>
          <w:bCs/>
          <w:highlight w:val="none"/>
        </w:rPr>
        <w:t xml:space="preserve">供应商名称（</w:t>
      </w:r>
      <w:r>
        <w:rPr>
          <w:rFonts w:ascii="宋体" w:hAnsi="宋体" w:eastAsia="宋体" w:cs="宋体"/>
          <w:color w:val="000000"/>
          <w:sz w:val="21"/>
        </w:rPr>
        <w:t xml:space="preserve">加盖CA电子公章</w:t>
      </w:r>
      <w:r>
        <w:rPr>
          <w:rFonts w:hint="eastAsia" w:ascii="宋体" w:hAnsi="宋体"/>
          <w:bCs/>
          <w:highlight w:val="none"/>
        </w:rPr>
        <w:t xml:space="preserve">）：</w:t>
      </w:r>
      <w:r/>
    </w:p>
    <w:p>
      <w:pPr>
        <w:spacing w:line="360" w:lineRule="auto"/>
        <w:rPr>
          <w:rFonts w:ascii="宋体" w:hAnsi="宋体"/>
          <w:bCs/>
          <w:highlight w:val="none"/>
        </w:rPr>
      </w:pP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法定代表人签章：</w:t>
      </w:r>
      <w:r>
        <w:rPr>
          <w:rFonts w:hint="eastAsia" w:ascii="宋体" w:hAnsi="宋体"/>
          <w:bCs/>
          <w:highlight w:val="none"/>
          <w:u w:val="none"/>
        </w:rPr>
        <w:t xml:space="preserve">_______________________</w:t>
      </w:r>
      <w:r/>
    </w:p>
    <w:p>
      <w:pPr>
        <w:pStyle w:val="927"/>
        <w:ind w:left="1470" w:right="1470"/>
        <w:rPr>
          <w:rFonts w:hint="eastAsia" w:ascii="宋体" w:hAnsi="宋体"/>
          <w:szCs w:val="21"/>
          <w:highlight w:val="none"/>
        </w:rPr>
      </w:pPr>
      <w:r>
        <w:rPr>
          <w:rFonts w:hint="eastAsia" w:ascii="宋体" w:hAnsi="宋体"/>
          <w:bCs/>
          <w:highlight w:val="none"/>
        </w:rPr>
        <w:t xml:space="preserve">                          日期：</w:t>
      </w:r>
      <w:r>
        <w:rPr>
          <w:rFonts w:hint="eastAsia" w:ascii="宋体" w:hAnsi="宋体"/>
          <w:bCs/>
          <w:highlight w:val="none"/>
          <w:u w:val="none"/>
        </w:rPr>
        <w:t xml:space="preserve">______</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pStyle w:val="927"/>
        <w:ind w:left="1470" w:right="1470"/>
        <w:rPr>
          <w:rFonts w:hint="eastAsia" w:ascii="宋体" w:hAnsi="宋体"/>
          <w:szCs w:val="21"/>
          <w:highlight w:val="none"/>
        </w:rPr>
      </w:pPr>
      <w:r>
        <w:rPr>
          <w:rFonts w:hint="eastAsia" w:ascii="宋体" w:hAnsi="宋体"/>
          <w:szCs w:val="21"/>
          <w:highlight w:val="none"/>
        </w:rPr>
      </w:r>
      <w:r/>
    </w:p>
    <w:p>
      <w:pPr>
        <w:pStyle w:val="927"/>
        <w:ind w:left="1470" w:right="1470"/>
        <w:rPr>
          <w:rFonts w:hint="eastAsia" w:ascii="宋体" w:hAnsi="宋体"/>
          <w:szCs w:val="21"/>
          <w:highlight w:val="none"/>
        </w:rPr>
      </w:pPr>
      <w:r>
        <w:rPr>
          <w:rFonts w:hint="eastAsia" w:ascii="宋体" w:hAnsi="宋体"/>
          <w:szCs w:val="21"/>
          <w:highlight w:val="none"/>
        </w:rPr>
      </w:r>
      <w:r/>
    </w:p>
    <w:p>
      <w:pPr>
        <w:pStyle w:val="927"/>
        <w:ind w:left="1470" w:right="1470"/>
        <w:rPr>
          <w:rFonts w:hint="eastAsia" w:ascii="宋体" w:hAnsi="宋体"/>
          <w:szCs w:val="21"/>
          <w:highlight w:val="none"/>
        </w:rPr>
      </w:pPr>
      <w:r>
        <w:rPr>
          <w:rFonts w:hint="eastAsia" w:ascii="宋体" w:hAnsi="宋体"/>
          <w:szCs w:val="21"/>
          <w:highlight w:val="none"/>
        </w:rPr>
      </w:r>
      <w:r/>
    </w:p>
    <w:p>
      <w:pPr>
        <w:jc w:val="left"/>
        <w:rPr>
          <w:rFonts w:hint="eastAsia" w:ascii="宋体" w:hAnsi="宋体"/>
          <w:b/>
          <w:sz w:val="22"/>
          <w:szCs w:val="21"/>
          <w:highlight w:val="none"/>
        </w:rPr>
      </w:pPr>
      <w:r>
        <w:rPr>
          <w:rFonts w:hint="eastAsia" w:ascii="宋体" w:hAnsi="宋体"/>
          <w:b/>
          <w:sz w:val="22"/>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jc w:val="left"/>
        <w:rPr>
          <w:rFonts w:hint="eastAsia" w:ascii="宋体" w:hAnsi="宋体"/>
          <w:b/>
          <w:szCs w:val="21"/>
          <w:highlight w:val="none"/>
        </w:rPr>
      </w:pPr>
      <w:r>
        <w:rPr>
          <w:rFonts w:hint="eastAsia" w:ascii="宋体" w:hAnsi="宋体"/>
          <w:b/>
          <w:szCs w:val="21"/>
          <w:highlight w:val="none"/>
        </w:rPr>
      </w:r>
      <w:r/>
    </w:p>
    <w:p>
      <w:pPr>
        <w:spacing w:after="312"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bCs/>
          <w:highlight w:val="none"/>
        </w:rPr>
      </w:pP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highlight w:val="none"/>
        </w:rPr>
      </w:pPr>
      <w:r>
        <w:rPr>
          <w:rFonts w:hint="eastAsia" w:ascii="宋体" w:hAnsi="宋体"/>
          <w:bCs/>
          <w:highlight w:val="none"/>
        </w:rPr>
        <w:t xml:space="preserve">                               供应商名称（</w:t>
      </w:r>
      <w:r>
        <w:rPr>
          <w:rFonts w:ascii="宋体" w:hAnsi="宋体" w:eastAsia="宋体" w:cs="宋体"/>
          <w:color w:val="000000"/>
          <w:sz w:val="21"/>
        </w:rPr>
        <w:t xml:space="preserve">加盖CA电子公章</w:t>
      </w:r>
      <w:r>
        <w:rPr>
          <w:rFonts w:hint="eastAsia" w:ascii="宋体" w:hAnsi="宋体"/>
          <w:bCs/>
          <w:highlight w:val="none"/>
        </w:rPr>
        <w:t xml:space="preserve">）：</w:t>
      </w:r>
      <w:r/>
    </w:p>
    <w:p>
      <w:pPr>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bCs/>
          <w:highlight w:val="none"/>
          <w:u w:val="none"/>
        </w:rPr>
        <w:t xml:space="preserve">_______________________</w:t>
      </w:r>
      <w:r/>
    </w:p>
    <w:p>
      <w:pPr>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u w:val="none"/>
        </w:rPr>
        <w:t xml:space="preserve">______</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spacing w:before="50" w:after="50"/>
        <w:rPr>
          <w:rFonts w:hint="eastAsia" w:ascii="黑体" w:hAnsi="Tahoma" w:eastAsia="黑体"/>
          <w:sz w:val="22"/>
          <w:szCs w:val="21"/>
          <w:highlight w:val="none"/>
        </w:rPr>
      </w:pPr>
      <w:r>
        <w:rPr>
          <w:rFonts w:hint="eastAsia" w:ascii="黑体" w:hAnsi="Tahoma" w:eastAsia="黑体"/>
          <w:sz w:val="22"/>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hint="eastAsia" w:ascii="黑体" w:eastAsia="黑体"/>
          <w:szCs w:val="21"/>
          <w:highlight w:val="none"/>
        </w:rPr>
      </w:pPr>
      <w:r>
        <w:rPr>
          <w:rFonts w:hint="eastAsia" w:ascii="黑体" w:eastAsia="黑体"/>
          <w:szCs w:val="21"/>
          <w:highlight w:val="none"/>
        </w:rPr>
      </w:r>
      <w:r/>
    </w:p>
    <w:p>
      <w:pPr>
        <w:spacing w:before="50" w:after="50"/>
        <w:rPr>
          <w:rFonts w:ascii="黑体" w:eastAsia="黑体"/>
          <w:szCs w:val="21"/>
          <w:highlight w:val="none"/>
        </w:rPr>
      </w:pPr>
      <w:r>
        <w:rPr>
          <w:rFonts w:ascii="黑体" w:eastAsia="黑体"/>
          <w:szCs w:val="21"/>
          <w:highlight w:val="none"/>
        </w:rPr>
      </w:r>
      <w:r/>
    </w:p>
    <w:p>
      <w:pPr>
        <w:pStyle w:val="926"/>
        <w:rPr>
          <w:highlight w:val="none"/>
          <w:lang w:val="en-US" w:eastAsia="zh-CN"/>
        </w:rPr>
      </w:pPr>
      <w:r>
        <w:rPr>
          <w:highlight w:val="none"/>
          <w:lang w:val="en-US" w:eastAsia="zh-CN"/>
        </w:rPr>
      </w:r>
      <w:r/>
    </w:p>
    <w:p>
      <w:pPr>
        <w:pStyle w:val="926"/>
        <w:rPr>
          <w:rFonts w:hint="eastAsia"/>
          <w:highlight w:val="none"/>
          <w:lang w:val="en-US" w:eastAsia="zh-CN"/>
        </w:rPr>
      </w:pPr>
      <w:r>
        <w:rPr>
          <w:rFonts w:hint="eastAsia"/>
          <w:highlight w:val="none"/>
          <w:lang w:val="en-US" w:eastAsia="zh-CN"/>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both"/>
        <w:spacing w:line="360" w:lineRule="auto"/>
        <w:rPr>
          <w:rFonts w:hint="eastAsia" w:ascii="宋体" w:hAnsi="宋体"/>
          <w:b/>
          <w:szCs w:val="21"/>
          <w:highlight w:val="none"/>
        </w:rPr>
      </w:pPr>
      <w:r>
        <w:rPr>
          <w:rFonts w:hint="eastAsia" w:ascii="宋体" w:hAnsi="宋体"/>
          <w:b/>
          <w:szCs w:val="21"/>
          <w:highlight w:val="none"/>
        </w:rPr>
      </w:r>
      <w:r/>
    </w:p>
    <w:p>
      <w:pPr>
        <w:jc w:val="both"/>
        <w:spacing w:line="360" w:lineRule="auto"/>
        <w:rPr>
          <w:rFonts w:hint="eastAsia" w:ascii="宋体" w:hAnsi="宋体"/>
          <w:b/>
          <w:szCs w:val="21"/>
          <w:highlight w:val="none"/>
        </w:rPr>
      </w:pPr>
      <w:r>
        <w:rPr>
          <w:rFonts w:hint="eastAsia" w:ascii="宋体" w:hAnsi="宋体"/>
          <w:b/>
          <w:szCs w:val="21"/>
          <w:highlight w:val="none"/>
        </w:rPr>
      </w:r>
      <w:r/>
    </w:p>
    <w:p>
      <w:pPr>
        <w:pStyle w:val="921"/>
        <w:rPr>
          <w:rFonts w:hint="eastAsia"/>
        </w:rPr>
      </w:pPr>
      <w:r>
        <w:rPr>
          <w:rFonts w:hint="eastAsia"/>
        </w:rPr>
      </w:r>
      <w:r/>
    </w:p>
    <w:p>
      <w:pPr>
        <w:rPr>
          <w:rFonts w:hint="eastAsia" w:ascii="宋体" w:hAnsi="宋体"/>
          <w:b/>
          <w:szCs w:val="21"/>
          <w:highlight w:val="none"/>
        </w:rPr>
      </w:pPr>
      <w:r>
        <w:rPr>
          <w:rFonts w:hint="eastAsia" w:ascii="宋体" w:hAnsi="宋体"/>
          <w:b/>
          <w:szCs w:val="21"/>
          <w:highlight w:val="none"/>
        </w:rPr>
      </w:r>
      <w:r/>
    </w:p>
    <w:p>
      <w:pPr>
        <w:pStyle w:val="921"/>
        <w:rPr>
          <w:rFonts w:hint="eastAsia"/>
        </w:rPr>
      </w:pPr>
      <w:r>
        <w:rPr>
          <w:rFonts w:hint="eastAsia"/>
        </w:rPr>
      </w:r>
      <w:r/>
    </w:p>
    <w:p>
      <w:pPr>
        <w:jc w:val="center"/>
        <w:spacing w:line="360" w:lineRule="auto"/>
        <w:rPr>
          <w:rFonts w:ascii="宋体" w:hAnsi="宋体"/>
          <w:b/>
          <w:szCs w:val="21"/>
          <w:highlight w:val="none"/>
        </w:rPr>
      </w:pPr>
      <w:r>
        <w:rPr>
          <w:rFonts w:hint="eastAsia" w:ascii="宋体" w:hAnsi="宋体"/>
          <w:b/>
          <w:szCs w:val="21"/>
          <w:highlight w:val="none"/>
        </w:rPr>
        <w:t xml:space="preserve">供应商信用承诺书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（注：法定代表人或负责人、主体名称发生变更的应当重新做出承诺。）</w:t>
      </w:r>
      <w:r/>
    </w:p>
    <w:p>
      <w:pPr>
        <w:spacing w:line="360" w:lineRule="auto"/>
        <w:rPr>
          <w:rFonts w:ascii="宋体" w:hAnsi="宋体"/>
          <w:szCs w:val="21"/>
          <w:highlight w:val="none"/>
        </w:rPr>
      </w:pPr>
      <w:r>
        <w:rPr>
          <w:rFonts w:ascii="宋体" w:hAnsi="宋体"/>
          <w:szCs w:val="21"/>
          <w:highlight w:val="none"/>
        </w:rPr>
      </w:r>
      <w:r/>
    </w:p>
    <w:p>
      <w:pPr>
        <w:jc w:val="center"/>
        <w:spacing w:line="360" w:lineRule="auto"/>
        <w:rPr>
          <w:rFonts w:ascii="宋体" w:hAnsi="宋体"/>
          <w:szCs w:val="21"/>
          <w:highlight w:val="none"/>
        </w:rPr>
      </w:pPr>
      <w:r>
        <w:rPr>
          <w:rFonts w:hint="eastAsia" w:ascii="宋体" w:hAnsi="宋体"/>
          <w:szCs w:val="21"/>
          <w:highlight w:val="none"/>
        </w:rPr>
        <w:t xml:space="preserve">　　　　　　　　　　        承诺单位（签章）：</w:t>
      </w:r>
      <w:r/>
    </w:p>
    <w:p>
      <w:pPr>
        <w:jc w:val="center"/>
        <w:spacing w:line="360" w:lineRule="auto"/>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法定代表人（负责人）：</w:t>
      </w:r>
      <w:r/>
    </w:p>
    <w:p>
      <w:pPr>
        <w:jc w:val="center"/>
        <w:spacing w:line="360" w:lineRule="auto"/>
        <w:rPr>
          <w:rFonts w:hint="eastAsia" w:ascii="宋体" w:hAnsi="宋体"/>
          <w:bCs/>
          <w:sz w:val="24"/>
          <w:highlight w:val="non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年 </w:t>
      </w:r>
      <w:r>
        <w:rPr>
          <w:rFonts w:hint="eastAsia" w:ascii="宋体" w:hAnsi="宋体"/>
          <w:szCs w:val="21"/>
          <w:highlight w:val="none"/>
          <w:lang w:val="en-US" w:eastAsia="zh-CN"/>
        </w:rPr>
        <w:t xml:space="preserve">          </w:t>
      </w:r>
      <w:r>
        <w:rPr>
          <w:rFonts w:hint="eastAsia" w:ascii="宋体" w:hAnsi="宋体"/>
          <w:szCs w:val="21"/>
          <w:highlight w:val="none"/>
        </w:rPr>
        <w:t xml:space="preserve">月</w:t>
      </w:r>
      <w:r>
        <w:rPr>
          <w:rFonts w:hint="eastAsia" w:ascii="宋体" w:hAnsi="宋体"/>
          <w:szCs w:val="21"/>
          <w:highlight w:val="none"/>
          <w:lang w:val="en-US" w:eastAsia="zh-CN"/>
        </w:rPr>
        <w:t xml:space="preserve">   </w:t>
      </w:r>
      <w:r>
        <w:rPr>
          <w:rFonts w:hint="eastAsia" w:ascii="宋体" w:hAnsi="宋体"/>
          <w:szCs w:val="21"/>
          <w:highlight w:val="none"/>
        </w:rPr>
        <w:t xml:space="preserve">日</w:t>
      </w:r>
      <w:r/>
    </w:p>
    <w:p>
      <w:pPr>
        <w:jc w:val="center"/>
        <w:spacing w:line="360" w:lineRule="auto"/>
        <w:rPr>
          <w:rFonts w:hint="eastAsia" w:ascii="宋体" w:hAnsi="宋体"/>
          <w:b/>
          <w:bCs/>
          <w:szCs w:val="21"/>
          <w:highlight w:val="none"/>
        </w:rPr>
      </w:pPr>
      <w:r>
        <w:rPr>
          <w:rFonts w:hint="eastAsia" w:ascii="宋体" w:hAnsi="宋体"/>
          <w:b/>
          <w:bCs/>
          <w:szCs w:val="21"/>
          <w:highlight w:val="none"/>
        </w:rPr>
      </w:r>
      <w:r/>
    </w:p>
    <w:p>
      <w:pPr>
        <w:jc w:val="center"/>
        <w:spacing w:line="360" w:lineRule="auto"/>
        <w:rPr>
          <w:rFonts w:hint="eastAsia" w:ascii="宋体" w:hAnsi="宋体"/>
          <w:b/>
          <w:bCs/>
          <w:szCs w:val="21"/>
          <w:highlight w:val="none"/>
        </w:rPr>
      </w:pPr>
      <w:r>
        <w:rPr>
          <w:rFonts w:hint="eastAsia" w:ascii="宋体" w:hAnsi="宋体"/>
          <w:b/>
          <w:bCs/>
          <w:szCs w:val="21"/>
          <w:highlight w:val="none"/>
        </w:rPr>
        <w:t xml:space="preserve">投标函格式</w:t>
      </w:r>
      <w:r/>
    </w:p>
    <w:p>
      <w:pPr>
        <w:pStyle w:val="961"/>
        <w:ind w:firstLine="0"/>
        <w:spacing w:before="0" w:after="0"/>
        <w:rPr>
          <w:rFonts w:hint="eastAsia" w:ascii="宋体" w:hAnsi="宋体" w:eastAsia="宋体"/>
          <w:sz w:val="21"/>
          <w:szCs w:val="21"/>
          <w:highlight w:val="none"/>
          <w:lang w:eastAsia="zh-CN"/>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扬州创晨项目管理咨询有限公司</w:t>
      </w:r>
      <w:r/>
    </w:p>
    <w:p>
      <w:pPr>
        <w:pStyle w:val="961"/>
        <w:ind w:firstLine="420"/>
        <w:spacing w:before="0" w:after="0"/>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招标文件，正式授权下述签字人_________________(姓名)代表我方______________（投标人的名称），全权处理本次项目投标的有关事宜。</w:t>
      </w:r>
      <w:r/>
    </w:p>
    <w:p>
      <w:pPr>
        <w:pStyle w:val="961"/>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61"/>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61"/>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61"/>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61"/>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61"/>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61"/>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61"/>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61"/>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jc w:val="both"/>
        <w:spacing w:line="360" w:lineRule="auto"/>
        <w:rPr>
          <w:rFonts w:hint="eastAsia" w:ascii="宋体" w:hAnsi="宋体"/>
          <w:b/>
          <w:bCs/>
          <w:szCs w:val="21"/>
          <w:highlight w:val="none"/>
        </w:rPr>
      </w:pPr>
      <w:r>
        <w:rPr>
          <w:rFonts w:hint="eastAsia" w:ascii="宋体" w:hAnsi="宋体"/>
          <w:b/>
          <w:bCs/>
          <w:szCs w:val="21"/>
          <w:highlight w:val="none"/>
        </w:rPr>
      </w:r>
      <w:r/>
    </w:p>
    <w:p>
      <w:pPr>
        <w:pStyle w:val="968"/>
        <w:ind w:firstLine="422"/>
        <w:jc w:val="center"/>
        <w:spacing w:after="312" w:line="360" w:lineRule="auto"/>
        <w:rPr>
          <w:rFonts w:hint="eastAsia" w:ascii="宋体" w:hAnsi="宋体"/>
          <w:b/>
          <w:sz w:val="21"/>
          <w:szCs w:val="21"/>
          <w:highlight w:val="none"/>
        </w:rPr>
      </w:pPr>
      <w:r>
        <w:rPr>
          <w:rFonts w:hint="eastAsia" w:ascii="宋体" w:hAnsi="宋体"/>
          <w:b/>
          <w:sz w:val="21"/>
          <w:szCs w:val="21"/>
          <w:highlight w:val="none"/>
        </w:rPr>
      </w:r>
      <w:r/>
    </w:p>
    <w:p>
      <w:pPr>
        <w:pStyle w:val="968"/>
        <w:ind w:firstLine="422"/>
        <w:jc w:val="center"/>
        <w:spacing w:after="312" w:line="360" w:lineRule="auto"/>
        <w:rPr>
          <w:rFonts w:hint="eastAsia" w:ascii="宋体" w:hAnsi="宋体"/>
          <w:b/>
          <w:sz w:val="21"/>
          <w:szCs w:val="21"/>
          <w:highlight w:val="none"/>
        </w:rPr>
      </w:pPr>
      <w:r>
        <w:rPr>
          <w:rFonts w:hint="eastAsia" w:ascii="宋体" w:hAnsi="宋体"/>
          <w:b/>
          <w:sz w:val="21"/>
          <w:szCs w:val="21"/>
          <w:highlight w:val="none"/>
        </w:rPr>
      </w:r>
      <w:r/>
    </w:p>
    <w:p>
      <w:pPr>
        <w:pStyle w:val="968"/>
        <w:ind w:firstLine="422"/>
        <w:jc w:val="center"/>
        <w:spacing w:after="312" w:line="360" w:lineRule="auto"/>
        <w:rPr>
          <w:rFonts w:hint="eastAsia" w:ascii="宋体" w:hAnsi="宋体"/>
          <w:b/>
          <w:sz w:val="21"/>
          <w:szCs w:val="21"/>
          <w:highlight w:val="none"/>
        </w:rPr>
      </w:pPr>
      <w:r>
        <w:rPr>
          <w:rFonts w:hint="eastAsia" w:ascii="宋体" w:hAnsi="宋体"/>
          <w:b/>
          <w:sz w:val="21"/>
          <w:szCs w:val="21"/>
          <w:highlight w:val="none"/>
        </w:rPr>
      </w:r>
      <w:r/>
    </w:p>
    <w:p>
      <w:pPr>
        <w:pStyle w:val="968"/>
        <w:ind w:left="0" w:firstLine="0"/>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6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w:t>
      </w:r>
      <w:r>
        <w:rPr>
          <w:rFonts w:hint="eastAsia" w:ascii="宋体" w:hAnsi="宋体"/>
          <w:color w:val="000000"/>
          <w:sz w:val="21"/>
          <w:szCs w:val="21"/>
          <w:highlight w:val="none"/>
        </w:rPr>
        <w:t xml:space="preserve">（项目编号）</w:t>
      </w:r>
      <w:r>
        <w:rPr>
          <w:rFonts w:hint="eastAsia" w:ascii="宋体" w:hAnsi="宋体"/>
          <w:sz w:val="21"/>
          <w:szCs w:val="21"/>
          <w:highlight w:val="none"/>
        </w:rPr>
        <w:t xml:space="preserve">号（项目名称）项目采购活动的合法代理人，以本公司名义全权处理一切与该项目采购有关的事务。</w:t>
      </w:r>
      <w:r/>
    </w:p>
    <w:p>
      <w:pPr>
        <w:pStyle w:val="968"/>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68"/>
        <w:ind w:firstLine="0"/>
        <w:spacing w:line="360" w:lineRule="auto"/>
        <w:rPr>
          <w:rFonts w:ascii="宋体" w:hAnsi="宋体"/>
          <w:sz w:val="21"/>
          <w:szCs w:val="21"/>
          <w:highlight w:val="none"/>
        </w:rPr>
      </w:pPr>
      <w:r>
        <w:rPr>
          <w:rFonts w:ascii="宋体" w:hAnsi="宋体"/>
          <w:sz w:val="21"/>
          <w:szCs w:val="21"/>
          <w:highlight w:val="none"/>
        </w:rPr>
        <w:t xml:space="preserve">    </w:t>
      </w:r>
      <w:r/>
    </w:p>
    <w:p>
      <w:pPr>
        <w:pStyle w:val="968"/>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lang w:val="en-US" w:eastAsia="zh-CN"/>
        </w:rPr>
        <w:t xml:space="preserve">___________</w:t>
      </w:r>
      <w:r>
        <w:rPr>
          <w:rFonts w:hint="eastAsia" w:ascii="宋体" w:hAnsi="宋体"/>
          <w:sz w:val="21"/>
          <w:szCs w:val="21"/>
          <w:highlight w:val="none"/>
        </w:rPr>
        <w:t xml:space="preserve"> </w:t>
      </w:r>
      <w:r/>
    </w:p>
    <w:p>
      <w:pPr>
        <w:pStyle w:val="96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68"/>
        <w:ind w:firstLine="0"/>
        <w:spacing w:line="360" w:lineRule="auto"/>
        <w:rPr>
          <w:rFonts w:hint="default" w:ascii="宋体" w:hAnsi="宋体" w:eastAsia="宋体"/>
          <w:sz w:val="21"/>
          <w:szCs w:val="21"/>
          <w:highlight w:val="none"/>
          <w:u w:val="single"/>
          <w:lang w:val="en-US" w:eastAsia="zh-CN"/>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hint="eastAsia" w:ascii="宋体" w:hAnsi="宋体"/>
          <w:sz w:val="21"/>
          <w:szCs w:val="21"/>
          <w:highlight w:val="none"/>
          <w:u w:val="single"/>
        </w:rPr>
        <w:t xml:space="preserve">（加盖CA电子公章）</w:t>
      </w:r>
      <w:r>
        <w:rPr>
          <w:rFonts w:hint="eastAsia" w:ascii="宋体" w:hAnsi="宋体"/>
          <w:sz w:val="21"/>
          <w:szCs w:val="21"/>
          <w:highlight w:val="none"/>
          <w:u w:val="single"/>
          <w:lang w:val="en-US" w:eastAsia="zh-CN"/>
        </w:rPr>
        <w:t xml:space="preserve">                 </w:t>
      </w:r>
      <w:r/>
    </w:p>
    <w:p>
      <w:pPr>
        <w:pStyle w:val="968"/>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968"/>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宋体" w:hAnsi="宋体"/>
          <w:bCs/>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highlight w:val="none"/>
        </w:rPr>
        <w:t xml:space="preserve">被授权人身份证复印件</w:t>
      </w:r>
      <w:r/>
    </w:p>
    <w:p>
      <w:pPr>
        <w:pStyle w:val="916"/>
        <w:jc w:val="center"/>
        <w:spacing w:line="360" w:lineRule="auto"/>
        <w:rPr>
          <w:rFonts w:ascii="宋体" w:hAnsi="宋体" w:eastAsia="宋体"/>
          <w:sz w:val="32"/>
          <w:highlight w:val="none"/>
        </w:rPr>
      </w:pPr>
      <w:r>
        <w:rPr>
          <w:rFonts w:hint="eastAsia" w:ascii="宋体" w:hAnsi="宋体" w:eastAsia="宋体"/>
          <w:sz w:val="32"/>
          <w:highlight w:val="none"/>
        </w:rPr>
        <w:t xml:space="preserve">二、符合性审查响应对照表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920"/>
        <w:tblW w:w="922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5638"/>
        <w:gridCol w:w="1680"/>
        <w:gridCol w:w="1202"/>
      </w:tblGrid>
      <w:tr>
        <w:trPr>
          <w:trHeight w:val="882"/>
        </w:trPr>
        <w:tc>
          <w:tcPr>
            <w:tcW w:w="705"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638"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202"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trHeight w:val="585"/>
        </w:trPr>
        <w:tc>
          <w:tcPr>
            <w:tcW w:w="705"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563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202"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70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638"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0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70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638"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0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70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5638"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0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70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5638"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0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1.投标人必须对采购需求中的实质性要求（</w:t>
      </w:r>
      <w:r>
        <w:rPr>
          <w:rFonts w:hint="eastAsia" w:ascii="宋体" w:hAnsi="宋体" w:eastAsia="宋体" w:cs="Times New Roman"/>
          <w:i/>
          <w:iCs/>
          <w:strike w:val="0"/>
          <w:color w:val="auto"/>
          <w:sz w:val="21"/>
          <w:szCs w:val="21"/>
          <w:highlight w:val="none"/>
          <w:u w:val="single"/>
        </w:rPr>
        <w:t xml:space="preserve">斜体且有下划线部分</w:t>
      </w:r>
      <w:r>
        <w:rPr>
          <w:rFonts w:hint="eastAsia" w:ascii="宋体" w:hAnsi="宋体" w:eastAsia="宋体" w:cs="Times New Roman"/>
          <w:color w:val="auto"/>
          <w:sz w:val="21"/>
          <w:szCs w:val="21"/>
          <w:highlight w:val="none"/>
        </w:rPr>
        <w:t xml:space="preserve">）逐条做出明确响应。</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2.如果招标文件要求提供证明材料，投标人必须将证明材料列于该表之下。</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作无效投标处理。</w:t>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ascii="宋体" w:hAnsi="宋体"/>
          <w:bCs/>
          <w:sz w:val="24"/>
          <w:highlight w:val="none"/>
        </w:rPr>
      </w:pPr>
      <w:r>
        <w:rPr>
          <w:rFonts w:ascii="宋体" w:hAnsi="宋体"/>
          <w:bCs/>
          <w:sz w:val="24"/>
          <w:highlight w:val="none"/>
        </w:rPr>
      </w:r>
      <w:r/>
    </w:p>
    <w:p>
      <w:pPr>
        <w:pStyle w:val="916"/>
        <w:jc w:val="both"/>
        <w:keepLines/>
        <w:keepNext/>
        <w:pageBreakBefore w:val="0"/>
        <w:spacing w:before="0" w:after="0" w:line="360" w:lineRule="auto"/>
        <w:widowControl w:val="off"/>
        <w:rPr>
          <w:rFonts w:hint="eastAsia" w:ascii="宋体" w:hAnsi="宋体" w:eastAsia="宋体"/>
          <w:sz w:val="13"/>
          <w:szCs w:val="13"/>
          <w:highlight w:val="none"/>
        </w:rPr>
      </w:pPr>
      <w:r>
        <w:rPr>
          <w:rFonts w:hint="eastAsia" w:ascii="宋体" w:hAnsi="宋体" w:eastAsia="宋体"/>
          <w:sz w:val="13"/>
          <w:szCs w:val="13"/>
          <w:highlight w:val="none"/>
        </w:rPr>
      </w:r>
      <w:r/>
    </w:p>
    <w:p>
      <w:pPr>
        <w:pStyle w:val="916"/>
        <w:jc w:val="center"/>
        <w:keepLines/>
        <w:keepNext/>
        <w:pageBreakBefore w:val="0"/>
        <w:spacing w:before="0" w:line="360" w:lineRule="auto"/>
        <w:widowControl w:val="off"/>
        <w:rPr>
          <w:rFonts w:ascii="宋体" w:hAnsi="宋体" w:eastAsia="宋体"/>
          <w:sz w:val="32"/>
          <w:highlight w:val="none"/>
        </w:rPr>
      </w:pPr>
      <w:r>
        <w:rPr>
          <w:rFonts w:hint="eastAsia" w:ascii="宋体" w:hAnsi="宋体" w:eastAsia="宋体"/>
          <w:sz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920"/>
        <w:tblW w:w="9165"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5280"/>
        <w:gridCol w:w="1905"/>
        <w:gridCol w:w="1290"/>
      </w:tblGrid>
      <w:tr>
        <w:trPr>
          <w:trHeight w:val="882"/>
        </w:trPr>
        <w:tc>
          <w:tcPr>
            <w:tcW w:w="690"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280"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90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29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90"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5280"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905"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29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9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280"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90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9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690" w:type="dxa"/>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p>
        </w:tc>
        <w:tc>
          <w:tcPr>
            <w:tcW w:w="5280"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《关于符合本国产品标准的声明函》</w:t>
            </w:r>
            <w:r/>
          </w:p>
        </w:tc>
        <w:tc>
          <w:tcPr>
            <w:tcW w:w="190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9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9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5280"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90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29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jc w:val="center"/>
        <w:spacing w:line="500" w:lineRule="exact"/>
        <w:rPr>
          <w:rFonts w:ascii="宋体" w:hAnsi="宋体" w:cs="宋体"/>
          <w:b/>
          <w:bCs/>
          <w:szCs w:val="21"/>
          <w:highlight w:val="none"/>
        </w:rPr>
      </w:pPr>
      <w:r>
        <w:rPr>
          <w:rFonts w:ascii="宋体" w:hAnsi="宋体" w:cs="宋体"/>
          <w:b/>
          <w:bCs/>
          <w:szCs w:val="21"/>
          <w:highlight w:val="none"/>
        </w:rPr>
      </w:r>
      <w:r/>
    </w:p>
    <w:p>
      <w:pPr>
        <w:pStyle w:val="926"/>
        <w:rPr>
          <w:highlight w:val="none"/>
          <w:lang w:val="en-US" w:eastAsia="zh-CN"/>
        </w:rPr>
      </w:pPr>
      <w:r>
        <w:rPr>
          <w:highlight w:val="none"/>
          <w:lang w:val="en-US" w:eastAsia="zh-CN"/>
        </w:rPr>
      </w:r>
      <w:r/>
    </w:p>
    <w:p>
      <w:pPr>
        <w:pStyle w:val="926"/>
        <w:rPr>
          <w:rFonts w:hint="eastAsia"/>
          <w:highlight w:val="none"/>
          <w:lang w:val="en-US" w:eastAsia="zh-CN"/>
        </w:rPr>
      </w:pPr>
      <w:r>
        <w:rPr>
          <w:rFonts w:hint="eastAsia"/>
          <w:highlight w:val="none"/>
          <w:lang w:val="en-US" w:eastAsia="zh-CN"/>
        </w:rPr>
      </w:r>
      <w:r/>
    </w:p>
    <w:p>
      <w:pPr>
        <w:jc w:val="center"/>
        <w:spacing w:line="500" w:lineRule="exact"/>
        <w:rPr>
          <w:rFonts w:hint="eastAsia" w:ascii="宋体" w:hAnsi="宋体" w:cs="宋体"/>
          <w:b/>
          <w:bCs/>
          <w:szCs w:val="21"/>
          <w:highlight w:val="none"/>
        </w:rPr>
      </w:pPr>
      <w:r>
        <w:rPr>
          <w:rFonts w:hint="eastAsia" w:ascii="宋体" w:hAnsi="宋体" w:cs="宋体"/>
          <w:b/>
          <w:bCs/>
          <w:szCs w:val="21"/>
          <w:highlight w:val="none"/>
        </w:rPr>
      </w:r>
      <w:r/>
    </w:p>
    <w:p>
      <w:pPr>
        <w:pStyle w:val="926"/>
        <w:ind w:left="0"/>
        <w:rPr>
          <w:rFonts w:hint="eastAsia"/>
          <w:highlight w:val="none"/>
        </w:rPr>
      </w:pPr>
      <w:r>
        <w:rPr>
          <w:rFonts w:hint="eastAsia"/>
          <w:highlight w:val="none"/>
        </w:rPr>
      </w:r>
      <w:r/>
    </w:p>
    <w:p>
      <w:pPr>
        <w:jc w:val="both"/>
        <w:spacing w:before="312" w:after="312"/>
        <w:rPr>
          <w:rFonts w:hint="eastAsia"/>
          <w:b/>
          <w:bCs/>
          <w:highlight w:val="none"/>
        </w:rPr>
      </w:pPr>
      <w:r>
        <w:rPr>
          <w:rFonts w:hint="eastAsia"/>
          <w:b/>
          <w:bCs/>
          <w:highlight w:val="none"/>
        </w:rPr>
      </w:r>
      <w:r/>
    </w:p>
    <w:p>
      <w:pPr>
        <w:jc w:val="center"/>
        <w:spacing w:before="312" w:after="312"/>
        <w:rPr>
          <w:rFonts w:hint="eastAsia"/>
          <w:b/>
          <w:bCs/>
          <w:highlight w:val="none"/>
        </w:rPr>
      </w:pPr>
      <w:r>
        <w:rPr>
          <w:rFonts w:hint="eastAsia"/>
          <w:b/>
          <w:bCs/>
          <w:highlight w:val="none"/>
        </w:rPr>
        <w:t xml:space="preserve">中小企业声明函（货物）</w:t>
      </w:r>
      <w:r/>
    </w:p>
    <w:p>
      <w:pPr>
        <w:ind w:firstLine="420"/>
        <w:jc w:val="left"/>
        <w:spacing w:line="360" w:lineRule="auto"/>
        <w:rPr>
          <w:rFonts w:hint="eastAsia"/>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jc w:val="left"/>
        <w:spacing w:line="360" w:lineRule="auto"/>
        <w:rPr>
          <w:rFonts w:hint="eastAsia"/>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b/>
          <w:bCs/>
          <w:color w:val="ff0000"/>
          <w:highlight w:val="none"/>
          <w:u w:val="single"/>
        </w:rPr>
        <w:t xml:space="preserve">工业</w:t>
      </w:r>
      <w:r>
        <w:rPr>
          <w:rFonts w:hint="eastAsia"/>
          <w:highlight w:val="none"/>
          <w:u w:val="single"/>
        </w:rPr>
        <w:t xml:space="preserve">（不得对行业类别修改）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highlight w:val="none"/>
          <w:lang w:eastAsia="en-US"/>
        </w:rPr>
        <w:fldChar w:fldCharType="separate"/>
      </w:r>
      <w:r>
        <w:rPr>
          <w:rFonts w:ascii="仿宋" w:eastAsia="Times New Roman"/>
          <w:color w:val="000000"/>
          <w:spacing w:val="-1"/>
          <w:highlight w:val="none"/>
          <w:vertAlign w:val="superscript"/>
        </w:rPr>
        <w:t xml:space="preserve">1</w:t>
      </w:r>
      <w:r>
        <w:rPr>
          <w:highlight w:val="none"/>
          <w:lang w:eastAsia="en-US"/>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rFonts w:hint="eastAsia"/>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 xml:space="preserve">，属于</w:t>
      </w:r>
      <w:r>
        <w:rPr>
          <w:rFonts w:hint="eastAsia"/>
          <w:b/>
          <w:bCs/>
          <w:color w:val="ff0000"/>
          <w:highlight w:val="none"/>
          <w:u w:val="single"/>
        </w:rPr>
        <w:t xml:space="preserve">工业</w:t>
      </w:r>
      <w:r>
        <w:rPr>
          <w:rFonts w:hint="eastAsia"/>
          <w:highlight w:val="none"/>
          <w:u w:val="single"/>
        </w:rPr>
        <w:t xml:space="preserve">（不得对行业类别修改）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60" w:lineRule="auto"/>
        <w:rPr>
          <w:rFonts w:hint="eastAsia"/>
          <w:highlight w:val="none"/>
        </w:rPr>
      </w:pPr>
      <w:r>
        <w:rPr>
          <w:rFonts w:hint="eastAsia"/>
          <w:highlight w:val="none"/>
        </w:rPr>
        <w:t xml:space="preserve">……</w:t>
      </w:r>
      <w:r/>
    </w:p>
    <w:p>
      <w:pPr>
        <w:ind w:firstLine="420"/>
        <w:jc w:val="left"/>
        <w:spacing w:line="360" w:lineRule="auto"/>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highlight w:val="none"/>
        </w:rPr>
      </w:pPr>
      <w:r>
        <w:rPr>
          <w:rFonts w:hint="eastAsia"/>
          <w:highlight w:val="none"/>
        </w:rPr>
        <w:t xml:space="preserve">本企业对上述声明内容的真实性负责。如有虚假，将依法承担相应责任。</w:t>
      </w:r>
      <w:r/>
    </w:p>
    <w:p>
      <w:pPr>
        <w:ind w:firstLine="420"/>
        <w:jc w:val="left"/>
        <w:spacing w:line="360" w:lineRule="auto"/>
        <w:rPr>
          <w:rFonts w:hint="eastAsia"/>
          <w:highlight w:val="none"/>
        </w:rPr>
      </w:pPr>
      <w:r>
        <w:rPr>
          <w:rFonts w:hint="eastAsia"/>
          <w:highlight w:val="none"/>
        </w:rPr>
      </w:r>
      <w:r/>
    </w:p>
    <w:p>
      <w:pPr>
        <w:ind w:firstLine="420"/>
        <w:jc w:val="left"/>
        <w:spacing w:line="240" w:lineRule="auto"/>
        <w:rPr>
          <w:rFonts w:hint="eastAsia" w:ascii="Times New Roman" w:hAnsi="Times New Roman" w:cs="Times New Roman"/>
          <w:highlight w:val="none"/>
        </w:rPr>
      </w:pPr>
      <w:r>
        <w:rPr>
          <w:rFonts w:hint="eastAsia" w:ascii="Times New Roman" w:hAnsi="Times New Roman" w:cs="Times New Roman"/>
          <w:highlight w:val="none"/>
        </w:rPr>
        <w:t xml:space="preserve">注：1、从业人员（不仅指在职职工）、营业收入、资产总额填报上一年度数据，无上一年度数据的新成立企业可不填报。</w:t>
      </w:r>
      <w:r/>
    </w:p>
    <w:p>
      <w:pPr>
        <w:ind w:firstLine="420"/>
        <w:jc w:val="left"/>
        <w:spacing w:line="240" w:lineRule="auto"/>
        <w:rPr>
          <w:rFonts w:hint="eastAsia" w:ascii="Times New Roman" w:hAnsi="Times New Roman" w:cs="Times New Roman"/>
          <w:highlight w:val="none"/>
        </w:rPr>
      </w:pPr>
      <w:r>
        <w:rPr>
          <w:rFonts w:hint="eastAsia" w:ascii="Times New Roman" w:hAnsi="Times New Roman" w:cs="Times New Roman"/>
          <w:highlight w:val="none"/>
        </w:rPr>
        <w:t xml:space="preserve">    </w:t>
      </w:r>
      <w:r>
        <w:rPr>
          <w:rFonts w:hint="eastAsia" w:ascii="Times New Roman" w:hAnsi="Times New Roman" w:cs="Times New Roman"/>
          <w:highlight w:val="none"/>
          <w:lang w:val="en-US" w:eastAsia="zh-CN"/>
        </w:rPr>
        <w:t xml:space="preserve">2</w:t>
      </w:r>
      <w:r>
        <w:rPr>
          <w:rFonts w:hint="eastAsia" w:ascii="Times New Roman" w:hAnsi="Times New Roman" w:cs="Times New Roman"/>
          <w:highlight w:val="none"/>
        </w:rPr>
        <w:t xml:space="preserve">、企业声明函请完整填写，中标后将公示。</w:t>
      </w:r>
      <w:r/>
    </w:p>
    <w:p>
      <w:pPr>
        <w:ind w:firstLine="420"/>
        <w:jc w:val="left"/>
        <w:spacing w:line="240" w:lineRule="auto"/>
        <w:rPr>
          <w:rFonts w:hint="eastAsia" w:ascii="Times New Roman" w:hAnsi="Times New Roman" w:cs="Times New Roman"/>
          <w:highlight w:val="none"/>
        </w:rPr>
      </w:pPr>
      <w:r>
        <w:rPr>
          <w:rFonts w:hint="eastAsia" w:ascii="Times New Roman" w:hAnsi="Times New Roman" w:cs="Times New Roman"/>
          <w:highlight w:val="none"/>
          <w:lang w:val="en-US" w:eastAsia="zh-CN"/>
        </w:rPr>
        <w:t xml:space="preserve">3</w:t>
      </w:r>
      <w:r>
        <w:rPr>
          <w:rFonts w:hint="eastAsia" w:ascii="Times New Roman" w:hAnsi="Times New Roman" w:cs="Times New Roman"/>
          <w:highlight w:val="none"/>
        </w:rPr>
        <w:t xml:space="preserve">、投标人应当对其出具的《中小企业声明函》真实性负责，投标人出具的《中小企业声明函》内容不实的，属于提供虚假材料谋取中标。</w:t>
      </w:r>
      <w:r/>
    </w:p>
    <w:p>
      <w:pPr>
        <w:ind w:firstLine="420"/>
        <w:jc w:val="left"/>
        <w:spacing w:line="240" w:lineRule="auto"/>
        <w:rPr>
          <w:rFonts w:hint="eastAsia" w:ascii="Times New Roman" w:hAnsi="Times New Roman" w:cs="Times New Roman"/>
          <w:highlight w:val="none"/>
        </w:rPr>
      </w:pPr>
      <w:r>
        <w:rPr>
          <w:rFonts w:hint="eastAsia" w:ascii="Times New Roman" w:hAnsi="Times New Roman" w:cs="Times New Roman"/>
          <w:highlight w:val="none"/>
          <w:lang w:val="en-US" w:eastAsia="zh-CN"/>
        </w:rPr>
        <w:t xml:space="preserve">4</w:t>
      </w:r>
      <w:r>
        <w:rPr>
          <w:rFonts w:hint="eastAsia" w:ascii="Times New Roman" w:hAnsi="Times New Roman" w:cs="Times New Roman"/>
          <w:highlight w:val="none"/>
        </w:rPr>
        <w:t xml:space="preserve">、中小企业不得属于大企业的分支机构，不得存在控股股东为大企业的情形，不得存在与大企业的负责人为同一人的情形。</w:t>
      </w:r>
      <w:r/>
    </w:p>
    <w:p>
      <w:pPr>
        <w:ind w:firstLine="420"/>
        <w:jc w:val="left"/>
        <w:spacing w:line="240" w:lineRule="auto"/>
        <w:rPr>
          <w:rFonts w:hint="eastAsia" w:ascii="Times New Roman" w:hAnsi="Times New Roman" w:cs="Times New Roman"/>
          <w:highlight w:val="none"/>
        </w:rPr>
      </w:pPr>
      <w:r>
        <w:rPr>
          <w:rFonts w:hint="eastAsia" w:ascii="Times New Roman" w:hAnsi="Times New Roman" w:cs="Times New Roman"/>
          <w:highlight w:val="none"/>
          <w:lang w:val="en-US" w:eastAsia="zh-CN"/>
        </w:rPr>
        <w:t xml:space="preserve">5</w:t>
      </w:r>
      <w:r>
        <w:rPr>
          <w:rFonts w:hint="eastAsia" w:ascii="Times New Roman" w:hAnsi="Times New Roman" w:cs="Times New Roman"/>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jc w:val="left"/>
        <w:spacing w:line="360" w:lineRule="auto"/>
        <w:rPr>
          <w:rFonts w:hint="eastAsia"/>
          <w:highlight w:val="none"/>
        </w:rPr>
      </w:pPr>
      <w:r>
        <w:rPr>
          <w:rFonts w:hint="eastAsia"/>
          <w:highlight w:val="none"/>
        </w:rPr>
      </w:r>
      <w:r/>
    </w:p>
    <w:p>
      <w:pPr>
        <w:jc w:val="center"/>
        <w:spacing w:line="360" w:lineRule="auto"/>
        <w:rPr>
          <w:rFonts w:hint="eastAsia"/>
          <w:highlight w:val="none"/>
        </w:rPr>
      </w:pPr>
      <w:r>
        <w:rPr>
          <w:rFonts w:hint="eastAsia"/>
          <w:highlight w:val="none"/>
        </w:rPr>
        <w:t xml:space="preserve">                                       企业名称（</w:t>
      </w:r>
      <w:r>
        <w:rPr>
          <w:rFonts w:ascii="宋体" w:hAnsi="宋体" w:eastAsia="宋体" w:cs="宋体"/>
          <w:color w:val="000000"/>
          <w:sz w:val="21"/>
        </w:rPr>
        <w:t xml:space="preserve">加盖CA电子公章</w:t>
      </w:r>
      <w:r>
        <w:rPr>
          <w:rFonts w:hint="eastAsia"/>
          <w:highlight w:val="none"/>
        </w:rPr>
        <w:t xml:space="preserve">）：</w:t>
      </w:r>
      <w:r/>
    </w:p>
    <w:p>
      <w:pPr>
        <w:jc w:val="center"/>
        <w:spacing w:line="360" w:lineRule="auto"/>
        <w:rPr>
          <w:rFonts w:ascii="宋体" w:hAnsi="宋体"/>
          <w:szCs w:val="21"/>
          <w:highlight w:val="none"/>
        </w:rPr>
      </w:pPr>
      <w:r>
        <w:rPr>
          <w:rFonts w:hint="eastAsia"/>
          <w:highlight w:val="none"/>
        </w:rPr>
        <w:t xml:space="preserve">                             日 期：</w:t>
      </w:r>
      <w:r/>
    </w:p>
    <w:p>
      <w:pPr>
        <w:pStyle w:val="916"/>
        <w:jc w:val="center"/>
        <w:spacing w:before="300" w:after="300" w:line="360" w:lineRule="auto"/>
        <w:widowControl/>
        <w:rPr>
          <w:rFonts w:ascii="宋体" w:hAnsi="宋体"/>
          <w:color w:val="000000"/>
          <w:sz w:val="21"/>
          <w:szCs w:val="21"/>
          <w:highlight w:val="none"/>
        </w:rPr>
      </w:pPr>
      <w:r/>
      <w:bookmarkStart w:id="69" w:name="_Toc19691"/>
      <w:r/>
      <w:bookmarkStart w:id="70" w:name="_Toc91061195"/>
      <w:r/>
      <w:bookmarkStart w:id="71" w:name="_Toc13394"/>
      <w:r/>
      <w:bookmarkStart w:id="72" w:name="_Toc19241"/>
      <w:r>
        <w:rPr>
          <w:rFonts w:hint="eastAsia" w:ascii="宋体" w:hAnsi="宋体" w:cs="微软雅黑"/>
          <w:bCs w:val="0"/>
          <w:color w:val="000000"/>
          <w:sz w:val="21"/>
          <w:szCs w:val="21"/>
          <w:highlight w:val="none"/>
        </w:rPr>
        <w:t xml:space="preserve">中小微企业划型标准</w:t>
      </w:r>
      <w:bookmarkEnd w:id="69"/>
      <w:r/>
      <w:bookmarkEnd w:id="70"/>
      <w:r/>
      <w:bookmarkEnd w:id="71"/>
      <w:r/>
      <w:bookmarkEnd w:id="72"/>
      <w:r/>
      <w:r/>
    </w:p>
    <w:p>
      <w:pPr>
        <w:pStyle w:val="935"/>
        <w:spacing w:before="300" w:after="452" w:line="360" w:lineRule="auto"/>
        <w:widowControl/>
        <w:rPr>
          <w:rFonts w:hint="eastAsia" w:ascii="宋体" w:hAnsi="宋体"/>
          <w:color w:val="000000"/>
          <w:sz w:val="21"/>
          <w:szCs w:val="21"/>
          <w:highlight w:val="none"/>
        </w:rPr>
      </w:pPr>
      <w:r>
        <w:rPr>
          <w:rStyle w:val="938"/>
          <w:rFonts w:hint="eastAsia" w:ascii="宋体" w:hAnsi="宋体" w:cs="仿宋"/>
          <w:color w:val="000000"/>
          <w:sz w:val="21"/>
          <w:szCs w:val="21"/>
          <w:highlight w:val="none"/>
        </w:rPr>
        <w:t xml:space="preserve">中小微企业划型标准如下：</w:t>
      </w:r>
      <w:r/>
    </w:p>
    <w:tbl>
      <w:tblPr>
        <w:tblStyle w:val="920"/>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行业名称</w:t>
            </w:r>
            <w:r/>
          </w:p>
        </w:tc>
        <w:tc>
          <w:tcPr>
            <w:tcW w:w="1558" w:type="dxa"/>
            <w:vAlign w:val="center"/>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指标名称</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计量单位</w:t>
            </w:r>
            <w:r/>
          </w:p>
        </w:tc>
        <w:tc>
          <w:tcPr>
            <w:tcW w:w="1886" w:type="dxa"/>
            <w:vAlign w:val="center"/>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中型</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小型</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农、林、牧、渔</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500≤Y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50≤Y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工业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300≤X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20≤X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2000≤Y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40000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300≤Y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建筑业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6000≤Y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80000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300≤Y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6000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资产总额（</w:t>
            </w:r>
            <w:r>
              <w:rPr>
                <w:rStyle w:val="988"/>
                <w:rFonts w:hint="eastAsia" w:ascii="宋体" w:hAnsi="宋体" w:cs="仿宋"/>
                <w:sz w:val="21"/>
                <w:highlight w:val="none"/>
              </w:rPr>
              <w:t xml:space="preserve">Z</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5000≤Z</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80000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300≤Z</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Z</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批发业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20≤X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5≤X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5000≤Y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40000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零售业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50≤X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500≤Y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交通运输业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300≤X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20≤X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3000≤Y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200≤Y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仓储业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20≤X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邮政业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300≤X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20≤X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2000≤Y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住宿业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2000≤Y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餐饮业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2000≤Y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信息传输业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软件和信息技术服务业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50≤Y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房地产开发经营</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资产总额（</w:t>
            </w:r>
            <w:r>
              <w:rPr>
                <w:rStyle w:val="988"/>
                <w:rFonts w:hint="eastAsia" w:ascii="宋体" w:hAnsi="宋体" w:cs="仿宋"/>
                <w:sz w:val="21"/>
                <w:highlight w:val="none"/>
              </w:rPr>
              <w:t xml:space="preserve">Z</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5000≤Z</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2000≤Y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物业管理</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300≤X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营业收入（</w:t>
            </w: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500≤Y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租赁和商务服务业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资产总额（</w:t>
            </w:r>
            <w:r>
              <w:rPr>
                <w:rStyle w:val="988"/>
                <w:rFonts w:hint="eastAsia" w:ascii="宋体" w:hAnsi="宋体" w:cs="仿宋"/>
                <w:sz w:val="21"/>
                <w:highlight w:val="none"/>
              </w:rPr>
              <w:t xml:space="preserve">Z</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万元</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8000≤Z</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120000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100≤Z</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8000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Y</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987"/>
              <w:jc w:val="center"/>
              <w:rPr>
                <w:rFonts w:ascii="宋体" w:hAnsi="宋体"/>
                <w:sz w:val="21"/>
                <w:highlight w:val="none"/>
              </w:rPr>
            </w:pPr>
            <w:r>
              <w:rPr>
                <w:rStyle w:val="988"/>
                <w:rFonts w:hint="eastAsia" w:ascii="宋体" w:hAnsi="宋体" w:cs="宋体"/>
                <w:sz w:val="21"/>
                <w:highlight w:val="none"/>
              </w:rPr>
              <w:t xml:space="preserve">其他未列明行业</w:t>
            </w:r>
            <w:r/>
          </w:p>
        </w:tc>
        <w:tc>
          <w:tcPr>
            <w:tcW w:w="1558"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从业人员（</w:t>
            </w: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p>
        </w:tc>
        <w:tc>
          <w:tcPr>
            <w:tcW w:w="907" w:type="dxa"/>
            <w:vAlign w:val="center"/>
            <w:textDirection w:val="lrTb"/>
            <w:noWrap w:val="false"/>
          </w:tcPr>
          <w:p>
            <w:pPr>
              <w:pStyle w:val="987"/>
              <w:rPr>
                <w:rFonts w:ascii="宋体" w:hAnsi="宋体"/>
                <w:sz w:val="21"/>
                <w:highlight w:val="none"/>
              </w:rPr>
            </w:pPr>
            <w:r>
              <w:rPr>
                <w:rStyle w:val="988"/>
                <w:rFonts w:hint="eastAsia" w:ascii="宋体" w:hAnsi="宋体" w:cs="宋体"/>
                <w:sz w:val="21"/>
                <w:highlight w:val="none"/>
              </w:rPr>
              <w:t xml:space="preserve">人</w:t>
            </w:r>
            <w:r/>
          </w:p>
        </w:tc>
        <w:tc>
          <w:tcPr>
            <w:tcW w:w="1886"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100≤X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300</w:t>
            </w:r>
            <w:r/>
          </w:p>
        </w:tc>
        <w:tc>
          <w:tcPr>
            <w:tcW w:w="1792" w:type="dxa"/>
            <w:vAlign w:val="center"/>
            <w:textDirection w:val="lrTb"/>
            <w:noWrap w:val="false"/>
          </w:tcPr>
          <w:p>
            <w:pPr>
              <w:pStyle w:val="987"/>
              <w:jc w:val="center"/>
              <w:rPr>
                <w:rFonts w:ascii="宋体" w:hAnsi="宋体"/>
                <w:sz w:val="21"/>
                <w:highlight w:val="none"/>
              </w:rPr>
            </w:pPr>
            <w:r>
              <w:rPr>
                <w:rStyle w:val="988"/>
                <w:rFonts w:hint="eastAsia" w:ascii="宋体" w:hAnsi="宋体" w:cs="仿宋"/>
                <w:sz w:val="21"/>
                <w:highlight w:val="none"/>
              </w:rPr>
              <w:t xml:space="preserve">10≤X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100</w:t>
            </w:r>
            <w:r/>
          </w:p>
        </w:tc>
        <w:tc>
          <w:tcPr>
            <w:tcW w:w="1054" w:type="dxa"/>
            <w:vAlign w:val="center"/>
            <w:textDirection w:val="lrTb"/>
            <w:noWrap w:val="false"/>
          </w:tcPr>
          <w:p>
            <w:pPr>
              <w:pStyle w:val="987"/>
              <w:rPr>
                <w:rFonts w:ascii="宋体" w:hAnsi="宋体"/>
                <w:sz w:val="21"/>
                <w:highlight w:val="none"/>
              </w:rPr>
            </w:pPr>
            <w:r>
              <w:rPr>
                <w:rStyle w:val="988"/>
                <w:rFonts w:hint="eastAsia" w:ascii="宋体" w:hAnsi="宋体" w:cs="仿宋"/>
                <w:sz w:val="21"/>
                <w:highlight w:val="none"/>
              </w:rPr>
              <w:t xml:space="preserve">X</w:t>
            </w:r>
            <w:r>
              <w:rPr>
                <w:rStyle w:val="988"/>
                <w:rFonts w:hint="eastAsia" w:ascii="宋体" w:hAnsi="宋体" w:cs="宋体"/>
                <w:sz w:val="21"/>
                <w:highlight w:val="none"/>
              </w:rPr>
              <w:t xml:space="preserve">＜</w:t>
            </w:r>
            <w:r>
              <w:rPr>
                <w:rStyle w:val="988"/>
                <w:rFonts w:hint="eastAsia" w:ascii="宋体" w:hAnsi="宋体" w:cs="仿宋"/>
                <w:sz w:val="21"/>
                <w:highlight w:val="none"/>
              </w:rPr>
              <w:t xml:space="preserve">10</w:t>
            </w:r>
            <w:r/>
          </w:p>
        </w:tc>
      </w:tr>
    </w:tbl>
    <w:p>
      <w:pPr>
        <w:pStyle w:val="926"/>
        <w:rPr>
          <w:rFonts w:hint="eastAsia" w:ascii="宋体" w:hAnsi="宋体"/>
          <w:b/>
          <w:bCs/>
          <w:szCs w:val="21"/>
          <w:highlight w:val="none"/>
        </w:rPr>
      </w:pPr>
      <w:r>
        <w:rPr>
          <w:rStyle w:val="938"/>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宋体" w:hAnsi="宋体"/>
          <w:b/>
          <w:bCs/>
          <w:szCs w:val="21"/>
          <w:highlight w:val="none"/>
        </w:rPr>
      </w:pPr>
      <w:r>
        <w:rPr>
          <w:rFonts w:hint="eastAsia" w:ascii="宋体" w:hAnsi="宋体"/>
          <w:b/>
          <w:bCs/>
          <w:szCs w:val="21"/>
          <w:highlight w:val="none"/>
        </w:rPr>
        <w:br w:type="page" w:clear="all"/>
      </w:r>
      <w:r/>
    </w:p>
    <w:p>
      <w:pPr>
        <w:jc w:val="center"/>
        <w:keepLines w:val="0"/>
        <w:keepNext w:val="0"/>
        <w:pageBreakBefore w:val="0"/>
        <w:spacing w:before="157" w:line="480" w:lineRule="auto"/>
        <w:widowControl w:val="off"/>
        <w:rPr>
          <w:rFonts w:hint="eastAsia" w:ascii="宋体" w:hAnsi="宋体"/>
          <w:b/>
          <w:bCs/>
          <w:szCs w:val="21"/>
          <w:highlight w:val="none"/>
        </w:rPr>
      </w:pPr>
      <w:r>
        <w:rPr>
          <w:rFonts w:hint="eastAsia" w:ascii="宋体" w:hAnsi="宋体"/>
          <w:b/>
          <w:bCs/>
          <w:szCs w:val="21"/>
          <w:highlight w:val="none"/>
        </w:rPr>
        <w:t xml:space="preserve">残疾人福利性单位声明函（如适用）</w:t>
      </w:r>
      <w:r/>
    </w:p>
    <w:p>
      <w:pPr>
        <w:pStyle w:val="962"/>
        <w:rPr>
          <w:rFonts w:hint="eastAsia"/>
          <w:sz w:val="22"/>
          <w:szCs w:val="22"/>
          <w:highlight w:val="none"/>
        </w:rPr>
      </w:pPr>
      <w:r>
        <w:rPr>
          <w:rFonts w:hint="eastAsia"/>
          <w:sz w:val="22"/>
          <w:szCs w:val="22"/>
          <w:highlight w:val="none"/>
        </w:rPr>
      </w:r>
      <w:r/>
    </w:p>
    <w:p>
      <w:pPr>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p>
    <w:p>
      <w:pPr>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p>
    <w:p>
      <w:pPr>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p>
    <w:p>
      <w:pPr>
        <w:ind w:firstLine="315"/>
        <w:spacing w:line="360" w:lineRule="auto"/>
        <w:rPr>
          <w:rFonts w:hint="eastAsia" w:ascii="宋体" w:hAnsi="宋体"/>
          <w:szCs w:val="21"/>
          <w:highlight w:val="none"/>
        </w:rPr>
      </w:pPr>
      <w:r>
        <w:rPr>
          <w:rFonts w:hint="eastAsia" w:ascii="宋体" w:hAnsi="宋体"/>
          <w:szCs w:val="21"/>
          <w:highlight w:val="none"/>
        </w:rPr>
      </w:r>
      <w:r/>
    </w:p>
    <w:p>
      <w:pPr>
        <w:ind w:firstLine="315"/>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b/>
          <w:bCs/>
          <w:szCs w:val="21"/>
          <w:highlight w:val="none"/>
        </w:rPr>
      </w:pPr>
      <w:r>
        <w:rPr>
          <w:rFonts w:hint="eastAsia" w:ascii="宋体" w:hAnsi="宋体"/>
          <w:b/>
          <w:bCs/>
          <w:szCs w:val="21"/>
          <w:highlight w:val="none"/>
        </w:rPr>
      </w:r>
      <w:r/>
    </w:p>
    <w:p>
      <w:pPr>
        <w:spacing w:line="360" w:lineRule="auto"/>
        <w:rPr>
          <w:rFonts w:hint="eastAsia" w:ascii="宋体" w:hAnsi="宋体"/>
          <w:bCs/>
          <w:sz w:val="24"/>
          <w:highlight w:val="none"/>
        </w:rPr>
      </w:pPr>
      <w:r>
        <w:rPr>
          <w:rFonts w:hint="eastAsia" w:ascii="宋体" w:hAnsi="宋体"/>
          <w:bCs/>
          <w:sz w:val="24"/>
          <w:highlight w:val="none"/>
        </w:rPr>
        <w:t xml:space="preserve"> </w:t>
      </w:r>
      <w:r/>
    </w:p>
    <w:p>
      <w:pPr>
        <w:ind w:firstLine="320"/>
        <w:jc w:val="center"/>
        <w:keepLines w:val="0"/>
        <w:keepNext w:val="0"/>
        <w:pageBreakBefore w:val="0"/>
        <w:spacing w:before="157" w:line="480" w:lineRule="auto"/>
        <w:widowControl w:val="off"/>
        <w:rPr>
          <w:rFonts w:hint="eastAsia" w:ascii="方正魏碑_GBK" w:hAnsi="方正魏碑_GBK" w:eastAsia="方正魏碑_GBK" w:cs="方正魏碑_GBK"/>
          <w:b w:val="0"/>
          <w:bCs/>
          <w:color w:val="auto"/>
          <w:sz w:val="24"/>
          <w:szCs w:val="24"/>
        </w:rPr>
      </w:pPr>
      <w:r>
        <w:rPr>
          <w:rFonts w:hint="eastAsia" w:ascii="宋体" w:hAnsi="宋体"/>
          <w:b w:val="0"/>
          <w:sz w:val="32"/>
          <w:szCs w:val="32"/>
          <w:highlight w:val="none"/>
        </w:rPr>
        <w:br w:type="page" w:clear="all"/>
      </w:r>
      <w:r>
        <w:rPr>
          <w:rFonts w:hint="eastAsia" w:ascii="宋体" w:hAnsi="宋体"/>
          <w:b/>
          <w:bCs/>
          <w:szCs w:val="21"/>
          <w:highlight w:val="none"/>
        </w:rPr>
        <w:t xml:space="preserve">关于符合本国产品标准的声明函</w:t>
      </w:r>
      <w:r/>
    </w:p>
    <w:p>
      <w:pPr>
        <w:pStyle w:val="935"/>
        <w:ind w:firstLine="420"/>
        <w:spacing w:before="0" w:beforeAutospacing="0" w:after="0" w:afterAutospacing="0" w:line="0" w:lineRule="atLeast"/>
        <w:rPr>
          <w:rFonts w:ascii="方正魏碑_GBK" w:hAnsi="方正魏碑_GBK" w:eastAsia="方正魏碑_GBK" w:cs="方正魏碑_GBK"/>
          <w:b w:val="0"/>
          <w:bCs/>
          <w:color w:val="auto"/>
        </w:rPr>
      </w:pPr>
      <w:r>
        <w:rPr>
          <w:rFonts w:ascii="方正魏碑_GBK" w:hAnsi="方正魏碑_GBK" w:eastAsia="方正魏碑_GBK" w:cs="方正魏碑_GBK"/>
          <w:b w:val="0"/>
          <w:bCs/>
          <w:color w:val="auto"/>
        </w:rPr>
      </w:r>
      <w:r/>
    </w:p>
    <w:p>
      <w:pPr>
        <w:pStyle w:val="935"/>
        <w:ind w:firstLine="420"/>
        <w:spacing w:before="0" w:beforeAutospacing="0" w:after="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5"/>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1.</w:t>
      </w:r>
      <w:r>
        <w:rPr>
          <w:rStyle w:val="939"/>
          <w:rFonts w:hint="eastAsia" w:ascii="方正魏碑_GBK" w:hAnsi="方正魏碑_GBK" w:eastAsia="方正魏碑_GBK" w:cs="方正魏碑_GBK"/>
          <w:b w:val="0"/>
          <w:bCs/>
          <w:i w:val="0"/>
          <w:color w:val="auto"/>
          <w:u w:val="single"/>
          <w:shd w:val="clear" w:color="auto" w:fill="ffffff"/>
        </w:rPr>
        <w:t xml:space="preserve">（产品名称1）</w:t>
      </w:r>
      <w:r>
        <w:rPr>
          <w:rStyle w:val="939"/>
          <w:rFonts w:hint="eastAsia" w:ascii="方正魏碑_GBK" w:hAnsi="方正魏碑_GBK" w:eastAsia="方正魏碑_GBK" w:cs="方正魏碑_GBK"/>
          <w:b w:val="0"/>
          <w:bCs/>
          <w:i w:val="0"/>
          <w:color w:val="auto"/>
          <w:shd w:val="clear" w:color="auto" w:fill="ffffff"/>
          <w:vertAlign w:val="superscript"/>
        </w:rPr>
        <w:t xml:space="preserve">1</w:t>
      </w:r>
      <w:r>
        <w:rPr>
          <w:rFonts w:hint="eastAsia" w:ascii="方正魏碑_GBK" w:hAnsi="方正魏碑_GBK" w:eastAsia="方正魏碑_GBK" w:cs="方正魏碑_GBK"/>
          <w:b w:val="0"/>
          <w:bCs/>
          <w:color w:val="auto"/>
          <w:shd w:val="clear" w:color="auto" w:fill="ffffff"/>
        </w:rPr>
        <w:t xml:space="preserve">，生产厂为</w:t>
      </w:r>
      <w:r>
        <w:rPr>
          <w:rStyle w:val="939"/>
          <w:rFonts w:hint="eastAsia" w:ascii="方正魏碑_GBK" w:hAnsi="方正魏碑_GBK" w:eastAsia="方正魏碑_GBK" w:cs="方正魏碑_GBK"/>
          <w:b w:val="0"/>
          <w:bCs/>
          <w:i w:val="0"/>
          <w:color w:val="auto"/>
          <w:u w:val="single"/>
          <w:shd w:val="clear" w:color="auto" w:fill="ffffff"/>
        </w:rPr>
        <w:t xml:space="preserve">（厂名）</w:t>
      </w:r>
      <w:r>
        <w:rPr>
          <w:rStyle w:val="939"/>
          <w:rFonts w:hint="eastAsia" w:ascii="方正魏碑_GBK" w:hAnsi="方正魏碑_GBK" w:eastAsia="方正魏碑_GBK" w:cs="方正魏碑_GBK"/>
          <w:b w:val="0"/>
          <w:bCs/>
          <w:i w:val="0"/>
          <w:color w:val="auto"/>
          <w:shd w:val="clear" w:color="auto" w:fill="ffffff"/>
          <w:vertAlign w:val="superscript"/>
        </w:rPr>
        <w:t xml:space="preserve">2</w:t>
      </w:r>
      <w:r>
        <w:rPr>
          <w:rFonts w:hint="eastAsia" w:ascii="方正魏碑_GBK" w:hAnsi="方正魏碑_GBK" w:eastAsia="方正魏碑_GBK" w:cs="方正魏碑_GBK"/>
          <w:b w:val="0"/>
          <w:bCs/>
          <w:color w:val="auto"/>
          <w:shd w:val="clear" w:color="auto" w:fill="ffffff"/>
        </w:rPr>
        <w:t xml:space="preserve">，厂址为</w:t>
      </w:r>
      <w:r>
        <w:rPr>
          <w:rStyle w:val="939"/>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Fonts w:hint="eastAsia" w:ascii="方正魏碑_GBK" w:hAnsi="方正魏碑_GBK" w:eastAsia="方正魏碑_GBK" w:cs="方正魏碑_GBK"/>
          <w:b w:val="0"/>
          <w:bCs/>
          <w:color w:val="auto"/>
          <w:u w:val="single"/>
          <w:shd w:val="clear" w:color="auto" w:fill="ffffff"/>
        </w:rPr>
        <w:t xml:space="preserve"> </w:t>
      </w:r>
      <w:r>
        <w:rPr>
          <w:rStyle w:val="939"/>
          <w:rFonts w:hint="eastAsia" w:ascii="方正魏碑_GBK" w:hAnsi="方正魏碑_GBK" w:eastAsia="方正魏碑_GBK" w:cs="方正魏碑_GBK"/>
          <w:b w:val="0"/>
          <w:bCs/>
          <w:i w:val="0"/>
          <w:color w:val="auto"/>
          <w:u w:val="single"/>
          <w:shd w:val="clear" w:color="auto" w:fill="ffffff"/>
        </w:rPr>
        <w:t xml:space="preserve">（产品名称1） </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939"/>
          <w:rFonts w:hint="eastAsia" w:ascii="方正魏碑_GBK" w:hAnsi="方正魏碑_GBK" w:eastAsia="方正魏碑_GBK" w:cs="方正魏碑_GBK"/>
          <w:b w:val="0"/>
          <w:bCs/>
          <w:i w:val="0"/>
          <w:color w:val="auto"/>
          <w:u w:val="single"/>
          <w:shd w:val="clear" w:color="auto" w:fill="ffffff"/>
        </w:rPr>
        <w:t xml:space="preserve">（规定</w:t>
      </w:r>
      <w:r>
        <w:rPr>
          <w:rStyle w:val="939"/>
          <w:rFonts w:ascii="方正魏碑_GBK" w:hAnsi="方正魏碑_GBK" w:eastAsia="方正魏碑_GBK" w:cs="方正魏碑_GBK"/>
          <w:b w:val="0"/>
          <w:bCs/>
          <w:i w:val="0"/>
          <w:color w:val="auto"/>
          <w:u w:val="single"/>
          <w:shd w:val="clear" w:color="auto" w:fill="ffffff"/>
        </w:rPr>
        <w:t xml:space="preserve">比例</w:t>
      </w:r>
      <w:r>
        <w:rPr>
          <w:rStyle w:val="939"/>
          <w:rFonts w:hint="eastAsia" w:ascii="方正魏碑_GBK" w:hAnsi="方正魏碑_GBK" w:eastAsia="方正魏碑_GBK" w:cs="方正魏碑_GBK"/>
          <w:b w:val="0"/>
          <w:bCs/>
          <w:i w:val="0"/>
          <w:color w:val="auto"/>
          <w:u w:val="single"/>
          <w:shd w:val="clear" w:color="auto" w:fill="ffffff"/>
        </w:rPr>
        <w:t xml:space="preserve">）</w:t>
      </w:r>
      <w:r>
        <w:rPr>
          <w:rStyle w:val="939"/>
          <w:rFonts w:hint="eastAsia" w:ascii="方正魏碑_GBK" w:hAnsi="方正魏碑_GBK" w:eastAsia="方正魏碑_GBK" w:cs="方正魏碑_GBK"/>
          <w:b w:val="0"/>
          <w:bCs/>
          <w:i w:val="0"/>
          <w:color w:val="auto"/>
          <w:shd w:val="clear" w:color="auto" w:fill="ffffff"/>
          <w:vertAlign w:val="superscript"/>
        </w:rPr>
        <w:t xml:space="preserve">3</w:t>
      </w:r>
      <w:r>
        <w:rPr>
          <w:rFonts w:hint="eastAsia" w:ascii="方正魏碑_GBK" w:hAnsi="方正魏碑_GBK" w:eastAsia="方正魏碑_GBK" w:cs="方正魏碑_GBK"/>
          <w:b w:val="0"/>
          <w:bCs/>
          <w:color w:val="auto"/>
          <w:shd w:val="clear" w:color="auto" w:fill="ffffff"/>
        </w:rPr>
        <w:t xml:space="preserve">。</w:t>
      </w:r>
      <w:r>
        <w:rPr>
          <w:rStyle w:val="939"/>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939"/>
          <w:rFonts w:hint="eastAsia" w:ascii="方正魏碑_GBK" w:hAnsi="方正魏碑_GBK" w:eastAsia="方正魏碑_GBK" w:cs="方正魏碑_GBK"/>
          <w:b w:val="0"/>
          <w:bCs/>
          <w:i w:val="0"/>
          <w:color w:val="auto"/>
          <w:u w:val="single"/>
          <w:shd w:val="clear" w:color="auto" w:fill="ffffff"/>
        </w:rPr>
        <w:t xml:space="preserve">（关键</w:t>
      </w:r>
      <w:r>
        <w:rPr>
          <w:rStyle w:val="939"/>
          <w:rFonts w:ascii="方正魏碑_GBK" w:hAnsi="方正魏碑_GBK" w:eastAsia="方正魏碑_GBK" w:cs="方正魏碑_GBK"/>
          <w:b w:val="0"/>
          <w:bCs/>
          <w:i w:val="0"/>
          <w:color w:val="auto"/>
          <w:u w:val="single"/>
          <w:shd w:val="clear" w:color="auto" w:fill="ffffff"/>
        </w:rPr>
        <w:t xml:space="preserve">组件</w:t>
      </w:r>
      <w:r>
        <w:rPr>
          <w:rStyle w:val="939"/>
          <w:rFonts w:hint="eastAsia" w:ascii="方正魏碑_GBK" w:hAnsi="方正魏碑_GBK" w:eastAsia="方正魏碑_GBK" w:cs="方正魏碑_GBK"/>
          <w:b w:val="0"/>
          <w:bCs/>
          <w:i w:val="0"/>
          <w:color w:val="auto"/>
          <w:u w:val="single"/>
          <w:shd w:val="clear" w:color="auto" w:fill="ffffff"/>
        </w:rPr>
        <w:t xml:space="preserve">）</w:t>
      </w:r>
      <w:r>
        <w:rPr>
          <w:rStyle w:val="939"/>
          <w:rFonts w:hint="eastAsia" w:ascii="方正魏碑_GBK" w:hAnsi="方正魏碑_GBK" w:eastAsia="方正魏碑_GBK" w:cs="方正魏碑_GBK"/>
          <w:b w:val="0"/>
          <w:bCs/>
          <w:i w:val="0"/>
          <w:color w:val="auto"/>
          <w:shd w:val="clear" w:color="auto" w:fill="ffffff"/>
          <w:vertAlign w:val="superscript"/>
        </w:rPr>
        <w:t xml:space="preserve">4</w:t>
      </w:r>
      <w:r>
        <w:rPr>
          <w:rFonts w:hint="eastAsia" w:ascii="方正魏碑_GBK" w:hAnsi="方正魏碑_GBK" w:eastAsia="方正魏碑_GBK" w:cs="方正魏碑_GBK"/>
          <w:b w:val="0"/>
          <w:bCs/>
          <w:color w:val="auto"/>
          <w:shd w:val="clear" w:color="auto" w:fill="ffffff"/>
        </w:rPr>
        <w:t xml:space="preserve">在中国境内生产。</w:t>
      </w:r>
      <w:r>
        <w:rPr>
          <w:rStyle w:val="939"/>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939"/>
          <w:rFonts w:hint="eastAsia" w:ascii="方正魏碑_GBK" w:hAnsi="方正魏碑_GBK" w:eastAsia="方正魏碑_GBK" w:cs="方正魏碑_GBK"/>
          <w:b w:val="0"/>
          <w:bCs/>
          <w:i w:val="0"/>
          <w:color w:val="auto"/>
          <w:u w:val="single"/>
          <w:shd w:val="clear" w:color="auto" w:fill="ffffff"/>
        </w:rPr>
        <w:t xml:space="preserve">（关键工序）</w:t>
      </w:r>
      <w:r>
        <w:rPr>
          <w:rStyle w:val="939"/>
          <w:rFonts w:hint="eastAsia" w:ascii="方正魏碑_GBK" w:hAnsi="方正魏碑_GBK" w:eastAsia="方正魏碑_GBK" w:cs="方正魏碑_GBK"/>
          <w:b w:val="0"/>
          <w:bCs/>
          <w:i w:val="0"/>
          <w:color w:val="auto"/>
          <w:shd w:val="clear" w:color="auto" w:fill="ffffff"/>
          <w:vertAlign w:val="superscript"/>
        </w:rPr>
        <w:t xml:space="preserve">5</w:t>
      </w:r>
      <w:r>
        <w:rPr>
          <w:rFonts w:hint="eastAsia" w:ascii="方正魏碑_GBK" w:hAnsi="方正魏碑_GBK" w:eastAsia="方正魏碑_GBK" w:cs="方正魏碑_GBK"/>
          <w:b w:val="0"/>
          <w:bCs/>
          <w:color w:val="auto"/>
          <w:shd w:val="clear" w:color="auto" w:fill="ffffff"/>
        </w:rPr>
        <w:t xml:space="preserve">在中国境内完成。</w:t>
      </w:r>
      <w:r/>
    </w:p>
    <w:p>
      <w:pPr>
        <w:pStyle w:val="935"/>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2.</w:t>
      </w:r>
      <w:r>
        <w:rPr>
          <w:rStyle w:val="939"/>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，生产厂为</w:t>
      </w:r>
      <w:r>
        <w:rPr>
          <w:rStyle w:val="939"/>
          <w:rFonts w:hint="eastAsia" w:ascii="方正魏碑_GBK" w:hAnsi="方正魏碑_GBK" w:eastAsia="方正魏碑_GBK" w:cs="方正魏碑_GBK"/>
          <w:b w:val="0"/>
          <w:bCs/>
          <w:i w:val="0"/>
          <w:color w:val="auto"/>
          <w:u w:val="single"/>
          <w:shd w:val="clear" w:color="auto" w:fill="ffffff"/>
        </w:rPr>
        <w:t xml:space="preserve">（厂名）</w:t>
      </w:r>
      <w:r>
        <w:rPr>
          <w:rFonts w:hint="eastAsia" w:ascii="方正魏碑_GBK" w:hAnsi="方正魏碑_GBK" w:eastAsia="方正魏碑_GBK" w:cs="方正魏碑_GBK"/>
          <w:b w:val="0"/>
          <w:bCs/>
          <w:color w:val="auto"/>
          <w:shd w:val="clear" w:color="auto" w:fill="ffffff"/>
        </w:rPr>
        <w:t xml:space="preserve">，厂址为</w:t>
      </w:r>
      <w:r>
        <w:rPr>
          <w:rStyle w:val="939"/>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Style w:val="939"/>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939"/>
          <w:rFonts w:hint="eastAsia" w:ascii="方正魏碑_GBK" w:hAnsi="方正魏碑_GBK" w:eastAsia="方正魏碑_GBK" w:cs="方正魏碑_GBK"/>
          <w:b w:val="0"/>
          <w:bCs/>
          <w:i w:val="0"/>
          <w:color w:val="auto"/>
          <w:u w:val="single"/>
          <w:shd w:val="clear" w:color="auto" w:fill="ffffff"/>
        </w:rPr>
        <w:t xml:space="preserve">（规定</w:t>
      </w:r>
      <w:r>
        <w:rPr>
          <w:rStyle w:val="939"/>
          <w:rFonts w:ascii="方正魏碑_GBK" w:hAnsi="方正魏碑_GBK" w:eastAsia="方正魏碑_GBK" w:cs="方正魏碑_GBK"/>
          <w:b w:val="0"/>
          <w:bCs/>
          <w:i w:val="0"/>
          <w:color w:val="auto"/>
          <w:u w:val="single"/>
          <w:shd w:val="clear" w:color="auto" w:fill="ffffff"/>
        </w:rPr>
        <w:t xml:space="preserve">比例</w:t>
      </w:r>
      <w:r>
        <w:rPr>
          <w:rStyle w:val="939"/>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w:t>
      </w:r>
      <w:r>
        <w:rPr>
          <w:rStyle w:val="939"/>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w:t>
      </w:r>
      <w:r>
        <w:rPr>
          <w:rStyle w:val="939"/>
          <w:rFonts w:hint="eastAsia" w:ascii="方正魏碑_GBK" w:hAnsi="方正魏碑_GBK" w:eastAsia="方正魏碑_GBK" w:cs="方正魏碑_GBK"/>
          <w:b w:val="0"/>
          <w:bCs/>
          <w:i w:val="0"/>
          <w:color w:val="auto"/>
          <w:u w:val="single"/>
          <w:shd w:val="clear" w:color="auto" w:fill="ffffff"/>
        </w:rPr>
        <w:t xml:space="preserve">（关键</w:t>
      </w:r>
      <w:r>
        <w:rPr>
          <w:rStyle w:val="939"/>
          <w:rFonts w:ascii="方正魏碑_GBK" w:hAnsi="方正魏碑_GBK" w:eastAsia="方正魏碑_GBK" w:cs="方正魏碑_GBK"/>
          <w:b w:val="0"/>
          <w:bCs/>
          <w:i w:val="0"/>
          <w:color w:val="auto"/>
          <w:u w:val="single"/>
          <w:shd w:val="clear" w:color="auto" w:fill="ffffff"/>
        </w:rPr>
        <w:t xml:space="preserve">组件</w:t>
      </w:r>
      <w:r>
        <w:rPr>
          <w:rStyle w:val="939"/>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在中国境内生产。</w:t>
      </w:r>
      <w:r>
        <w:rPr>
          <w:rStyle w:val="939"/>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939"/>
          <w:rFonts w:hint="eastAsia" w:ascii="方正魏碑_GBK" w:hAnsi="方正魏碑_GBK" w:eastAsia="方正魏碑_GBK" w:cs="方正魏碑_GBK"/>
          <w:b w:val="0"/>
          <w:bCs/>
          <w:i w:val="0"/>
          <w:color w:val="auto"/>
          <w:u w:val="single"/>
          <w:shd w:val="clear" w:color="auto" w:fill="ffffff"/>
        </w:rPr>
        <w:t xml:space="preserve">（关键工序）</w:t>
      </w:r>
      <w:r>
        <w:rPr>
          <w:rFonts w:hint="eastAsia" w:ascii="方正魏碑_GBK" w:hAnsi="方正魏碑_GBK" w:eastAsia="方正魏碑_GBK" w:cs="方正魏碑_GBK"/>
          <w:b w:val="0"/>
          <w:bCs/>
          <w:color w:val="auto"/>
          <w:shd w:val="clear" w:color="auto" w:fill="ffffff"/>
        </w:rPr>
        <w:t xml:space="preserve">在中国境内完成。</w:t>
      </w:r>
      <w:r/>
    </w:p>
    <w:p>
      <w:pPr>
        <w:pStyle w:val="935"/>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w:t>
      </w:r>
      <w:r/>
    </w:p>
    <w:p>
      <w:pPr>
        <w:pStyle w:val="935"/>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本公司（单位）对上述声明内容的真实性负责。如有虚假，愿承担相应法律责任。</w:t>
      </w:r>
      <w:r/>
    </w:p>
    <w:p>
      <w:pPr>
        <w:pStyle w:val="935"/>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r>
      <w:r/>
    </w:p>
    <w:p>
      <w:pPr>
        <w:pStyle w:val="935"/>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供应商名称（加盖CA电子公章）：</w:t>
      </w:r>
      <w:r/>
    </w:p>
    <w:p>
      <w:pPr>
        <w:pStyle w:val="935"/>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日 期： 年 月 日</w:t>
      </w:r>
      <w:r/>
    </w:p>
    <w:p>
      <w:pPr>
        <w:pStyle w:val="935"/>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__________________</w:t>
      </w:r>
      <w:r/>
    </w:p>
    <w:p>
      <w:pPr>
        <w:pStyle w:val="935"/>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1.产品如有型号，请在“产品名称”栏一并填写。</w:t>
      </w:r>
      <w:r/>
    </w:p>
    <w:p>
      <w:pPr>
        <w:pStyle w:val="935"/>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2.生产厂名与厂址应与生产厂营业执照载明的相关信息保持一致。</w:t>
      </w:r>
      <w:r/>
    </w:p>
    <w:p>
      <w:pPr>
        <w:pStyle w:val="935"/>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3.该产品的中国境内生产的组件成本占比相关要求实施前，“规定比例”栏可不填，下同。</w:t>
      </w:r>
      <w:r/>
    </w:p>
    <w:p>
      <w:pPr>
        <w:pStyle w:val="935"/>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4.该产品的关键组件要求实施前，“关键组件”栏可不填，下同。</w:t>
      </w:r>
      <w:r/>
    </w:p>
    <w:p>
      <w:pPr>
        <w:pStyle w:val="935"/>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5.该产品的关键工序要求实施前，“关键工序”栏可不填，下同。</w:t>
      </w:r>
      <w:r/>
    </w:p>
    <w:p>
      <w:pPr>
        <w:pStyle w:val="935"/>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6.用斜线划除的地方无需填写。</w:t>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916"/>
        <w:jc w:val="center"/>
        <w:spacing w:line="360" w:lineRule="auto"/>
        <w:rPr>
          <w:rFonts w:ascii="宋体" w:hAnsi="宋体" w:eastAsia="宋体"/>
          <w:sz w:val="32"/>
          <w:highlight w:val="none"/>
        </w:rPr>
      </w:pPr>
      <w:r>
        <w:rPr>
          <w:rFonts w:hint="eastAsia" w:ascii="宋体" w:hAnsi="宋体" w:eastAsia="宋体"/>
          <w:sz w:val="32"/>
          <w:highlight w:val="none"/>
        </w:rPr>
        <w:t xml:space="preserve">四、开标一览表</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投标人全称（加盖CA电子签章）：</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ascii="宋体" w:hAnsi="宋体"/>
          <w:szCs w:val="21"/>
          <w:highlight w:val="none"/>
        </w:rPr>
      </w:pPr>
      <w:r>
        <w:rPr>
          <w:rFonts w:hint="eastAsia" w:ascii="宋体" w:hAnsi="宋体"/>
          <w:szCs w:val="21"/>
          <w:highlight w:val="none"/>
        </w:rPr>
        <w:t xml:space="preserve">分包号(如有)： </w:t>
      </w:r>
      <w:r/>
    </w:p>
    <w:p>
      <w:pPr>
        <w:ind w:firstLine="480"/>
        <w:spacing w:line="360" w:lineRule="auto"/>
        <w:rPr>
          <w:rFonts w:ascii="宋体" w:hAnsi="宋体"/>
          <w:szCs w:val="21"/>
          <w:highlight w:val="none"/>
        </w:rPr>
      </w:pPr>
      <w:r>
        <w:rPr>
          <w:rFonts w:hint="eastAsia" w:ascii="宋体" w:hAnsi="宋体"/>
          <w:szCs w:val="21"/>
          <w:highlight w:val="none"/>
        </w:rPr>
        <w:t xml:space="preserve">                       </w:t>
      </w:r>
      <w:r/>
    </w:p>
    <w:tbl>
      <w:tblPr>
        <w:tblStyle w:val="920"/>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067"/>
      </w:tblGrid>
      <w:tr>
        <w:trPr>
          <w:cantSplit/>
          <w:trHeight w:val="1098"/>
        </w:trPr>
        <w:tc>
          <w:tcPr>
            <w:tcW w:w="2481" w:type="dxa"/>
            <w:vAlign w:val="center"/>
            <w:textDirection w:val="lrTb"/>
            <w:noWrap w:val="false"/>
          </w:tcPr>
          <w:p>
            <w:pPr>
              <w:pStyle w:val="925"/>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r/>
          </w:p>
        </w:tc>
        <w:tc>
          <w:tcPr>
            <w:tcW w:w="6067" w:type="dxa"/>
            <w:vAlign w:val="center"/>
            <w:textDirection w:val="lrTb"/>
            <w:noWrap w:val="false"/>
          </w:tcPr>
          <w:p>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投标总报价</w:t>
            </w:r>
            <w:r/>
          </w:p>
        </w:tc>
      </w:tr>
      <w:tr>
        <w:trPr>
          <w:cantSplit/>
          <w:trHeight w:val="1697"/>
        </w:trPr>
        <w:tc>
          <w:tcPr>
            <w:tcW w:w="2481" w:type="dxa"/>
            <w:vAlign w:val="center"/>
            <w:textDirection w:val="lrTb"/>
            <w:noWrap w:val="false"/>
          </w:tcPr>
          <w:p>
            <w:pPr>
              <w:pStyle w:val="925"/>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6067" w:type="dxa"/>
            <w:vAlign w:val="center"/>
            <w:textDirection w:val="lrTb"/>
            <w:noWrap w:val="false"/>
          </w:tcPr>
          <w:p>
            <w:pPr>
              <w:pStyle w:val="961"/>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961"/>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小写：                             （人民币：元）</w:t>
            </w:r>
            <w:r/>
          </w:p>
          <w:p>
            <w:pPr>
              <w:pStyle w:val="961"/>
              <w:ind w:firstLine="0"/>
              <w:spacing w:before="0" w:after="0"/>
              <w:rPr>
                <w:rFonts w:ascii="宋体" w:hAnsi="宋体" w:cs="宋体"/>
                <w:sz w:val="21"/>
                <w:szCs w:val="21"/>
                <w:highlight w:val="none"/>
              </w:rPr>
            </w:pPr>
            <w:r>
              <w:rPr>
                <w:rFonts w:ascii="宋体" w:hAnsi="宋体" w:cs="宋体"/>
                <w:sz w:val="21"/>
                <w:szCs w:val="21"/>
                <w:highlight w:val="none"/>
              </w:rPr>
            </w:r>
            <w:r/>
          </w:p>
        </w:tc>
      </w:tr>
    </w:tbl>
    <w:p>
      <w:pPr>
        <w:spacing w:line="360" w:lineRule="auto"/>
        <w:rPr>
          <w:rFonts w:ascii="宋体" w:hAnsi="宋体"/>
          <w:szCs w:val="21"/>
          <w:highlight w:val="none"/>
        </w:rPr>
      </w:pPr>
      <w:r>
        <w:rPr>
          <w:rFonts w:ascii="宋体" w:hAnsi="宋体"/>
          <w:szCs w:val="21"/>
          <w:highlight w:val="none"/>
        </w:rPr>
      </w:r>
      <w:r/>
    </w:p>
    <w:p>
      <w:pPr>
        <w:ind w:firstLine="480"/>
        <w:spacing w:line="360" w:lineRule="auto"/>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8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sz w:val="24"/>
          <w:szCs w:val="24"/>
          <w:highlight w:val="none"/>
        </w:rPr>
      </w:pPr>
      <w:r>
        <w:rPr>
          <w:rFonts w:hint="eastAsia" w:ascii="宋体" w:hAnsi="宋体"/>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220" w:lineRule="atLeast"/>
        <w:rPr>
          <w:rFonts w:hint="eastAsia" w:ascii="Tahoma" w:hAnsi="Tahoma"/>
          <w:sz w:val="22"/>
          <w:highlight w:val="none"/>
        </w:rPr>
      </w:pPr>
      <w:r>
        <w:rPr>
          <w:rFonts w:hint="eastAsia" w:ascii="Tahoma" w:hAnsi="Tahoma"/>
          <w:sz w:val="22"/>
          <w:highlight w:val="none"/>
        </w:rPr>
      </w:r>
      <w:r/>
    </w:p>
    <w:p>
      <w:pPr>
        <w:rPr>
          <w:rFonts w:hint="eastAsia"/>
          <w:highlight w:val="none"/>
        </w:rPr>
      </w:pPr>
      <w:r>
        <w:rPr>
          <w:rFonts w:hint="eastAsia"/>
          <w:highlight w:val="none"/>
        </w:rPr>
      </w:r>
      <w:r/>
    </w:p>
    <w:p>
      <w:pPr>
        <w:jc w:val="both"/>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ascii="宋体" w:hAnsi="宋体" w:eastAsia="宋体"/>
          <w:sz w:val="48"/>
          <w:szCs w:val="36"/>
          <w:highlight w:val="none"/>
        </w:rPr>
      </w:pPr>
      <w:r>
        <w:rPr>
          <w:rFonts w:hint="eastAsia" w:ascii="宋体" w:hAnsi="宋体"/>
          <w:b/>
          <w:sz w:val="32"/>
          <w:szCs w:val="32"/>
          <w:highlight w:val="none"/>
          <w:lang w:val="en-US" w:eastAsia="zh-CN"/>
        </w:rPr>
        <w:t xml:space="preserve">五</w:t>
      </w:r>
      <w:r>
        <w:rPr>
          <w:rFonts w:hint="eastAsia" w:ascii="宋体" w:hAnsi="宋体"/>
          <w:b/>
          <w:sz w:val="32"/>
          <w:szCs w:val="32"/>
          <w:highlight w:val="none"/>
        </w:rPr>
        <w:t xml:space="preserve">、</w:t>
      </w:r>
      <w:r>
        <w:rPr>
          <w:rFonts w:hint="eastAsia" w:ascii="宋体" w:hAnsi="宋体"/>
          <w:b/>
          <w:sz w:val="32"/>
          <w:szCs w:val="32"/>
          <w:highlight w:val="none"/>
          <w:lang w:val="en-US" w:eastAsia="zh-CN"/>
        </w:rPr>
        <w:t xml:space="preserve">投标产品配置及分项报价表</w:t>
      </w:r>
      <w:r/>
    </w:p>
    <w:tbl>
      <w:tblPr>
        <w:tblStyle w:val="920"/>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8"/>
        <w:gridCol w:w="1362"/>
        <w:gridCol w:w="797"/>
        <w:gridCol w:w="1314"/>
        <w:gridCol w:w="941"/>
        <w:gridCol w:w="1595"/>
      </w:tblGrid>
      <w:tr>
        <w:trPr>
          <w:cantSplit/>
          <w:trHeight w:val="544"/>
        </w:trPr>
        <w:tc>
          <w:tcPr>
            <w:tcW w:w="272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w:t>
            </w:r>
            <w:r/>
          </w:p>
        </w:tc>
        <w:tc>
          <w:tcPr>
            <w:tcW w:w="1362"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797"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131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9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159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6</w:t>
            </w:r>
            <w:r/>
          </w:p>
        </w:tc>
      </w:tr>
      <w:tr>
        <w:trPr>
          <w:cantSplit/>
          <w:trHeight w:val="294"/>
        </w:trPr>
        <w:tc>
          <w:tcPr>
            <w:tcW w:w="272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产品名称及规格、型号</w:t>
            </w:r>
            <w:r/>
          </w:p>
        </w:tc>
        <w:tc>
          <w:tcPr>
            <w:tcW w:w="1362"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数量</w:t>
            </w:r>
            <w:r/>
          </w:p>
        </w:tc>
        <w:tc>
          <w:tcPr>
            <w:tcW w:w="797"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产地</w:t>
            </w:r>
            <w:r/>
          </w:p>
        </w:tc>
        <w:tc>
          <w:tcPr>
            <w:tcW w:w="131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交付期</w:t>
            </w:r>
            <w:r/>
          </w:p>
        </w:tc>
        <w:tc>
          <w:tcPr>
            <w:tcW w:w="94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单价</w:t>
            </w:r>
            <w:r/>
          </w:p>
        </w:tc>
        <w:tc>
          <w:tcPr>
            <w:tcW w:w="159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总价</w:t>
            </w:r>
            <w:r/>
          </w:p>
        </w:tc>
      </w:tr>
      <w:tr>
        <w:trPr>
          <w:cantSplit/>
          <w:trHeight w:val="924"/>
        </w:trPr>
        <w:tc>
          <w:tcPr>
            <w:tcW w:w="272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6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97"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14"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41"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9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924"/>
        </w:trPr>
        <w:tc>
          <w:tcPr>
            <w:tcW w:w="272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6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97"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14"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41"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9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924"/>
        </w:trPr>
        <w:tc>
          <w:tcPr>
            <w:tcW w:w="272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6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97"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14"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41"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9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580"/>
        </w:trPr>
        <w:tc>
          <w:tcPr>
            <w:tcW w:w="272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62"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797"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14"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41"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95"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cantSplit/>
          <w:trHeight w:val="1030"/>
        </w:trPr>
        <w:tc>
          <w:tcPr>
            <w:tcW w:w="272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合计</w:t>
            </w:r>
            <w:r/>
          </w:p>
        </w:tc>
        <w:tc>
          <w:tcPr>
            <w:gridSpan w:val="5"/>
            <w:tcW w:w="6009" w:type="dxa"/>
            <w:vAlign w:val="top"/>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 </w:t>
            </w:r>
            <w:r/>
          </w:p>
        </w:tc>
      </w:tr>
    </w:tbl>
    <w:p>
      <w:pPr>
        <w:pStyle w:val="916"/>
        <w:jc w:val="center"/>
        <w:spacing w:line="360" w:lineRule="auto"/>
        <w:rPr>
          <w:rFonts w:hint="eastAsia" w:ascii="宋体" w:hAnsi="宋体" w:eastAsia="宋体"/>
          <w:sz w:val="32"/>
          <w:highlight w:val="none"/>
          <w:lang w:val="en-US" w:eastAsia="zh-CN"/>
        </w:rPr>
      </w:pPr>
      <w:r>
        <w:rPr>
          <w:rFonts w:hint="eastAsia" w:ascii="宋体" w:hAnsi="宋体" w:eastAsia="宋体"/>
          <w:sz w:val="32"/>
          <w:highlight w:val="none"/>
          <w:lang w:val="en-US" w:eastAsia="zh-CN"/>
        </w:rPr>
      </w:r>
      <w:r/>
    </w:p>
    <w:p>
      <w:pPr>
        <w:pStyle w:val="916"/>
        <w:jc w:val="center"/>
        <w:spacing w:line="360" w:lineRule="auto"/>
        <w:rPr>
          <w:rFonts w:hint="eastAsia" w:ascii="宋体" w:hAnsi="宋体" w:eastAsia="宋体"/>
          <w:sz w:val="32"/>
          <w:highlight w:val="none"/>
          <w:lang w:val="en-US" w:eastAsia="zh-CN"/>
        </w:rPr>
      </w:pPr>
      <w:r>
        <w:rPr>
          <w:rFonts w:hint="eastAsia" w:ascii="宋体" w:hAnsi="宋体" w:eastAsia="宋体"/>
          <w:sz w:val="32"/>
          <w:highlight w:val="none"/>
          <w:lang w:val="en-US" w:eastAsia="zh-CN"/>
        </w:rPr>
      </w:r>
      <w:r/>
    </w:p>
    <w:p>
      <w:pPr>
        <w:pStyle w:val="916"/>
        <w:jc w:val="both"/>
        <w:spacing w:line="360" w:lineRule="auto"/>
        <w:rPr>
          <w:rFonts w:hint="eastAsia" w:ascii="宋体" w:hAnsi="宋体" w:eastAsia="宋体"/>
          <w:sz w:val="32"/>
          <w:highlight w:val="none"/>
          <w:lang w:val="en-US" w:eastAsia="zh-CN"/>
        </w:rPr>
      </w:pPr>
      <w:r>
        <w:rPr>
          <w:rFonts w:hint="eastAsia" w:ascii="宋体" w:hAnsi="宋体" w:eastAsia="宋体"/>
          <w:sz w:val="32"/>
          <w:highlight w:val="none"/>
          <w:lang w:val="en-US" w:eastAsia="zh-CN"/>
        </w:rPr>
      </w:r>
      <w:r/>
    </w:p>
    <w:p>
      <w:pPr>
        <w:spacing w:line="460" w:lineRule="exact"/>
        <w:rPr>
          <w:rFonts w:hint="eastAsia" w:ascii="宋体" w:hAnsi="宋体"/>
          <w:bCs/>
          <w:sz w:val="24"/>
          <w:highlight w:val="none"/>
        </w:rPr>
      </w:pPr>
      <w:r>
        <w:rPr>
          <w:rFonts w:hint="eastAsia" w:ascii="宋体" w:hAnsi="宋体"/>
          <w:bCs/>
          <w:sz w:val="24"/>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r>
      <w:r/>
    </w:p>
    <w:p>
      <w:pPr>
        <w:jc w:val="center"/>
        <w:spacing w:after="312" w:line="360" w:lineRule="auto"/>
        <w:rPr>
          <w:rFonts w:hint="eastAsia" w:ascii="宋体" w:hAnsi="宋体" w:eastAsia="宋体" w:cs="Times New Roman"/>
          <w:b/>
          <w:sz w:val="32"/>
          <w:szCs w:val="32"/>
          <w:highlight w:val="none"/>
          <w:lang w:val="en-US" w:eastAsia="zh-CN"/>
        </w:rPr>
      </w:pPr>
      <w:r>
        <w:rPr>
          <w:rFonts w:hint="eastAsia" w:ascii="宋体" w:hAnsi="宋体" w:eastAsia="宋体" w:cs="Times New Roman"/>
          <w:b/>
          <w:sz w:val="32"/>
          <w:szCs w:val="32"/>
          <w:highlight w:val="none"/>
          <w:lang w:val="en-US" w:eastAsia="zh-CN"/>
        </w:rPr>
        <w:t xml:space="preserve">六、技术参数响应及偏离表</w:t>
      </w:r>
      <w:r/>
    </w:p>
    <w:tbl>
      <w:tblPr>
        <w:tblStyle w:val="920"/>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481"/>
        <w:gridCol w:w="2626"/>
        <w:gridCol w:w="1418"/>
        <w:gridCol w:w="1176"/>
      </w:tblGrid>
      <w:tr>
        <w:trPr>
          <w:cantSplit/>
          <w:trHeight w:val="969"/>
        </w:trPr>
        <w:tc>
          <w:tcPr>
            <w:tcW w:w="957"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序号</w:t>
            </w:r>
            <w:r/>
          </w:p>
        </w:tc>
        <w:tc>
          <w:tcPr>
            <w:tcW w:w="248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招标要求</w:t>
            </w:r>
            <w:r/>
          </w:p>
        </w:tc>
        <w:tc>
          <w:tcPr>
            <w:tcW w:w="262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投标响应</w:t>
            </w:r>
            <w:r/>
          </w:p>
        </w:tc>
        <w:tc>
          <w:tcPr>
            <w:tcW w:w="141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17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65"/>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65"/>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76"/>
        </w:trPr>
        <w:tc>
          <w:tcPr>
            <w:tcW w:w="957"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481"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62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1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6"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pStyle w:val="916"/>
        <w:jc w:val="center"/>
        <w:spacing w:line="360" w:lineRule="auto"/>
        <w:rPr>
          <w:rFonts w:ascii="宋体" w:hAnsi="宋体" w:eastAsia="宋体"/>
          <w:sz w:val="32"/>
          <w:highlight w:val="none"/>
        </w:rPr>
      </w:pPr>
      <w:r>
        <w:rPr>
          <w:rFonts w:hint="eastAsia" w:ascii="宋体" w:hAnsi="宋体" w:eastAsia="宋体"/>
          <w:sz w:val="32"/>
          <w:highlight w:val="none"/>
        </w:rPr>
        <w:t xml:space="preserve">七、商务条款响应及偏离表</w:t>
      </w:r>
      <w:r/>
    </w:p>
    <w:tbl>
      <w:tblPr>
        <w:tblStyle w:val="920"/>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bookmarkStart w:id="73" w:name="_Hlt26955064"/>
            <w:r/>
            <w:bookmarkEnd w:id="73"/>
            <w:r/>
            <w:bookmarkStart w:id="74" w:name="_Hlt24879081"/>
            <w:r/>
            <w:bookmarkEnd w:id="74"/>
            <w:r/>
            <w:bookmarkStart w:id="75" w:name="_Hlt26671372"/>
            <w:r/>
            <w:bookmarkEnd w:id="75"/>
            <w:r/>
            <w:bookmarkStart w:id="76" w:name="_Hlt26609391"/>
            <w:r/>
            <w:bookmarkEnd w:id="76"/>
            <w:r/>
            <w:bookmarkStart w:id="77" w:name="_Hlt26580838"/>
            <w:r/>
            <w:bookmarkEnd w:id="77"/>
            <w:r/>
            <w:bookmarkStart w:id="78" w:name="_Hlt26671343"/>
            <w:r/>
            <w:bookmarkEnd w:id="78"/>
            <w:r/>
            <w:bookmarkStart w:id="79" w:name="_Hlt26782999"/>
            <w:r/>
            <w:bookmarkEnd w:id="79"/>
            <w:r/>
            <w:bookmarkStart w:id="80" w:name="_Hlt26955056"/>
            <w:r/>
            <w:bookmarkEnd w:id="80"/>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szCs w:val="21"/>
                <w:highlight w:val="none"/>
              </w:rPr>
            </w:pPr>
            <w:r>
              <w:rPr>
                <w:rFonts w:hint="eastAsia" w:ascii="仿宋_GB2312"/>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szCs w:val="21"/>
                <w:highlight w:val="none"/>
              </w:rPr>
            </w:pPr>
            <w:r>
              <w:rPr>
                <w:rFonts w:hint="eastAsia" w:ascii="仿宋_GB2312"/>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after="312" w:line="360" w:lineRule="auto"/>
        <w:rPr>
          <w:rFonts w:hint="eastAsia" w:ascii="宋体" w:hAnsi="宋体"/>
          <w:b/>
          <w:szCs w:val="21"/>
          <w:highlight w:val="none"/>
        </w:rPr>
      </w:pPr>
      <w:r>
        <w:rPr>
          <w:rFonts w:hint="eastAsia" w:ascii="宋体" w:hAnsi="宋体"/>
          <w:b/>
          <w:szCs w:val="21"/>
          <w:highlight w:val="none"/>
        </w:rPr>
      </w:r>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ind w:firstLine="420"/>
        <w:spacing w:after="312" w:line="360" w:lineRule="auto"/>
        <w:rPr>
          <w:rFonts w:ascii="宋体" w:hAnsi="宋体"/>
          <w:b/>
          <w:highlight w:val="none"/>
        </w:rPr>
      </w:pPr>
      <w:r>
        <w:rPr>
          <w:rFonts w:hint="eastAsia" w:ascii="宋体" w:hAnsi="宋体"/>
          <w:highlight w:val="none"/>
        </w:rPr>
        <w:t xml:space="preserve">投标人全称：</w:t>
      </w:r>
      <w:r/>
    </w:p>
    <w:tbl>
      <w:tblPr>
        <w:tblStyle w:val="920"/>
        <w:tblW w:w="7605"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5"/>
      </w:tblGrid>
      <w:tr>
        <w:trPr/>
        <w:tc>
          <w:tcPr>
            <w:tcW w:w="7605"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r>
      <w:tr>
        <w:trPr>
          <w:trHeight w:val="3810"/>
        </w:trPr>
        <w:tc>
          <w:tcPr>
            <w:tcW w:w="7605"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r>
    </w:tbl>
    <w:p>
      <w:pPr>
        <w:jc w:val="center"/>
        <w:spacing w:after="312" w:line="360" w:lineRule="auto"/>
        <w:rPr>
          <w:rFonts w:hint="eastAsia" w:ascii="宋体" w:hAnsi="宋体"/>
          <w:szCs w:val="21"/>
          <w:highlight w:val="none"/>
        </w:rPr>
      </w:pPr>
      <w:r>
        <w:rPr>
          <w:rFonts w:hint="eastAsia" w:ascii="宋体" w:hAnsi="宋体"/>
          <w:szCs w:val="21"/>
          <w:highlight w:val="none"/>
        </w:rPr>
        <w:t xml:space="preserve"> </w:t>
      </w:r>
      <w:r/>
    </w:p>
    <w:p>
      <w:pPr>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rPr>
          <w:rFonts w:hint="eastAsia" w:ascii="宋体" w:hAnsi="宋体"/>
          <w:b/>
          <w:sz w:val="28"/>
          <w:szCs w:val="28"/>
          <w:highlight w:val="none"/>
        </w:rPr>
      </w:pPr>
      <w:r>
        <w:rPr>
          <w:rFonts w:hint="eastAsia" w:ascii="宋体" w:hAnsi="宋体"/>
          <w:b/>
          <w:sz w:val="28"/>
          <w:szCs w:val="28"/>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r>
      <w:r/>
    </w:p>
    <w:p>
      <w:pPr>
        <w:jc w:val="both"/>
        <w:spacing w:line="360" w:lineRule="auto"/>
        <w:rPr>
          <w:rFonts w:hint="eastAsia" w:ascii="宋体" w:hAnsi="宋体"/>
          <w:b/>
          <w:highlight w:val="none"/>
        </w:rPr>
      </w:pPr>
      <w:r>
        <w:rPr>
          <w:rFonts w:hint="eastAsia" w:ascii="宋体" w:hAnsi="宋体"/>
          <w:b/>
          <w:highlight w:val="none"/>
        </w:rPr>
      </w:r>
      <w:r/>
    </w:p>
    <w:p>
      <w:pPr>
        <w:rPr>
          <w:rFonts w:hint="eastAsia" w:ascii="宋体" w:hAnsi="宋体"/>
          <w:b/>
          <w:highlight w:val="none"/>
        </w:rPr>
      </w:pPr>
      <w:r>
        <w:rPr>
          <w:rFonts w:hint="eastAsia" w:ascii="宋体" w:hAnsi="宋体"/>
          <w:b/>
          <w:highlight w:val="none"/>
        </w:rPr>
        <w:br w:type="page" w:clear="all"/>
      </w:r>
      <w:r/>
    </w:p>
    <w:p>
      <w:pPr>
        <w:ind w:firstLine="211"/>
        <w:jc w:val="center"/>
        <w:spacing w:line="360" w:lineRule="auto"/>
        <w:rPr>
          <w:rFonts w:ascii="宋体" w:hAnsi="宋体"/>
          <w:b/>
          <w:highlight w:val="none"/>
        </w:rPr>
      </w:pP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60" w:lineRule="auto"/>
        <w:rPr>
          <w:rFonts w:ascii="宋体" w:hAnsi="宋体"/>
          <w:highlight w:val="none"/>
        </w:rPr>
      </w:pPr>
      <w:r>
        <w:rPr>
          <w:rFonts w:hint="eastAsia" w:ascii="宋体" w:hAnsi="宋体"/>
          <w:highlight w:val="none"/>
        </w:rPr>
        <w:t xml:space="preserve">（联合体中各供应商全称）在此达成以下协议：</w:t>
      </w:r>
      <w:r/>
    </w:p>
    <w:p>
      <w:pPr>
        <w:ind w:firstLine="645"/>
        <w:spacing w:line="360" w:lineRule="auto"/>
        <w:rPr>
          <w:rFonts w:ascii="宋体" w:hAnsi="宋体"/>
          <w:color w:val="ff0000"/>
          <w:highlight w:val="none"/>
        </w:rPr>
      </w:pPr>
      <w:r>
        <w:rPr>
          <w:rFonts w:hint="eastAsia" w:ascii="宋体" w:hAnsi="宋体"/>
          <w:highlight w:val="none"/>
        </w:rPr>
        <w:t xml:space="preserve">1、我们自愿组成联合体，参加代理机构组织的采购编号为</w:t>
      </w:r>
      <w:r>
        <w:rPr>
          <w:rFonts w:hint="eastAsia" w:ascii="宋体" w:hAnsi="宋体"/>
          <w:color w:val="000000"/>
          <w:highlight w:val="none"/>
        </w:rPr>
        <w:t xml:space="preserve">（项目编号）</w:t>
      </w:r>
      <w:r>
        <w:rPr>
          <w:rFonts w:hint="eastAsia" w:ascii="宋体" w:hAnsi="宋体"/>
          <w:highlight w:val="none"/>
        </w:rPr>
        <w:t xml:space="preserve">（项目全称）的政府采购活动。</w:t>
      </w:r>
      <w:r/>
    </w:p>
    <w:p>
      <w:pPr>
        <w:ind w:firstLine="645"/>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p>
    <w:p>
      <w:pPr>
        <w:ind w:firstLine="4620"/>
        <w:spacing w:line="360" w:lineRule="auto"/>
        <w:rPr>
          <w:rFonts w:ascii="宋体" w:hAnsi="宋体"/>
          <w:highlight w:val="none"/>
        </w:rPr>
      </w:pPr>
      <w:r>
        <w:rPr>
          <w:rFonts w:hint="eastAsia" w:ascii="宋体" w:hAnsi="宋体"/>
          <w:highlight w:val="none"/>
        </w:rPr>
        <w:t xml:space="preserve">所有供应商全称：</w:t>
      </w:r>
      <w:r/>
    </w:p>
    <w:p>
      <w:pPr>
        <w:ind w:firstLine="645"/>
        <w:spacing w:line="360" w:lineRule="auto"/>
        <w:rPr>
          <w:rFonts w:ascii="宋体" w:hAnsi="宋体"/>
          <w:highlight w:val="none"/>
        </w:rPr>
      </w:pPr>
      <w:r>
        <w:rPr>
          <w:rFonts w:hint="eastAsia" w:ascii="宋体" w:hAnsi="宋体"/>
          <w:highlight w:val="none"/>
        </w:rPr>
        <w:t xml:space="preserve">                                      法定代表人：  </w:t>
      </w:r>
      <w:r/>
    </w:p>
    <w:p>
      <w:pPr>
        <w:ind w:firstLine="4620"/>
        <w:spacing w:line="360" w:lineRule="auto"/>
        <w:rPr>
          <w:rFonts w:ascii="宋体" w:hAnsi="宋体"/>
          <w:highlight w:val="none"/>
        </w:rPr>
      </w:pPr>
      <w:r>
        <w:rPr>
          <w:rFonts w:hint="eastAsia" w:ascii="宋体" w:hAnsi="宋体"/>
          <w:highlight w:val="none"/>
        </w:rPr>
        <w:t xml:space="preserve">日期：</w:t>
      </w:r>
      <w:r/>
    </w:p>
    <w:p>
      <w:pPr>
        <w:rPr>
          <w:highlight w:val="none"/>
        </w:rPr>
      </w:pPr>
      <w:r>
        <w:rPr>
          <w:highlight w:val="none"/>
        </w:rPr>
      </w:r>
      <w:r/>
    </w:p>
    <w:sectPr>
      <w:footnotePr/>
      <w:endnotePr/>
      <w:type w:val="nextPage"/>
      <w:pgSz w:w="11906" w:h="16838" w:orient="portrait"/>
      <w:pgMar w:top="10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Tahoma">
    <w:panose1 w:val="020B0604030504040204"/>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黑体">
    <w:panose1 w:val="02010609060101010101"/>
  </w:font>
  <w:font w:name="幼圆">
    <w:panose1 w:val="02010509060101010101"/>
  </w:font>
  <w:font w:name="仿宋_GB2312">
    <w:panose1 w:val="02010609060101010101"/>
  </w:font>
  <w:font w:name="宋体_GB2312">
    <w:panose1 w:val="02010600030101010101"/>
  </w:font>
  <w:font w:name="仿宋">
    <w:panose1 w:val="02010609060101010101"/>
  </w:font>
  <w:font w:name="等线 Light">
    <w:panose1 w:val="02010600030101010101"/>
  </w:font>
  <w:font w:name="等线">
    <w:panose1 w:val="02010600030101010101"/>
  </w:font>
  <w:font w:name="Arial">
    <w:panose1 w:val="020B0604020202020204"/>
  </w:font>
  <w:font w:name="宋体">
    <w:panose1 w:val="02010600030101010101"/>
  </w:font>
  <w:font w:name="宋体-简">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hint="default"/>
        <w:lang w:val="en-US"/>
      </w:rPr>
    </w:pPr>
    <w:r>
      <w:rPr>
        <w:rFonts w:hint="eastAsia"/>
        <w:highlight w:val="none"/>
      </w:rPr>
      <w:t xml:space="preserve">JSZC-321081-CCXM-G2026-0002</w:t>
    </w:r>
    <w:r>
      <w:rPr>
        <w:rFonts w:hint="eastAsia"/>
        <w:lang w:val="en-US" w:eastAsia="zh-CN"/>
      </w:rPr>
      <w:t xml:space="preserve">                                            扬州创晨项目管理咨询有限公司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hint="default" w:eastAsia="宋体"/>
        <w:lang w:val="en-US" w:eastAsia="zh-CN"/>
      </w:rPr>
    </w:pPr>
    <w:r>
      <w:rPr>
        <w:rFonts w:hint="eastAsia"/>
        <w:highlight w:val="none"/>
      </w:rPr>
      <w:t xml:space="preserve">JSZC-321081-CCXM-G2026-0002</w:t>
    </w:r>
    <w:r>
      <w:rPr>
        <w:rFonts w:hint="eastAsia"/>
        <w:lang w:val="en-US" w:eastAsia="zh-CN"/>
      </w:rPr>
      <w:t xml:space="preserve">                                   扬州创晨项目管理咨询有限公司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921"/>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919"/>
    <w:link w:val="915"/>
    <w:uiPriority w:val="9"/>
    <w:rPr>
      <w:rFonts w:ascii="Arial" w:hAnsi="Arial" w:eastAsia="Arial" w:cs="Arial"/>
      <w:sz w:val="40"/>
      <w:szCs w:val="40"/>
    </w:rPr>
  </w:style>
  <w:style w:type="character" w:styleId="749">
    <w:name w:val="Heading 2 Char"/>
    <w:basedOn w:val="919"/>
    <w:link w:val="916"/>
    <w:uiPriority w:val="9"/>
    <w:rPr>
      <w:rFonts w:ascii="Arial" w:hAnsi="Arial" w:eastAsia="Arial" w:cs="Arial"/>
      <w:sz w:val="34"/>
    </w:rPr>
  </w:style>
  <w:style w:type="character" w:styleId="750">
    <w:name w:val="Heading 3 Char"/>
    <w:basedOn w:val="919"/>
    <w:link w:val="917"/>
    <w:uiPriority w:val="9"/>
    <w:rPr>
      <w:rFonts w:ascii="Arial" w:hAnsi="Arial" w:eastAsia="Arial" w:cs="Arial"/>
      <w:sz w:val="30"/>
      <w:szCs w:val="30"/>
    </w:rPr>
  </w:style>
  <w:style w:type="character" w:styleId="751">
    <w:name w:val="Heading 4 Char"/>
    <w:basedOn w:val="919"/>
    <w:link w:val="918"/>
    <w:uiPriority w:val="9"/>
    <w:rPr>
      <w:rFonts w:ascii="Arial" w:hAnsi="Arial" w:eastAsia="Arial" w:cs="Arial"/>
      <w:b/>
      <w:bCs/>
      <w:sz w:val="26"/>
      <w:szCs w:val="26"/>
    </w:rPr>
  </w:style>
  <w:style w:type="paragraph" w:styleId="752">
    <w:name w:val="Heading 5"/>
    <w:basedOn w:val="914"/>
    <w:next w:val="914"/>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basedOn w:val="919"/>
    <w:link w:val="752"/>
    <w:uiPriority w:val="9"/>
    <w:rPr>
      <w:rFonts w:ascii="Arial" w:hAnsi="Arial" w:eastAsia="Arial" w:cs="Arial"/>
      <w:b/>
      <w:bCs/>
      <w:sz w:val="24"/>
      <w:szCs w:val="24"/>
    </w:rPr>
  </w:style>
  <w:style w:type="paragraph" w:styleId="754">
    <w:name w:val="Heading 6"/>
    <w:basedOn w:val="914"/>
    <w:next w:val="914"/>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basedOn w:val="919"/>
    <w:link w:val="754"/>
    <w:uiPriority w:val="9"/>
    <w:rPr>
      <w:rFonts w:ascii="Arial" w:hAnsi="Arial" w:eastAsia="Arial" w:cs="Arial"/>
      <w:b/>
      <w:bCs/>
      <w:sz w:val="22"/>
      <w:szCs w:val="22"/>
    </w:rPr>
  </w:style>
  <w:style w:type="paragraph" w:styleId="756">
    <w:name w:val="Heading 7"/>
    <w:basedOn w:val="914"/>
    <w:next w:val="914"/>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basedOn w:val="919"/>
    <w:link w:val="756"/>
    <w:uiPriority w:val="9"/>
    <w:rPr>
      <w:rFonts w:ascii="Arial" w:hAnsi="Arial" w:eastAsia="Arial" w:cs="Arial"/>
      <w:b/>
      <w:bCs/>
      <w:i/>
      <w:iCs/>
      <w:sz w:val="22"/>
      <w:szCs w:val="22"/>
    </w:rPr>
  </w:style>
  <w:style w:type="paragraph" w:styleId="758">
    <w:name w:val="Heading 8"/>
    <w:basedOn w:val="914"/>
    <w:next w:val="914"/>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basedOn w:val="919"/>
    <w:link w:val="758"/>
    <w:uiPriority w:val="9"/>
    <w:rPr>
      <w:rFonts w:ascii="Arial" w:hAnsi="Arial" w:eastAsia="Arial" w:cs="Arial"/>
      <w:i/>
      <w:iCs/>
      <w:sz w:val="22"/>
      <w:szCs w:val="22"/>
    </w:rPr>
  </w:style>
  <w:style w:type="paragraph" w:styleId="760">
    <w:name w:val="Heading 9"/>
    <w:basedOn w:val="914"/>
    <w:next w:val="914"/>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basedOn w:val="919"/>
    <w:link w:val="760"/>
    <w:uiPriority w:val="9"/>
    <w:rPr>
      <w:rFonts w:ascii="Arial" w:hAnsi="Arial" w:eastAsia="Arial" w:cs="Arial"/>
      <w:i/>
      <w:iCs/>
      <w:sz w:val="21"/>
      <w:szCs w:val="21"/>
    </w:rPr>
  </w:style>
  <w:style w:type="paragraph" w:styleId="762">
    <w:name w:val="Title"/>
    <w:basedOn w:val="914"/>
    <w:next w:val="914"/>
    <w:link w:val="763"/>
    <w:uiPriority w:val="10"/>
    <w:qFormat/>
    <w:pPr>
      <w:contextualSpacing/>
      <w:spacing w:before="300" w:after="200"/>
    </w:pPr>
    <w:rPr>
      <w:sz w:val="48"/>
      <w:szCs w:val="48"/>
    </w:rPr>
  </w:style>
  <w:style w:type="character" w:styleId="763">
    <w:name w:val="Title Char"/>
    <w:basedOn w:val="919"/>
    <w:link w:val="762"/>
    <w:uiPriority w:val="10"/>
    <w:rPr>
      <w:sz w:val="48"/>
      <w:szCs w:val="48"/>
    </w:rPr>
  </w:style>
  <w:style w:type="character" w:styleId="764">
    <w:name w:val="Subtitle Char"/>
    <w:basedOn w:val="919"/>
    <w:link w:val="934"/>
    <w:uiPriority w:val="11"/>
    <w:rPr>
      <w:sz w:val="24"/>
      <w:szCs w:val="24"/>
    </w:rPr>
  </w:style>
  <w:style w:type="paragraph" w:styleId="765">
    <w:name w:val="Quote"/>
    <w:basedOn w:val="914"/>
    <w:next w:val="914"/>
    <w:link w:val="766"/>
    <w:uiPriority w:val="29"/>
    <w:qFormat/>
    <w:pPr>
      <w:ind w:left="720" w:right="720"/>
    </w:pPr>
    <w:rPr>
      <w:i/>
    </w:rPr>
  </w:style>
  <w:style w:type="character" w:styleId="766">
    <w:name w:val="Quote Char"/>
    <w:link w:val="765"/>
    <w:uiPriority w:val="29"/>
    <w:rPr>
      <w:i/>
    </w:rPr>
  </w:style>
  <w:style w:type="paragraph" w:styleId="767">
    <w:name w:val="Intense Quote"/>
    <w:basedOn w:val="914"/>
    <w:next w:val="914"/>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9"/>
    <w:link w:val="932"/>
    <w:uiPriority w:val="99"/>
  </w:style>
  <w:style w:type="character" w:styleId="770">
    <w:name w:val="Footer Char"/>
    <w:basedOn w:val="919"/>
    <w:link w:val="931"/>
    <w:uiPriority w:val="99"/>
  </w:style>
  <w:style w:type="paragraph" w:styleId="771">
    <w:name w:val="Caption"/>
    <w:basedOn w:val="914"/>
    <w:next w:val="914"/>
    <w:uiPriority w:val="35"/>
    <w:semiHidden/>
    <w:unhideWhenUsed/>
    <w:qFormat/>
    <w:pPr>
      <w:spacing w:line="276" w:lineRule="auto"/>
    </w:pPr>
    <w:rPr>
      <w:b/>
      <w:bCs/>
      <w:color w:val="4f81bd" w:themeColor="accent1"/>
      <w:sz w:val="18"/>
      <w:szCs w:val="18"/>
    </w:rPr>
  </w:style>
  <w:style w:type="character" w:styleId="772">
    <w:name w:val="Caption Char"/>
    <w:basedOn w:val="771"/>
    <w:link w:val="931"/>
    <w:uiPriority w:val="99"/>
  </w:style>
  <w:style w:type="table" w:styleId="773">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14"/>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9"/>
    <w:uiPriority w:val="99"/>
    <w:unhideWhenUsed/>
    <w:rPr>
      <w:vertAlign w:val="superscript"/>
    </w:rPr>
  </w:style>
  <w:style w:type="paragraph" w:styleId="901">
    <w:name w:val="endnote text"/>
    <w:basedOn w:val="914"/>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9"/>
    <w:uiPriority w:val="99"/>
    <w:semiHidden/>
    <w:unhideWhenUsed/>
    <w:rPr>
      <w:vertAlign w:val="superscript"/>
    </w:r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21"/>
    <w:uiPriority w:val="0"/>
    <w:qFormat/>
    <w:pPr>
      <w:jc w:val="both"/>
      <w:widowControl w:val="off"/>
    </w:pPr>
    <w:rPr>
      <w:rFonts w:ascii="Times New Roman" w:hAnsi="Times New Roman" w:eastAsia="宋体" w:cs="Times New Roman"/>
      <w:sz w:val="21"/>
      <w:szCs w:val="22"/>
      <w:lang w:val="en-US" w:eastAsia="zh-CN" w:bidi="ar-SA"/>
    </w:rPr>
  </w:style>
  <w:style w:type="paragraph" w:styleId="915">
    <w:name w:val="Heading 1"/>
    <w:basedOn w:val="914"/>
    <w:next w:val="914"/>
    <w:link w:val="941"/>
    <w:uiPriority w:val="9"/>
    <w:qFormat/>
    <w:pPr>
      <w:keepLines/>
      <w:keepNext/>
      <w:spacing w:before="340" w:after="330" w:line="578" w:lineRule="auto"/>
      <w:outlineLvl w:val="0"/>
    </w:pPr>
    <w:rPr>
      <w:b/>
      <w:bCs/>
      <w:sz w:val="44"/>
      <w:szCs w:val="44"/>
    </w:rPr>
  </w:style>
  <w:style w:type="paragraph" w:styleId="916">
    <w:name w:val="Heading 2"/>
    <w:basedOn w:val="914"/>
    <w:next w:val="914"/>
    <w:link w:val="942"/>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917">
    <w:name w:val="Heading 3"/>
    <w:basedOn w:val="914"/>
    <w:next w:val="914"/>
    <w:uiPriority w:val="0"/>
    <w:qFormat/>
    <w:pPr>
      <w:keepLines/>
      <w:keepNext/>
      <w:spacing w:before="260" w:after="260" w:line="413" w:lineRule="auto"/>
      <w:outlineLvl w:val="2"/>
    </w:pPr>
    <w:rPr>
      <w:b/>
      <w:sz w:val="32"/>
    </w:rPr>
  </w:style>
  <w:style w:type="paragraph" w:styleId="918">
    <w:name w:val="Heading 4"/>
    <w:basedOn w:val="914"/>
    <w:next w:val="914"/>
    <w:link w:val="944"/>
    <w:uiPriority w:val="0"/>
    <w:qFormat/>
    <w:pPr>
      <w:spacing w:before="280" w:after="290" w:line="377" w:lineRule="auto"/>
      <w:outlineLvl w:val="3"/>
    </w:pPr>
    <w:rPr>
      <w:rFonts w:ascii="Arial" w:hAnsi="Arial" w:eastAsia="黑体"/>
      <w:b/>
      <w:bCs/>
      <w:sz w:val="28"/>
      <w:szCs w:val="28"/>
    </w:rPr>
  </w:style>
  <w:style w:type="character" w:styleId="919" w:default="1">
    <w:name w:val="Default Paragraph Font"/>
    <w:uiPriority w:val="1"/>
    <w:unhideWhenUsed/>
    <w:qFormat/>
  </w:style>
  <w:style w:type="table" w:styleId="920" w:default="1">
    <w:name w:val="Normal Table"/>
    <w:uiPriority w:val="99"/>
    <w:unhideWhenUsed/>
    <w:qFormat/>
    <w:tblPr>
      <w:tblCellMar>
        <w:left w:w="108" w:type="dxa"/>
        <w:top w:w="0" w:type="dxa"/>
        <w:right w:w="108" w:type="dxa"/>
        <w:bottom w:w="0" w:type="dxa"/>
      </w:tblCellMar>
    </w:tblPr>
  </w:style>
  <w:style w:type="paragraph" w:styleId="921" w:customStyle="1">
    <w:name w:val="Default"/>
    <w:next w:val="914"/>
    <w:uiPriority w:val="0"/>
    <w:qFormat/>
    <w:pPr>
      <w:numPr>
        <w:ilvl w:val="4"/>
        <w:numId w:val="1"/>
      </w:numPr>
      <w:ind w:left="0" w:firstLine="0"/>
      <w:widowControl w:val="off"/>
    </w:pPr>
    <w:rPr>
      <w:rFonts w:hint="default" w:ascii="Calibri" w:hAnsi="Calibri" w:eastAsia="宋体" w:cs="Times New Roman"/>
      <w:lang w:val="en-US" w:eastAsia="zh-CN" w:bidi="ar-SA"/>
    </w:rPr>
  </w:style>
  <w:style w:type="paragraph" w:styleId="922">
    <w:name w:val="table of authorities"/>
    <w:basedOn w:val="914"/>
    <w:next w:val="914"/>
    <w:uiPriority w:val="0"/>
    <w:qFormat/>
    <w:pPr>
      <w:ind w:left="420" w:firstLine="200"/>
      <w:spacing w:line="360" w:lineRule="auto"/>
    </w:pPr>
    <w:rPr>
      <w:rFonts w:ascii="Times New Roman" w:hAnsi="Times New Roman"/>
      <w:sz w:val="24"/>
      <w:szCs w:val="24"/>
    </w:rPr>
  </w:style>
  <w:style w:type="paragraph" w:styleId="923">
    <w:name w:val="Normal Indent"/>
    <w:basedOn w:val="914"/>
    <w:link w:val="943"/>
    <w:uiPriority w:val="0"/>
    <w:unhideWhenUsed/>
    <w:qFormat/>
    <w:pPr>
      <w:ind w:firstLine="420"/>
    </w:pPr>
  </w:style>
  <w:style w:type="paragraph" w:styleId="924">
    <w:name w:val="annotation text"/>
    <w:basedOn w:val="914"/>
    <w:link w:val="945"/>
    <w:uiPriority w:val="0"/>
    <w:qFormat/>
    <w:pPr>
      <w:jc w:val="left"/>
    </w:pPr>
  </w:style>
  <w:style w:type="paragraph" w:styleId="925">
    <w:name w:val="Body Text"/>
    <w:basedOn w:val="914"/>
    <w:link w:val="946"/>
    <w:uiPriority w:val="0"/>
    <w:qFormat/>
    <w:rPr>
      <w:rFonts w:ascii="楷体_GB2312" w:hAnsi="Arial" w:eastAsia="楷体_GB2312"/>
      <w:sz w:val="28"/>
      <w:szCs w:val="28"/>
    </w:rPr>
  </w:style>
  <w:style w:type="paragraph" w:styleId="926">
    <w:name w:val="Body Text Indent"/>
    <w:basedOn w:val="914"/>
    <w:link w:val="947"/>
    <w:uiPriority w:val="99"/>
    <w:unhideWhenUsed/>
    <w:qFormat/>
    <w:pPr>
      <w:ind w:left="420"/>
      <w:spacing w:after="120"/>
    </w:pPr>
  </w:style>
  <w:style w:type="paragraph" w:styleId="927">
    <w:name w:val="Block Text"/>
    <w:basedOn w:val="914"/>
    <w:uiPriority w:val="0"/>
    <w:qFormat/>
    <w:pPr>
      <w:ind w:left="1440" w:right="1440"/>
      <w:spacing w:after="120"/>
    </w:pPr>
  </w:style>
  <w:style w:type="paragraph" w:styleId="928">
    <w:name w:val="Plain Text"/>
    <w:basedOn w:val="914"/>
    <w:link w:val="948"/>
    <w:uiPriority w:val="0"/>
    <w:qFormat/>
    <w:rPr>
      <w:rFonts w:ascii="宋体" w:hAnsi="Courier New"/>
      <w:sz w:val="20"/>
      <w:szCs w:val="21"/>
    </w:rPr>
  </w:style>
  <w:style w:type="paragraph" w:styleId="929">
    <w:name w:val="Date"/>
    <w:basedOn w:val="914"/>
    <w:next w:val="914"/>
    <w:link w:val="949"/>
    <w:uiPriority w:val="99"/>
    <w:unhideWhenUsed/>
    <w:qFormat/>
    <w:pPr>
      <w:ind w:left="100"/>
    </w:pPr>
  </w:style>
  <w:style w:type="paragraph" w:styleId="930">
    <w:name w:val="Balloon Text"/>
    <w:basedOn w:val="914"/>
    <w:link w:val="950"/>
    <w:uiPriority w:val="99"/>
    <w:unhideWhenUsed/>
    <w:qFormat/>
    <w:rPr>
      <w:sz w:val="18"/>
      <w:szCs w:val="18"/>
    </w:rPr>
  </w:style>
  <w:style w:type="paragraph" w:styleId="931">
    <w:name w:val="Footer"/>
    <w:basedOn w:val="914"/>
    <w:link w:val="951"/>
    <w:uiPriority w:val="99"/>
    <w:unhideWhenUsed/>
    <w:qFormat/>
    <w:pPr>
      <w:jc w:val="left"/>
      <w:tabs>
        <w:tab w:val="center" w:pos="4153" w:leader="none"/>
        <w:tab w:val="right" w:pos="8306" w:leader="none"/>
      </w:tabs>
    </w:pPr>
    <w:rPr>
      <w:sz w:val="18"/>
      <w:szCs w:val="18"/>
    </w:rPr>
  </w:style>
  <w:style w:type="paragraph" w:styleId="932">
    <w:name w:val="Header"/>
    <w:basedOn w:val="914"/>
    <w:link w:val="95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3">
    <w:name w:val="toc 1"/>
    <w:basedOn w:val="914"/>
    <w:next w:val="914"/>
    <w:uiPriority w:val="39"/>
    <w:unhideWhenUsed/>
    <w:qFormat/>
  </w:style>
  <w:style w:type="paragraph" w:styleId="934">
    <w:name w:val="Subtitle"/>
    <w:basedOn w:val="914"/>
    <w:next w:val="914"/>
    <w:uiPriority w:val="11"/>
    <w:qFormat/>
    <w:pPr>
      <w:jc w:val="center"/>
      <w:spacing w:before="240" w:after="60" w:line="312" w:lineRule="auto"/>
      <w:outlineLvl w:val="1"/>
    </w:pPr>
    <w:rPr>
      <w:rFonts w:ascii="Cambria" w:hAnsi="Cambria"/>
      <w:b/>
      <w:bCs/>
      <w:sz w:val="32"/>
      <w:szCs w:val="32"/>
    </w:rPr>
  </w:style>
  <w:style w:type="paragraph" w:styleId="935">
    <w:name w:val="Normal (Web)"/>
    <w:basedOn w:val="914"/>
    <w:uiPriority w:val="99"/>
    <w:unhideWhenUsed/>
    <w:qFormat/>
    <w:pPr>
      <w:jc w:val="left"/>
      <w:spacing w:before="100" w:beforeAutospacing="1" w:after="100" w:afterAutospacing="1"/>
      <w:widowControl/>
    </w:pPr>
    <w:rPr>
      <w:rFonts w:ascii="宋体" w:hAnsi="宋体" w:cs="宋体"/>
      <w:sz w:val="24"/>
      <w:szCs w:val="24"/>
    </w:rPr>
  </w:style>
  <w:style w:type="paragraph" w:styleId="936">
    <w:name w:val="Body Text First Indent 2"/>
    <w:basedOn w:val="926"/>
    <w:uiPriority w:val="0"/>
    <w:qFormat/>
    <w:pPr>
      <w:ind w:firstLine="420"/>
    </w:pPr>
  </w:style>
  <w:style w:type="table" w:styleId="937">
    <w:name w:val="Table Grid"/>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basedOn w:val="919"/>
    <w:uiPriority w:val="0"/>
    <w:qFormat/>
    <w:rPr>
      <w:b/>
      <w:bCs/>
    </w:rPr>
  </w:style>
  <w:style w:type="character" w:styleId="939">
    <w:name w:val="Emphasis"/>
    <w:uiPriority w:val="0"/>
    <w:qFormat/>
    <w:rPr>
      <w:i/>
    </w:rPr>
  </w:style>
  <w:style w:type="character" w:styleId="940">
    <w:name w:val="Hyperlink"/>
    <w:basedOn w:val="919"/>
    <w:uiPriority w:val="99"/>
    <w:semiHidden/>
    <w:unhideWhenUsed/>
    <w:qFormat/>
    <w:rPr>
      <w:color w:val="0000ff"/>
      <w:u w:val="single"/>
    </w:rPr>
  </w:style>
  <w:style w:type="character" w:styleId="941" w:customStyle="1">
    <w:name w:val="标题 1 字符"/>
    <w:link w:val="915"/>
    <w:uiPriority w:val="9"/>
    <w:qFormat/>
    <w:rPr>
      <w:b/>
      <w:bCs/>
      <w:sz w:val="44"/>
      <w:szCs w:val="44"/>
    </w:rPr>
  </w:style>
  <w:style w:type="character" w:styleId="942" w:customStyle="1">
    <w:name w:val="标题 2 字符"/>
    <w:link w:val="916"/>
    <w:uiPriority w:val="9"/>
    <w:semiHidden/>
    <w:qFormat/>
    <w:rPr>
      <w:rFonts w:ascii="等线 Light" w:hAnsi="等线 Light" w:eastAsia="等线 Light" w:cs="Times New Roman"/>
      <w:b/>
      <w:bCs/>
      <w:sz w:val="32"/>
      <w:szCs w:val="32"/>
    </w:rPr>
  </w:style>
  <w:style w:type="character" w:styleId="943" w:customStyle="1">
    <w:name w:val="正文缩进 字符"/>
    <w:link w:val="923"/>
    <w:uiPriority w:val="0"/>
    <w:qFormat/>
  </w:style>
  <w:style w:type="character" w:styleId="944" w:customStyle="1">
    <w:name w:val="标题 4 字符"/>
    <w:link w:val="918"/>
    <w:uiPriority w:val="0"/>
    <w:qFormat/>
    <w:rPr>
      <w:rFonts w:ascii="Arial" w:hAnsi="Arial" w:eastAsia="黑体" w:cs="Times New Roman"/>
      <w:b/>
      <w:bCs/>
      <w:sz w:val="28"/>
      <w:szCs w:val="28"/>
    </w:rPr>
  </w:style>
  <w:style w:type="character" w:styleId="945" w:customStyle="1">
    <w:name w:val="批注文字 字符"/>
    <w:link w:val="924"/>
    <w:uiPriority w:val="0"/>
    <w:qFormat/>
    <w:rPr>
      <w:sz w:val="21"/>
      <w:szCs w:val="22"/>
    </w:rPr>
  </w:style>
  <w:style w:type="character" w:styleId="946" w:customStyle="1">
    <w:name w:val="正文文本 字符"/>
    <w:link w:val="925"/>
    <w:uiPriority w:val="0"/>
    <w:qFormat/>
    <w:rPr>
      <w:rFonts w:ascii="楷体_GB2312" w:hAnsi="Arial" w:eastAsia="楷体_GB2312" w:cs="Times New Roman"/>
      <w:sz w:val="28"/>
      <w:szCs w:val="28"/>
    </w:rPr>
  </w:style>
  <w:style w:type="character" w:styleId="947" w:customStyle="1">
    <w:name w:val="正文文本缩进 Char"/>
    <w:link w:val="926"/>
    <w:uiPriority w:val="99"/>
    <w:qFormat/>
    <w:rPr>
      <w:sz w:val="21"/>
      <w:szCs w:val="22"/>
    </w:rPr>
  </w:style>
  <w:style w:type="character" w:styleId="948" w:customStyle="1">
    <w:name w:val="纯文本 字符"/>
    <w:link w:val="928"/>
    <w:uiPriority w:val="0"/>
    <w:qFormat/>
    <w:rPr>
      <w:rFonts w:ascii="宋体" w:hAnsi="Courier New" w:eastAsia="宋体" w:cs="Times New Roman"/>
      <w:szCs w:val="21"/>
    </w:rPr>
  </w:style>
  <w:style w:type="character" w:styleId="949" w:customStyle="1">
    <w:name w:val="日期 字符"/>
    <w:link w:val="929"/>
    <w:uiPriority w:val="99"/>
    <w:semiHidden/>
    <w:qFormat/>
    <w:rPr>
      <w:sz w:val="21"/>
      <w:szCs w:val="22"/>
    </w:rPr>
  </w:style>
  <w:style w:type="character" w:styleId="950" w:customStyle="1">
    <w:name w:val="批注框文本 字符"/>
    <w:link w:val="930"/>
    <w:uiPriority w:val="99"/>
    <w:semiHidden/>
    <w:qFormat/>
    <w:rPr>
      <w:sz w:val="18"/>
      <w:szCs w:val="18"/>
    </w:rPr>
  </w:style>
  <w:style w:type="character" w:styleId="951" w:customStyle="1">
    <w:name w:val="页脚 字符"/>
    <w:link w:val="931"/>
    <w:uiPriority w:val="99"/>
    <w:qFormat/>
    <w:rPr>
      <w:sz w:val="18"/>
      <w:szCs w:val="18"/>
    </w:rPr>
  </w:style>
  <w:style w:type="character" w:styleId="952" w:customStyle="1">
    <w:name w:val="页眉 字符"/>
    <w:link w:val="932"/>
    <w:uiPriority w:val="99"/>
    <w:qFormat/>
    <w:rPr>
      <w:sz w:val="18"/>
      <w:szCs w:val="18"/>
    </w:rPr>
  </w:style>
  <w:style w:type="paragraph" w:styleId="953" w:customStyle="1">
    <w:name w:val="列表项目符号 21"/>
    <w:basedOn w:val="914"/>
    <w:uiPriority w:val="99"/>
    <w:unhideWhenUsed/>
    <w:qFormat/>
    <w:pPr>
      <w:numPr>
        <w:ilvl w:val="0"/>
        <w:numId w:val="1"/>
      </w:numPr>
    </w:pPr>
  </w:style>
  <w:style w:type="character" w:styleId="954" w:customStyle="1">
    <w:name w:val="NormalCharacter"/>
    <w:uiPriority w:val="0"/>
    <w:semiHidden/>
    <w:qFormat/>
    <w:rPr>
      <w:sz w:val="21"/>
      <w:szCs w:val="22"/>
      <w:lang w:val="en-US" w:eastAsia="zh-CN" w:bidi="ar-SA"/>
    </w:rPr>
  </w:style>
  <w:style w:type="character" w:styleId="955" w:customStyle="1">
    <w:name w:val="列出段落 Char"/>
    <w:link w:val="956"/>
    <w:uiPriority w:val="0"/>
    <w:qFormat/>
    <w:rPr>
      <w:sz w:val="24"/>
      <w:szCs w:val="24"/>
      <w:lang w:eastAsia="en-US" w:bidi="en-US"/>
    </w:rPr>
  </w:style>
  <w:style w:type="paragraph" w:styleId="956" w:customStyle="1">
    <w:name w:val="列出段落1"/>
    <w:basedOn w:val="914"/>
    <w:link w:val="955"/>
    <w:uiPriority w:val="0"/>
    <w:qFormat/>
    <w:pPr>
      <w:contextualSpacing/>
      <w:ind w:left="720"/>
      <w:jc w:val="left"/>
      <w:widowControl/>
    </w:pPr>
    <w:rPr>
      <w:sz w:val="24"/>
      <w:szCs w:val="24"/>
      <w:lang w:eastAsia="en-US" w:bidi="en-US"/>
    </w:rPr>
  </w:style>
  <w:style w:type="character" w:styleId="957" w:customStyle="1">
    <w:name w:val="font61"/>
    <w:uiPriority w:val="0"/>
    <w:qFormat/>
    <w:rPr>
      <w:rFonts w:hint="eastAsia" w:ascii="宋体" w:hAnsi="宋体" w:eastAsia="宋体" w:cs="宋体"/>
      <w:color w:val="000000"/>
      <w:sz w:val="24"/>
      <w:szCs w:val="24"/>
      <w:u w:val="none"/>
    </w:rPr>
  </w:style>
  <w:style w:type="character" w:styleId="958" w:customStyle="1">
    <w:name w:val="font21"/>
    <w:uiPriority w:val="0"/>
    <w:qFormat/>
    <w:rPr>
      <w:rFonts w:hint="default" w:ascii="Times New Roman" w:hAnsi="Times New Roman" w:cs="Times New Roman"/>
      <w:color w:val="000000"/>
      <w:sz w:val="24"/>
      <w:szCs w:val="24"/>
      <w:u w:val="none"/>
    </w:rPr>
  </w:style>
  <w:style w:type="character" w:styleId="959" w:customStyle="1">
    <w:name w:val="font71"/>
    <w:uiPriority w:val="0"/>
    <w:qFormat/>
    <w:rPr>
      <w:rFonts w:hint="eastAsia" w:ascii="宋体" w:hAnsi="宋体" w:eastAsia="宋体" w:cs="宋体"/>
      <w:color w:val="000000"/>
      <w:sz w:val="21"/>
      <w:szCs w:val="21"/>
      <w:u w:val="none"/>
    </w:rPr>
  </w:style>
  <w:style w:type="character" w:styleId="960" w:customStyle="1">
    <w:name w:val="font101"/>
    <w:uiPriority w:val="0"/>
    <w:qFormat/>
    <w:rPr>
      <w:rFonts w:hint="default" w:ascii="Times New Roman" w:hAnsi="Times New Roman" w:cs="Times New Roman"/>
      <w:color w:val="000000"/>
      <w:sz w:val="24"/>
      <w:szCs w:val="24"/>
      <w:u w:val="none"/>
    </w:rPr>
  </w:style>
  <w:style w:type="paragraph" w:styleId="961" w:customStyle="1">
    <w:name w:val="普通正文"/>
    <w:basedOn w:val="962"/>
    <w:uiPriority w:val="0"/>
    <w:qFormat/>
    <w:pPr>
      <w:ind w:firstLine="480"/>
      <w:jc w:val="left"/>
      <w:spacing w:before="120" w:after="120" w:line="360" w:lineRule="auto"/>
    </w:pPr>
    <w:rPr>
      <w:rFonts w:ascii="Arial" w:hAnsi="Arial" w:eastAsia="宋体" w:cs="Times New Roman"/>
      <w:sz w:val="24"/>
      <w:szCs w:val="24"/>
    </w:rPr>
  </w:style>
  <w:style w:type="paragraph" w:styleId="962" w:customStyle="1">
    <w:name w:val="正文1"/>
    <w:basedOn w:val="963"/>
    <w:next w:val="964"/>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63" w:customStyle="1">
    <w:name w:val="正文缩进1"/>
    <w:basedOn w:val="914"/>
    <w:uiPriority w:val="0"/>
    <w:unhideWhenUsed/>
    <w:qFormat/>
    <w:pPr>
      <w:ind w:firstLine="420"/>
    </w:pPr>
  </w:style>
  <w:style w:type="paragraph" w:styleId="964" w:customStyle="1">
    <w:name w:val="正文文本1"/>
    <w:basedOn w:val="962"/>
    <w:next w:val="965"/>
    <w:uiPriority w:val="0"/>
    <w:qFormat/>
    <w:pPr>
      <w:spacing w:after="120"/>
    </w:pPr>
    <w:rPr>
      <w:lang w:val="en-US" w:eastAsia="en-US"/>
    </w:rPr>
  </w:style>
  <w:style w:type="paragraph" w:styleId="965" w:customStyle="1">
    <w:name w:val="一级条标题"/>
    <w:basedOn w:val="966"/>
    <w:next w:val="96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customStyle="1">
    <w:name w:val="章标题"/>
    <w:next w:val="91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7" w:customStyle="1">
    <w:name w:val="段"/>
    <w:basedOn w:val="962"/>
    <w:next w:val="914"/>
    <w:uiPriority w:val="0"/>
    <w:qFormat/>
    <w:pPr>
      <w:ind w:firstLine="200"/>
      <w:widowControl/>
    </w:pPr>
    <w:rPr>
      <w:rFonts w:ascii="宋体"/>
      <w:sz w:val="20"/>
      <w:szCs w:val="20"/>
    </w:rPr>
  </w:style>
  <w:style w:type="paragraph" w:styleId="968" w:customStyle="1">
    <w:name w:val="Char"/>
    <w:basedOn w:val="914"/>
    <w:uiPriority w:val="0"/>
    <w:qFormat/>
    <w:pPr>
      <w:ind w:firstLine="200"/>
      <w:tabs>
        <w:tab w:val="left" w:pos="360" w:leader="none"/>
      </w:tabs>
    </w:pPr>
    <w:rPr>
      <w:rFonts w:ascii="Times New Roman" w:hAnsi="Times New Roman" w:eastAsia="宋体" w:cs="Times New Roman"/>
      <w:sz w:val="28"/>
      <w:szCs w:val="30"/>
    </w:rPr>
  </w:style>
  <w:style w:type="paragraph" w:styleId="969" w:customStyle="1">
    <w:name w:val="p0"/>
    <w:basedOn w:val="914"/>
    <w:uiPriority w:val="0"/>
    <w:qFormat/>
    <w:pPr>
      <w:widowControl/>
    </w:pPr>
    <w:rPr>
      <w:rFonts w:ascii="Times New Roman" w:hAnsi="Times New Roman" w:eastAsia="宋体" w:cs="Times New Roman"/>
      <w:szCs w:val="21"/>
    </w:rPr>
  </w:style>
  <w:style w:type="character" w:styleId="970" w:customStyle="1">
    <w:name w:val="纯文本 字符1"/>
    <w:uiPriority w:val="0"/>
    <w:qFormat/>
    <w:rPr>
      <w:rFonts w:ascii="宋体" w:hAnsi="Courier New" w:eastAsia="宋体" w:cs="Times New Roman"/>
      <w:sz w:val="20"/>
      <w:szCs w:val="21"/>
    </w:rPr>
  </w:style>
  <w:style w:type="paragraph" w:styleId="971">
    <w:name w:val="List Paragraph"/>
    <w:basedOn w:val="914"/>
    <w:uiPriority w:val="34"/>
    <w:qFormat/>
    <w:pPr>
      <w:ind w:firstLine="420"/>
    </w:pPr>
    <w:rPr>
      <w:rFonts w:ascii="Calibri" w:hAnsi="Calibri"/>
    </w:rPr>
  </w:style>
  <w:style w:type="paragraph" w:styleId="9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3"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74" w:customStyle="1">
    <w:name w:val="UserStyle_0"/>
    <w:basedOn w:val="914"/>
    <w:uiPriority w:val="0"/>
    <w:qFormat/>
    <w:pPr>
      <w:ind w:firstLine="420"/>
      <w:jc w:val="both"/>
    </w:pPr>
    <w:rPr>
      <w:rFonts w:ascii="Calibri" w:hAnsi="Calibri" w:eastAsia="宋体"/>
      <w:sz w:val="21"/>
      <w:szCs w:val="21"/>
      <w:lang w:val="en-US" w:eastAsia="zh-CN" w:bidi="ar-SA"/>
    </w:rPr>
  </w:style>
  <w:style w:type="table" w:styleId="975" w:customStyle="1">
    <w:name w:val="网格型111"/>
    <w:basedOn w:val="976"/>
    <w:uiPriority w:val="59"/>
    <w:unhideWhenUsed/>
    <w:qFormat/>
    <w:rPr>
      <w:rFonts w:ascii="Times New Roman" w:hAnsi="Times New Roman" w:eastAsia="宋体" w:cs="Times New Roman"/>
    </w:rPr>
    <w:tblPr>
      <w:tblCellMar>
        <w:left w:w="0" w:type="dxa"/>
        <w:top w:w="0" w:type="dxa"/>
        <w:right w:w="0" w:type="dxa"/>
        <w:bottom w:w="0" w:type="dxa"/>
      </w:tblCellMar>
    </w:tblPr>
  </w:style>
  <w:style w:type="table" w:styleId="976" w:customStyle="1">
    <w:name w:val="普通表格1"/>
    <w:uiPriority w:val="99"/>
    <w:unhideWhenUsed/>
    <w:qFormat/>
    <w:tblPr>
      <w:tblCellMar>
        <w:left w:w="0" w:type="dxa"/>
        <w:top w:w="0" w:type="dxa"/>
        <w:right w:w="0" w:type="dxa"/>
        <w:bottom w:w="0" w:type="dxa"/>
      </w:tblCellMar>
    </w:tblPr>
  </w:style>
  <w:style w:type="paragraph" w:styleId="977" w:customStyle="1">
    <w:name w:val="正文文本 211"/>
    <w:basedOn w:val="914"/>
    <w:uiPriority w:val="0"/>
    <w:qFormat/>
    <w:pPr>
      <w:spacing w:after="120" w:line="480" w:lineRule="auto"/>
    </w:pPr>
    <w:rPr>
      <w:rFonts w:ascii="等线" w:hAnsi="等线" w:eastAsia="等线"/>
    </w:rPr>
  </w:style>
  <w:style w:type="character" w:styleId="978" w:customStyle="1">
    <w:name w:val="font151"/>
    <w:basedOn w:val="919"/>
    <w:uiPriority w:val="0"/>
    <w:qFormat/>
    <w:rPr>
      <w:rFonts w:hint="eastAsia" w:ascii="宋体" w:hAnsi="宋体" w:eastAsia="宋体" w:cs="宋体"/>
      <w:color w:val="000000"/>
      <w:sz w:val="20"/>
      <w:szCs w:val="20"/>
      <w:u w:val="none"/>
    </w:rPr>
  </w:style>
  <w:style w:type="character" w:styleId="979" w:customStyle="1">
    <w:name w:val="font12"/>
    <w:basedOn w:val="919"/>
    <w:uiPriority w:val="0"/>
    <w:qFormat/>
    <w:rPr>
      <w:rFonts w:hint="eastAsia" w:ascii="宋体" w:hAnsi="宋体" w:eastAsia="宋体" w:cs="宋体"/>
      <w:color w:val="000000"/>
      <w:sz w:val="20"/>
      <w:szCs w:val="20"/>
      <w:u w:val="none"/>
    </w:rPr>
  </w:style>
  <w:style w:type="character" w:styleId="980" w:customStyle="1">
    <w:name w:val="font191"/>
    <w:basedOn w:val="919"/>
    <w:uiPriority w:val="0"/>
    <w:qFormat/>
    <w:rPr>
      <w:rFonts w:hint="eastAsia" w:ascii="宋体" w:hAnsi="宋体" w:eastAsia="宋体" w:cs="宋体"/>
      <w:b/>
      <w:bCs/>
      <w:color w:val="000000"/>
      <w:sz w:val="20"/>
      <w:szCs w:val="20"/>
      <w:u w:val="none"/>
    </w:rPr>
  </w:style>
  <w:style w:type="character" w:styleId="981" w:customStyle="1">
    <w:name w:val="font111"/>
    <w:basedOn w:val="919"/>
    <w:uiPriority w:val="0"/>
    <w:qFormat/>
    <w:rPr>
      <w:rFonts w:hint="eastAsia" w:ascii="宋体" w:hAnsi="宋体" w:eastAsia="宋体" w:cs="宋体"/>
      <w:color w:val="000000"/>
      <w:sz w:val="20"/>
      <w:szCs w:val="20"/>
      <w:u w:val="none"/>
    </w:rPr>
  </w:style>
  <w:style w:type="character" w:styleId="982" w:customStyle="1">
    <w:name w:val="font201"/>
    <w:basedOn w:val="919"/>
    <w:uiPriority w:val="0"/>
    <w:qFormat/>
    <w:rPr>
      <w:rFonts w:ascii="Calibri" w:hAnsi="Calibri" w:cs="Calibri"/>
      <w:color w:val="000000"/>
      <w:sz w:val="20"/>
      <w:szCs w:val="20"/>
      <w:u w:val="none"/>
    </w:rPr>
  </w:style>
  <w:style w:type="character" w:styleId="983" w:customStyle="1">
    <w:name w:val="font212"/>
    <w:basedOn w:val="919"/>
    <w:uiPriority w:val="0"/>
    <w:qFormat/>
    <w:rPr>
      <w:rFonts w:hint="eastAsia" w:ascii="宋体" w:hAnsi="宋体" w:eastAsia="宋体" w:cs="宋体"/>
      <w:color w:val="ff0000"/>
      <w:sz w:val="20"/>
      <w:szCs w:val="20"/>
      <w:u w:val="none"/>
    </w:rPr>
  </w:style>
  <w:style w:type="character" w:styleId="984" w:customStyle="1">
    <w:name w:val="font221"/>
    <w:basedOn w:val="919"/>
    <w:uiPriority w:val="0"/>
    <w:qFormat/>
    <w:rPr>
      <w:rFonts w:ascii="宋体-简" w:hAnsi="宋体-简" w:eastAsia="宋体-简" w:cs="宋体-简"/>
      <w:color w:val="000000"/>
      <w:sz w:val="20"/>
      <w:szCs w:val="20"/>
      <w:u w:val="none"/>
    </w:rPr>
  </w:style>
  <w:style w:type="paragraph" w:styleId="985" w:customStyle="1">
    <w:name w:val="表格文字"/>
    <w:basedOn w:val="986"/>
    <w:next w:val="925"/>
    <w:uiPriority w:val="0"/>
    <w:qFormat/>
  </w:style>
  <w:style w:type="paragraph" w:styleId="986" w:customStyle="1">
    <w:name w:val="表格文字（两侧对齐）"/>
    <w:basedOn w:val="914"/>
    <w:uiPriority w:val="0"/>
    <w:qFormat/>
    <w:rPr>
      <w:rFonts w:ascii="Calibri" w:hAnsi="Calibri"/>
      <w:sz w:val="20"/>
    </w:rPr>
  </w:style>
  <w:style w:type="paragraph" w:styleId="987" w:customStyle="1">
    <w:name w:val="普通(网站)1"/>
    <w:basedOn w:val="914"/>
    <w:uiPriority w:val="0"/>
    <w:qFormat/>
    <w:rPr>
      <w:rFonts w:ascii="Times New Roman" w:hAnsi="Times New Roman"/>
      <w:sz w:val="24"/>
    </w:rPr>
  </w:style>
  <w:style w:type="character" w:styleId="988" w:customStyle="1">
    <w:name w:val="要点1"/>
    <w:uiPriority w:val="0"/>
    <w:qFormat/>
    <w:rPr>
      <w:rFonts w:ascii="Calibri" w:hAnsi="Calibri"/>
      <w:sz w:val="21"/>
      <w:szCs w:val="22"/>
      <w:lang w:val="en-US" w:eastAsia="zh-CN"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刘玉城</cp:lastModifiedBy>
  <cp:revision>40</cp:revision>
  <dcterms:created xsi:type="dcterms:W3CDTF">2023-02-08T07:47:00Z</dcterms:created>
  <dcterms:modified xsi:type="dcterms:W3CDTF">2026-07-28T03:04:00Z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1D691D48EEB942DD8E3AEE2A73627859_13</vt:lpwstr>
  </property>
  <property fmtid="{D5CDD505-2E9C-101B-9397-08002B2CF9AE}" pid="4" name="KSOTemplateDocerSaveRecord">
    <vt:lpwstr>eyJoZGlkIjoiOWIyYjc3ZWJkN2I5MTMzYjE3NzUzNWUyZDE0MjRmNTIiLCJ1c2VySWQiOiI3MjMzNzUzMjUifQ==</vt:lpwstr>
  </property>
</Properties>
</file>