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b/>
          <w:color w:val="auto"/>
          <w:sz w:val="30"/>
          <w:szCs w:val="30"/>
          <w:highlight w:val="none"/>
        </w:rPr>
      </w:pPr>
      <w:r>
        <w:rPr>
          <w:rFonts w:hint="eastAsia" w:ascii="Times New Roman" w:hAnsi="Times New Roman" w:cs="宋体"/>
          <w:b/>
          <w:color w:val="auto"/>
          <w:sz w:val="30"/>
          <w:szCs w:val="30"/>
          <w:highlight w:val="none"/>
          <w:lang w:bidi="ar"/>
        </w:rPr>
        <w:t xml:space="preserve">项目名称：</w:t>
      </w:r>
      <w:r>
        <w:rPr>
          <w:rFonts w:hint="eastAsia" w:ascii="Times New Roman" w:hAnsi="Times New Roman"/>
          <w:b/>
          <w:color w:val="auto"/>
          <w:sz w:val="30"/>
          <w:szCs w:val="30"/>
          <w:highlight w:val="none"/>
          <w:lang w:eastAsia="zh-CN" w:bidi="ar"/>
        </w:rPr>
        <w:t xml:space="preserve">2026年泗阳县城区住宅老旧电梯更新采购项目</w:t>
      </w:r>
      <w:r>
        <w:rPr>
          <w:rFonts w:hint="eastAsia" w:ascii="Times New Roman" w:hAnsi="Times New Roman" w:cs="宋体"/>
          <w:b/>
          <w:color w:val="auto"/>
          <w:sz w:val="30"/>
          <w:szCs w:val="30"/>
          <w:highlight w:val="none"/>
          <w:lang w:bidi="ar"/>
        </w:rPr>
        <w:t xml:space="preserve"> </w:t>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t xml:space="preserve">项目编号：</w:t>
      </w:r>
      <w:r>
        <w:rPr>
          <w:rFonts w:hint="eastAsia" w:ascii="Times New Roman" w:hAnsi="Times New Roman"/>
          <w:b/>
          <w:color w:val="auto"/>
          <w:sz w:val="30"/>
          <w:szCs w:val="30"/>
          <w:highlight w:val="none"/>
          <w:lang w:eastAsia="zh-CN" w:bidi="ar"/>
        </w:rPr>
        <w:t xml:space="preserve">JSZC-321323-JZCG-G2026-0009</w:t>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63"/>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auto"/>
                <w:sz w:val="32"/>
                <w:szCs w:val="24"/>
                <w:highlight w:val="none"/>
              </w:rPr>
            </w:pPr>
            <w:r>
              <w:rPr>
                <w:rFonts w:hint="eastAsia" w:ascii="Times New Roman" w:hAnsi="Times New Roman"/>
                <w:b/>
                <w:bCs/>
                <w:color w:val="auto"/>
                <w:sz w:val="32"/>
                <w:szCs w:val="24"/>
                <w:highlight w:val="none"/>
              </w:rPr>
              <w:t xml:space="preserve">采  </w:t>
            </w:r>
            <w:r>
              <w:rPr>
                <w:rFonts w:hint="eastAsia" w:ascii="Times New Roman" w:hAnsi="Times New Roman"/>
                <w:b/>
                <w:bCs/>
                <w:color w:val="auto"/>
                <w:sz w:val="32"/>
                <w:szCs w:val="24"/>
                <w:highlight w:val="none"/>
                <w:lang w:val="en-US" w:eastAsia="zh-CN"/>
              </w:rPr>
              <w:t xml:space="preserve"> </w:t>
            </w:r>
            <w:r>
              <w:rPr>
                <w:rFonts w:hint="eastAsia" w:ascii="Times New Roman" w:hAnsi="Times New Roman"/>
                <w:b/>
                <w:bCs/>
                <w:color w:val="auto"/>
                <w:sz w:val="32"/>
                <w:szCs w:val="24"/>
                <w:highlight w:val="none"/>
              </w:rPr>
              <w:t xml:space="preserve">购</w:t>
            </w:r>
            <w:r>
              <w:rPr>
                <w:rFonts w:hint="eastAsia" w:ascii="Times New Roman" w:hAnsi="Times New Roman"/>
                <w:b/>
                <w:bCs/>
                <w:color w:val="auto"/>
                <w:sz w:val="32"/>
                <w:szCs w:val="24"/>
                <w:highlight w:val="none"/>
                <w:lang w:val="en-US" w:eastAsia="zh-CN"/>
              </w:rPr>
              <w:t xml:space="preserve">  </w:t>
            </w:r>
            <w:r>
              <w:rPr>
                <w:rFonts w:hint="eastAsia" w:ascii="Times New Roman" w:hAnsi="Times New Roman"/>
                <w:b/>
                <w:bCs/>
                <w:color w:val="auto"/>
                <w:sz w:val="32"/>
                <w:szCs w:val="24"/>
                <w:highlight w:val="none"/>
              </w:rPr>
              <w:t xml:space="preserve">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泗阳县住房和城乡建设局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b/>
                <w:bCs/>
                <w:color w:val="auto"/>
                <w:sz w:val="32"/>
                <w:szCs w:val="24"/>
                <w:highlight w:val="none"/>
                <w:lang w:val="en-US" w:eastAsia="zh-CN"/>
              </w:rPr>
              <w:t xml:space="preserve">泗阳县公共资源交易中心</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r/>
    </w:p>
    <w:p>
      <w:pPr>
        <w:jc w:val="center"/>
        <w:spacing w:before="120" w:after="120" w:line="360" w:lineRule="auto"/>
        <w:rPr>
          <w:rFonts w:hint="eastAsia" w:ascii="Arial" w:hAnsi="Arial"/>
          <w:b/>
          <w:color w:val="auto"/>
          <w:sz w:val="32"/>
          <w:szCs w:val="24"/>
          <w:highlight w:val="none"/>
          <w:lang w:eastAsia="zh-CN" w:bidi="ar"/>
        </w:rPr>
      </w:pPr>
      <w:r>
        <w:rPr>
          <w:rFonts w:hint="eastAsia" w:ascii="Arial" w:hAnsi="Arial"/>
          <w:b/>
          <w:color w:val="auto"/>
          <w:sz w:val="32"/>
          <w:szCs w:val="24"/>
          <w:highlight w:val="none"/>
          <w:lang w:eastAsia="zh-CN" w:bidi="ar"/>
        </w:rPr>
      </w:r>
      <w:r/>
    </w:p>
    <w:p>
      <w:pPr>
        <w:jc w:val="center"/>
        <w:spacing w:before="120" w:after="120" w:line="360" w:lineRule="auto"/>
        <w:rPr>
          <w:rFonts w:ascii="Arial" w:hAnsi="Arial"/>
          <w:b/>
          <w:color w:val="auto"/>
          <w:sz w:val="32"/>
          <w:szCs w:val="24"/>
          <w:highlight w:val="none"/>
        </w:rPr>
      </w:pPr>
      <w:r>
        <w:rPr>
          <w:rFonts w:hint="eastAsia" w:ascii="Arial" w:hAnsi="Arial"/>
          <w:b/>
          <w:color w:val="auto"/>
          <w:sz w:val="32"/>
          <w:szCs w:val="24"/>
          <w:highlight w:val="none"/>
          <w:lang w:eastAsia="zh-CN"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b/>
          <w:color w:val="auto"/>
          <w:sz w:val="32"/>
          <w:szCs w:val="24"/>
          <w:highlight w:val="none"/>
          <w:lang w:eastAsia="zh-CN" w:bidi="ar"/>
        </w:rPr>
        <w:t xml:space="preserve">年</w:t>
      </w:r>
      <w:r>
        <w:rPr>
          <w:rFonts w:hint="eastAsia" w:ascii="Arial" w:hAnsi="Arial"/>
          <w:b/>
          <w:color w:val="auto"/>
          <w:sz w:val="32"/>
          <w:szCs w:val="24"/>
          <w:highlight w:val="none"/>
          <w:lang w:val="en-US" w:eastAsia="zh-CN" w:bidi="ar"/>
        </w:rPr>
        <w:t xml:space="preserve">7</w:t>
      </w:r>
      <w:r>
        <w:rPr>
          <w:rFonts w:hint="eastAsia" w:ascii="Arial" w:hAnsi="Arial"/>
          <w:b/>
          <w:color w:val="auto"/>
          <w:sz w:val="32"/>
          <w:szCs w:val="24"/>
          <w:highlight w:val="none"/>
          <w:lang w:eastAsia="zh-CN" w:bidi="ar"/>
        </w:rPr>
        <w:t xml:space="preserve">月</w:t>
      </w:r>
      <w:r>
        <w:rPr>
          <w:rFonts w:hint="eastAsia" w:ascii="Arial" w:hAnsi="Arial" w:cs="宋体"/>
          <w:b/>
          <w:color w:val="auto"/>
          <w:sz w:val="32"/>
          <w:szCs w:val="24"/>
          <w:highlight w:val="none"/>
          <w:lang w:val="en-US" w:eastAsia="zh-CN" w:bidi="ar"/>
        </w:rPr>
        <w:t xml:space="preserve">30</w:t>
      </w:r>
      <w:r>
        <w:rPr>
          <w:rFonts w:hint="eastAsia" w:ascii="Arial" w:hAnsi="Arial" w:cs="宋体"/>
          <w:b/>
          <w:color w:val="auto"/>
          <w:sz w:val="32"/>
          <w:szCs w:val="24"/>
          <w:highlight w:val="none"/>
          <w:lang w:bidi="ar"/>
        </w:rPr>
        <w:t xml:space="preserve">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52"/>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52"/>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52"/>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_Toc17996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2</w:t>
      </w:r>
      <w:r>
        <w:rPr>
          <w:rFonts w:hint="eastAsia" w:ascii="Times New Roman" w:hAnsi="Times New Roman" w:eastAsia="黑体"/>
          <w:b w:val="0"/>
          <w:bCs w:val="0"/>
          <w:color w:val="auto"/>
          <w:sz w:val="32"/>
          <w:highlight w:val="none"/>
          <w:lang w:val="en-US" w:eastAsia="zh-CN"/>
        </w:rPr>
        <w:t xml:space="preserve">1</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52"/>
        <w:spacing w:line="600" w:lineRule="exact"/>
        <w:tabs>
          <w:tab w:val="right" w:pos="9185" w:leader="dot"/>
        </w:tabs>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2</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w:t>
      </w:r>
      <w:r/>
    </w:p>
    <w:p>
      <w:pPr>
        <w:pStyle w:val="852"/>
        <w:spacing w:line="600" w:lineRule="exact"/>
        <w:tabs>
          <w:tab w:val="right" w:pos="9185" w:leader="dot"/>
        </w:tabs>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3</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8</w:t>
      </w:r>
      <w:r/>
    </w:p>
    <w:p>
      <w:pPr>
        <w:pStyle w:val="852"/>
        <w:spacing w:line="600" w:lineRule="exact"/>
        <w:tabs>
          <w:tab w:val="right" w:pos="9185" w:leader="dot"/>
        </w:tabs>
        <w:rPr>
          <w:rFonts w:hint="eastAsia" w:eastAsia="黑体"/>
          <w:color w:val="auto"/>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5</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6</w:t>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93"/>
        <w:jc w:val="center"/>
        <w:spacing w:before="200"/>
        <w:rPr>
          <w:rFonts w:hint="eastAsia" w:eastAsia="黑体"/>
          <w:color w:val="auto"/>
          <w:sz w:val="44"/>
          <w:highlight w:val="none"/>
        </w:rPr>
      </w:pPr>
      <w:r/>
      <w:bookmarkStart w:id="4" w:name="_Toc25722"/>
      <w:r/>
      <w:bookmarkStart w:id="5" w:name="_Toc30943"/>
      <w:r/>
      <w:bookmarkStart w:id="6" w:name="_Toc10813"/>
      <w:r>
        <w:rPr>
          <w:rFonts w:hint="eastAsia" w:eastAsia="黑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宋体" w:hAnsi="宋体"/>
          <w:color w:val="auto"/>
          <w:sz w:val="24"/>
          <w:szCs w:val="24"/>
          <w:highlight w:val="none"/>
          <w:u w:val="none"/>
          <w:lang w:eastAsia="zh-CN"/>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泗阳县住房和城乡建设局</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泗阳县公共资源交易中心</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2026年泗阳县城区住宅老旧电梯更新采购项目(JSZC-321323-JZCG-G2026-0009)</w:t>
      </w:r>
      <w:r>
        <w:rPr>
          <w:rFonts w:hint="eastAsia" w:ascii="宋体" w:hAnsi="宋体"/>
          <w:color w:val="auto"/>
          <w:sz w:val="24"/>
          <w:szCs w:val="24"/>
          <w:highlight w:val="none"/>
          <w:u w:val="none"/>
          <w:lang w:eastAsia="zh-CN"/>
        </w:rPr>
        <w:t xml:space="preserve">进行公开招标采购，欢迎符合条件的投标人投标。</w:t>
      </w:r>
      <w:r/>
    </w:p>
    <w:p>
      <w:pPr>
        <w:ind w:firstLine="480"/>
        <w:spacing w:line="480" w:lineRule="exact"/>
        <w:rPr>
          <w:rFonts w:ascii="Times New Roman" w:hAnsi="Times New Roman"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rPr>
        <w:t xml:space="preserve">项目概况</w:t>
      </w:r>
      <w:r/>
    </w:p>
    <w:p>
      <w:pPr>
        <w:ind w:firstLine="480"/>
        <w:spacing w:line="480" w:lineRule="exact"/>
        <w:rPr>
          <w:rFonts w:ascii="方正仿宋_GBK" w:hAnsi="方正仿宋_GBK" w:eastAsia="方正仿宋_GBK"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2026年泗阳县城区住宅老旧电梯更新采购项目</w:t>
      </w:r>
      <w:r>
        <w:rPr>
          <w:rFonts w:hint="eastAsia" w:ascii="Times New Roman" w:hAnsi="Times New Roman" w:cs="方正仿宋_GBK"/>
          <w:color w:val="auto"/>
          <w:sz w:val="24"/>
          <w:szCs w:val="24"/>
          <w:highlight w:val="none"/>
        </w:rPr>
        <w:t xml:space="preserve">的潜在投标人可在“江苏政府采购网”、</w:t>
      </w:r>
      <w:r>
        <w:rPr>
          <w:rFonts w:hint="eastAsia" w:ascii="Times New Roman" w:hAnsi="Times New Roman" w:cs="方正仿宋_GBK"/>
          <w:color w:val="auto"/>
          <w:sz w:val="24"/>
          <w:szCs w:val="24"/>
          <w:highlight w:val="none"/>
          <w:u w:val="none"/>
        </w:rPr>
        <w:t xml:space="preserve">“宿迁市政府采购网”自行免费</w:t>
      </w:r>
      <w:r>
        <w:rPr>
          <w:rFonts w:hint="eastAsia" w:ascii="Times New Roman" w:hAnsi="Times New Roman" w:cs="方正仿宋_GBK"/>
          <w:color w:val="auto"/>
          <w:sz w:val="24"/>
          <w:szCs w:val="24"/>
          <w:highlight w:val="none"/>
        </w:rPr>
        <w:t xml:space="preserve">获取招标文件，并于</w:t>
      </w:r>
      <w:r>
        <w:rPr>
          <w:rFonts w:hint="eastAsia" w:ascii="宋体" w:hAnsi="宋体"/>
          <w:color w:val="auto"/>
          <w:sz w:val="24"/>
          <w:szCs w:val="24"/>
          <w:highlight w:val="none"/>
          <w:u w:val="single"/>
          <w:lang w:eastAsia="zh-CN"/>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color w:val="auto"/>
          <w:sz w:val="24"/>
          <w:szCs w:val="24"/>
          <w:highlight w:val="none"/>
          <w:u w:val="single"/>
          <w:lang w:eastAsia="zh-CN"/>
        </w:rPr>
        <w:t xml:space="preserve">年</w:t>
      </w:r>
      <w:r>
        <w:rPr>
          <w:rFonts w:hint="eastAsia" w:ascii="宋体" w:hAnsi="宋体"/>
          <w:color w:val="auto"/>
          <w:sz w:val="24"/>
          <w:szCs w:val="24"/>
          <w:highlight w:val="none"/>
          <w:u w:val="single"/>
          <w:lang w:val="en-US" w:eastAsia="zh-CN"/>
        </w:rPr>
        <w:t xml:space="preserve">8</w:t>
      </w:r>
      <w:r>
        <w:rPr>
          <w:rFonts w:hint="eastAsia" w:ascii="宋体" w:hAnsi="宋体"/>
          <w:color w:val="auto"/>
          <w:sz w:val="24"/>
          <w:szCs w:val="24"/>
          <w:highlight w:val="none"/>
          <w:u w:val="single"/>
          <w:lang w:eastAsia="zh-CN"/>
        </w:rPr>
        <w:t xml:space="preserve">月</w:t>
      </w:r>
      <w:r>
        <w:rPr>
          <w:rFonts w:hint="eastAsia" w:ascii="宋体" w:hAnsi="宋体"/>
          <w:bCs/>
          <w:color w:val="auto"/>
          <w:sz w:val="24"/>
          <w:szCs w:val="24"/>
          <w:highlight w:val="none"/>
          <w:u w:val="single"/>
          <w:lang w:val="en-US" w:eastAsia="zh-CN"/>
        </w:rPr>
        <w:t xml:space="preserve">24</w:t>
      </w:r>
      <w:r>
        <w:rPr>
          <w:rFonts w:hint="eastAsia" w:ascii="宋体" w:hAnsi="宋体"/>
          <w:bCs/>
          <w:color w:val="auto"/>
          <w:sz w:val="24"/>
          <w:szCs w:val="24"/>
          <w:highlight w:val="none"/>
          <w:u w:val="single"/>
        </w:rPr>
        <w:t xml:space="preserve">日09点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w:t>
      </w:r>
      <w:r>
        <w:rPr>
          <w:rFonts w:hint="eastAsia" w:ascii="Times New Roman" w:hAnsi="Times New Roman" w:cs="方正仿宋_GBK"/>
          <w:bCs/>
          <w:color w:val="auto"/>
          <w:sz w:val="24"/>
          <w:szCs w:val="24"/>
          <w:highlight w:val="none"/>
        </w:rPr>
        <w:t xml:space="preserve">前递交投标文件</w:t>
      </w:r>
      <w:r>
        <w:rPr>
          <w:rFonts w:hint="eastAsia" w:ascii="Times New Roman" w:hAnsi="Times New Roman" w:cs="方正仿宋_GBK"/>
          <w:color w:val="auto"/>
          <w:sz w:val="24"/>
          <w:szCs w:val="24"/>
          <w:highlight w:val="none"/>
        </w:rPr>
        <w:t xml:space="preserve">。</w:t>
      </w:r>
      <w:r/>
    </w:p>
    <w:p>
      <w:pPr>
        <w:pStyle w:val="794"/>
        <w:ind w:firstLine="643"/>
        <w:spacing w:before="0" w:after="0" w:line="480" w:lineRule="exact"/>
        <w:rPr>
          <w:rFonts w:hint="eastAsia" w:eastAsia="宋体" w:cs="Arial"/>
          <w:bCs/>
          <w:color w:val="auto"/>
          <w:szCs w:val="22"/>
          <w:highlight w:val="none"/>
        </w:rPr>
      </w:pPr>
      <w:r/>
      <w:bookmarkStart w:id="7" w:name="_Toc38985263"/>
      <w:r/>
      <w:bookmarkStart w:id="8" w:name="_Toc28359002"/>
      <w:r/>
      <w:bookmarkStart w:id="9" w:name="_Toc35393790"/>
      <w:r/>
      <w:bookmarkStart w:id="10" w:name="_Toc28359079"/>
      <w:r/>
      <w:bookmarkStart w:id="11" w:name="_Toc2584"/>
      <w:r/>
      <w:bookmarkStart w:id="12" w:name="_Toc35393621"/>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JSZC-321323-JZCG-G2026-0009</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bookmarkEnd w:id="13"/>
      <w:r>
        <w:rPr>
          <w:rFonts w:hint="eastAsia" w:ascii="Times New Roman" w:hAnsi="Times New Roman" w:cs="仿宋"/>
          <w:color w:val="auto"/>
          <w:sz w:val="24"/>
          <w:szCs w:val="24"/>
          <w:highlight w:val="none"/>
          <w:lang w:eastAsia="zh-CN"/>
        </w:rPr>
        <w:t xml:space="preserve">2026年泗阳县城区住宅老旧电梯更新采购项目</w:t>
      </w:r>
      <w:r/>
    </w:p>
    <w:p>
      <w:pPr>
        <w:ind w:firstLine="480"/>
        <w:spacing w:line="480" w:lineRule="exact"/>
        <w:rPr>
          <w:rFonts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val="en-US" w:eastAsia="zh-CN"/>
        </w:rPr>
        <w:t xml:space="preserve">380万元</w:t>
      </w:r>
      <w:r/>
    </w:p>
    <w:p>
      <w:pPr>
        <w:ind w:firstLine="480"/>
        <w:spacing w:line="480" w:lineRule="exact"/>
        <w:rPr>
          <w:rFonts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 xml:space="preserve">4.</w:t>
      </w:r>
      <w:r>
        <w:rPr>
          <w:rFonts w:ascii="宋体" w:hAnsi="宋体" w:eastAsia="宋体" w:cs="宋体"/>
          <w:color w:val="auto"/>
          <w:sz w:val="24"/>
          <w:szCs w:val="24"/>
          <w:highlight w:val="none"/>
        </w:rPr>
        <w:t xml:space="preserve">最高</w:t>
      </w:r>
      <w:r>
        <w:rPr>
          <w:rFonts w:hint="eastAsia" w:ascii="Times New Roman" w:hAnsi="Times New Roman" w:cs="仿宋"/>
          <w:color w:val="auto"/>
          <w:sz w:val="24"/>
          <w:szCs w:val="24"/>
          <w:highlight w:val="none"/>
          <w:lang w:eastAsia="zh-CN"/>
        </w:rPr>
        <w:t xml:space="preserve">限价（如有）：最高限价为：</w:t>
      </w:r>
      <w:bookmarkStart w:id="14" w:name="EB6c1f3d39c6914ae1bada8ccaa777b37a"/>
      <w:r>
        <w:rPr>
          <w:rFonts w:hint="eastAsia" w:ascii="Times New Roman" w:hAnsi="Times New Roman" w:cs="仿宋"/>
          <w:color w:val="auto"/>
          <w:sz w:val="24"/>
          <w:szCs w:val="24"/>
          <w:highlight w:val="none"/>
          <w:lang w:val="en-US" w:eastAsia="zh-CN"/>
        </w:rPr>
        <w:t xml:space="preserve">380万元</w:t>
      </w:r>
      <w:bookmarkEnd w:id="14"/>
      <w:r/>
      <w:r/>
    </w:p>
    <w:p>
      <w:pPr>
        <w:ind w:firstLine="480"/>
        <w:spacing w:line="480" w:lineRule="exact"/>
        <w:rPr>
          <w:rFonts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5.</w:t>
      </w:r>
      <w:r>
        <w:rPr>
          <w:rFonts w:ascii="宋体" w:hAnsi="宋体" w:eastAsia="宋体" w:cs="宋体"/>
          <w:color w:val="auto"/>
          <w:sz w:val="24"/>
          <w:szCs w:val="24"/>
          <w:highlight w:val="none"/>
        </w:rPr>
        <w:t xml:space="preserve">采购需求：</w:t>
      </w:r>
      <w:r>
        <w:rPr>
          <w:rFonts w:hint="eastAsia" w:ascii="Times New Roman" w:hAnsi="Times New Roman" w:cs="仿宋"/>
          <w:b w:val="0"/>
          <w:bCs w:val="0"/>
          <w:color w:val="auto"/>
          <w:sz w:val="24"/>
          <w:szCs w:val="24"/>
          <w:highlight w:val="none"/>
        </w:rPr>
        <w:t xml:space="preserve">本项目为</w:t>
      </w:r>
      <w:r>
        <w:rPr>
          <w:rFonts w:hint="eastAsia" w:ascii="Times New Roman" w:hAnsi="Times New Roman" w:cs="仿宋"/>
          <w:b w:val="0"/>
          <w:bCs w:val="0"/>
          <w:color w:val="auto"/>
          <w:sz w:val="24"/>
          <w:szCs w:val="24"/>
          <w:highlight w:val="none"/>
          <w:lang w:eastAsia="zh-CN"/>
        </w:rPr>
        <w:t xml:space="preserve">泗阳县</w:t>
      </w:r>
      <w:r>
        <w:rPr>
          <w:rFonts w:hint="eastAsia" w:ascii="Times New Roman" w:hAnsi="Times New Roman" w:cs="仿宋"/>
          <w:b w:val="0"/>
          <w:bCs w:val="0"/>
          <w:color w:val="auto"/>
          <w:sz w:val="24"/>
          <w:szCs w:val="24"/>
          <w:highlight w:val="none"/>
        </w:rPr>
        <w:t xml:space="preserve">城区老旧小区高层住宅</w:t>
      </w:r>
      <w:r>
        <w:rPr>
          <w:rFonts w:hint="eastAsia" w:ascii="Times New Roman" w:hAnsi="Times New Roman" w:cs="仿宋"/>
          <w:b w:val="0"/>
          <w:bCs w:val="0"/>
          <w:color w:val="auto"/>
          <w:sz w:val="24"/>
          <w:szCs w:val="24"/>
          <w:highlight w:val="none"/>
          <w:lang w:val="en-US" w:eastAsia="zh-CN"/>
        </w:rPr>
        <w:t xml:space="preserve">24</w:t>
      </w:r>
      <w:r>
        <w:rPr>
          <w:rFonts w:hint="eastAsia" w:ascii="Times New Roman" w:hAnsi="Times New Roman" w:cs="仿宋"/>
          <w:b w:val="0"/>
          <w:bCs w:val="0"/>
          <w:color w:val="auto"/>
          <w:sz w:val="24"/>
          <w:szCs w:val="24"/>
          <w:highlight w:val="none"/>
          <w:lang w:eastAsia="zh-CN"/>
        </w:rPr>
        <w:t xml:space="preserve">部</w:t>
      </w:r>
      <w:r>
        <w:rPr>
          <w:rFonts w:hint="eastAsia" w:ascii="Times New Roman" w:hAnsi="Times New Roman" w:cs="仿宋"/>
          <w:b w:val="0"/>
          <w:bCs w:val="0"/>
          <w:color w:val="auto"/>
          <w:sz w:val="24"/>
          <w:szCs w:val="24"/>
          <w:highlight w:val="none"/>
        </w:rPr>
        <w:t xml:space="preserve">电梯的更新，现进行整体电梯拆除和更换。包含原有电梯拆除、新电梯采购</w:t>
      </w:r>
      <w:r>
        <w:rPr>
          <w:rFonts w:hint="eastAsia" w:ascii="Times New Roman" w:hAnsi="Times New Roman" w:cs="仿宋"/>
          <w:b w:val="0"/>
          <w:bCs w:val="0"/>
          <w:color w:val="auto"/>
          <w:sz w:val="24"/>
          <w:szCs w:val="24"/>
          <w:highlight w:val="none"/>
          <w:lang w:eastAsia="zh-CN"/>
        </w:rPr>
        <w:t xml:space="preserve">、</w:t>
      </w:r>
      <w:r>
        <w:rPr>
          <w:rFonts w:hint="eastAsia" w:ascii="Times New Roman" w:hAnsi="Times New Roman" w:cs="仿宋"/>
          <w:b w:val="0"/>
          <w:bCs w:val="0"/>
          <w:color w:val="auto"/>
          <w:sz w:val="24"/>
          <w:szCs w:val="24"/>
          <w:highlight w:val="none"/>
        </w:rPr>
        <w:t xml:space="preserve">安装</w:t>
      </w:r>
      <w:r>
        <w:rPr>
          <w:rFonts w:hint="eastAsia" w:ascii="Times New Roman" w:hAnsi="Times New Roman" w:cs="仿宋"/>
          <w:b w:val="0"/>
          <w:bCs w:val="0"/>
          <w:color w:val="auto"/>
          <w:sz w:val="24"/>
          <w:szCs w:val="24"/>
          <w:highlight w:val="none"/>
          <w:lang w:val="en-US" w:eastAsia="zh-CN"/>
        </w:rPr>
        <w:t xml:space="preserve">及维保</w:t>
      </w:r>
      <w:r>
        <w:rPr>
          <w:rFonts w:hint="eastAsia" w:ascii="Times New Roman" w:hAnsi="Times New Roman" w:cs="仿宋"/>
          <w:b w:val="0"/>
          <w:bCs w:val="0"/>
          <w:color w:val="auto"/>
          <w:sz w:val="24"/>
          <w:szCs w:val="24"/>
          <w:highlight w:val="none"/>
        </w:rPr>
        <w:t xml:space="preserve">等</w:t>
      </w:r>
      <w:r>
        <w:rPr>
          <w:rFonts w:hint="eastAsia" w:ascii="Times New Roman" w:hAnsi="Times New Roman" w:cs="仿宋"/>
          <w:b w:val="0"/>
          <w:bCs w:val="0"/>
          <w:color w:val="auto"/>
          <w:sz w:val="24"/>
          <w:szCs w:val="24"/>
          <w:highlight w:val="none"/>
          <w:lang w:eastAsia="zh-CN"/>
        </w:rPr>
        <w:t xml:space="preserve">，</w:t>
      </w:r>
      <w:r>
        <w:rPr>
          <w:rFonts w:hint="eastAsia" w:ascii="Times New Roman" w:hAnsi="Times New Roman" w:cs="仿宋"/>
          <w:b w:val="0"/>
          <w:bCs w:val="0"/>
          <w:color w:val="auto"/>
          <w:sz w:val="24"/>
          <w:szCs w:val="24"/>
          <w:highlight w:val="none"/>
          <w:lang w:val="en-US" w:eastAsia="zh-CN"/>
        </w:rPr>
        <w:t xml:space="preserve">详见采购需求。</w:t>
      </w:r>
      <w:r/>
    </w:p>
    <w:p>
      <w:pPr>
        <w:pStyle w:val="934"/>
        <w:ind w:firstLine="482"/>
        <w:jc w:val="left"/>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w:t>
      </w:r>
      <w:r>
        <w:rPr>
          <w:rFonts w:hint="eastAsia" w:ascii="宋体" w:hAnsi="宋体" w:cs="宋体"/>
          <w:color w:val="auto"/>
          <w:sz w:val="24"/>
          <w:highlight w:val="none"/>
        </w:rPr>
        <w:t xml:space="preserve">合同签订后</w:t>
      </w:r>
      <w:r>
        <w:rPr>
          <w:rFonts w:hint="eastAsia" w:ascii="宋体" w:hAnsi="宋体" w:cs="宋体"/>
          <w:color w:val="auto"/>
          <w:sz w:val="24"/>
          <w:highlight w:val="none"/>
          <w:lang w:val="en-US" w:eastAsia="zh-CN"/>
        </w:rPr>
        <w:t xml:space="preserve">120</w:t>
      </w:r>
      <w:r>
        <w:rPr>
          <w:rFonts w:hint="eastAsia" w:ascii="宋体" w:hAnsi="宋体" w:cs="宋体"/>
          <w:color w:val="auto"/>
          <w:sz w:val="24"/>
          <w:highlight w:val="none"/>
        </w:rPr>
        <w:t xml:space="preserve">日历天内完成供货安装调试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每部电梯限30日历天内完工</w:t>
      </w:r>
      <w:r>
        <w:rPr>
          <w:rFonts w:hint="eastAsia" w:ascii="宋体" w:hAnsi="宋体" w:cs="宋体"/>
          <w:color w:val="auto"/>
          <w:sz w:val="24"/>
          <w:highlight w:val="none"/>
        </w:rPr>
        <w:t xml:space="preserve">。</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rPr>
          <w:rFonts w:ascii="宋体" w:hAnsi="宋体" w:eastAsia="宋体" w:cs="宋体"/>
          <w:color w:val="auto"/>
          <w:sz w:val="24"/>
          <w:szCs w:val="24"/>
          <w:highlight w:val="none"/>
        </w:rPr>
        <w:t xml:space="preserve">本项目（是/否）接受联合体投标：否</w:t>
      </w:r>
      <w:r>
        <w:rPr>
          <w:rFonts w:hint="eastAsia" w:ascii="Times New Roman" w:hAnsi="Times New Roman" w:cs="仿宋"/>
          <w:color w:val="auto"/>
          <w:sz w:val="24"/>
          <w:szCs w:val="24"/>
          <w:highlight w:val="none"/>
        </w:rPr>
        <w:t xml:space="preserve">。</w:t>
      </w:r>
      <w:r/>
    </w:p>
    <w:p>
      <w:pPr>
        <w:pStyle w:val="794"/>
        <w:ind w:firstLine="643"/>
        <w:spacing w:before="0" w:after="0" w:line="480" w:lineRule="exact"/>
        <w:rPr>
          <w:rFonts w:hint="eastAsia" w:eastAsia="宋体" w:cs="Arial"/>
          <w:bCs/>
          <w:color w:val="auto"/>
          <w:szCs w:val="22"/>
          <w:highlight w:val="none"/>
        </w:rPr>
      </w:pPr>
      <w:r/>
      <w:bookmarkStart w:id="15" w:name="_Toc28359080"/>
      <w:r/>
      <w:bookmarkStart w:id="16" w:name="_Toc35393791"/>
      <w:r/>
      <w:bookmarkStart w:id="17" w:name="_Toc28359003"/>
      <w:r/>
      <w:bookmarkStart w:id="18" w:name="_Toc38985264"/>
      <w:r/>
      <w:bookmarkStart w:id="19" w:name="_Toc27291"/>
      <w:r/>
      <w:bookmarkStart w:id="20" w:name="_Toc35393622"/>
      <w:r>
        <w:rPr>
          <w:rFonts w:hint="eastAsia" w:eastAsia="宋体" w:cs="Arial"/>
          <w:bCs/>
          <w:color w:val="auto"/>
          <w:szCs w:val="22"/>
          <w:highlight w:val="none"/>
        </w:rPr>
        <w:t xml:space="preserve">二、申请人的资格要求</w:t>
      </w:r>
      <w:bookmarkEnd w:id="15"/>
      <w:r/>
      <w:bookmarkEnd w:id="16"/>
      <w:r/>
      <w:bookmarkEnd w:id="17"/>
      <w:r/>
      <w:bookmarkEnd w:id="18"/>
      <w:r/>
      <w:bookmarkEnd w:id="19"/>
      <w:r/>
      <w:bookmarkEnd w:id="20"/>
      <w:r/>
      <w:r/>
    </w:p>
    <w:p>
      <w:pPr>
        <w:ind w:left="0" w:right="0" w:firstLine="48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（一）满足《中华人民共和国政府采购法》第二十二条规定：</w:t>
      </w:r>
      <w:bookmarkStart w:id="21" w:name="_Toc28359004"/>
      <w:r/>
      <w:bookmarkStart w:id="22" w:name="_Toc35393623"/>
      <w:r/>
      <w:bookmarkStart w:id="23" w:name="_Toc28359081"/>
      <w:r/>
      <w:bookmarkStart w:id="24" w:name="_Toc35393792"/>
      <w:r/>
      <w:bookmarkStart w:id="25" w:name="_Toc38985265"/>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left="0" w:right="0" w:firstLine="480"/>
        <w:jc w:val="both"/>
        <w:spacing w:before="0" w:after="0" w:line="479" w:lineRule="atLeast"/>
        <w:rPr>
          <w:rFonts w:hint="eastAsia" w:ascii="Times New Roman" w:hAnsi="Times New Roman"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w:t>
      </w:r>
      <w:r>
        <w:rPr>
          <w:rFonts w:hint="eastAsia" w:ascii="宋体" w:hAnsi="宋体" w:eastAsia="宋体" w:cs="宋体"/>
          <w:color w:val="auto"/>
          <w:sz w:val="24"/>
          <w:highlight w:val="none"/>
        </w:rPr>
        <w:t xml:space="preserve">本</w:t>
      </w:r>
      <w:r>
        <w:rPr>
          <w:rFonts w:hint="eastAsia" w:ascii="Times New Roman" w:hAnsi="Times New Roman" w:cs="仿宋"/>
          <w:color w:val="auto"/>
          <w:sz w:val="24"/>
          <w:szCs w:val="24"/>
          <w:highlight w:val="none"/>
        </w:rPr>
        <w:t xml:space="preserve">项目的特定资格要求：</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制造商参与投标的，须同时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2.非制造商参与投标的，须同时具备有效期内的以下证书：</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a《中华人民共和国特种设备制造许可证（电梯）》（许可内容：曳引式客梯），或《中华人民共和国特种设备生产许可证（电梯）》[许可项目：电梯制造（含安装、修理、改造）曳引驱动乘客电梯]</w:t>
      </w:r>
      <w:r>
        <w:rPr>
          <w:rFonts w:hint="eastAsia" w:ascii="Times New Roman" w:hAnsi="Times New Roman" w:cs="仿宋"/>
          <w:color w:val="auto"/>
          <w:sz w:val="24"/>
          <w:szCs w:val="24"/>
          <w:highlight w:val="none"/>
          <w:lang w:eastAsia="zh-CN"/>
        </w:rPr>
        <w:t xml:space="preserve">；</w:t>
      </w:r>
      <w:r/>
    </w:p>
    <w:p>
      <w:pPr>
        <w:ind w:firstLine="480"/>
        <w:spacing w:line="48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b《中华人民共和国特种设备安装改造维修许可证（电梯）》（许可内容：曳引驱动电梯），或《中华人民共和国特种设备生产许可证（电梯）》[许可项目：电梯安装（含修理）曳引驱动乘客电梯]</w:t>
      </w:r>
      <w:r>
        <w:rPr>
          <w:rFonts w:hint="eastAsia" w:ascii="Times New Roman" w:hAnsi="Times New Roman" w:cs="仿宋"/>
          <w:color w:val="auto"/>
          <w:sz w:val="24"/>
          <w:szCs w:val="24"/>
          <w:highlight w:val="none"/>
          <w:lang w:eastAsia="zh-CN"/>
        </w:rPr>
        <w:t xml:space="preserve">。</w:t>
      </w:r>
      <w:r/>
    </w:p>
    <w:p>
      <w:pPr>
        <w:pStyle w:val="794"/>
        <w:ind w:firstLine="643"/>
        <w:spacing w:before="0" w:after="0" w:line="480" w:lineRule="exact"/>
        <w:rPr>
          <w:rFonts w:hint="eastAsia" w:eastAsia="宋体" w:cs="Arial"/>
          <w:bCs/>
          <w:color w:val="auto"/>
          <w:szCs w:val="22"/>
          <w:highlight w:val="none"/>
        </w:rPr>
      </w:pPr>
      <w:r/>
      <w:bookmarkStart w:id="26" w:name="_Toc22204"/>
      <w:r>
        <w:rPr>
          <w:rFonts w:hint="eastAsia" w:eastAsia="宋体" w:cs="Arial"/>
          <w:bCs/>
          <w:color w:val="auto"/>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auto"/>
          <w:sz w:val="24"/>
          <w:szCs w:val="24"/>
          <w:highlight w:val="none"/>
        </w:rPr>
      </w:pPr>
      <w:r/>
      <w:bookmarkStart w:id="27" w:name="_Toc28359005"/>
      <w:r/>
      <w:bookmarkStart w:id="28" w:name="_Toc28359082"/>
      <w:r/>
      <w:bookmarkStart w:id="29" w:name="_Toc35393793"/>
      <w:r/>
      <w:bookmarkStart w:id="30" w:name="_Toc38985266"/>
      <w:r/>
      <w:bookmarkStart w:id="31" w:name="_Toc35393624"/>
      <w:r>
        <w:rPr>
          <w:rFonts w:hint="eastAsia" w:ascii="Times New Roman" w:hAnsi="Times New Roman" w:cs="仿宋"/>
          <w:color w:val="auto"/>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auto"/>
          <w:sz w:val="24"/>
          <w:szCs w:val="24"/>
          <w:highlight w:val="none"/>
        </w:rPr>
      </w:pPr>
      <w:r/>
      <w:bookmarkStart w:id="32" w:name="EB0c44ff4da61f4af989d119fe214be450"/>
      <w:r>
        <w:rPr>
          <w:rFonts w:hint="eastAsia" w:ascii="Times New Roman" w:hAnsi="Times New Roman" w:cs="仿宋"/>
          <w:color w:val="auto"/>
          <w:sz w:val="24"/>
          <w:szCs w:val="24"/>
          <w:highlight w:val="none"/>
        </w:rPr>
        <w:t xml:space="preserve">3.本项目共分一个采购包。投标人参与多个采购包投标的，应按采购包分别获取招标文件。投标人未按要求获取招标文件，后果自负（其投标文件不予接受）。</w:t>
      </w:r>
      <w:bookmarkEnd w:id="32"/>
      <w:r/>
      <w:r/>
    </w:p>
    <w:p>
      <w:pPr>
        <w:pStyle w:val="794"/>
        <w:ind w:firstLine="643"/>
        <w:spacing w:before="0" w:after="0" w:line="480" w:lineRule="exact"/>
        <w:rPr>
          <w:rFonts w:hint="eastAsia" w:eastAsia="宋体" w:cs="Arial"/>
          <w:bCs/>
          <w:color w:val="auto"/>
          <w:szCs w:val="22"/>
          <w:highlight w:val="none"/>
        </w:rPr>
      </w:pPr>
      <w:r/>
      <w:bookmarkStart w:id="33" w:name="_Toc19148"/>
      <w:r>
        <w:rPr>
          <w:rFonts w:hint="eastAsia" w:eastAsia="宋体" w:cs="Arial"/>
          <w:bCs/>
          <w:color w:val="auto"/>
          <w:szCs w:val="22"/>
          <w:highlight w:val="none"/>
        </w:rPr>
        <w:t xml:space="preserve">四、提交投标文件</w:t>
      </w:r>
      <w:bookmarkEnd w:id="27"/>
      <w:r/>
      <w:bookmarkEnd w:id="28"/>
      <w:r>
        <w:rPr>
          <w:rFonts w:hint="eastAsia" w:eastAsia="宋体" w:cs="Arial"/>
          <w:bCs/>
          <w:color w:val="auto"/>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1.提交投标文件截止时间、开标时间：</w:t>
      </w:r>
      <w:r>
        <w:rPr>
          <w:rFonts w:hint="eastAsia" w:ascii="Times New Roman" w:hAnsi="Times New Roman" w:cs="仿宋"/>
          <w:color w:val="auto"/>
          <w:sz w:val="24"/>
          <w:szCs w:val="24"/>
          <w:highlight w:val="none"/>
          <w:lang w:eastAsia="zh-CN"/>
        </w:rPr>
        <w:t xml:space="preserve">202</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lang w:eastAsia="zh-CN"/>
        </w:rPr>
        <w:t xml:space="preserve">年</w:t>
      </w:r>
      <w:r>
        <w:rPr>
          <w:rFonts w:hint="eastAsia" w:ascii="Times New Roman" w:hAnsi="Times New Roman" w:cs="仿宋"/>
          <w:color w:val="auto"/>
          <w:sz w:val="24"/>
          <w:szCs w:val="24"/>
          <w:highlight w:val="none"/>
          <w:lang w:val="en-US" w:eastAsia="zh-CN"/>
        </w:rPr>
        <w:t xml:space="preserve">8</w:t>
      </w:r>
      <w:r>
        <w:rPr>
          <w:rFonts w:hint="eastAsia" w:ascii="Times New Roman" w:hAnsi="Times New Roman" w:cs="仿宋"/>
          <w:color w:val="auto"/>
          <w:sz w:val="24"/>
          <w:szCs w:val="24"/>
          <w:highlight w:val="none"/>
          <w:lang w:eastAsia="zh-CN"/>
        </w:rPr>
        <w:t xml:space="preserve">月</w:t>
      </w:r>
      <w:r>
        <w:rPr>
          <w:rFonts w:hint="eastAsia" w:ascii="Times New Roman" w:hAnsi="Times New Roman" w:cs="仿宋"/>
          <w:color w:val="auto"/>
          <w:sz w:val="24"/>
          <w:szCs w:val="24"/>
          <w:highlight w:val="none"/>
          <w:lang w:val="en-US" w:eastAsia="zh-CN"/>
        </w:rPr>
        <w:t xml:space="preserve">24</w:t>
      </w:r>
      <w:r>
        <w:rPr>
          <w:rFonts w:hint="eastAsia" w:ascii="Times New Roman" w:hAnsi="Times New Roman" w:cs="仿宋"/>
          <w:color w:val="auto"/>
          <w:sz w:val="24"/>
          <w:szCs w:val="24"/>
          <w:highlight w:val="none"/>
        </w:rPr>
        <w:t xml:space="preserve">日09点</w:t>
      </w:r>
      <w:r>
        <w:rPr>
          <w:rFonts w:hint="eastAsia" w:ascii="Times New Roman" w:hAnsi="Times New Roman" w:cs="仿宋"/>
          <w:color w:val="auto"/>
          <w:sz w:val="24"/>
          <w:szCs w:val="24"/>
          <w:highlight w:val="none"/>
          <w:lang w:val="en-US" w:eastAsia="zh-CN"/>
        </w:rPr>
        <w:t xml:space="preserve">30</w:t>
      </w:r>
      <w:r>
        <w:rPr>
          <w:rFonts w:hint="eastAsia" w:ascii="Times New Roman" w:hAnsi="Times New Roman" w:cs="仿宋"/>
          <w:color w:val="auto"/>
          <w:sz w:val="24"/>
          <w:szCs w:val="24"/>
          <w:highlight w:val="none"/>
        </w:rPr>
        <w:t xml:space="preserve">分（北京时间）</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2.地点：“苏采云”政府采购交易系统网上开标大厅。</w:t>
      </w:r>
      <w:r/>
    </w:p>
    <w:p>
      <w:pPr>
        <w:pStyle w:val="794"/>
        <w:ind w:firstLine="643"/>
        <w:spacing w:before="0" w:after="0" w:line="480" w:lineRule="exact"/>
        <w:rPr>
          <w:rFonts w:hint="eastAsia" w:eastAsia="宋体" w:cs="Arial"/>
          <w:bCs/>
          <w:color w:val="auto"/>
          <w:szCs w:val="22"/>
          <w:highlight w:val="none"/>
        </w:rPr>
      </w:pPr>
      <w:r/>
      <w:bookmarkStart w:id="34" w:name="_Toc35393794"/>
      <w:r/>
      <w:bookmarkStart w:id="35" w:name="_Toc24820"/>
      <w:r/>
      <w:bookmarkStart w:id="36" w:name="_Toc28359007"/>
      <w:r/>
      <w:bookmarkStart w:id="37" w:name="_Toc28359084"/>
      <w:r/>
      <w:bookmarkStart w:id="38" w:name="_Toc35393625"/>
      <w:r/>
      <w:bookmarkStart w:id="39" w:name="_Toc38985267"/>
      <w:r>
        <w:rPr>
          <w:rFonts w:hint="eastAsia" w:eastAsia="宋体" w:cs="Arial"/>
          <w:bCs/>
          <w:color w:val="auto"/>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Times New Roman" w:hAnsi="Times New Roman" w:cs="仿宋"/>
          <w:color w:val="auto"/>
          <w:sz w:val="24"/>
          <w:szCs w:val="24"/>
          <w:highlight w:val="none"/>
        </w:rPr>
      </w:pPr>
      <w:r/>
      <w:bookmarkStart w:id="40" w:name="_Toc35393626"/>
      <w:r/>
      <w:bookmarkStart w:id="41" w:name="_Toc35393795"/>
      <w:r/>
      <w:bookmarkStart w:id="42" w:name="_Toc38985268"/>
      <w:r>
        <w:rPr>
          <w:rFonts w:hint="eastAsia" w:ascii="Times New Roman" w:hAnsi="Times New Roman" w:cs="仿宋"/>
          <w:color w:val="auto"/>
          <w:sz w:val="24"/>
          <w:szCs w:val="24"/>
          <w:highlight w:val="none"/>
        </w:rPr>
        <w:t xml:space="preserve">招标公告及招标文件公告期限为自本公告发布之日起5个工作日。</w:t>
      </w:r>
      <w:r/>
    </w:p>
    <w:p>
      <w:pPr>
        <w:pStyle w:val="794"/>
        <w:ind w:firstLine="643"/>
        <w:spacing w:before="0" w:after="0" w:line="480" w:lineRule="exact"/>
        <w:rPr>
          <w:rFonts w:hint="eastAsia" w:eastAsia="宋体" w:cs="Arial"/>
          <w:bCs/>
          <w:color w:val="auto"/>
          <w:szCs w:val="22"/>
          <w:highlight w:val="none"/>
        </w:rPr>
      </w:pPr>
      <w:r/>
      <w:bookmarkStart w:id="43" w:name="_Toc13415"/>
      <w:r>
        <w:rPr>
          <w:rFonts w:hint="eastAsia" w:eastAsia="宋体" w:cs="Arial"/>
          <w:bCs/>
          <w:color w:val="auto"/>
          <w:szCs w:val="22"/>
          <w:highlight w:val="none"/>
        </w:rPr>
        <w:t xml:space="preserve">六、其他补充事宜</w:t>
      </w:r>
      <w:bookmarkEnd w:id="40"/>
      <w:r/>
      <w:bookmarkEnd w:id="41"/>
      <w:r/>
      <w:bookmarkEnd w:id="42"/>
      <w:r/>
      <w:bookmarkEnd w:id="43"/>
      <w:r/>
      <w:r/>
    </w:p>
    <w:p>
      <w:pPr>
        <w:ind w:firstLine="480"/>
        <w:spacing w:line="480" w:lineRule="exact"/>
        <w:rPr>
          <w:rFonts w:hint="eastAsia" w:ascii="Times New Roman" w:hAnsi="Times New Roman" w:cs="仿宋"/>
          <w:color w:val="auto"/>
          <w:sz w:val="24"/>
          <w:szCs w:val="24"/>
          <w:highlight w:val="none"/>
        </w:rPr>
      </w:pPr>
      <w:r/>
      <w:bookmarkStart w:id="44" w:name="EB64e1f522fd8c43fcb4d3ba471386b3e7"/>
      <w:r/>
      <w:bookmarkStart w:id="45" w:name="_Toc28359085"/>
      <w:r/>
      <w:bookmarkStart w:id="46" w:name="_Toc38985269"/>
      <w:r/>
      <w:bookmarkStart w:id="47" w:name="_Toc35393627"/>
      <w:r/>
      <w:bookmarkStart w:id="48" w:name="_Toc35393796"/>
      <w:r/>
      <w:bookmarkStart w:id="49" w:name="_Toc28359008"/>
      <w:r>
        <w:rPr>
          <w:rFonts w:hint="eastAsia" w:ascii="Times New Roman" w:hAnsi="Times New Roman" w:cs="仿宋"/>
          <w:color w:val="auto"/>
          <w:sz w:val="24"/>
          <w:szCs w:val="24"/>
          <w:highlight w:val="none"/>
        </w:rPr>
        <w:t xml:space="preserve">1.招标公告发布媒体：</w:t>
      </w:r>
      <w:bookmarkStart w:id="50" w:name="OLE_LINK3"/>
      <w:r>
        <w:rPr>
          <w:rFonts w:hint="eastAsia" w:ascii="Times New Roman" w:hAnsi="Times New Roman" w:cs="仿宋"/>
          <w:color w:val="auto"/>
          <w:sz w:val="24"/>
          <w:szCs w:val="24"/>
          <w:highlight w:val="none"/>
        </w:rPr>
        <w:t xml:space="preserve">江苏政府采购网</w:t>
      </w:r>
      <w:bookmarkEnd w:id="50"/>
      <w:r>
        <w:rPr>
          <w:rFonts w:hint="eastAsia" w:ascii="Times New Roman" w:hAnsi="Times New Roman" w:cs="仿宋"/>
          <w:color w:val="auto"/>
          <w:sz w:val="24"/>
          <w:szCs w:val="24"/>
          <w:highlight w:val="none"/>
        </w:rPr>
        <w:t xml:space="preserve">、宿迁市政府采购网等。</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3.宿迁地区“苏采云”系统技术支持客服电话：0527-84225125、0519-86722806。</w:t>
      </w:r>
      <w:bookmarkEnd w:id="44"/>
      <w:r/>
      <w:r/>
    </w:p>
    <w:p>
      <w:pPr>
        <w:ind w:firstLine="480"/>
        <w:spacing w:line="480" w:lineRule="exact"/>
        <w:rPr>
          <w:rFonts w:hint="eastAsia" w:ascii="Times New Roman" w:hAnsi="Times New Roman" w:eastAsia="宋体" w:cs="仿宋"/>
          <w:color w:val="auto"/>
          <w:sz w:val="24"/>
          <w:szCs w:val="24"/>
          <w:highlight w:val="none"/>
          <w:lang w:eastAsia="zh-CN"/>
        </w:rPr>
      </w:pPr>
      <w:r/>
      <w:bookmarkStart w:id="51" w:name="_Toc29049"/>
      <w:r>
        <w:rPr>
          <w:rFonts w:hint="eastAsia" w:ascii="Times New Roman" w:hAnsi="Times New Roman" w:cs="仿宋"/>
          <w:color w:val="auto"/>
          <w:sz w:val="24"/>
          <w:szCs w:val="24"/>
          <w:highlight w:val="none"/>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lang w:eastAsia="zh-CN"/>
        </w:rPr>
        <w:t xml:space="preserve">。</w:t>
      </w:r>
      <w:r/>
    </w:p>
    <w:p>
      <w:pPr>
        <w:numPr>
          <w:ilvl w:val="0"/>
          <w:numId w:val="0"/>
        </w:num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bidi="ar-SA"/>
        </w:rPr>
        <w:t xml:space="preserve">5.</w:t>
      </w:r>
      <w:r>
        <w:rPr>
          <w:rFonts w:hint="eastAsia" w:ascii="Times New Roman" w:hAnsi="Times New Roman" w:cs="仿宋"/>
          <w:color w:val="auto"/>
          <w:sz w:val="24"/>
          <w:szCs w:val="24"/>
          <w:highlight w:val="none"/>
        </w:rPr>
        <w:t xml:space="preserve">现场勘察及答疑：本项目不组织集中勘察及答疑，投标人如对采购需求有疑问，请咨询采购单位联系人。</w:t>
      </w:r>
      <w:r/>
    </w:p>
    <w:p>
      <w:pPr>
        <w:numPr>
          <w:ilvl w:val="0"/>
          <w:numId w:val="0"/>
        </w:num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szCs w:val="22"/>
          <w:highlight w:val="none"/>
          <w:lang w:val="en-US" w:eastAsia="zh-CN" w:bidi="ar-SA"/>
        </w:rPr>
        <w:t xml:space="preserve">6.</w:t>
      </w:r>
      <w:r>
        <w:rPr>
          <w:rFonts w:hint="eastAsia" w:ascii="Times New Roman" w:hAnsi="Times New Roman" w:cs="仿宋"/>
          <w:color w:val="auto"/>
          <w:sz w:val="24"/>
          <w:szCs w:val="24"/>
          <w:highlight w:val="none"/>
        </w:rPr>
        <w:t xml:space="preserve">财政部门监督电话：</w:t>
      </w:r>
      <w:r>
        <w:rPr>
          <w:rFonts w:hint="eastAsia" w:ascii="Times New Roman" w:hAnsi="Times New Roman" w:cs="仿宋"/>
          <w:color w:val="auto"/>
          <w:sz w:val="24"/>
          <w:szCs w:val="24"/>
          <w:highlight w:val="none"/>
          <w:lang w:eastAsia="zh-CN"/>
        </w:rPr>
        <w:t xml:space="preserve">0527-85229058</w:t>
      </w:r>
      <w:r>
        <w:rPr>
          <w:rFonts w:hint="eastAsia" w:ascii="Times New Roman" w:hAnsi="Times New Roman" w:cs="仿宋"/>
          <w:color w:val="auto"/>
          <w:sz w:val="24"/>
          <w:szCs w:val="24"/>
          <w:highlight w:val="none"/>
        </w:rPr>
        <w:t xml:space="preserve">。</w:t>
      </w:r>
      <w:r/>
    </w:p>
    <w:p>
      <w:pPr>
        <w:pStyle w:val="794"/>
        <w:ind w:firstLine="643"/>
        <w:spacing w:before="0" w:after="0" w:line="480" w:lineRule="exact"/>
        <w:rPr>
          <w:rFonts w:hint="eastAsia" w:eastAsia="宋体" w:cs="Arial"/>
          <w:bCs/>
          <w:color w:val="auto"/>
          <w:szCs w:val="22"/>
          <w:highlight w:val="none"/>
        </w:rPr>
      </w:pPr>
      <w:r>
        <w:rPr>
          <w:rFonts w:hint="eastAsia" w:eastAsia="宋体" w:cs="Arial"/>
          <w:bCs/>
          <w:color w:val="auto"/>
          <w:szCs w:val="22"/>
          <w:highlight w:val="none"/>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48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lang w:val="en-US" w:eastAsia="zh-CN"/>
        </w:rPr>
        <w:t xml:space="preserve">泗阳县住房和城乡建设局    </w:t>
      </w:r>
      <w:r/>
    </w:p>
    <w:p>
      <w:pPr>
        <w:ind w:firstLine="480"/>
        <w:jc w:val="left"/>
        <w:spacing w:line="480" w:lineRule="exact"/>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en-US" w:eastAsia="zh-CN"/>
        </w:rPr>
        <w:t xml:space="preserve">江苏省宿迁市泗阳县北京东路</w:t>
      </w:r>
      <w:r/>
    </w:p>
    <w:p>
      <w:pPr>
        <w:ind w:firstLine="480"/>
        <w:jc w:val="left"/>
        <w:spacing w:line="480" w:lineRule="exac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联 系 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刘仁杰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ind w:firstLine="480"/>
        <w:jc w:val="left"/>
        <w:spacing w:line="480" w:lineRule="exac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联系方式：</w:t>
      </w:r>
      <w:bookmarkStart w:id="52" w:name="_Toc28359086"/>
      <w:r/>
      <w:bookmarkStart w:id="53" w:name="_Toc28359009"/>
      <w:r>
        <w:rPr>
          <w:rFonts w:hint="eastAsia" w:ascii="宋体" w:hAnsi="宋体"/>
          <w:color w:val="auto"/>
          <w:sz w:val="24"/>
          <w:szCs w:val="24"/>
          <w:highlight w:val="none"/>
          <w:u w:val="single"/>
          <w:lang w:val="en-US" w:eastAsia="zh-CN"/>
        </w:rPr>
        <w:t xml:space="preserve">     0527-80626925         </w:t>
      </w:r>
      <w:r/>
    </w:p>
    <w:p>
      <w:pPr>
        <w:ind w:firstLine="480"/>
        <w:jc w:val="left"/>
        <w:spacing w:line="480" w:lineRule="exact"/>
        <w:rPr>
          <w:rFonts w:ascii="宋体" w:hAnsi="宋体"/>
          <w:color w:val="auto"/>
          <w:sz w:val="24"/>
          <w:szCs w:val="24"/>
          <w:highlight w:val="none"/>
        </w:rPr>
      </w:pPr>
      <w:r>
        <w:rPr>
          <w:rFonts w:hint="eastAsia" w:ascii="宋体" w:hAnsi="宋体" w:cs="宋体"/>
          <w:color w:val="auto"/>
          <w:sz w:val="24"/>
          <w:szCs w:val="24"/>
          <w:highlight w:val="none"/>
        </w:rPr>
        <w:t xml:space="preserve">2.</w:t>
      </w:r>
      <w:bookmarkEnd w:id="52"/>
      <w:r/>
      <w:bookmarkEnd w:id="53"/>
      <w:r>
        <w:rPr>
          <w:rFonts w:hint="eastAsia" w:ascii="宋体" w:hAnsi="宋体" w:cs="宋体"/>
          <w:color w:val="auto"/>
          <w:sz w:val="24"/>
          <w:szCs w:val="24"/>
          <w:highlight w:val="none"/>
        </w:rPr>
        <w:t xml:space="preserve">采购代理机构信息</w:t>
      </w:r>
      <w:r/>
    </w:p>
    <w:p>
      <w:pPr>
        <w:ind w:firstLine="480"/>
        <w:jc w:val="left"/>
        <w:spacing w:line="48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lang w:eastAsia="zh-CN"/>
        </w:rPr>
        <w:t xml:space="preserve">泗阳县</w:t>
      </w:r>
      <w:r>
        <w:rPr>
          <w:rFonts w:hint="eastAsia" w:ascii="宋体" w:hAnsi="宋体"/>
          <w:color w:val="auto"/>
          <w:sz w:val="24"/>
          <w:szCs w:val="24"/>
          <w:highlight w:val="none"/>
          <w:u w:val="single"/>
        </w:rPr>
        <w:t xml:space="preserve">公共资源交易中心</w:t>
      </w:r>
      <w:r>
        <w:rPr>
          <w:rFonts w:hint="eastAsia" w:ascii="宋体" w:hAnsi="宋体"/>
          <w:color w:val="auto"/>
          <w:sz w:val="24"/>
          <w:szCs w:val="24"/>
          <w:highlight w:val="none"/>
          <w:u w:val="single"/>
          <w:lang w:val="en-US" w:eastAsia="zh-CN"/>
        </w:rPr>
        <w:t xml:space="preserve">   </w:t>
      </w:r>
      <w:r/>
    </w:p>
    <w:p>
      <w:pPr>
        <w:ind w:firstLine="480"/>
        <w:spacing w:line="480" w:lineRule="exac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en-US" w:eastAsia="zh-CN"/>
        </w:rPr>
        <w:t xml:space="preserve">泗阳县北京中路20号      </w:t>
      </w:r>
      <w:r/>
    </w:p>
    <w:p>
      <w:pPr>
        <w:ind w:firstLine="480"/>
        <w:keepLines w:val="0"/>
        <w:keepNext w:val="0"/>
        <w:pageBreakBefore w:val="0"/>
        <w:spacing w:line="480" w:lineRule="exact"/>
        <w:widowControl w:val="off"/>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 xml:space="preserve">联 系 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张媛            </w:t>
      </w:r>
      <w:r/>
    </w:p>
    <w:p>
      <w:pPr>
        <w:ind w:firstLine="480"/>
        <w:spacing w:line="480" w:lineRule="exact"/>
        <w:rPr>
          <w:rFonts w:hint="default" w:ascii="仿宋_GB2312" w:eastAsia="宋体"/>
          <w:color w:val="auto"/>
          <w:sz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u w:val="single"/>
          <w:lang w:val="en-US" w:eastAsia="zh-CN"/>
        </w:rPr>
        <w:t xml:space="preserve">     0527-85278008       </w:t>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hint="eastAsia" w:eastAsia="黑体"/>
          <w:color w:val="auto"/>
          <w:sz w:val="44"/>
          <w:highlight w:val="none"/>
        </w:rPr>
        <w:outlineLvl w:val="0"/>
      </w:pPr>
      <w:r>
        <w:rPr>
          <w:rFonts w:hint="eastAsia" w:ascii="仿宋_GB2312" w:eastAsia="仿宋_GB2312"/>
          <w:color w:val="auto"/>
          <w:sz w:val="24"/>
          <w:highlight w:val="none"/>
        </w:rPr>
        <w:br w:type="page" w:clear="all"/>
      </w:r>
      <w:bookmarkStart w:id="54" w:name="_Toc81575153"/>
      <w:r/>
      <w:bookmarkStart w:id="55" w:name="_Toc15265"/>
      <w:r/>
      <w:bookmarkStart w:id="56" w:name="_Toc11687"/>
      <w:r/>
      <w:bookmarkStart w:id="57" w:name="_Toc9425"/>
      <w:r/>
      <w:bookmarkStart w:id="58" w:name="_Toc81575190"/>
      <w:r>
        <w:rPr>
          <w:rFonts w:hint="eastAsia" w:eastAsia="黑体"/>
          <w:color w:val="auto"/>
          <w:sz w:val="44"/>
          <w:highlight w:val="none"/>
        </w:rPr>
        <w:t xml:space="preserve">第二章  投标人须知</w:t>
      </w:r>
      <w:bookmarkEnd w:id="54"/>
      <w:r/>
      <w:bookmarkEnd w:id="55"/>
      <w:r/>
      <w:bookmarkEnd w:id="56"/>
      <w:r/>
      <w:bookmarkEnd w:id="57"/>
      <w:r/>
      <w:bookmarkEnd w:id="58"/>
      <w:r/>
      <w:r/>
    </w:p>
    <w:p>
      <w:pPr>
        <w:pStyle w:val="794"/>
        <w:spacing w:before="0" w:after="120" w:line="520" w:lineRule="exact"/>
        <w:rPr>
          <w:rFonts w:hint="eastAsia" w:eastAsia="宋体" w:cs="Arial"/>
          <w:bCs/>
          <w:color w:val="auto"/>
          <w:szCs w:val="22"/>
          <w:highlight w:val="none"/>
        </w:rPr>
      </w:pPr>
      <w:r/>
      <w:bookmarkStart w:id="59" w:name="_Toc4529"/>
      <w:r>
        <w:rPr>
          <w:rFonts w:hint="eastAsia" w:eastAsia="宋体" w:cs="Arial"/>
          <w:bCs/>
          <w:color w:val="auto"/>
          <w:szCs w:val="22"/>
          <w:highlight w:val="none"/>
        </w:rPr>
        <w:t xml:space="preserve">投标人须知前附表：</w:t>
      </w:r>
      <w:bookmarkEnd w:id="59"/>
      <w:r/>
      <w:r/>
    </w:p>
    <w:tbl>
      <w:tblPr>
        <w:tblStyle w:val="763"/>
        <w:tblpPr w:horzAnchor="page" w:tblpX="1530" w:vertAnchor="text" w:tblpY="228" w:leftFromText="180" w:topFromText="0" w:rightFromText="180" w:bottomFromText="0"/>
        <w:tblW w:w="94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840"/>
      </w:tblGrid>
      <w:tr>
        <w:trPr>
          <w:trHeight w:val="462"/>
        </w:trPr>
        <w:tc>
          <w:tcPr>
            <w:tcW w:w="858" w:type="dxa"/>
            <w:vAlign w:val="center"/>
            <w:textDirection w:val="lrTb"/>
            <w:noWrap w:val="false"/>
          </w:tcPr>
          <w:p>
            <w:pPr>
              <w:jc w:val="center"/>
              <w:rPr>
                <w:rFonts w:hint="eastAsia" w:ascii="仿宋_GB2312" w:hAnsi="仿宋"/>
                <w:b/>
                <w:color w:val="auto"/>
                <w:sz w:val="24"/>
                <w:szCs w:val="24"/>
                <w:highlight w:val="none"/>
              </w:rPr>
            </w:pPr>
            <w:r/>
            <w:bookmarkStart w:id="60" w:name="_Toc29262"/>
            <w:r/>
            <w:bookmarkStart w:id="61" w:name="_Toc81575191"/>
            <w:r/>
            <w:bookmarkStart w:id="62" w:name="_Toc81575154"/>
            <w:r>
              <w:rPr>
                <w:rFonts w:hint="eastAsia" w:ascii="仿宋_GB2312" w:hAnsi="仿宋"/>
                <w:b/>
                <w:color w:val="auto"/>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6840"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W w:w="6840"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63" w:name="EB9a5853ee094f4f0ea6ec3169265f6f2c"/>
            <w:r>
              <w:rPr>
                <w:rFonts w:hint="eastAsia" w:ascii="Times New Roman" w:hAnsi="Times New Roman" w:cs="仿宋"/>
                <w:color w:val="auto"/>
                <w:sz w:val="24"/>
                <w:szCs w:val="24"/>
                <w:highlight w:val="none"/>
              </w:rPr>
              <w:t xml:space="preserve">属性按以下第</w:t>
            </w:r>
            <w:bookmarkEnd w:id="63"/>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64" w:name="EBd5c6c026f9674c39b21b31ecd0c1e7fa"/>
            <w:r>
              <w:rPr>
                <w:rFonts w:hint="eastAsia" w:ascii="Times New Roman" w:hAnsi="Times New Roman" w:cs="仿宋"/>
                <w:color w:val="auto"/>
                <w:sz w:val="24"/>
                <w:szCs w:val="24"/>
                <w:highlight w:val="none"/>
              </w:rPr>
              <w:t xml:space="preserve">采购；2.</w:t>
            </w:r>
            <w:bookmarkEnd w:id="64"/>
            <w:r>
              <w:rPr>
                <w:rFonts w:hint="eastAsia" w:ascii="Times New Roman" w:hAnsi="Times New Roman" w:cs="仿宋"/>
                <w:color w:val="auto"/>
                <w:sz w:val="24"/>
                <w:szCs w:val="24"/>
                <w:highlight w:val="none"/>
              </w:rPr>
              <w:t xml:space="preserve">服务</w:t>
            </w:r>
            <w:bookmarkStart w:id="65" w:name="EBf7d2a4f44ecb4166a93ea852e73be69f"/>
            <w:r>
              <w:rPr>
                <w:rFonts w:hint="eastAsia" w:ascii="Times New Roman" w:hAnsi="Times New Roman" w:cs="仿宋"/>
                <w:color w:val="auto"/>
                <w:sz w:val="24"/>
                <w:szCs w:val="24"/>
                <w:highlight w:val="none"/>
              </w:rPr>
              <w:t xml:space="preserve">采购；3.</w:t>
            </w:r>
            <w:bookmarkEnd w:id="65"/>
            <w:r>
              <w:rPr>
                <w:rFonts w:hint="eastAsia" w:ascii="Times New Roman" w:hAnsi="Times New Roman" w:cs="仿宋"/>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6" w:name="EBd40b5fb42f2944a3b45e579ce3941f02"/>
            <w:r/>
            <w:bookmarkEnd w:id="66"/>
            <w:r>
              <w:rPr>
                <w:rFonts w:hint="eastAsia" w:ascii="Times New Roman" w:hAnsi="Times New Roman" w:cs="仿宋"/>
                <w:color w:val="auto"/>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6840"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r>
              <w:rPr>
                <w:rFonts w:hint="eastAsia" w:ascii="Times New Roman" w:hAnsi="Times New Roman" w:cs="仿宋"/>
                <w:color w:val="auto"/>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W w:w="6840"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1</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7"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67"/>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u w:val="single"/>
                <w:lang w:val="en-US" w:eastAsia="zh-CN"/>
              </w:rPr>
              <w:t xml:space="preserve">2</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种方式确定：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1.允许分包，</w:t>
            </w:r>
            <w:bookmarkStart w:id="68"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68"/>
            <w:r>
              <w:rPr>
                <w:rFonts w:hint="eastAsia" w:ascii="Times New Roman" w:hAnsi="Times New Roman" w:cs="仿宋"/>
                <w:color w:val="auto"/>
                <w:sz w:val="24"/>
                <w:szCs w:val="24"/>
                <w:highlight w:val="none"/>
              </w:rPr>
              <w:t xml:space="preserve">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9" w:name="EBfe735bb6fc4d4e5e9e350f940db98c5f"/>
            <w:r/>
            <w:bookmarkEnd w:id="69"/>
            <w:r>
              <w:rPr>
                <w:rFonts w:hint="eastAsia" w:ascii="Times New Roman" w:hAnsi="Times New Roman" w:cs="仿宋"/>
                <w:color w:val="auto"/>
                <w:sz w:val="24"/>
                <w:szCs w:val="24"/>
                <w:highlight w:val="none"/>
              </w:rPr>
              <w:t xml:space="preserve">本项目不收取代理费。</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60"/>
            <w:r/>
            <w:bookmarkEnd w:id="61"/>
            <w:r/>
            <w:bookmarkEnd w:id="62"/>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sz w:val="20"/>
          <w:highlight w:val="none"/>
        </w:rPr>
      </w:pPr>
      <w:r>
        <w:rPr>
          <w:color w:val="auto"/>
          <w:sz w:val="20"/>
          <w:highlight w:val="none"/>
        </w:rPr>
      </w:r>
      <w:r/>
    </w:p>
    <w:p>
      <w:pPr>
        <w:pStyle w:val="794"/>
        <w:ind w:firstLine="321"/>
        <w:spacing w:before="0" w:after="0" w:line="480" w:lineRule="exact"/>
        <w:rPr>
          <w:rFonts w:hint="eastAsia" w:eastAsia="宋体" w:cs="Arial"/>
          <w:bCs/>
          <w:color w:val="auto"/>
          <w:szCs w:val="22"/>
          <w:highlight w:val="none"/>
        </w:rPr>
      </w:pPr>
      <w:r/>
      <w:bookmarkStart w:id="70" w:name="EB6eaaf474639940df900ef4965d71f450"/>
      <w:r/>
      <w:bookmarkEnd w:id="70"/>
      <w:r/>
      <w:bookmarkStart w:id="71" w:name="_Toc81575192"/>
      <w:r/>
      <w:bookmarkStart w:id="72" w:name="_Toc30953"/>
      <w:r/>
      <w:bookmarkStart w:id="73" w:name="_Toc81575155"/>
      <w:r/>
      <w:bookmarkStart w:id="74" w:name="_Toc8239"/>
      <w:r>
        <w:rPr>
          <w:rFonts w:hint="eastAsia" w:eastAsia="宋体" w:cs="Arial"/>
          <w:bCs/>
          <w:color w:val="auto"/>
          <w:szCs w:val="22"/>
          <w:highlight w:val="none"/>
        </w:rPr>
        <w:t xml:space="preserve">一、总 则</w:t>
      </w:r>
      <w:bookmarkEnd w:id="71"/>
      <w:r/>
      <w:bookmarkEnd w:id="72"/>
      <w:r/>
      <w:bookmarkEnd w:id="73"/>
      <w:r/>
      <w:bookmarkEnd w:id="74"/>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1、招标方式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本次采购采取公开招标方式。</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2、合格的投标人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lang w:val="en-US" w:eastAsia="zh-CN"/>
        </w:rPr>
        <w:t xml:space="preserve">3.1</w:t>
      </w:r>
      <w:r>
        <w:rPr>
          <w:rFonts w:hint="eastAsia" w:ascii="Times New Roman" w:hAnsi="Times New Roman" w:cs="仿宋"/>
          <w:color w:val="auto"/>
          <w:sz w:val="24"/>
          <w:highlight w:val="none"/>
        </w:rPr>
        <w:t xml:space="preserve">本次招标及由招标产生的合同受中华人民共和国的相关法律、法规制约和保护。</w:t>
      </w:r>
      <w:r/>
    </w:p>
    <w:p>
      <w:pPr>
        <w:ind w:firstLine="480"/>
        <w:spacing w:line="480" w:lineRule="exact"/>
        <w:rPr>
          <w:rFonts w:hint="eastAsia" w:ascii="Times New Roman" w:hAnsi="Times New Roman" w:eastAsia="宋体" w:cs="仿宋"/>
          <w:color w:val="000000" w:themeColor="text1"/>
          <w:sz w:val="24"/>
          <w:highlight w:val="none"/>
          <w:lang w:val="en-US" w:eastAsia="zh-CN"/>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3.2</w:t>
      </w:r>
      <w:r>
        <w:rPr>
          <w:rFonts w:hint="eastAsia" w:ascii="Times New Roman" w:hAnsi="Times New Roman" w:cs="仿宋"/>
          <w:color w:val="000000" w:themeColor="text1"/>
          <w:sz w:val="24"/>
          <w14:textFill>
            <w14:solidFill>
              <w14:schemeClr w14:val="tx1"/>
            </w14:solidFill>
          </w14:textFill>
        </w:rPr>
        <w:t xml:space="preserve">在本项目政府采购活动过程中，如果所执行的标准有更新的，按照最新标准执行。</w:t>
      </w:r>
      <w:r>
        <w:rPr>
          <w:rFonts w:hint="eastAsia" w:ascii="Times New Roman" w:hAnsi="Times New Roman" w:cs="仿宋"/>
          <w:color w:val="000000" w:themeColor="text1"/>
          <w:sz w:val="24"/>
          <w:lang w:val="en-US" w:eastAsia="zh-CN"/>
          <w14:textFill>
            <w14:solidFill>
              <w14:schemeClr w14:val="tx1"/>
            </w14:solidFill>
          </w14:textFill>
        </w:rPr>
        <w:t xml:space="preserve"> </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4、投标费用</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投标人应自行承担所有参加投标有关的费用。</w:t>
      </w:r>
      <w:r/>
    </w:p>
    <w:p>
      <w:pPr>
        <w:pStyle w:val="794"/>
        <w:ind w:firstLine="321"/>
        <w:spacing w:before="0" w:after="0" w:line="480" w:lineRule="exact"/>
        <w:rPr>
          <w:rFonts w:hint="eastAsia" w:eastAsia="宋体" w:cs="Arial"/>
          <w:bCs/>
          <w:color w:val="auto"/>
          <w:szCs w:val="22"/>
          <w:highlight w:val="none"/>
        </w:rPr>
      </w:pPr>
      <w:r/>
      <w:bookmarkStart w:id="75" w:name="_Toc15995"/>
      <w:r/>
      <w:bookmarkStart w:id="76" w:name="_Toc29306"/>
      <w:r/>
      <w:bookmarkStart w:id="77" w:name="_Toc81575193"/>
      <w:r/>
      <w:bookmarkStart w:id="78" w:name="_Toc81575156"/>
      <w:r>
        <w:rPr>
          <w:rFonts w:hint="eastAsia" w:eastAsia="宋体" w:cs="Arial"/>
          <w:bCs/>
          <w:color w:val="auto"/>
          <w:szCs w:val="22"/>
          <w:highlight w:val="none"/>
        </w:rPr>
        <w:t xml:space="preserve">二、招标文件</w:t>
      </w:r>
      <w:bookmarkEnd w:id="75"/>
      <w:r/>
      <w:bookmarkEnd w:id="76"/>
      <w:r/>
      <w:bookmarkEnd w:id="77"/>
      <w:r/>
      <w:bookmarkEnd w:id="78"/>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5、招标文件构成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w:t>
      </w:r>
      <w:r>
        <w:rPr>
          <w:rFonts w:hint="eastAsia" w:ascii="Times New Roman" w:hAnsi="Times New Roman" w:cs="仿宋"/>
          <w:color w:val="000000" w:themeColor="text1"/>
          <w:sz w:val="24"/>
          <w:highlight w:val="none"/>
          <w14:textFill>
            <w14:solidFill>
              <w14:schemeClr w14:val="tx1"/>
            </w14:solidFill>
          </w14:textFill>
        </w:rPr>
        <w:t xml:space="preserve">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6、政府采购政策功能落实</w:t>
      </w:r>
      <w:r/>
    </w:p>
    <w:p>
      <w:pPr>
        <w:ind w:firstLine="482"/>
        <w:spacing w:line="480" w:lineRule="exact"/>
        <w:rPr>
          <w:rFonts w:ascii="Times New Roman" w:hAnsi="Times New Roman" w:cs="仿宋"/>
          <w:b/>
          <w:bCs/>
          <w:color w:val="000000" w:themeColor="text1"/>
          <w:sz w:val="24"/>
          <w:highlight w:val="none"/>
          <w:u w:val="single"/>
          <w14:textFill>
            <w14:solidFill>
              <w14:schemeClr w14:val="tx1"/>
            </w14:solidFill>
          </w14:textFill>
        </w:rPr>
      </w:pPr>
      <w:r>
        <w:rPr>
          <w:rFonts w:hint="eastAsia" w:ascii="Times New Roman" w:hAnsi="Times New Roman" w:cs="仿宋"/>
          <w:b/>
          <w:bCs/>
          <w:color w:val="000000" w:themeColor="text1"/>
          <w:sz w:val="24"/>
          <w:highlight w:val="non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none"/>
          <w:u w:val="single"/>
          <w14:textFill>
            <w14:solidFill>
              <w14:schemeClr w14:val="tx1"/>
            </w14:solidFill>
          </w14:textFill>
        </w:rPr>
        <w:t xml:space="preserve"> </w:t>
      </w:r>
      <w:r>
        <w:rPr>
          <w:rFonts w:hint="eastAsia" w:ascii="Times New Roman" w:hAnsi="Times New Roman" w:cs="仿宋"/>
          <w:b/>
          <w:bCs/>
          <w:color w:val="000000" w:themeColor="text1"/>
          <w:sz w:val="24"/>
          <w:highlight w:val="none"/>
          <w:u w:val="single"/>
          <w:lang w:val="en-US" w:eastAsia="zh-CN"/>
          <w14:textFill>
            <w14:solidFill>
              <w14:schemeClr w14:val="tx1"/>
            </w14:solidFill>
          </w14:textFill>
        </w:rPr>
        <w:t xml:space="preserve">6.1，6.2</w:t>
      </w:r>
      <w:r>
        <w:rPr>
          <w:rFonts w:hint="eastAsia" w:ascii="Times New Roman" w:hAnsi="Times New Roman" w:cs="仿宋"/>
          <w:b/>
          <w:bCs/>
          <w:color w:val="000000" w:themeColor="text1"/>
          <w:sz w:val="24"/>
          <w:highlight w:val="none"/>
          <w:u w:val="single"/>
          <w14:textFill>
            <w14:solidFill>
              <w14:schemeClr w14:val="tx1"/>
            </w14:solidFill>
          </w14:textFill>
        </w:rPr>
        <w:t xml:space="preserve">，6.4</w:t>
      </w:r>
      <w:r>
        <w:rPr>
          <w:rFonts w:hint="eastAsia" w:ascii="Times New Roman" w:hAnsi="Times New Roman" w:cs="仿宋"/>
          <w:b/>
          <w:bCs/>
          <w:color w:val="000000" w:themeColor="text1"/>
          <w:sz w:val="24"/>
          <w:highlight w:val="none"/>
          <w:u w:val="single"/>
          <w:lang w:val="en-US" w:eastAsia="zh-CN"/>
          <w14:textFill>
            <w14:solidFill>
              <w14:schemeClr w14:val="tx1"/>
            </w14:solidFill>
          </w14:textFill>
        </w:rPr>
        <w:t xml:space="preserve">.1</w:t>
      </w:r>
      <w:r>
        <w:rPr>
          <w:rFonts w:hint="eastAsia" w:ascii="Times New Roman" w:hAnsi="Times New Roman" w:cs="仿宋"/>
          <w:b/>
          <w:bCs/>
          <w:color w:val="000000" w:themeColor="text1"/>
          <w:sz w:val="24"/>
          <w:highlight w:val="none"/>
          <w:u w:val="single"/>
          <w:lang w:eastAsia="zh-CN"/>
          <w14:textFill>
            <w14:solidFill>
              <w14:schemeClr w14:val="tx1"/>
            </w14:solidFill>
          </w14:textFill>
        </w:rPr>
        <w:t xml:space="preserve">，</w:t>
      </w:r>
      <w:r>
        <w:rPr>
          <w:rFonts w:hint="eastAsia" w:ascii="Times New Roman" w:hAnsi="Times New Roman" w:cs="仿宋"/>
          <w:b/>
          <w:bCs/>
          <w:color w:val="000000" w:themeColor="text1"/>
          <w:sz w:val="24"/>
          <w:highlight w:val="none"/>
          <w:u w:val="single"/>
          <w:lang w:val="en-US" w:eastAsia="zh-CN"/>
          <w14:textFill>
            <w14:solidFill>
              <w14:schemeClr w14:val="tx1"/>
            </w14:solidFill>
          </w14:textFill>
        </w:rPr>
        <w:t xml:space="preserve">6.5</w:t>
      </w:r>
      <w:r>
        <w:rPr>
          <w:rFonts w:hint="eastAsia" w:ascii="Times New Roman" w:hAnsi="Times New Roman" w:cs="仿宋"/>
          <w:b/>
          <w:bCs/>
          <w:color w:val="000000" w:themeColor="text1"/>
          <w:sz w:val="24"/>
          <w:highlight w:val="none"/>
          <w:u w:val="single"/>
          <w14:textFill>
            <w14:solidFill>
              <w14:schemeClr w14:val="tx1"/>
            </w14:solidFill>
          </w14:textFill>
        </w:rPr>
        <w:t xml:space="preserve"> </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本项目按第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种政策落实：</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lang w:val="en-US" w:eastAsia="zh-CN"/>
        </w:rPr>
        <w:t xml:space="preserve">5</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_GB2312"/>
          <w:b/>
          <w:bCs/>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⑤联合体各方均为小型、微型企业（残疾人福利单位、监狱企业）的，联合体享受15%价格扣除，用扣除后的价格参与评审。（是否接受联合体以“项目基本情况”相关内容为准）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6.2采购本国产品的支持政策</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6.2.1 </w:t>
      </w:r>
      <w:r>
        <w:rPr>
          <w:rFonts w:hint="eastAsia" w:ascii="宋体" w:hAnsi="宋体"/>
          <w:bCs/>
          <w:color w:val="000000" w:themeColor="text1"/>
          <w:sz w:val="24"/>
          <w:szCs w:val="24"/>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6.2.2本项目政府采购活动中既有本国产品又有非本国产品参与竞争的，</w:t>
      </w:r>
      <w:bookmarkStart w:id="79" w:name="OLE_LINK7"/>
      <w:r>
        <w:rPr>
          <w:rFonts w:hint="eastAsia" w:ascii="Times New Roman" w:hAnsi="Times New Roman" w:cs="仿宋"/>
          <w:color w:val="000000" w:themeColor="text1"/>
          <w:sz w:val="24"/>
          <w14:textFill>
            <w14:solidFill>
              <w14:schemeClr w14:val="tx1"/>
            </w14:solidFill>
          </w14:textFill>
        </w:rPr>
        <w:t xml:space="preserve">依法对本国产品给予价格评审优惠，对本国产品的报价给予</w:t>
      </w:r>
      <w:r>
        <w:rPr>
          <w:rFonts w:hint="eastAsia" w:ascii="Times New Roman" w:hAnsi="Times New Roman" w:cs="仿宋"/>
          <w:b/>
          <w:bCs/>
          <w:color w:val="000000" w:themeColor="text1"/>
          <w:sz w:val="24"/>
          <w:u w:val="single"/>
          <w14:textFill>
            <w14:solidFill>
              <w14:schemeClr w14:val="tx1"/>
            </w14:solidFill>
          </w14:textFill>
        </w:rPr>
        <w:t xml:space="preserve">20%</w:t>
      </w:r>
      <w:r>
        <w:rPr>
          <w:rFonts w:hint="eastAsia" w:ascii="Times New Roman" w:hAnsi="Times New Roman" w:cs="仿宋"/>
          <w:color w:val="000000" w:themeColor="text1"/>
          <w:sz w:val="24"/>
          <w14:textFill>
            <w14:solidFill>
              <w14:schemeClr w14:val="tx1"/>
            </w14:solidFill>
          </w14:textFill>
        </w:rPr>
        <w:t xml:space="preserve">的价格扣除，用扣除后的价格参与评审。</w:t>
      </w:r>
      <w:bookmarkEnd w:id="79"/>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themeColor="text1"/>
          <w:sz w:val="24"/>
          <w14:textFill>
            <w14:solidFill>
              <w14:schemeClr w14:val="tx1"/>
            </w14:solidFill>
          </w14:textFill>
        </w:rPr>
        <w:t xml:space="preserve">80%以上</w:t>
      </w:r>
      <w:r>
        <w:rPr>
          <w:rFonts w:hint="eastAsia" w:ascii="Times New Roman" w:hAnsi="Times New Roman" w:cs="仿宋"/>
          <w:color w:val="000000" w:themeColor="text1"/>
          <w:sz w:val="24"/>
          <w14:textFill>
            <w14:solidFill>
              <w14:schemeClr w14:val="tx1"/>
            </w14:solidFill>
          </w14:textFill>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w:t>
      </w:r>
      <w:r>
        <w:rPr>
          <w:rFonts w:hint="eastAsia" w:ascii="Times New Roman" w:hAnsi="Times New Roman" w:cs="仿宋"/>
          <w:color w:val="auto"/>
          <w:sz w:val="24"/>
          <w:highlight w:val="none"/>
          <w:lang w:val="en-US" w:eastAsia="zh-CN"/>
        </w:rPr>
        <w:t xml:space="preserve">3</w:t>
      </w:r>
      <w:r>
        <w:rPr>
          <w:rFonts w:hint="eastAsia" w:ascii="Times New Roman" w:hAnsi="Times New Roman" w:cs="仿宋"/>
          <w:color w:val="auto"/>
          <w:sz w:val="24"/>
          <w:highlight w:val="none"/>
        </w:rPr>
        <w:t xml:space="preserve">节能产品、环境标志产品</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w:t>
      </w:r>
      <w:r>
        <w:rPr>
          <w:rFonts w:hint="eastAsia" w:ascii="Times New Roman" w:hAnsi="Times New Roman" w:cs="仿宋"/>
          <w:color w:val="auto"/>
          <w:sz w:val="24"/>
          <w:highlight w:val="none"/>
          <w:lang w:val="en-US" w:eastAsia="zh-CN"/>
        </w:rPr>
        <w:t xml:space="preserve">3</w:t>
      </w:r>
      <w:r>
        <w:rPr>
          <w:rFonts w:hint="eastAsia" w:ascii="Times New Roman" w:hAnsi="Times New Roman" w:cs="仿宋"/>
          <w:color w:val="auto"/>
          <w:sz w:val="24"/>
          <w:highlight w:val="none"/>
        </w:rPr>
        <w:t xml:space="preserve">.1拟采购的产品属于政府强制采购的节能产品品目清单范围的，投标人须提供国家确定的认证机构出具的、处于有效期之内的节能产品认证证书，否则其投标文件作无效标处理。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w:t>
      </w:r>
      <w:r>
        <w:rPr>
          <w:rFonts w:hint="eastAsia" w:ascii="Times New Roman" w:hAnsi="Times New Roman" w:cs="仿宋"/>
          <w:color w:val="auto"/>
          <w:sz w:val="24"/>
          <w:highlight w:val="none"/>
          <w:lang w:val="en-US" w:eastAsia="zh-CN"/>
        </w:rPr>
        <w:t xml:space="preserve">3</w:t>
      </w:r>
      <w:r>
        <w:rPr>
          <w:rFonts w:hint="eastAsia" w:ascii="Times New Roman" w:hAnsi="Times New Roman" w:eastAsia="宋体" w:cs="仿宋"/>
          <w:color w:val="auto"/>
          <w:sz w:val="24"/>
          <w:highlight w:val="none"/>
        </w:rPr>
        <w:t xml:space="preserve">.</w:t>
      </w:r>
      <w:r>
        <w:rPr>
          <w:rFonts w:hint="eastAsia" w:ascii="Times New Roman" w:hAnsi="Times New Roman" w:eastAsia="宋体" w:cs="仿宋"/>
          <w:color w:val="auto"/>
          <w:sz w:val="24"/>
          <w:highlight w:val="none"/>
          <w:lang w:val="en-US" w:eastAsia="zh-CN"/>
        </w:rPr>
        <w:t xml:space="preserve">2</w:t>
      </w:r>
      <w:r>
        <w:rPr>
          <w:rFonts w:hint="eastAsia" w:ascii="Times New Roman" w:hAnsi="Times New Roman" w:eastAsia="宋体" w:cs="仿宋"/>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w:t>
      </w:r>
      <w:r>
        <w:rPr>
          <w:rFonts w:hint="eastAsia" w:ascii="Times New Roman" w:hAnsi="Times New Roman" w:cs="仿宋"/>
          <w:color w:val="auto"/>
          <w:sz w:val="24"/>
          <w:highlight w:val="none"/>
          <w:lang w:val="en-US" w:eastAsia="zh-CN"/>
        </w:rPr>
        <w:t xml:space="preserve">4</w:t>
      </w:r>
      <w:r>
        <w:rPr>
          <w:rFonts w:hint="eastAsia" w:ascii="Times New Roman" w:hAnsi="Times New Roman" w:cs="仿宋"/>
          <w:color w:val="auto"/>
          <w:sz w:val="24"/>
          <w:highlight w:val="none"/>
        </w:rPr>
        <w:t xml:space="preserve">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w:t>
      </w:r>
      <w:r>
        <w:rPr>
          <w:rFonts w:hint="eastAsia" w:ascii="Times New Roman" w:hAnsi="Times New Roman" w:cs="仿宋"/>
          <w:color w:val="auto"/>
          <w:sz w:val="24"/>
          <w:highlight w:val="none"/>
          <w:lang w:val="en-US" w:eastAsia="zh-CN"/>
        </w:rPr>
        <w:t xml:space="preserve">4</w:t>
      </w:r>
      <w:r>
        <w:rPr>
          <w:rFonts w:hint="eastAsia" w:ascii="Times New Roman" w:hAnsi="Times New Roman" w:cs="仿宋"/>
          <w:color w:val="auto"/>
          <w:sz w:val="24"/>
          <w:highlight w:val="none"/>
        </w:rPr>
        <w:t xml:space="preserve">.1商品包装、快递包装政府采购需求标准（试行）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w:t>
      </w:r>
      <w:r>
        <w:rPr>
          <w:rFonts w:hint="eastAsia" w:ascii="Times New Roman" w:hAnsi="Times New Roman" w:cs="仿宋"/>
          <w:color w:val="auto"/>
          <w:sz w:val="24"/>
          <w:highlight w:val="none"/>
          <w:lang w:val="en-US" w:eastAsia="zh-CN"/>
        </w:rPr>
        <w:t xml:space="preserve">4</w:t>
      </w:r>
      <w:r>
        <w:rPr>
          <w:rFonts w:hint="eastAsia" w:ascii="Times New Roman" w:hAnsi="Times New Roman" w:cs="仿宋"/>
          <w:color w:val="auto"/>
          <w:sz w:val="24"/>
          <w:highlight w:val="none"/>
        </w:rPr>
        <w:t xml:space="preserve">.2绿色数据中心政府采购需求标准（试行）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w:t>
      </w:r>
      <w:r>
        <w:rPr>
          <w:rFonts w:hint="eastAsia" w:ascii="Times New Roman" w:hAnsi="Times New Roman" w:cs="仿宋"/>
          <w:color w:val="auto"/>
          <w:sz w:val="24"/>
          <w:highlight w:val="none"/>
          <w:lang w:val="en-US" w:eastAsia="zh-CN"/>
        </w:rPr>
        <w:t xml:space="preserve">4</w:t>
      </w:r>
      <w:r>
        <w:rPr>
          <w:rFonts w:hint="eastAsia" w:ascii="Times New Roman" w:hAnsi="Times New Roman" w:cs="仿宋"/>
          <w:color w:val="auto"/>
          <w:sz w:val="24"/>
          <w:highlight w:val="none"/>
        </w:rPr>
        <w:t xml:space="preserve">.3绿色建材政府采购需求标准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w:t>
      </w:r>
      <w:r>
        <w:rPr>
          <w:rFonts w:hint="eastAsia" w:ascii="Times New Roman" w:hAnsi="Times New Roman" w:cs="仿宋"/>
          <w:color w:val="auto"/>
          <w:sz w:val="24"/>
          <w:highlight w:val="none"/>
          <w:lang w:eastAsia="zh-CN"/>
        </w:rPr>
        <w:t xml:space="preserve">》的</w:t>
      </w:r>
      <w:r>
        <w:rPr>
          <w:rFonts w:hint="eastAsia" w:ascii="Times New Roman" w:hAnsi="Times New Roman" w:cs="仿宋"/>
          <w:color w:val="auto"/>
          <w:sz w:val="24"/>
          <w:highlight w:val="none"/>
        </w:rPr>
        <w:t xml:space="preserve">要求执行，本项目绿色建材的具体需求详见第四章采购需求。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w:t>
      </w:r>
      <w:r>
        <w:rPr>
          <w:rFonts w:hint="eastAsia" w:ascii="Times New Roman" w:hAnsi="Times New Roman" w:cs="仿宋"/>
          <w:color w:val="auto"/>
          <w:sz w:val="24"/>
          <w:highlight w:val="none"/>
          <w:lang w:val="en-US" w:eastAsia="zh-CN"/>
        </w:rPr>
        <w:t xml:space="preserve">5</w:t>
      </w:r>
      <w:r>
        <w:rPr>
          <w:rFonts w:hint="eastAsia" w:ascii="Times New Roman" w:hAnsi="Times New Roman" w:cs="仿宋"/>
          <w:color w:val="auto"/>
          <w:sz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7、招标文件的澄清或修改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94"/>
        <w:ind w:firstLine="321"/>
        <w:spacing w:before="0" w:after="0" w:line="480" w:lineRule="exact"/>
        <w:rPr>
          <w:rFonts w:hint="eastAsia" w:eastAsia="宋体" w:cs="Arial"/>
          <w:bCs/>
          <w:color w:val="auto"/>
          <w:szCs w:val="22"/>
          <w:highlight w:val="none"/>
        </w:rPr>
      </w:pPr>
      <w:r/>
      <w:bookmarkStart w:id="80" w:name="_Toc81575157"/>
      <w:r/>
      <w:bookmarkStart w:id="81" w:name="_Toc81575194"/>
      <w:r/>
      <w:bookmarkStart w:id="82" w:name="_Toc5574"/>
      <w:r/>
      <w:bookmarkStart w:id="83" w:name="_Toc11461"/>
      <w:r>
        <w:rPr>
          <w:rFonts w:hint="eastAsia" w:eastAsia="宋体" w:cs="Arial"/>
          <w:bCs/>
          <w:color w:val="auto"/>
          <w:szCs w:val="22"/>
          <w:highlight w:val="none"/>
        </w:rPr>
        <w:t xml:space="preserve">三、投标文件的编制</w:t>
      </w:r>
      <w:bookmarkEnd w:id="80"/>
      <w:r/>
      <w:bookmarkEnd w:id="81"/>
      <w:r/>
      <w:bookmarkEnd w:id="82"/>
      <w:r/>
      <w:bookmarkEnd w:id="83"/>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8、投标文件的编制要求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9、投标文件构成</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auto"/>
          <w:sz w:val="24"/>
          <w:highlight w:val="none"/>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w:t>
      </w:r>
      <w:r>
        <w:rPr>
          <w:rFonts w:hint="eastAsia" w:ascii="Times New Roman" w:hAnsi="Times New Roman" w:cs="仿宋"/>
          <w:b/>
          <w:color w:val="auto"/>
          <w:sz w:val="24"/>
          <w:highlight w:val="none"/>
          <w:lang w:eastAsia="zh-CN"/>
        </w:rPr>
        <w:t xml:space="preserve">子文</w:t>
      </w:r>
      <w:r>
        <w:rPr>
          <w:rFonts w:hint="eastAsia" w:ascii="Times New Roman" w:hAnsi="Times New Roman" w:cs="仿宋"/>
          <w:b/>
          <w:color w:val="auto"/>
          <w:sz w:val="24"/>
          <w:highlight w:val="none"/>
        </w:rPr>
        <w:t xml:space="preserve">件的，评标委员会可以视同其未提供。</w:t>
      </w:r>
      <w:bookmarkEnd w:id="84"/>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10、投标报价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11、投标保证金</w:t>
      </w:r>
      <w:bookmarkStart w:id="85" w:name="EB183a0bf075204c54a4ff090f1aecaaa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8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12、投标有效期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4"/>
        <w:ind w:firstLine="321"/>
        <w:spacing w:before="0" w:after="0" w:line="480" w:lineRule="exact"/>
        <w:rPr>
          <w:rFonts w:hint="eastAsia" w:eastAsia="宋体" w:cs="Arial"/>
          <w:bCs/>
          <w:color w:val="auto"/>
          <w:szCs w:val="22"/>
          <w:highlight w:val="none"/>
        </w:rPr>
      </w:pPr>
      <w:r/>
      <w:bookmarkStart w:id="86" w:name="_Toc23443"/>
      <w:r/>
      <w:bookmarkStart w:id="87" w:name="_Toc2773"/>
      <w:r/>
      <w:bookmarkStart w:id="88" w:name="_Toc81575195"/>
      <w:r/>
      <w:bookmarkStart w:id="89" w:name="_Toc81575158"/>
      <w:r>
        <w:rPr>
          <w:rFonts w:hint="eastAsia" w:eastAsia="宋体" w:cs="Arial"/>
          <w:bCs/>
          <w:color w:val="auto"/>
          <w:szCs w:val="22"/>
          <w:highlight w:val="none"/>
        </w:rPr>
        <w:t xml:space="preserve">四、投标文件的提交</w:t>
      </w:r>
      <w:bookmarkEnd w:id="86"/>
      <w:r/>
      <w:bookmarkEnd w:id="87"/>
      <w:r/>
      <w:bookmarkEnd w:id="88"/>
      <w:r/>
      <w:bookmarkEnd w:id="8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13、投标文件的提交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794"/>
        <w:ind w:firstLine="321"/>
        <w:spacing w:before="0" w:after="0" w:line="520" w:lineRule="exact"/>
        <w:rPr>
          <w:rFonts w:hint="eastAsia" w:eastAsia="宋体" w:cs="Arial"/>
          <w:bCs/>
          <w:color w:val="auto"/>
          <w:szCs w:val="22"/>
          <w:highlight w:val="none"/>
        </w:rPr>
      </w:pPr>
      <w:r/>
      <w:bookmarkStart w:id="90" w:name="_Toc959"/>
      <w:r/>
      <w:bookmarkStart w:id="91" w:name="_Toc20026"/>
      <w:r/>
      <w:bookmarkStart w:id="92" w:name="_Toc81575197"/>
      <w:r/>
      <w:bookmarkStart w:id="93" w:name="_Toc81575160"/>
      <w:r>
        <w:rPr>
          <w:rFonts w:hint="eastAsia" w:eastAsia="宋体" w:cs="Arial"/>
          <w:bCs/>
          <w:color w:val="auto"/>
          <w:szCs w:val="22"/>
          <w:highlight w:val="none"/>
        </w:rPr>
        <w:t xml:space="preserve">五、开标、评标程序</w:t>
      </w:r>
      <w:bookmarkEnd w:id="90"/>
      <w:r/>
      <w:bookmarkEnd w:id="91"/>
      <w:r/>
      <w:bookmarkEnd w:id="92"/>
      <w:r/>
      <w:bookmarkEnd w:id="93"/>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15、开标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16、评标委员会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17、评标程序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94"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17.7 异常低价投标审查</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17.7.1 评标过程中出现下列情形之一的，评标委员会应当启动异常低价投标审查程序：</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（3）投标报价低于采购项目最高限价45%的，即投标报价&lt;采购项目最高限价×45%；</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w:t>
      </w:r>
      <w:r>
        <w:rPr>
          <w:rFonts w:hint="eastAsia" w:ascii="Times New Roman" w:hAnsi="Times New Roman" w:cs="仿宋"/>
          <w:color w:val="auto"/>
          <w:sz w:val="24"/>
          <w:highlight w:val="none"/>
          <w:lang w:val="en-US" w:eastAsia="zh-CN"/>
        </w:rPr>
        <w:t xml:space="preserve">8</w:t>
      </w:r>
      <w:r>
        <w:rPr>
          <w:rFonts w:hint="eastAsia" w:ascii="Times New Roman" w:hAnsi="Times New Roman" w:cs="仿宋"/>
          <w:color w:val="auto"/>
          <w:sz w:val="24"/>
          <w:highlight w:val="none"/>
        </w:rPr>
        <w:t xml:space="preserve">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w:t>
      </w:r>
      <w:r>
        <w:rPr>
          <w:rFonts w:hint="eastAsia" w:ascii="Times New Roman" w:hAnsi="Times New Roman" w:cs="仿宋"/>
          <w:color w:val="auto"/>
          <w:sz w:val="24"/>
          <w:highlight w:val="none"/>
          <w:lang w:val="en-US" w:eastAsia="zh-CN"/>
        </w:rPr>
        <w:t xml:space="preserve">9</w:t>
      </w:r>
      <w:r>
        <w:rPr>
          <w:rFonts w:hint="eastAsia" w:ascii="Times New Roman" w:hAnsi="Times New Roman" w:cs="仿宋"/>
          <w:color w:val="auto"/>
          <w:sz w:val="24"/>
          <w:highlight w:val="none"/>
        </w:rPr>
        <w:t xml:space="preserve">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794"/>
        <w:ind w:firstLine="321"/>
        <w:spacing w:before="0" w:after="0" w:line="480" w:lineRule="exact"/>
        <w:rPr>
          <w:rFonts w:hint="eastAsia" w:eastAsia="宋体" w:cs="Arial"/>
          <w:bCs/>
          <w:color w:val="auto"/>
          <w:szCs w:val="22"/>
          <w:highlight w:val="none"/>
        </w:rPr>
      </w:pPr>
      <w:r/>
      <w:bookmarkStart w:id="96" w:name="_Toc8712"/>
      <w:r/>
      <w:bookmarkStart w:id="97" w:name="_Toc81575196"/>
      <w:r/>
      <w:bookmarkStart w:id="98" w:name="_Toc8841"/>
      <w:r/>
      <w:bookmarkStart w:id="99" w:name="_Toc81575159"/>
      <w:r>
        <w:rPr>
          <w:rFonts w:hint="eastAsia" w:eastAsia="宋体" w:cs="Arial"/>
          <w:bCs/>
          <w:color w:val="auto"/>
          <w:szCs w:val="22"/>
          <w:highlight w:val="none"/>
        </w:rPr>
        <w:t xml:space="preserve">六、无效投标、废标、串通投标</w:t>
      </w:r>
      <w:bookmarkEnd w:id="96"/>
      <w:r/>
      <w:bookmarkEnd w:id="97"/>
      <w:r/>
      <w:bookmarkEnd w:id="98"/>
      <w:r/>
      <w:bookmarkEnd w:id="99"/>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18、无效投标情形</w:t>
      </w:r>
      <w:bookmarkStart w:id="173" w:name="_GoBack"/>
      <w:r/>
      <w:bookmarkEnd w:id="173"/>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18.10其他法律、法规及本招标文件规定的属无效投标的情形。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19、废标情形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20、投标人不足三家情形处理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21、串通投标情形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21.13不同投标人的投标文件相互混装；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22、</w:t>
      </w:r>
      <w:bookmarkStart w:id="100" w:name="OLE_LINK4"/>
      <w:r>
        <w:rPr>
          <w:rFonts w:hint="eastAsia" w:ascii="Times New Roman" w:hAnsi="Times New Roman" w:cs="仿宋"/>
          <w:b/>
          <w:color w:val="auto"/>
          <w:sz w:val="24"/>
          <w:highlight w:val="none"/>
        </w:rPr>
        <w:t xml:space="preserve">取消中标候选人资格情形</w:t>
      </w:r>
      <w:bookmarkEnd w:id="10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22.1提供虚假材料谋取中标的；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22.2采取不正当手段诋毁、排挤其他投标人的；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22.5未在规定时间内与采购人签订采购合同的；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22.6法律、法规规定的其它情况。</w:t>
      </w:r>
      <w:bookmarkStart w:id="101" w:name="_Toc6494"/>
      <w:r/>
      <w:bookmarkStart w:id="102" w:name="_Toc2391"/>
      <w:r/>
      <w:bookmarkStart w:id="103" w:name="_Toc81575161"/>
      <w:r/>
      <w:bookmarkStart w:id="104" w:name="_Toc81575198"/>
      <w:r/>
      <w:r/>
    </w:p>
    <w:p>
      <w:pPr>
        <w:ind w:firstLine="321"/>
        <w:spacing w:line="480" w:lineRule="exact"/>
        <w:rPr>
          <w:rFonts w:hint="eastAsia"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七、中标及合同签订</w:t>
      </w:r>
      <w:bookmarkEnd w:id="101"/>
      <w:r/>
      <w:bookmarkEnd w:id="102"/>
      <w:r/>
      <w:bookmarkEnd w:id="103"/>
      <w:r/>
      <w:bookmarkEnd w:id="104"/>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23、确定中标人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24、中标通知书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24.3采用综合评分法评审的，未中标人可于中标结果公告期限届满之日起通过“苏采云”系统查看</w:t>
      </w:r>
      <w:bookmarkStart w:id="105" w:name="OLE_LINK5"/>
      <w:r>
        <w:rPr>
          <w:rFonts w:hint="eastAsia" w:ascii="Times New Roman" w:hAnsi="Times New Roman" w:cs="仿宋"/>
          <w:color w:val="auto"/>
          <w:sz w:val="24"/>
          <w:highlight w:val="none"/>
        </w:rPr>
        <w:t xml:space="preserve">自己的评审得分及排序情况。</w:t>
      </w:r>
      <w:bookmarkEnd w:id="105"/>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25、授予合同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26、履约保证金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26.1履约保证金提交形式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26.2履约保证金提交金额</w:t>
      </w:r>
      <w:r/>
    </w:p>
    <w:p>
      <w:pPr>
        <w:ind w:firstLine="480"/>
        <w:keepLines w:val="0"/>
        <w:keepNext w:val="0"/>
        <w:pageBreakBefore w:val="0"/>
        <w:spacing w:line="560" w:lineRule="exact"/>
        <w:widowControl w:val="off"/>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10</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pStyle w:val="782"/>
        <w:ind w:left="0" w:firstLine="601"/>
        <w:jc w:val="both"/>
        <w:keepLines w:val="0"/>
        <w:keepNext w:val="0"/>
        <w:pageBreakBefore w:val="0"/>
        <w:spacing w:before="0" w:beforeAutospacing="0" w:after="0" w:afterAutospacing="0" w:line="560" w:lineRule="exact"/>
        <w:widowControl w:val="off"/>
        <w:rPr>
          <w:rFonts w:hint="eastAsia" w:ascii="Times New Roman" w:hAnsi="Times New Roman" w:eastAsia="宋体" w:cs="仿宋"/>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6 </w:t>
      </w:r>
      <w:r>
        <w:rPr>
          <w:rFonts w:hint="eastAsia" w:ascii="Times New Roman" w:hAnsi="Times New Roman" w:eastAsia="宋体" w:cs="仿宋"/>
          <w:color w:val="auto"/>
          <w:sz w:val="24"/>
          <w:highlight w:val="none"/>
        </w:rPr>
        <w:t xml:space="preserve"> %（履约保证金原提交金额的6折）提交。办理流程、偿付等内容见江苏政府采购网“保险保函”模块。</w:t>
      </w:r>
      <w:r/>
    </w:p>
    <w:p>
      <w:pPr>
        <w:pStyle w:val="782"/>
        <w:ind w:left="0" w:firstLine="601"/>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sz w:val="24"/>
          <w:szCs w:val="24"/>
          <w:highlight w:val="none"/>
          <w:lang w:val="en-US" w:eastAsia="zh-CN" w:bidi="ar-SA"/>
        </w:rPr>
        <w:t xml:space="preserve">户名：泗阳县招标投标服务有限公司</w:t>
      </w:r>
      <w:r/>
    </w:p>
    <w:p>
      <w:pPr>
        <w:pStyle w:val="782"/>
        <w:ind w:left="0" w:firstLine="601"/>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sz w:val="24"/>
          <w:szCs w:val="24"/>
          <w:highlight w:val="none"/>
          <w:lang w:val="en-US" w:eastAsia="zh-CN" w:bidi="ar-SA"/>
        </w:rPr>
        <w:t xml:space="preserve">开户行：江苏银行股份有限公司泗阳支行</w:t>
      </w:r>
      <w:r/>
    </w:p>
    <w:p>
      <w:pPr>
        <w:pStyle w:val="782"/>
        <w:ind w:left="0" w:firstLine="601"/>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sz w:val="24"/>
          <w:szCs w:val="24"/>
          <w:highlight w:val="none"/>
          <w:lang w:val="en-US" w:eastAsia="zh-CN" w:bidi="ar-SA"/>
        </w:rPr>
        <w:t xml:space="preserve">账号：15230188000019540</w:t>
      </w:r>
      <w:r/>
    </w:p>
    <w:p>
      <w:pPr>
        <w:ind w:firstLine="601"/>
        <w:keepLines w:val="0"/>
        <w:keepNext w:val="0"/>
        <w:pageBreakBefore w:val="0"/>
        <w:spacing w:line="360" w:lineRule="auto"/>
        <w:widowControl w:val="off"/>
        <w:rPr>
          <w:rFonts w:hint="eastAsia" w:ascii="Times New Roman" w:hAnsi="Times New Roman" w:eastAsia="宋体" w:cs="仿宋"/>
          <w:color w:val="ff0000"/>
          <w:sz w:val="24"/>
          <w:highlight w:val="none"/>
        </w:rPr>
      </w:pPr>
      <w:r>
        <w:rPr>
          <w:rFonts w:hint="eastAsia" w:ascii="Times New Roman" w:hAnsi="Times New Roman" w:eastAsia="宋体" w:cs="Times New Roman"/>
          <w:sz w:val="24"/>
          <w:szCs w:val="24"/>
          <w:highlight w:val="none"/>
          <w:lang w:val="en-US" w:eastAsia="zh-CN" w:bidi="ar-SA"/>
        </w:rPr>
        <w:t xml:space="preserve">供应商也可选用数字人民币方式缴纳，使用投标企业数字人民币对公钱包一次性转钱至泗阳县招标投标服务有限公司数字人民币钱包（钱包 ID:0092114689000006，银行：江苏银行泗阳支行），并备注为：付泗阳县住房和城乡建设局</w:t>
      </w:r>
      <w:r>
        <w:rPr>
          <w:rFonts w:hint="eastAsia" w:ascii="Times New Roman" w:hAnsi="Times New Roman" w:cs="Times New Roman"/>
          <w:sz w:val="24"/>
          <w:szCs w:val="24"/>
          <w:highlight w:val="none"/>
          <w:lang w:val="en-US" w:eastAsia="zh-CN" w:bidi="ar-SA"/>
        </w:rPr>
        <w:t xml:space="preserve">2026年泗阳县城区住宅老旧电梯更新采购项目</w:t>
      </w:r>
      <w:r>
        <w:rPr>
          <w:rFonts w:hint="eastAsia" w:ascii="Times New Roman" w:hAnsi="Times New Roman" w:eastAsia="宋体" w:cs="Times New Roman"/>
          <w:sz w:val="24"/>
          <w:szCs w:val="24"/>
          <w:highlight w:val="none"/>
          <w:lang w:val="en-US" w:eastAsia="zh-CN" w:bidi="ar-SA"/>
        </w:rPr>
        <w:t xml:space="preserve">履约保证金，保证金应一笔缴纳到位。（项目与标段名称应与招标公告项目与标段名称保持一致，保证金应一笔缴纳到位）。</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26.3履约保证金退还方式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26.5履约保证金退还时间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采购人收到投标人退付申请后5个工作日内退还。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26.6履约保证金不予退还情形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26.7逾期退还履约保证金违约责任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27、线上融资</w:t>
      </w:r>
      <w:r/>
    </w:p>
    <w:p>
      <w:pPr>
        <w:ind w:firstLine="480"/>
        <w:spacing w:line="480" w:lineRule="exact"/>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b/>
          <w:color w:val="auto"/>
          <w:sz w:val="24"/>
          <w:highlight w:val="none"/>
        </w:rPr>
        <w:t xml:space="preserve">28、合同履行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4"/>
        <w:spacing w:before="0" w:after="0" w:line="520" w:lineRule="exact"/>
        <w:rPr>
          <w:rFonts w:hint="eastAsia" w:eastAsia="宋体" w:cs="Arial"/>
          <w:bCs/>
          <w:color w:val="auto"/>
          <w:szCs w:val="22"/>
          <w:highlight w:val="none"/>
        </w:rPr>
      </w:pPr>
      <w:r/>
      <w:bookmarkStart w:id="106" w:name="_Toc22084"/>
      <w:r/>
      <w:bookmarkStart w:id="107" w:name="_Toc81575199"/>
      <w:r/>
      <w:bookmarkStart w:id="108" w:name="_Toc81575162"/>
      <w:r/>
      <w:bookmarkStart w:id="109" w:name="_Toc7550"/>
      <w:r>
        <w:rPr>
          <w:rFonts w:hint="eastAsia" w:eastAsia="宋体" w:cs="Arial"/>
          <w:bCs/>
          <w:color w:val="auto"/>
          <w:szCs w:val="22"/>
          <w:highlight w:val="none"/>
        </w:rPr>
        <w:t xml:space="preserve">八、</w:t>
      </w:r>
      <w:bookmarkEnd w:id="106"/>
      <w:r/>
      <w:bookmarkEnd w:id="107"/>
      <w:r/>
      <w:bookmarkEnd w:id="108"/>
      <w:r/>
      <w:bookmarkEnd w:id="109"/>
      <w:r/>
      <w:bookmarkStart w:id="110" w:name="_Toc81575200"/>
      <w:r/>
      <w:bookmarkStart w:id="111" w:name="_Toc81575163"/>
      <w:r/>
      <w:bookmarkStart w:id="112" w:name="_Toc12263"/>
      <w:r/>
      <w:bookmarkStart w:id="113" w:name="_Toc31888"/>
      <w:r>
        <w:rPr>
          <w:rFonts w:hint="eastAsia" w:eastAsia="宋体" w:cs="Arial"/>
          <w:bCs/>
          <w:color w:val="auto"/>
          <w:szCs w:val="22"/>
          <w:highlight w:val="none"/>
        </w:rPr>
        <w:t xml:space="preserve">质疑与投诉</w:t>
      </w:r>
      <w:bookmarkEnd w:id="110"/>
      <w:r/>
      <w:bookmarkEnd w:id="111"/>
      <w:r/>
      <w:bookmarkEnd w:id="112"/>
      <w:r/>
      <w:bookmarkEnd w:id="113"/>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29、质疑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29.1供应商认为采购文件、采购过程和中标结果使自己的权益受到损害的，可以在知道或者应知其权益受到损害之日起七个工作日内，</w:t>
      </w:r>
      <w:r>
        <w:rPr>
          <w:rFonts w:ascii="仿宋" w:hAnsi="仿宋" w:eastAsia="仿宋" w:cs="仿宋"/>
          <w:b/>
          <w:color w:val="000000"/>
          <w:sz w:val="24"/>
        </w:rPr>
        <w:t xml:space="preserve">登录“苏采云”系统，从“项目质疑申请”模块向采购人提出质疑</w:t>
      </w:r>
      <w:r>
        <w:rPr>
          <w:rFonts w:hint="eastAsia" w:ascii="Times New Roman" w:hAnsi="Times New Roman" w:cs="仿宋"/>
          <w:b/>
          <w:bCs/>
          <w:color w:val="auto"/>
          <w:sz w:val="24"/>
          <w:highlight w:val="none"/>
        </w:rPr>
        <w:t xml:space="preserve">。</w:t>
      </w:r>
      <w:bookmarkStart w:id="114" w:name="OLE_LINK1"/>
      <w:r>
        <w:rPr>
          <w:rFonts w:hint="eastAsia" w:ascii="Times New Roman" w:hAnsi="Times New Roman" w:cs="仿宋"/>
          <w:color w:val="auto"/>
          <w:sz w:val="24"/>
          <w:highlight w:val="none"/>
        </w:rPr>
        <w:t xml:space="preserve">质疑联系部门、联系电话、通讯地址详见采购公告。</w:t>
      </w:r>
      <w:bookmarkEnd w:id="114"/>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29.2供应商应知其权益受到损害之日，是指：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30、投诉</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793"/>
        <w:jc w:val="center"/>
        <w:spacing w:before="200"/>
        <w:rPr>
          <w:color w:val="auto"/>
          <w:highlight w:val="none"/>
        </w:rPr>
      </w:pPr>
      <w:r/>
      <w:bookmarkStart w:id="115" w:name="EB4d341233595e4bf8ad7006b4bd78d974"/>
      <w:r/>
      <w:bookmarkEnd w:id="115"/>
      <w:r/>
      <w:bookmarkStart w:id="116" w:name="_Toc81575201"/>
      <w:r/>
      <w:bookmarkStart w:id="117" w:name="_Toc81575164"/>
      <w:r/>
      <w:bookmarkStart w:id="118" w:name="_Hlk166141273"/>
      <w:r>
        <w:rPr>
          <w:rFonts w:hint="eastAsia"/>
          <w:color w:val="auto"/>
          <w:highlight w:val="none"/>
        </w:rPr>
        <w:br w:type="page" w:clear="all"/>
      </w:r>
      <w:bookmarkStart w:id="119" w:name="_Toc17996"/>
      <w:r>
        <w:rPr>
          <w:rFonts w:hint="eastAsia" w:ascii="Calibri" w:hAnsi="Calibri" w:eastAsia="宋体" w:cs="Times New Roman"/>
          <w:b/>
          <w:color w:val="auto"/>
          <w:sz w:val="44"/>
          <w:szCs w:val="44"/>
          <w:highlight w:val="none"/>
        </w:rPr>
        <w:t xml:space="preserve">第三章  资格审查及评标</w:t>
      </w:r>
      <w:bookmarkEnd w:id="116"/>
      <w:r/>
      <w:bookmarkEnd w:id="117"/>
      <w:r/>
      <w:bookmarkEnd w:id="119"/>
      <w:r>
        <w:rPr>
          <w:rFonts w:hint="eastAsia" w:ascii="Calibri" w:hAnsi="Calibri" w:eastAsia="宋体" w:cs="Times New Roman"/>
          <w:b/>
          <w:color w:val="auto"/>
          <w:sz w:val="44"/>
          <w:szCs w:val="44"/>
          <w:highlight w:val="none"/>
        </w:rPr>
        <w:t xml:space="preserve">方法</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ascii="Times New Roman" w:hAnsi="Times New Roman" w:cs="仿宋"/>
          <w:color w:val="auto"/>
          <w:sz w:val="24"/>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763"/>
        <w:tblW w:w="8668"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jc w:val="cente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资格审查因素</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投标声明及承诺函</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信用信息</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特定资格要求</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763"/>
        <w:tblW w:w="8668"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符合性审查因素</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法人授权书</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技术标准和要求</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三、评标方法</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0"/>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评标委员会根据评标后投标人排序推荐中标候选人，并形成评标报告。</w:t>
      </w:r>
      <w:r/>
    </w:p>
    <w:tbl>
      <w:tblPr>
        <w:tblStyle w:val="763"/>
        <w:tblpPr w:horzAnchor="page" w:tblpX="1395" w:vertAnchor="text" w:tblpY="471" w:leftFromText="180" w:topFromText="0" w:rightFromText="180" w:bottomFromText="0"/>
        <w:tblW w:w="498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1542"/>
        <w:gridCol w:w="1137"/>
        <w:gridCol w:w="5521"/>
      </w:tblGrid>
      <w:tr>
        <w:trPr>
          <w:trHeight w:val="572"/>
        </w:trPr>
        <w:tc>
          <w:tcPr>
            <w:gridSpan w:val="2"/>
            <w:tcW w:w="1363" w:type="pct"/>
            <w:vAlign w:val="center"/>
            <w:textDirection w:val="lrTb"/>
            <w:noWrap w:val="false"/>
          </w:tcPr>
          <w:p>
            <w:pPr>
              <w:jc w:val="center"/>
              <w:spacing w:line="360" w:lineRule="exact"/>
              <w:widowControl/>
              <w:rPr>
                <w:rFonts w:hint="eastAsia" w:ascii="Times New Roman" w:hAnsi="Times New Roman" w:cs="宋体"/>
                <w:b w:val="0"/>
                <w:bCs w:val="0"/>
                <w:color w:val="auto"/>
                <w:sz w:val="24"/>
                <w:szCs w:val="24"/>
                <w:highlight w:val="none"/>
              </w:rPr>
            </w:pPr>
            <w:r/>
            <w:bookmarkStart w:id="120" w:name="RANGE!A1"/>
            <w:r>
              <w:rPr>
                <w:rFonts w:hint="eastAsia" w:ascii="Times New Roman" w:hAnsi="Times New Roman" w:cs="宋体"/>
                <w:b w:val="0"/>
                <w:bCs w:val="0"/>
                <w:color w:val="auto"/>
                <w:sz w:val="24"/>
                <w:szCs w:val="24"/>
                <w:highlight w:val="none"/>
              </w:rPr>
              <w:t xml:space="preserve">评审因素</w:t>
            </w:r>
            <w:bookmarkEnd w:id="120"/>
            <w:r/>
            <w:r/>
          </w:p>
        </w:tc>
        <w:tc>
          <w:tcPr>
            <w:tcW w:w="621" w:type="pct"/>
            <w:vAlign w:val="center"/>
            <w:textDirection w:val="lrTb"/>
            <w:noWrap w:val="false"/>
          </w:tcPr>
          <w:p>
            <w:pPr>
              <w:jc w:val="center"/>
              <w:spacing w:line="360" w:lineRule="exact"/>
              <w:widowControl/>
              <w:rPr>
                <w:rFonts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rPr>
              <w:t xml:space="preserve">分数</w:t>
            </w:r>
            <w:r/>
          </w:p>
        </w:tc>
        <w:tc>
          <w:tcPr>
            <w:tcW w:w="3014" w:type="pct"/>
            <w:vAlign w:val="center"/>
            <w:textDirection w:val="lrTb"/>
            <w:noWrap w:val="false"/>
          </w:tcPr>
          <w:p>
            <w:pPr>
              <w:jc w:val="center"/>
              <w:spacing w:line="360" w:lineRule="exact"/>
              <w:widowControl/>
              <w:rPr>
                <w:rFonts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rPr>
              <w:t xml:space="preserve">评审标准</w:t>
            </w:r>
            <w:r/>
          </w:p>
        </w:tc>
      </w:tr>
      <w:tr>
        <w:trPr>
          <w:trHeight w:val="274"/>
        </w:trPr>
        <w:tc>
          <w:tcPr>
            <w:tcW w:w="521" w:type="pct"/>
            <w:vAlign w:val="center"/>
            <w:textDirection w:val="lrTb"/>
            <w:noWrap w:val="false"/>
          </w:tcPr>
          <w:p>
            <w:pPr>
              <w:jc w:val="center"/>
              <w:spacing w:line="360" w:lineRule="exact"/>
              <w:widowControl/>
              <w:rPr>
                <w:rFonts w:hint="eastAsia"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rPr>
              <w:t xml:space="preserve">报价分</w:t>
            </w:r>
            <w:r/>
          </w:p>
        </w:tc>
        <w:tc>
          <w:tcPr>
            <w:tcW w:w="842" w:type="pct"/>
            <w:vAlign w:val="center"/>
            <w:textDirection w:val="lrTb"/>
            <w:noWrap w:val="false"/>
          </w:tcPr>
          <w:p>
            <w:pPr>
              <w:jc w:val="center"/>
              <w:spacing w:line="360" w:lineRule="exact"/>
              <w:widowControl/>
              <w:rPr>
                <w:rFonts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rPr>
              <w:t xml:space="preserve">投标报价</w:t>
            </w:r>
            <w:r/>
          </w:p>
        </w:tc>
        <w:tc>
          <w:tcPr>
            <w:tcW w:w="621" w:type="pct"/>
            <w:vAlign w:val="center"/>
            <w:textDirection w:val="lrTb"/>
            <w:noWrap w:val="false"/>
          </w:tcPr>
          <w:p>
            <w:pPr>
              <w:jc w:val="center"/>
              <w:spacing w:line="360" w:lineRule="exact"/>
              <w:widowControl/>
              <w:rPr>
                <w:rFonts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rPr>
              <w:t xml:space="preserve">30.00分</w:t>
            </w:r>
            <w:r/>
          </w:p>
        </w:tc>
        <w:tc>
          <w:tcPr>
            <w:tcW w:w="3014" w:type="pct"/>
            <w:vAlign w:val="center"/>
            <w:textDirection w:val="lrTb"/>
            <w:noWrap w:val="false"/>
          </w:tcPr>
          <w:p>
            <w:pPr>
              <w:jc w:val="left"/>
              <w:spacing w:line="360" w:lineRule="exact"/>
              <w:widowControl/>
              <w:rPr>
                <w:rFonts w:hint="eastAsia"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rPr>
              <w:t xml:space="preserve">采用低价优先法计算，即满足招标文件要求且投标价格最低的投标报价为评标基准价，其价格分为满分。其他投标人投标报价得分＝（评标基准价/投标报价）*30。</w:t>
            </w:r>
            <w:r/>
          </w:p>
          <w:p>
            <w:pPr>
              <w:jc w:val="left"/>
              <w:spacing w:line="360" w:lineRule="exact"/>
              <w:widowControl/>
              <w:rPr>
                <w:rFonts w:hint="eastAsia"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rPr>
              <w:t xml:space="preserve">注：符合规定的小微企业（含监狱企业和残疾人福利单位）报价给予15%的扣除，用扣除后的价格参加评审。</w:t>
            </w:r>
            <w:r/>
          </w:p>
        </w:tc>
      </w:tr>
      <w:tr>
        <w:trPr>
          <w:trHeight w:val="4996"/>
        </w:trPr>
        <w:tc>
          <w:tcPr>
            <w:tcW w:w="521" w:type="pct"/>
            <w:vAlign w:val="center"/>
            <w:vMerge w:val="restart"/>
            <w:textDirection w:val="lrTb"/>
            <w:noWrap w:val="false"/>
          </w:tcPr>
          <w:p>
            <w:pPr>
              <w:jc w:val="center"/>
              <w:spacing w:line="360" w:lineRule="exact"/>
              <w:widowControl/>
              <w:rPr>
                <w:rFonts w:hint="eastAsia" w:ascii="Times New Roman" w:hAnsi="Times New Roman" w:eastAsia="宋体" w:cs="宋体"/>
                <w:b w:val="0"/>
                <w:bCs w:val="0"/>
                <w:color w:val="auto"/>
                <w:sz w:val="24"/>
                <w:szCs w:val="24"/>
                <w:highlight w:val="none"/>
                <w:lang w:val="en-US" w:eastAsia="zh-CN" w:bidi="ar-SA"/>
              </w:rPr>
            </w:pPr>
            <w:r>
              <w:rPr>
                <w:rFonts w:hint="eastAsia" w:ascii="Times New Roman" w:hAnsi="Times New Roman" w:eastAsia="宋体" w:cs="宋体"/>
                <w:b w:val="0"/>
                <w:bCs w:val="0"/>
                <w:color w:val="auto"/>
                <w:sz w:val="24"/>
                <w:szCs w:val="24"/>
                <w:highlight w:val="none"/>
                <w:lang w:val="en-US" w:eastAsia="zh-CN" w:bidi="ar-SA"/>
              </w:rPr>
              <w:t xml:space="preserve">技术</w:t>
            </w:r>
            <w:r/>
          </w:p>
          <w:p>
            <w:pPr>
              <w:jc w:val="center"/>
              <w:spacing w:line="360" w:lineRule="exact"/>
              <w:widowControl/>
              <w:rPr>
                <w:rFonts w:hint="eastAsia" w:ascii="Times New Roman" w:hAnsi="Times New Roman" w:eastAsia="宋体" w:cs="宋体"/>
                <w:b w:val="0"/>
                <w:bCs w:val="0"/>
                <w:color w:val="auto"/>
                <w:sz w:val="24"/>
                <w:szCs w:val="24"/>
                <w:highlight w:val="none"/>
                <w:lang w:eastAsia="zh-CN"/>
              </w:rPr>
            </w:pPr>
            <w:r>
              <w:rPr>
                <w:rFonts w:hint="eastAsia" w:ascii="Times New Roman" w:hAnsi="Times New Roman" w:eastAsia="宋体" w:cs="宋体"/>
                <w:b w:val="0"/>
                <w:bCs w:val="0"/>
                <w:color w:val="auto"/>
                <w:sz w:val="24"/>
                <w:szCs w:val="24"/>
                <w:highlight w:val="none"/>
                <w:lang w:val="en-US" w:eastAsia="zh-CN" w:bidi="ar-SA"/>
              </w:rPr>
              <w:t xml:space="preserve">要求</w:t>
            </w:r>
            <w:r/>
          </w:p>
        </w:tc>
        <w:tc>
          <w:tcPr>
            <w:tcW w:w="842" w:type="pct"/>
            <w:vAlign w:val="center"/>
            <w:textDirection w:val="lrTb"/>
            <w:noWrap w:val="false"/>
          </w:tcPr>
          <w:p>
            <w:pPr>
              <w:jc w:val="center"/>
              <w:spacing w:line="360" w:lineRule="exact"/>
              <w:widowControl/>
              <w:rPr>
                <w:rFonts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rPr>
              <w:t xml:space="preserve">技术响应</w:t>
            </w:r>
            <w:r/>
          </w:p>
        </w:tc>
        <w:tc>
          <w:tcPr>
            <w:tcW w:w="621" w:type="pct"/>
            <w:vAlign w:val="center"/>
            <w:textDirection w:val="lrTb"/>
            <w:noWrap w:val="false"/>
          </w:tcPr>
          <w:p>
            <w:pPr>
              <w:jc w:val="center"/>
              <w:spacing w:line="360" w:lineRule="exact"/>
              <w:widowControl/>
              <w:rPr>
                <w:rFonts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lang w:val="en-US" w:eastAsia="zh-CN"/>
              </w:rPr>
              <w:t xml:space="preserve">34</w:t>
            </w:r>
            <w:r>
              <w:rPr>
                <w:rFonts w:hint="eastAsia" w:ascii="Times New Roman" w:hAnsi="Times New Roman" w:cs="宋体"/>
                <w:b w:val="0"/>
                <w:bCs w:val="0"/>
                <w:color w:val="auto"/>
                <w:sz w:val="24"/>
                <w:szCs w:val="24"/>
                <w:highlight w:val="none"/>
              </w:rPr>
              <w:t xml:space="preserve">.00分</w:t>
            </w:r>
            <w:r/>
          </w:p>
        </w:tc>
        <w:tc>
          <w:tcPr>
            <w:tcW w:w="3014" w:type="pct"/>
            <w:vAlign w:val="center"/>
            <w:textDirection w:val="lrTb"/>
            <w:noWrap w:val="false"/>
          </w:tcPr>
          <w:p>
            <w:pPr>
              <w:pStyle w:val="869"/>
              <w:jc w:val="both"/>
              <w:spacing w:before="0" w:beforeAutospacing="0" w:after="0" w:afterAutospacing="0" w:line="360" w:lineRule="exact"/>
              <w:widowControl w:val="off"/>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针对招标文件采购清单及技术要求内容</w:t>
            </w:r>
            <w:r>
              <w:rPr>
                <w:rFonts w:hint="eastAsia" w:ascii="Times New Roman" w:hAnsi="Times New Roman"/>
                <w:b w:val="0"/>
                <w:bCs w:val="0"/>
                <w:color w:val="000000" w:themeColor="text1"/>
                <w:highlight w:val="none"/>
                <w14:textFill>
                  <w14:solidFill>
                    <w14:schemeClr w14:val="tx1"/>
                  </w14:solidFill>
                </w14:textFill>
              </w:rPr>
              <w:t xml:space="preserve">（★项除外）</w:t>
            </w:r>
            <w:r>
              <w:rPr>
                <w:rFonts w:hint="eastAsia" w:ascii="Times New Roman" w:hAnsi="Times New Roman"/>
                <w:b w:val="0"/>
                <w:bCs w:val="0"/>
                <w:color w:val="auto"/>
                <w:highlight w:val="none"/>
              </w:rPr>
              <w:t xml:space="preserve">进行评</w:t>
            </w:r>
            <w:r>
              <w:rPr>
                <w:rFonts w:hint="eastAsia" w:ascii="Times New Roman" w:hAnsi="Times New Roman"/>
                <w:b w:val="0"/>
                <w:bCs w:val="0"/>
                <w:color w:val="000000" w:themeColor="text1"/>
                <w:highlight w:val="none"/>
                <w14:textFill>
                  <w14:solidFill>
                    <w14:schemeClr w14:val="tx1"/>
                  </w14:solidFill>
                </w14:textFill>
              </w:rPr>
              <w:t xml:space="preserve">分，所投产品技术参数性能、质量等完全满足或优于招标文件技术参数要求的得</w:t>
            </w:r>
            <w:r>
              <w:rPr>
                <w:rFonts w:hint="eastAsia" w:ascii="Times New Roman" w:hAnsi="Times New Roman"/>
                <w:b w:val="0"/>
                <w:bCs w:val="0"/>
                <w:color w:val="000000" w:themeColor="text1"/>
                <w:highlight w:val="none"/>
                <w:lang w:val="en-US" w:eastAsia="zh-CN"/>
                <w14:textFill>
                  <w14:solidFill>
                    <w14:schemeClr w14:val="tx1"/>
                  </w14:solidFill>
                </w14:textFill>
              </w:rPr>
              <w:t xml:space="preserve">34</w:t>
            </w:r>
            <w:r>
              <w:rPr>
                <w:rFonts w:hint="eastAsia" w:ascii="Times New Roman" w:hAnsi="Times New Roman"/>
                <w:b w:val="0"/>
                <w:bCs w:val="0"/>
                <w:color w:val="000000" w:themeColor="text1"/>
                <w:highlight w:val="none"/>
                <w14:textFill>
                  <w14:solidFill>
                    <w14:schemeClr w14:val="tx1"/>
                  </w14:solidFill>
                </w14:textFill>
              </w:rPr>
              <w:t xml:space="preserve">分。</w:t>
            </w:r>
            <w:r>
              <w:rPr>
                <w:rFonts w:hint="eastAsia"/>
                <w:b w:val="0"/>
                <w:bCs w:val="0"/>
                <w:color w:val="000000" w:themeColor="text1"/>
                <w:sz w:val="24"/>
                <w:szCs w:val="24"/>
                <w:highlight w:val="none"/>
                <w14:textFill>
                  <w14:solidFill>
                    <w14:schemeClr w14:val="tx1"/>
                  </w14:solidFill>
                </w14:textFill>
              </w:rPr>
              <w:t xml:space="preserve">前面标注</w:t>
            </w:r>
            <w:r>
              <w:rPr>
                <w:rFonts w:hint="eastAsia" w:ascii="Times New Roman" w:hAnsi="Times New Roman"/>
                <w:b w:val="0"/>
                <w:bCs w:val="0"/>
                <w:color w:val="000000" w:themeColor="text1"/>
                <w:highlight w:val="none"/>
                <w14:textFill>
                  <w14:solidFill>
                    <w14:schemeClr w14:val="tx1"/>
                  </w14:solidFill>
                </w14:textFill>
              </w:rPr>
              <w:t xml:space="preserve">“▲”为重</w:t>
            </w:r>
            <w:r>
              <w:rPr>
                <w:rFonts w:hint="eastAsia" w:ascii="Times New Roman" w:hAnsi="Times New Roman"/>
                <w:b w:val="0"/>
                <w:bCs w:val="0"/>
                <w:color w:val="000000" w:themeColor="text1"/>
                <w:highlight w:val="none"/>
                <w:lang w:eastAsia="zh-CN"/>
                <w14:textFill>
                  <w14:solidFill>
                    <w14:schemeClr w14:val="tx1"/>
                  </w14:solidFill>
                </w14:textFill>
              </w:rPr>
              <w:t xml:space="preserve">要</w:t>
            </w:r>
            <w:r>
              <w:rPr>
                <w:rFonts w:hint="eastAsia" w:ascii="Times New Roman" w:hAnsi="Times New Roman"/>
                <w:b w:val="0"/>
                <w:bCs w:val="0"/>
                <w:color w:val="000000" w:themeColor="text1"/>
                <w:highlight w:val="none"/>
                <w14:textFill>
                  <w14:solidFill>
                    <w14:schemeClr w14:val="tx1"/>
                  </w14:solidFill>
                </w14:textFill>
              </w:rPr>
              <w:t xml:space="preserve">参数要求（一个句号的完整内容为一“项”</w:t>
            </w:r>
            <w:r>
              <w:rPr>
                <w:rFonts w:hint="eastAsia" w:ascii="Times New Roman" w:hAnsi="Times New Roman"/>
                <w:b w:val="0"/>
                <w:bCs w:val="0"/>
                <w:color w:val="000000" w:themeColor="text1"/>
                <w:highlight w:val="none"/>
                <w:lang w:eastAsia="zh-CN"/>
                <w14:textFill>
                  <w14:solidFill>
                    <w14:schemeClr w14:val="tx1"/>
                  </w14:solidFill>
                </w14:textFill>
              </w:rPr>
              <w:t xml:space="preserve">，</w:t>
            </w:r>
            <w:r>
              <w:rPr>
                <w:rFonts w:hint="eastAsia" w:ascii="Times New Roman" w:hAnsi="Times New Roman"/>
                <w:b w:val="0"/>
                <w:bCs w:val="0"/>
                <w:color w:val="000000" w:themeColor="text1"/>
                <w:highlight w:val="none"/>
                <w:lang w:val="en-US" w:eastAsia="zh-CN"/>
                <w14:textFill>
                  <w14:solidFill>
                    <w14:schemeClr w14:val="tx1"/>
                  </w14:solidFill>
                </w14:textFill>
              </w:rPr>
              <w:t xml:space="preserve">共有5项</w:t>
            </w:r>
            <w:r>
              <w:rPr>
                <w:rFonts w:hint="eastAsia" w:ascii="Times New Roman" w:hAnsi="Times New Roman"/>
                <w:b w:val="0"/>
                <w:bCs w:val="0"/>
                <w:color w:val="000000" w:themeColor="text1"/>
                <w:highlight w:val="none"/>
                <w14:textFill>
                  <w14:solidFill>
                    <w14:schemeClr w14:val="tx1"/>
                  </w14:solidFill>
                </w14:textFill>
              </w:rPr>
              <w:t xml:space="preserve">），每有一项不满足的扣</w:t>
            </w:r>
            <w:r>
              <w:rPr>
                <w:rFonts w:hint="eastAsia" w:ascii="Times New Roman" w:hAnsi="Times New Roman"/>
                <w:b w:val="0"/>
                <w:bCs w:val="0"/>
                <w:color w:val="000000" w:themeColor="text1"/>
                <w:highlight w:val="none"/>
                <w:lang w:val="en-US" w:eastAsia="zh-CN"/>
                <w14:textFill>
                  <w14:solidFill>
                    <w14:schemeClr w14:val="tx1"/>
                  </w14:solidFill>
                </w14:textFill>
              </w:rPr>
              <w:t xml:space="preserve">2</w:t>
            </w:r>
            <w:r>
              <w:rPr>
                <w:rFonts w:hint="eastAsia" w:ascii="Times New Roman" w:hAnsi="Times New Roman"/>
                <w:b w:val="0"/>
                <w:bCs w:val="0"/>
                <w:color w:val="000000" w:themeColor="text1"/>
                <w:highlight w:val="none"/>
                <w14:textFill>
                  <w14:solidFill>
                    <w14:schemeClr w14:val="tx1"/>
                  </w14:solidFill>
                </w14:textFill>
              </w:rPr>
              <w:t xml:space="preserve">分</w:t>
            </w:r>
            <w:r>
              <w:rPr>
                <w:rFonts w:hint="eastAsia" w:ascii="Times New Roman" w:hAnsi="Times New Roman"/>
                <w:b w:val="0"/>
                <w:bCs w:val="0"/>
                <w:color w:val="000000" w:themeColor="text1"/>
                <w:highlight w:val="none"/>
                <w:lang w:eastAsia="zh-CN"/>
                <w14:textFill>
                  <w14:solidFill>
                    <w14:schemeClr w14:val="tx1"/>
                  </w14:solidFill>
                </w14:textFill>
              </w:rPr>
              <w:t xml:space="preserve">，</w:t>
            </w:r>
            <w:r>
              <w:rPr>
                <w:rFonts w:hint="eastAsia" w:ascii="Times New Roman" w:hAnsi="Times New Roman"/>
                <w:b w:val="0"/>
                <w:bCs w:val="0"/>
                <w:color w:val="000000" w:themeColor="text1"/>
                <w:highlight w:val="none"/>
                <w:lang w:val="en-US" w:eastAsia="zh-CN"/>
                <w14:textFill>
                  <w14:solidFill>
                    <w14:schemeClr w14:val="tx1"/>
                  </w14:solidFill>
                </w14:textFill>
              </w:rPr>
              <w:t xml:space="preserve">最高扣减10分</w:t>
            </w:r>
            <w:r>
              <w:rPr>
                <w:rFonts w:hint="eastAsia" w:ascii="Times New Roman" w:hAnsi="Times New Roman"/>
                <w:b w:val="0"/>
                <w:bCs w:val="0"/>
                <w:color w:val="000000" w:themeColor="text1"/>
                <w:highlight w:val="none"/>
                <w14:textFill>
                  <w14:solidFill>
                    <w14:schemeClr w14:val="tx1"/>
                  </w14:solidFill>
                </w14:textFill>
              </w:rPr>
              <w:t xml:space="preserve">。</w:t>
            </w:r>
            <w:r>
              <w:rPr>
                <w:rFonts w:hint="eastAsia"/>
                <w:b w:val="0"/>
                <w:bCs w:val="0"/>
                <w:color w:val="000000" w:themeColor="text1"/>
                <w:sz w:val="24"/>
                <w:szCs w:val="24"/>
                <w:highlight w:val="none"/>
                <w14:textFill>
                  <w14:solidFill>
                    <w14:schemeClr w14:val="tx1"/>
                  </w14:solidFill>
                </w14:textFill>
              </w:rPr>
              <w:t xml:space="preserve">前</w:t>
            </w:r>
            <w:r>
              <w:rPr>
                <w:rFonts w:hint="eastAsia"/>
                <w:b w:val="0"/>
                <w:bCs w:val="0"/>
                <w:color w:val="auto"/>
                <w:sz w:val="24"/>
                <w:szCs w:val="24"/>
                <w:highlight w:val="none"/>
              </w:rPr>
              <w:t xml:space="preserve">面标注</w:t>
            </w:r>
            <w:r>
              <w:rPr>
                <w:rFonts w:hint="eastAsia" w:ascii="Times New Roman" w:hAnsi="Times New Roman"/>
                <w:b w:val="0"/>
                <w:bCs w:val="0"/>
                <w:color w:val="auto"/>
                <w:highlight w:val="none"/>
                <w:lang w:eastAsia="zh-CN"/>
              </w:rPr>
              <w:t xml:space="preserve">“</w:t>
            </w:r>
            <w:r>
              <w:rPr>
                <w:rFonts w:hint="eastAsia" w:ascii="Times New Roman" w:hAnsi="Times New Roman"/>
                <w:b w:val="0"/>
                <w:bCs w:val="0"/>
                <w:color w:val="auto"/>
                <w:highlight w:val="none"/>
              </w:rPr>
              <w:t xml:space="preserve">＊</w:t>
            </w:r>
            <w:r>
              <w:rPr>
                <w:rFonts w:hint="eastAsia" w:ascii="Times New Roman" w:hAnsi="Times New Roman"/>
                <w:b w:val="0"/>
                <w:bCs w:val="0"/>
                <w:color w:val="auto"/>
                <w:highlight w:val="none"/>
                <w:lang w:eastAsia="zh-CN"/>
              </w:rPr>
              <w:t xml:space="preserve">”</w:t>
            </w:r>
            <w:r>
              <w:rPr>
                <w:rFonts w:hint="eastAsia" w:ascii="Times New Roman" w:hAnsi="Times New Roman"/>
                <w:b w:val="0"/>
                <w:bCs w:val="0"/>
                <w:color w:val="auto"/>
                <w:highlight w:val="none"/>
              </w:rPr>
              <w:t xml:space="preserve">一般参数项目（一个句号的完整内容为一“项”</w:t>
            </w:r>
            <w:r>
              <w:rPr>
                <w:rFonts w:hint="eastAsia" w:ascii="Times New Roman" w:hAnsi="Times New Roman"/>
                <w:b w:val="0"/>
                <w:bCs w:val="0"/>
                <w:color w:val="auto"/>
                <w:highlight w:val="none"/>
                <w:lang w:eastAsia="zh-CN"/>
              </w:rPr>
              <w:t xml:space="preserve">，</w:t>
            </w:r>
            <w:r>
              <w:rPr>
                <w:rFonts w:hint="eastAsia" w:ascii="Times New Roman" w:hAnsi="Times New Roman"/>
                <w:b w:val="0"/>
                <w:bCs w:val="0"/>
                <w:color w:val="auto"/>
                <w:highlight w:val="none"/>
                <w:lang w:val="en-US" w:eastAsia="zh-CN"/>
              </w:rPr>
              <w:t xml:space="preserve">共计80项</w:t>
            </w:r>
            <w:r>
              <w:rPr>
                <w:rFonts w:hint="eastAsia" w:ascii="Times New Roman" w:hAnsi="Times New Roman"/>
                <w:b w:val="0"/>
                <w:bCs w:val="0"/>
                <w:color w:val="auto"/>
                <w:highlight w:val="none"/>
              </w:rPr>
              <w:t xml:space="preserve">），每有一项不满足扣0.</w:t>
            </w:r>
            <w:r>
              <w:rPr>
                <w:rFonts w:hint="eastAsia" w:ascii="Times New Roman" w:hAnsi="Times New Roman"/>
                <w:b w:val="0"/>
                <w:bCs w:val="0"/>
                <w:color w:val="auto"/>
                <w:highlight w:val="none"/>
                <w:lang w:val="en-US" w:eastAsia="zh-CN"/>
              </w:rPr>
              <w:t xml:space="preserve">3</w:t>
            </w:r>
            <w:r>
              <w:rPr>
                <w:rFonts w:hint="eastAsia" w:ascii="Times New Roman" w:hAnsi="Times New Roman"/>
                <w:b w:val="0"/>
                <w:bCs w:val="0"/>
                <w:color w:val="auto"/>
                <w:highlight w:val="none"/>
              </w:rPr>
              <w:t xml:space="preserve">分</w:t>
            </w:r>
            <w:r>
              <w:rPr>
                <w:rFonts w:hint="eastAsia" w:ascii="Times New Roman" w:hAnsi="Times New Roman"/>
                <w:b w:val="0"/>
                <w:bCs w:val="0"/>
                <w:color w:val="auto"/>
                <w:highlight w:val="none"/>
                <w:lang w:eastAsia="zh-CN"/>
              </w:rPr>
              <w:t xml:space="preserve">，</w:t>
            </w:r>
            <w:r>
              <w:rPr>
                <w:rFonts w:hint="eastAsia" w:ascii="Times New Roman" w:hAnsi="Times New Roman"/>
                <w:b w:val="0"/>
                <w:bCs w:val="0"/>
                <w:color w:val="auto"/>
                <w:highlight w:val="none"/>
                <w:lang w:val="en-US" w:eastAsia="zh-CN"/>
              </w:rPr>
              <w:t xml:space="preserve">最高扣减24分</w:t>
            </w:r>
            <w:r>
              <w:rPr>
                <w:rFonts w:hint="eastAsia" w:ascii="Times New Roman" w:hAnsi="Times New Roman"/>
                <w:b w:val="0"/>
                <w:bCs w:val="0"/>
                <w:color w:val="auto"/>
                <w:highlight w:val="none"/>
              </w:rPr>
              <w:t xml:space="preserve">。</w:t>
            </w:r>
            <w:r/>
          </w:p>
          <w:p>
            <w:pPr>
              <w:pStyle w:val="869"/>
              <w:jc w:val="both"/>
              <w:spacing w:before="0" w:beforeAutospacing="0" w:after="0" w:afterAutospacing="0" w:line="360" w:lineRule="exact"/>
              <w:widowControl w:val="off"/>
              <w:rPr>
                <w:rFonts w:ascii="Times New Roman" w:hAnsi="Times New Roman"/>
                <w:b w:val="0"/>
                <w:bCs w:val="0"/>
                <w:color w:val="auto"/>
                <w:highlight w:val="none"/>
              </w:rPr>
            </w:pPr>
            <w:r>
              <w:rPr>
                <w:rFonts w:hint="eastAsia" w:ascii="Times New Roman" w:hAnsi="Times New Roman"/>
                <w:b w:val="0"/>
                <w:bCs w:val="0"/>
                <w:color w:val="auto"/>
                <w:highlight w:val="none"/>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trHeight w:val="2389"/>
        </w:trPr>
        <w:tc>
          <w:tcPr>
            <w:tcW w:w="521" w:type="pct"/>
            <w:vAlign w:val="center"/>
            <w:vMerge w:val="continue"/>
            <w:textDirection w:val="lrTb"/>
            <w:noWrap w:val="false"/>
          </w:tcPr>
          <w:p>
            <w:pPr>
              <w:jc w:val="left"/>
              <w:rPr>
                <w:rFonts w:hint="eastAsia"/>
                <w:b w:val="0"/>
                <w:bCs w:val="0"/>
                <w:color w:val="auto"/>
                <w:highlight w:val="none"/>
              </w:rPr>
            </w:pPr>
            <w:r>
              <w:rPr>
                <w:rFonts w:hint="eastAsia"/>
                <w:b w:val="0"/>
                <w:bCs w:val="0"/>
                <w:color w:val="auto"/>
                <w:highlight w:val="none"/>
              </w:rPr>
            </w:r>
            <w:r/>
          </w:p>
        </w:tc>
        <w:tc>
          <w:tcPr>
            <w:tcW w:w="842" w:type="pct"/>
            <w:vAlign w:val="center"/>
            <w:textDirection w:val="lrTb"/>
            <w:noWrap w:val="false"/>
          </w:tcPr>
          <w:p>
            <w:pPr>
              <w:jc w:val="center"/>
              <w:rPr>
                <w:rFonts w:hint="eastAsia" w:ascii="Times New Roman" w:hAnsi="Times New Roman" w:cs="宋体"/>
                <w:b w:val="0"/>
                <w:bCs w:val="0"/>
                <w:color w:val="auto"/>
                <w:sz w:val="24"/>
                <w:szCs w:val="24"/>
                <w:highlight w:val="yellow"/>
              </w:rPr>
            </w:pPr>
            <w:r>
              <w:rPr>
                <w:rFonts w:hint="eastAsia" w:ascii="Times New Roman" w:hAnsi="Times New Roman" w:eastAsia="宋体" w:cs="宋体"/>
                <w:b w:val="0"/>
                <w:bCs w:val="0"/>
                <w:color w:val="auto"/>
                <w:sz w:val="24"/>
                <w:szCs w:val="24"/>
                <w:highlight w:val="none"/>
                <w:lang w:val="en-US" w:eastAsia="zh-CN" w:bidi="ar-SA"/>
              </w:rPr>
              <w:t xml:space="preserve">主要部件</w:t>
            </w:r>
            <w:r/>
          </w:p>
        </w:tc>
        <w:tc>
          <w:tcPr>
            <w:tcW w:w="621" w:type="pct"/>
            <w:vAlign w:val="center"/>
            <w:textDirection w:val="lrTb"/>
            <w:noWrap w:val="false"/>
          </w:tcPr>
          <w:p>
            <w:pPr>
              <w:jc w:val="center"/>
              <w:rPr>
                <w:rFonts w:hint="eastAsia" w:ascii="Times New Roman" w:hAnsi="Times New Roman" w:cs="宋体"/>
                <w:b w:val="0"/>
                <w:bCs w:val="0"/>
                <w:color w:val="auto"/>
                <w:sz w:val="24"/>
                <w:szCs w:val="24"/>
                <w:highlight w:val="none"/>
              </w:rPr>
            </w:pPr>
            <w:r>
              <w:rPr>
                <w:rFonts w:hint="eastAsia"/>
                <w:b w:val="0"/>
                <w:bCs w:val="0"/>
                <w:color w:val="auto"/>
                <w:sz w:val="24"/>
                <w:szCs w:val="24"/>
                <w:highlight w:val="none"/>
                <w:lang w:val="en-US" w:eastAsia="zh-CN"/>
              </w:rPr>
              <w:t xml:space="preserve">6</w:t>
            </w:r>
            <w:r>
              <w:rPr>
                <w:b w:val="0"/>
                <w:bCs w:val="0"/>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auto"/>
                <w:sz w:val="24"/>
                <w:szCs w:val="24"/>
                <w:highlight w:val="none"/>
                <w:lang w:val="en-US" w:eastAsia="zh-CN" w:bidi="ar-SA"/>
              </w:rPr>
              <w:t xml:space="preserve">投标人所投电梯产品</w:t>
            </w:r>
            <w:r>
              <w:rPr>
                <w:rFonts w:hint="eastAsia" w:ascii="宋体" w:hAnsi="宋体" w:eastAsia="宋体" w:cs="宋体"/>
                <w:b w:val="0"/>
                <w:bCs w:val="0"/>
                <w:color w:val="auto"/>
                <w:sz w:val="24"/>
                <w:szCs w:val="24"/>
                <w:highlight w:val="none"/>
                <w:lang w:val="en-US" w:eastAsia="zh-CN"/>
              </w:rPr>
              <w:t xml:space="preserve">同时具备有机房客梯及无机房客梯的</w:t>
            </w:r>
            <w:r>
              <w:rPr>
                <w:rFonts w:hint="eastAsia" w:ascii="宋体" w:hAnsi="宋体" w:eastAsia="宋体" w:cs="宋体"/>
                <w:b w:val="0"/>
                <w:bCs w:val="0"/>
                <w:color w:val="auto"/>
                <w:sz w:val="24"/>
                <w:szCs w:val="24"/>
              </w:rPr>
              <w:t xml:space="preserve">曳引机、控制柜、门机、限速器、安全钳、缓冲器、轿厢上行超速保护装置、轿厢意外移动保护装置</w:t>
            </w:r>
            <w:r>
              <w:rPr>
                <w:rFonts w:hint="eastAsia" w:ascii="宋体" w:hAnsi="宋体" w:eastAsia="宋体" w:cs="宋体"/>
                <w:b w:val="0"/>
                <w:bCs w:val="0"/>
                <w:color w:val="auto"/>
                <w:sz w:val="24"/>
                <w:szCs w:val="24"/>
                <w:lang w:val="en-US" w:eastAsia="zh-CN"/>
              </w:rPr>
              <w:t xml:space="preserve">八</w:t>
            </w:r>
            <w:r>
              <w:rPr>
                <w:rFonts w:hint="eastAsia" w:ascii="宋体" w:hAnsi="宋体" w:eastAsia="宋体" w:cs="宋体"/>
                <w:b w:val="0"/>
                <w:bCs w:val="0"/>
                <w:color w:val="auto"/>
                <w:sz w:val="24"/>
                <w:szCs w:val="24"/>
                <w:highlight w:val="none"/>
                <w:lang w:val="en-US" w:eastAsia="zh-CN" w:bidi="ar-SA"/>
              </w:rPr>
              <w:t xml:space="preserve">大部件为原厂原品牌</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生产</w:t>
            </w: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部件型式试验报告</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中部件型号需与整梯新国标型式试验报告中部件型号匹配一致</w:t>
            </w: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；完全符合的得满分6分，有一项不符合不得分。</w:t>
            </w:r>
            <w:r/>
          </w:p>
          <w:p>
            <w:pPr>
              <w:pStyle w:val="766"/>
              <w:rPr>
                <w:rFonts w:hint="eastAsia" w:ascii="Times New Roman" w:hAnsi="Times New Roman" w:eastAsia="宋体" w:cs="宋体"/>
                <w:b w:val="0"/>
                <w:bCs w:val="0"/>
                <w:color w:val="auto"/>
                <w:sz w:val="24"/>
                <w:szCs w:val="24"/>
                <w:highlight w:val="none"/>
                <w:lang w:val="en-US" w:eastAsia="zh-CN" w:bidi="ar-SA"/>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注：提供所投电梯产品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整梯新国标型式试验报告及</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有效的部件型式试验报告原件扫描件。</w:t>
            </w:r>
            <w:r/>
          </w:p>
        </w:tc>
      </w:tr>
      <w:tr>
        <w:trPr>
          <w:trHeight w:val="1140"/>
        </w:trPr>
        <w:tc>
          <w:tcPr>
            <w:tcW w:w="521" w:type="pct"/>
            <w:vAlign w:val="center"/>
            <w:textDirection w:val="lrTb"/>
            <w:noWrap w:val="false"/>
          </w:tcPr>
          <w:p>
            <w:pPr>
              <w:jc w:val="center"/>
              <w:spacing w:line="360" w:lineRule="exact"/>
              <w:widowControl/>
              <w:rPr>
                <w:rFonts w:hint="eastAsia" w:ascii="Times New Roman" w:hAnsi="Times New Roman" w:cs="宋体"/>
                <w:b w:val="0"/>
                <w:bCs w:val="0"/>
                <w:color w:val="auto"/>
                <w:sz w:val="24"/>
                <w:szCs w:val="24"/>
                <w:highlight w:val="none"/>
                <w:lang w:val="en-US" w:eastAsia="zh-CN"/>
              </w:rPr>
            </w:pPr>
            <w:r>
              <w:rPr>
                <w:rFonts w:hint="eastAsia" w:ascii="Times New Roman" w:hAnsi="Times New Roman" w:cs="宋体"/>
                <w:b w:val="0"/>
                <w:bCs w:val="0"/>
                <w:color w:val="auto"/>
                <w:sz w:val="24"/>
                <w:szCs w:val="24"/>
                <w:highlight w:val="none"/>
                <w:lang w:val="en-US" w:eastAsia="zh-CN"/>
              </w:rPr>
              <w:t xml:space="preserve">企业</w:t>
            </w:r>
            <w:r/>
          </w:p>
          <w:p>
            <w:pPr>
              <w:jc w:val="center"/>
              <w:spacing w:line="360" w:lineRule="exact"/>
              <w:widowControl/>
              <w:rPr>
                <w:rFonts w:ascii="Times New Roman" w:hAnsi="Times New Roman" w:eastAsia="宋体" w:cs="宋体"/>
                <w:b w:val="0"/>
                <w:bCs w:val="0"/>
                <w:color w:val="auto"/>
                <w:sz w:val="24"/>
                <w:szCs w:val="24"/>
                <w:highlight w:val="none"/>
                <w:lang w:val="en-US" w:eastAsia="zh-CN"/>
              </w:rPr>
            </w:pPr>
            <w:r>
              <w:rPr>
                <w:rFonts w:hint="eastAsia" w:ascii="Times New Roman" w:hAnsi="Times New Roman" w:cs="宋体"/>
                <w:b w:val="0"/>
                <w:bCs w:val="0"/>
                <w:color w:val="auto"/>
                <w:sz w:val="24"/>
                <w:szCs w:val="24"/>
                <w:highlight w:val="none"/>
                <w:lang w:val="en-US" w:eastAsia="zh-CN"/>
              </w:rPr>
              <w:t xml:space="preserve">实力</w:t>
            </w:r>
            <w:r/>
          </w:p>
        </w:tc>
        <w:tc>
          <w:tcPr>
            <w:tcW w:w="842" w:type="pct"/>
            <w:vAlign w:val="center"/>
            <w:textDirection w:val="lrTb"/>
            <w:noWrap w:val="false"/>
          </w:tcPr>
          <w:p>
            <w:pPr>
              <w:jc w:val="center"/>
              <w:spacing w:line="360" w:lineRule="exact"/>
              <w:widowControl/>
              <w:rPr>
                <w:rFonts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rPr>
              <w:t xml:space="preserve">企业业绩</w:t>
            </w:r>
            <w:r/>
          </w:p>
        </w:tc>
        <w:tc>
          <w:tcPr>
            <w:tcW w:w="621" w:type="pct"/>
            <w:vAlign w:val="center"/>
            <w:textDirection w:val="lrTb"/>
            <w:noWrap w:val="false"/>
          </w:tcPr>
          <w:p>
            <w:pPr>
              <w:jc w:val="center"/>
              <w:spacing w:line="360" w:lineRule="exact"/>
              <w:widowControl/>
              <w:rPr>
                <w:rFonts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lang w:val="en-US" w:eastAsia="zh-CN"/>
              </w:rPr>
              <w:t xml:space="preserve">4</w:t>
            </w:r>
            <w:r>
              <w:rPr>
                <w:rFonts w:hint="eastAsia" w:ascii="Times New Roman" w:hAnsi="Times New Roman" w:cs="宋体"/>
                <w:b w:val="0"/>
                <w:bCs w:val="0"/>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cs="宋体"/>
                <w:b w:val="0"/>
                <w:bCs w:val="0"/>
                <w:color w:val="auto"/>
                <w:sz w:val="24"/>
                <w:szCs w:val="24"/>
                <w:highlight w:val="none"/>
              </w:rPr>
            </w:pPr>
            <w:r>
              <w:rPr>
                <w:rFonts w:hint="eastAsia" w:ascii="Times New Roman" w:hAnsi="Times New Roman" w:cs="宋体"/>
                <w:b w:val="0"/>
                <w:bCs w:val="0"/>
                <w:color w:val="auto"/>
                <w:sz w:val="24"/>
                <w:szCs w:val="24"/>
                <w:highlight w:val="none"/>
              </w:rPr>
              <w:t xml:space="preserve">供应商自</w:t>
            </w:r>
            <w:r>
              <w:rPr>
                <w:rFonts w:hint="eastAsia" w:ascii="Times New Roman" w:hAnsi="Times New Roman" w:cs="宋体"/>
                <w:b w:val="0"/>
                <w:bCs w:val="0"/>
                <w:color w:val="000000" w:themeColor="text1"/>
                <w:sz w:val="24"/>
                <w:szCs w:val="24"/>
                <w:highlight w:val="none"/>
                <w14:textFill>
                  <w14:solidFill>
                    <w14:schemeClr w14:val="tx1"/>
                  </w14:solidFill>
                </w14:textFill>
              </w:rPr>
              <w:t xml:space="preserve">202</w:t>
            </w:r>
            <w:r>
              <w:rPr>
                <w:rFonts w:hint="eastAsia" w:ascii="Times New Roman" w:hAnsi="Times New Roman" w:cs="宋体"/>
                <w:b w:val="0"/>
                <w:bCs w:val="0"/>
                <w:color w:val="000000" w:themeColor="text1"/>
                <w:sz w:val="24"/>
                <w:szCs w:val="24"/>
                <w:highlight w:val="none"/>
                <w:lang w:val="en-US" w:eastAsia="zh-CN"/>
                <w14:textFill>
                  <w14:solidFill>
                    <w14:schemeClr w14:val="tx1"/>
                  </w14:solidFill>
                </w14:textFill>
              </w:rPr>
              <w:t xml:space="preserve">4</w:t>
            </w:r>
            <w:r>
              <w:rPr>
                <w:rFonts w:hint="eastAsia" w:ascii="Times New Roman" w:hAnsi="Times New Roman" w:cs="宋体"/>
                <w:b w:val="0"/>
                <w:bCs w:val="0"/>
                <w:color w:val="000000" w:themeColor="text1"/>
                <w:sz w:val="24"/>
                <w:szCs w:val="24"/>
                <w:highlight w:val="none"/>
                <w14:textFill>
                  <w14:solidFill>
                    <w14:schemeClr w14:val="tx1"/>
                  </w14:solidFill>
                </w14:textFill>
              </w:rPr>
              <w:t xml:space="preserve">年1月1日以来</w:t>
            </w:r>
            <w:r>
              <w:rPr>
                <w:rFonts w:hint="eastAsia" w:ascii="Times New Roman" w:hAnsi="Times New Roman" w:cs="宋体"/>
                <w:b w:val="0"/>
                <w:bCs w:val="0"/>
                <w:color w:val="auto"/>
                <w:sz w:val="24"/>
                <w:szCs w:val="24"/>
                <w:highlight w:val="none"/>
              </w:rPr>
              <w:t xml:space="preserve">（以合同签订时间为准）</w:t>
            </w:r>
            <w:r>
              <w:rPr>
                <w:rFonts w:hint="eastAsia" w:ascii="Times New Roman" w:hAnsi="Times New Roman" w:cs="宋体"/>
                <w:b w:val="0"/>
                <w:bCs w:val="0"/>
                <w:color w:val="000000" w:themeColor="text1"/>
                <w:sz w:val="24"/>
                <w:szCs w:val="24"/>
                <w:highlight w:val="none"/>
                <w14:textFill>
                  <w14:solidFill>
                    <w14:schemeClr w14:val="tx1"/>
                  </w14:solidFill>
                </w14:textFill>
              </w:rPr>
              <w:t xml:space="preserve">承担过旧梯更新（含拆除及新梯安装）</w:t>
            </w:r>
            <w:r>
              <w:rPr>
                <w:rFonts w:hint="eastAsia" w:ascii="Times New Roman" w:hAnsi="Times New Roman" w:cs="宋体"/>
                <w:b w:val="0"/>
                <w:bCs w:val="0"/>
                <w:color w:val="auto"/>
                <w:sz w:val="24"/>
                <w:szCs w:val="24"/>
                <w:highlight w:val="none"/>
              </w:rPr>
              <w:t xml:space="preserve">项目业绩，每有一个得2分，最高得4分。</w:t>
            </w:r>
            <w:r/>
          </w:p>
          <w:p>
            <w:pPr>
              <w:jc w:val="left"/>
              <w:spacing w:line="360" w:lineRule="exact"/>
              <w:widowControl/>
              <w:rPr>
                <w:rFonts w:hint="eastAsia" w:ascii="Times New Roman" w:hAnsi="Times New Roman" w:eastAsia="宋体" w:cs="宋体"/>
                <w:b w:val="0"/>
                <w:bCs w:val="0"/>
                <w:color w:val="auto"/>
                <w:sz w:val="24"/>
                <w:szCs w:val="24"/>
                <w:highlight w:val="none"/>
                <w:lang w:eastAsia="zh-CN"/>
              </w:rPr>
            </w:pPr>
            <w:r>
              <w:rPr>
                <w:rFonts w:hint="eastAsia" w:ascii="Times New Roman" w:hAnsi="Times New Roman" w:cs="宋体"/>
                <w:b w:val="0"/>
                <w:bCs w:val="0"/>
                <w:color w:val="auto"/>
                <w:sz w:val="24"/>
                <w:szCs w:val="24"/>
                <w:highlight w:val="none"/>
              </w:rPr>
              <w:t xml:space="preserve">注：1、提供中标（成交）通知书、合同、验收证明材料电子件，未提供或提供不全不得分；2、中标人提供的有关业绩将随中标结果同步公开。</w:t>
            </w:r>
            <w:r>
              <w:rPr>
                <w:rFonts w:hint="eastAsia" w:ascii="Times New Roman" w:hAnsi="Times New Roman" w:cs="宋体"/>
                <w:b w:val="0"/>
                <w:bCs w:val="0"/>
                <w:color w:val="auto"/>
                <w:sz w:val="24"/>
                <w:szCs w:val="24"/>
                <w:highlight w:val="none"/>
                <w:lang w:val="en-US" w:eastAsia="zh-CN"/>
              </w:rPr>
              <w:t xml:space="preserve"> </w:t>
            </w:r>
            <w:r/>
          </w:p>
        </w:tc>
      </w:tr>
      <w:tr>
        <w:trPr>
          <w:trHeight w:val="855"/>
        </w:trPr>
        <w:tc>
          <w:tcPr>
            <w:tcW w:w="521" w:type="pct"/>
            <w:vAlign w:val="center"/>
            <w:vMerge w:val="restart"/>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实施</w:t>
            </w:r>
            <w:r/>
          </w:p>
          <w:p>
            <w:pPr>
              <w:jc w:val="left"/>
              <w:spacing w:line="360" w:lineRule="exact"/>
              <w:widowControl/>
              <w:rPr>
                <w:rFonts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方案</w:t>
            </w:r>
            <w:r/>
          </w:p>
        </w:tc>
        <w:tc>
          <w:tcPr>
            <w:tcW w:w="842" w:type="pct"/>
            <w:vAlign w:val="center"/>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旧梯拆除</w:t>
            </w:r>
            <w:r>
              <w:rPr>
                <w:rFonts w:hint="eastAsia" w:ascii="Times New Roman" w:hAnsi="Times New Roman" w:cs="宋体"/>
                <w:b w:val="0"/>
                <w:bCs w:val="0"/>
                <w:color w:val="auto"/>
                <w:sz w:val="24"/>
                <w:szCs w:val="24"/>
                <w:highlight w:val="none"/>
                <w:lang w:val="en-US" w:eastAsia="zh-CN"/>
              </w:rPr>
              <w:t xml:space="preserve">专项</w:t>
            </w:r>
            <w:r>
              <w:rPr>
                <w:rFonts w:hint="eastAsia" w:ascii="Times New Roman" w:hAnsi="Times New Roman" w:eastAsia="宋体" w:cs="宋体"/>
                <w:b w:val="0"/>
                <w:bCs w:val="0"/>
                <w:color w:val="auto"/>
                <w:sz w:val="24"/>
                <w:szCs w:val="24"/>
                <w:highlight w:val="none"/>
                <w:lang w:val="en-US" w:eastAsia="zh-CN"/>
              </w:rPr>
              <w:t xml:space="preserve">方案</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cs="宋体"/>
                <w:b w:val="0"/>
                <w:bCs w:val="0"/>
                <w:color w:val="auto"/>
                <w:sz w:val="24"/>
                <w:szCs w:val="24"/>
                <w:highlight w:val="none"/>
                <w:lang w:val="en-US" w:eastAsia="zh-CN"/>
              </w:rPr>
              <w:t xml:space="preserve">3</w:t>
            </w:r>
            <w:r>
              <w:rPr>
                <w:rFonts w:hint="eastAsia" w:ascii="Times New Roman" w:hAnsi="Times New Roman" w:eastAsia="宋体" w:cs="宋体"/>
                <w:b w:val="0"/>
                <w:bCs w:val="0"/>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rPr>
              <w:t xml:space="preserve">针对招标文件“第四</w:t>
            </w:r>
            <w:r>
              <w:rPr>
                <w:rFonts w:hint="eastAsia" w:ascii="Times New Roman" w:hAnsi="Times New Roman" w:cs="宋体"/>
                <w:b w:val="0"/>
                <w:bCs w:val="0"/>
                <w:color w:val="auto"/>
                <w:sz w:val="24"/>
                <w:szCs w:val="24"/>
                <w:highlight w:val="none"/>
                <w:lang w:eastAsia="zh-CN"/>
              </w:rPr>
              <w:t xml:space="preserve">章</w:t>
            </w:r>
            <w:r>
              <w:rPr>
                <w:rFonts w:hint="eastAsia" w:ascii="Times New Roman" w:hAnsi="Times New Roman" w:eastAsia="宋体" w:cs="宋体"/>
                <w:b w:val="0"/>
                <w:bCs w:val="0"/>
                <w:color w:val="auto"/>
                <w:sz w:val="24"/>
                <w:szCs w:val="24"/>
                <w:highlight w:val="none"/>
              </w:rPr>
              <w:t xml:space="preserve">、采购需求”中的“</w:t>
            </w:r>
            <w:r>
              <w:rPr>
                <w:rFonts w:hint="eastAsia" w:ascii="Times New Roman" w:hAnsi="Times New Roman" w:eastAsia="宋体" w:cs="宋体"/>
                <w:b w:val="0"/>
                <w:bCs w:val="0"/>
                <w:color w:val="auto"/>
                <w:sz w:val="24"/>
                <w:szCs w:val="24"/>
                <w:highlight w:val="none"/>
                <w:lang w:val="en-US" w:eastAsia="zh-CN"/>
              </w:rPr>
              <w:t xml:space="preserve">六</w:t>
            </w:r>
            <w:r>
              <w:rPr>
                <w:rFonts w:hint="eastAsia" w:ascii="Times New Roman" w:hAnsi="Times New Roman" w:eastAsia="宋体" w:cs="宋体"/>
                <w:b w:val="0"/>
                <w:bCs w:val="0"/>
                <w:color w:val="auto"/>
                <w:sz w:val="24"/>
                <w:szCs w:val="24"/>
                <w:highlight w:val="none"/>
              </w:rPr>
              <w:t xml:space="preserve">、项目实施方案-2、旧梯拆除专项施工方案”提供</w:t>
            </w:r>
            <w:r>
              <w:rPr>
                <w:rFonts w:hint="eastAsia" w:ascii="Times New Roman" w:hAnsi="Times New Roman" w:eastAsia="宋体" w:cs="宋体"/>
                <w:b w:val="0"/>
                <w:bCs w:val="0"/>
                <w:color w:val="auto"/>
                <w:sz w:val="24"/>
                <w:szCs w:val="24"/>
                <w:highlight w:val="none"/>
                <w:lang w:val="en-US" w:eastAsia="zh-CN"/>
              </w:rPr>
              <w:t xml:space="preserve">旧梯拆除方案</w:t>
            </w:r>
            <w:r>
              <w:rPr>
                <w:rFonts w:hint="eastAsia" w:ascii="Times New Roman" w:hAnsi="Times New Roman" w:cs="宋体"/>
                <w:b w:val="0"/>
                <w:bCs w:val="0"/>
                <w:color w:val="auto"/>
                <w:sz w:val="24"/>
                <w:szCs w:val="24"/>
                <w:highlight w:val="none"/>
                <w:lang w:eastAsia="zh-CN"/>
              </w:rPr>
              <w:t xml:space="preserve">（</w:t>
            </w:r>
            <w:r>
              <w:rPr>
                <w:rFonts w:hint="eastAsia" w:ascii="Times New Roman" w:hAnsi="Times New Roman" w:cs="宋体"/>
                <w:b w:val="0"/>
                <w:bCs w:val="0"/>
                <w:color w:val="auto"/>
                <w:sz w:val="24"/>
                <w:szCs w:val="24"/>
                <w:highlight w:val="none"/>
                <w:lang w:val="en-US" w:eastAsia="zh-CN"/>
              </w:rPr>
              <w:t xml:space="preserve">应考虑老旧小区改造的特殊性，拆除施工过程中的居民安全保障</w:t>
            </w:r>
            <w:r>
              <w:rPr>
                <w:rFonts w:hint="eastAsia" w:ascii="Times New Roman" w:hAnsi="Times New Roman" w:cs="宋体"/>
                <w:b w:val="0"/>
                <w:bCs w:val="0"/>
                <w:color w:val="auto"/>
                <w:sz w:val="24"/>
                <w:szCs w:val="24"/>
                <w:highlight w:val="none"/>
                <w:lang w:eastAsia="zh-CN"/>
              </w:rPr>
              <w:t xml:space="preserve">）。</w:t>
            </w:r>
            <w:r>
              <w:rPr>
                <w:rFonts w:hint="eastAsia" w:ascii="Times New Roman" w:hAnsi="Times New Roman" w:cs="宋体"/>
                <w:color w:val="000000" w:themeColor="text1"/>
                <w:sz w:val="24"/>
                <w:szCs w:val="24"/>
                <w14:textFill>
                  <w14:solidFill>
                    <w14:schemeClr w14:val="tx1"/>
                  </w14:solidFill>
                </w14:textFill>
              </w:rPr>
              <w:t xml:space="preserve">方案内容详细，方案考虑周全、切实可行，优于采购需求得</w:t>
            </w:r>
            <w:r>
              <w:rPr>
                <w:rFonts w:hint="eastAsia" w:ascii="Times New Roman" w:hAnsi="Times New Roman" w:cs="宋体"/>
                <w:color w:val="000000" w:themeColor="text1"/>
                <w:sz w:val="24"/>
                <w:szCs w:val="24"/>
                <w:lang w:val="en-US" w:eastAsia="zh-CN"/>
                <w14:textFill>
                  <w14:solidFill>
                    <w14:schemeClr w14:val="tx1"/>
                  </w14:solidFill>
                </w14:textFill>
              </w:rPr>
              <w:t xml:space="preserve">3</w:t>
            </w:r>
            <w:r>
              <w:rPr>
                <w:rFonts w:hint="eastAsia" w:ascii="Times New Roman" w:hAnsi="Times New Roman" w:cs="宋体"/>
                <w:color w:val="000000" w:themeColor="text1"/>
                <w:sz w:val="24"/>
                <w:szCs w:val="24"/>
                <w14:textFill>
                  <w14:solidFill>
                    <w14:schemeClr w14:val="tx1"/>
                  </w14:solidFill>
                </w14:textFill>
              </w:rPr>
              <w:t xml:space="preserve">分；方案内容较为详细，方案考虑较为周全、可操作性，能满足项目实施需要的得</w:t>
            </w:r>
            <w:r>
              <w:rPr>
                <w:rFonts w:hint="eastAsia" w:ascii="Times New Roman" w:hAnsi="Times New Roman" w:cs="宋体"/>
                <w:color w:val="000000" w:themeColor="text1"/>
                <w:sz w:val="24"/>
                <w:szCs w:val="24"/>
                <w:lang w:val="en-US" w:eastAsia="zh-CN"/>
                <w14:textFill>
                  <w14:solidFill>
                    <w14:schemeClr w14:val="tx1"/>
                  </w14:solidFill>
                </w14:textFill>
              </w:rPr>
              <w:t xml:space="preserve">2</w:t>
            </w:r>
            <w:r>
              <w:rPr>
                <w:rFonts w:hint="eastAsia" w:ascii="Times New Roman" w:hAnsi="Times New Roman" w:cs="宋体"/>
                <w:color w:val="000000" w:themeColor="text1"/>
                <w:sz w:val="24"/>
                <w:szCs w:val="24"/>
                <w14:textFill>
                  <w14:solidFill>
                    <w14:schemeClr w14:val="tx1"/>
                  </w14:solidFill>
                </w14:textFill>
              </w:rPr>
              <w:t xml:space="preserve">分；方案简单，基本能满足项目实施需要的得1分；没有内容者不得分。</w:t>
            </w:r>
            <w:r/>
          </w:p>
        </w:tc>
      </w:tr>
      <w:tr>
        <w:trPr>
          <w:trHeight w:val="855"/>
        </w:trPr>
        <w:tc>
          <w:tcPr>
            <w:tcW w:w="521" w:type="pct"/>
            <w:vAlign w:val="center"/>
            <w:vMerge w:val="continue"/>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r>
            <w:r/>
          </w:p>
        </w:tc>
        <w:tc>
          <w:tcPr>
            <w:tcW w:w="842" w:type="pct"/>
            <w:vAlign w:val="center"/>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rPr>
              <w:t xml:space="preserve">进度安排及保障措施</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3</w:t>
            </w:r>
            <w:r>
              <w:rPr>
                <w:rFonts w:hint="eastAsia" w:ascii="Times New Roman" w:hAnsi="Times New Roman" w:eastAsia="宋体" w:cs="宋体"/>
                <w:b w:val="0"/>
                <w:bCs w:val="0"/>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rPr>
              <w:t xml:space="preserve">针对招标文件“第四章、采购需求”中的“</w:t>
            </w:r>
            <w:r>
              <w:rPr>
                <w:rFonts w:hint="eastAsia" w:ascii="Times New Roman" w:hAnsi="Times New Roman" w:eastAsia="宋体" w:cs="宋体"/>
                <w:b w:val="0"/>
                <w:bCs w:val="0"/>
                <w:color w:val="auto"/>
                <w:sz w:val="24"/>
                <w:szCs w:val="24"/>
                <w:highlight w:val="none"/>
                <w:lang w:val="en-US" w:eastAsia="zh-CN"/>
              </w:rPr>
              <w:t xml:space="preserve">六</w:t>
            </w:r>
            <w:r>
              <w:rPr>
                <w:rFonts w:hint="eastAsia" w:ascii="Times New Roman" w:hAnsi="Times New Roman" w:eastAsia="宋体" w:cs="宋体"/>
                <w:b w:val="0"/>
                <w:bCs w:val="0"/>
                <w:color w:val="auto"/>
                <w:sz w:val="24"/>
                <w:szCs w:val="24"/>
                <w:highlight w:val="none"/>
              </w:rPr>
              <w:t xml:space="preserve">、项目实施方案-</w:t>
            </w:r>
            <w:r>
              <w:rPr>
                <w:rFonts w:hint="eastAsia" w:ascii="Times New Roman" w:hAnsi="Times New Roman" w:eastAsia="宋体" w:cs="宋体"/>
                <w:b w:val="0"/>
                <w:bCs w:val="0"/>
                <w:color w:val="auto"/>
                <w:sz w:val="24"/>
                <w:szCs w:val="24"/>
                <w:highlight w:val="none"/>
                <w:lang w:val="en-US" w:eastAsia="zh-CN"/>
              </w:rPr>
              <w:t xml:space="preserve">3</w:t>
            </w:r>
            <w:r>
              <w:rPr>
                <w:rFonts w:hint="eastAsia" w:ascii="Times New Roman" w:hAnsi="Times New Roman" w:eastAsia="宋体" w:cs="宋体"/>
                <w:b w:val="0"/>
                <w:bCs w:val="0"/>
                <w:color w:val="auto"/>
                <w:sz w:val="24"/>
                <w:szCs w:val="24"/>
                <w:highlight w:val="none"/>
              </w:rPr>
              <w:t xml:space="preserve">、进度计划及保障措施”提供进度安排及保障措施方案。</w:t>
            </w:r>
            <w:r>
              <w:rPr>
                <w:rFonts w:hint="eastAsia" w:ascii="Times New Roman" w:hAnsi="Times New Roman" w:cs="宋体"/>
                <w:color w:val="000000" w:themeColor="text1"/>
                <w:sz w:val="24"/>
                <w:szCs w:val="24"/>
                <w14:textFill>
                  <w14:solidFill>
                    <w14:schemeClr w14:val="tx1"/>
                  </w14:solidFill>
                </w14:textFill>
              </w:rPr>
              <w:t xml:space="preserve">方案内容详细，方案考虑周全、切实可行，优于采购需求得</w:t>
            </w:r>
            <w:r>
              <w:rPr>
                <w:rFonts w:hint="eastAsia" w:ascii="Times New Roman" w:hAnsi="Times New Roman" w:cs="宋体"/>
                <w:color w:val="000000" w:themeColor="text1"/>
                <w:sz w:val="24"/>
                <w:szCs w:val="24"/>
                <w:lang w:val="en-US" w:eastAsia="zh-CN"/>
                <w14:textFill>
                  <w14:solidFill>
                    <w14:schemeClr w14:val="tx1"/>
                  </w14:solidFill>
                </w14:textFill>
              </w:rPr>
              <w:t xml:space="preserve">3</w:t>
            </w:r>
            <w:r>
              <w:rPr>
                <w:rFonts w:hint="eastAsia" w:ascii="Times New Roman" w:hAnsi="Times New Roman" w:cs="宋体"/>
                <w:color w:val="000000" w:themeColor="text1"/>
                <w:sz w:val="24"/>
                <w:szCs w:val="24"/>
                <w14:textFill>
                  <w14:solidFill>
                    <w14:schemeClr w14:val="tx1"/>
                  </w14:solidFill>
                </w14:textFill>
              </w:rPr>
              <w:t xml:space="preserve">分；方案内容较为详细，方案考虑较为周全、可操作性，能满足项目实施需要的得</w:t>
            </w:r>
            <w:r>
              <w:rPr>
                <w:rFonts w:hint="eastAsia" w:ascii="Times New Roman" w:hAnsi="Times New Roman" w:cs="宋体"/>
                <w:color w:val="000000" w:themeColor="text1"/>
                <w:sz w:val="24"/>
                <w:szCs w:val="24"/>
                <w:lang w:val="en-US" w:eastAsia="zh-CN"/>
                <w14:textFill>
                  <w14:solidFill>
                    <w14:schemeClr w14:val="tx1"/>
                  </w14:solidFill>
                </w14:textFill>
              </w:rPr>
              <w:t xml:space="preserve">2</w:t>
            </w:r>
            <w:r>
              <w:rPr>
                <w:rFonts w:hint="eastAsia" w:ascii="Times New Roman" w:hAnsi="Times New Roman" w:cs="宋体"/>
                <w:color w:val="000000" w:themeColor="text1"/>
                <w:sz w:val="24"/>
                <w:szCs w:val="24"/>
                <w14:textFill>
                  <w14:solidFill>
                    <w14:schemeClr w14:val="tx1"/>
                  </w14:solidFill>
                </w14:textFill>
              </w:rPr>
              <w:t xml:space="preserve">分；方案简单，基本能满足项目实施需要的得1分；没有内容者不得分。</w:t>
            </w:r>
            <w:r/>
          </w:p>
        </w:tc>
      </w:tr>
      <w:tr>
        <w:trPr>
          <w:trHeight w:val="855"/>
        </w:trPr>
        <w:tc>
          <w:tcPr>
            <w:tcW w:w="521" w:type="pct"/>
            <w:vAlign w:val="center"/>
            <w:vMerge w:val="continue"/>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r>
            <w:r/>
          </w:p>
        </w:tc>
        <w:tc>
          <w:tcPr>
            <w:tcW w:w="842" w:type="pct"/>
            <w:vAlign w:val="center"/>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rPr>
              <w:t xml:space="preserve">电梯</w:t>
            </w:r>
            <w:r>
              <w:rPr>
                <w:rFonts w:hint="eastAsia" w:ascii="Times New Roman" w:hAnsi="Times New Roman" w:cs="宋体"/>
                <w:b w:val="0"/>
                <w:bCs w:val="0"/>
                <w:color w:val="auto"/>
                <w:sz w:val="24"/>
                <w:szCs w:val="24"/>
                <w:highlight w:val="none"/>
                <w:lang w:eastAsia="zh-CN"/>
              </w:rPr>
              <w:t xml:space="preserve">专项</w:t>
            </w:r>
            <w:r>
              <w:rPr>
                <w:rFonts w:hint="eastAsia" w:ascii="Times New Roman" w:hAnsi="Times New Roman" w:eastAsia="宋体" w:cs="宋体"/>
                <w:b w:val="0"/>
                <w:bCs w:val="0"/>
                <w:color w:val="auto"/>
                <w:sz w:val="24"/>
                <w:szCs w:val="24"/>
                <w:highlight w:val="none"/>
              </w:rPr>
              <w:t xml:space="preserve">安装方案</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3.</w:t>
            </w:r>
            <w:r>
              <w:rPr>
                <w:rFonts w:hint="eastAsia" w:ascii="Times New Roman" w:hAnsi="Times New Roman" w:eastAsia="宋体" w:cs="宋体"/>
                <w:b w:val="0"/>
                <w:bCs w:val="0"/>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rPr>
              <w:t xml:space="preserve">针对招标文件“第四章、采购需求”中的“</w:t>
            </w:r>
            <w:r>
              <w:rPr>
                <w:rFonts w:hint="eastAsia" w:ascii="Times New Roman" w:hAnsi="Times New Roman" w:eastAsia="宋体" w:cs="宋体"/>
                <w:b w:val="0"/>
                <w:bCs w:val="0"/>
                <w:color w:val="auto"/>
                <w:sz w:val="24"/>
                <w:szCs w:val="24"/>
                <w:highlight w:val="none"/>
                <w:lang w:val="en-US" w:eastAsia="zh-CN"/>
              </w:rPr>
              <w:t xml:space="preserve">六</w:t>
            </w:r>
            <w:r>
              <w:rPr>
                <w:rFonts w:hint="eastAsia" w:ascii="Times New Roman" w:hAnsi="Times New Roman" w:eastAsia="宋体" w:cs="宋体"/>
                <w:b w:val="0"/>
                <w:bCs w:val="0"/>
                <w:color w:val="auto"/>
                <w:sz w:val="24"/>
                <w:szCs w:val="24"/>
                <w:highlight w:val="none"/>
              </w:rPr>
              <w:t xml:space="preserve">、项目实施方案-</w:t>
            </w:r>
            <w:r>
              <w:rPr>
                <w:rFonts w:hint="eastAsia" w:ascii="Times New Roman" w:hAnsi="Times New Roman" w:eastAsia="宋体" w:cs="宋体"/>
                <w:b w:val="0"/>
                <w:bCs w:val="0"/>
                <w:color w:val="auto"/>
                <w:sz w:val="24"/>
                <w:szCs w:val="24"/>
                <w:highlight w:val="none"/>
                <w:lang w:val="en-US" w:eastAsia="zh-CN"/>
              </w:rPr>
              <w:t xml:space="preserve">4</w:t>
            </w:r>
            <w:r>
              <w:rPr>
                <w:rFonts w:hint="eastAsia" w:ascii="Times New Roman" w:hAnsi="Times New Roman" w:eastAsia="宋体" w:cs="宋体"/>
                <w:b w:val="0"/>
                <w:bCs w:val="0"/>
                <w:color w:val="auto"/>
                <w:sz w:val="24"/>
                <w:szCs w:val="24"/>
                <w:highlight w:val="none"/>
              </w:rPr>
              <w:t xml:space="preserve">、电梯专项安装方案”提供电梯安装方案。</w:t>
            </w:r>
            <w:r>
              <w:rPr>
                <w:rFonts w:hint="eastAsia" w:ascii="Times New Roman" w:hAnsi="Times New Roman" w:cs="宋体"/>
                <w:color w:val="000000" w:themeColor="text1"/>
                <w:sz w:val="24"/>
                <w:szCs w:val="24"/>
                <w14:textFill>
                  <w14:solidFill>
                    <w14:schemeClr w14:val="tx1"/>
                  </w14:solidFill>
                </w14:textFill>
              </w:rPr>
              <w:t xml:space="preserve">方案内容详细，方案考虑周全、切实可行，优于采购需求得</w:t>
            </w:r>
            <w:r>
              <w:rPr>
                <w:rFonts w:hint="eastAsia" w:ascii="Times New Roman" w:hAnsi="Times New Roman" w:cs="宋体"/>
                <w:color w:val="000000" w:themeColor="text1"/>
                <w:sz w:val="24"/>
                <w:szCs w:val="24"/>
                <w:lang w:val="en-US" w:eastAsia="zh-CN"/>
                <w14:textFill>
                  <w14:solidFill>
                    <w14:schemeClr w14:val="tx1"/>
                  </w14:solidFill>
                </w14:textFill>
              </w:rPr>
              <w:t xml:space="preserve">3</w:t>
            </w:r>
            <w:r>
              <w:rPr>
                <w:rFonts w:hint="eastAsia" w:ascii="Times New Roman" w:hAnsi="Times New Roman" w:cs="宋体"/>
                <w:color w:val="000000" w:themeColor="text1"/>
                <w:sz w:val="24"/>
                <w:szCs w:val="24"/>
                <w14:textFill>
                  <w14:solidFill>
                    <w14:schemeClr w14:val="tx1"/>
                  </w14:solidFill>
                </w14:textFill>
              </w:rPr>
              <w:t xml:space="preserve">分；方案内容较为详细，方案考虑较为周全、可操作性，能满足项目实施需要的得</w:t>
            </w:r>
            <w:r>
              <w:rPr>
                <w:rFonts w:hint="eastAsia" w:ascii="Times New Roman" w:hAnsi="Times New Roman" w:cs="宋体"/>
                <w:color w:val="000000" w:themeColor="text1"/>
                <w:sz w:val="24"/>
                <w:szCs w:val="24"/>
                <w:lang w:val="en-US" w:eastAsia="zh-CN"/>
                <w14:textFill>
                  <w14:solidFill>
                    <w14:schemeClr w14:val="tx1"/>
                  </w14:solidFill>
                </w14:textFill>
              </w:rPr>
              <w:t xml:space="preserve">2</w:t>
            </w:r>
            <w:r>
              <w:rPr>
                <w:rFonts w:hint="eastAsia" w:ascii="Times New Roman" w:hAnsi="Times New Roman" w:cs="宋体"/>
                <w:color w:val="000000" w:themeColor="text1"/>
                <w:sz w:val="24"/>
                <w:szCs w:val="24"/>
                <w14:textFill>
                  <w14:solidFill>
                    <w14:schemeClr w14:val="tx1"/>
                  </w14:solidFill>
                </w14:textFill>
              </w:rPr>
              <w:t xml:space="preserve">分；方案简单，基本能满足项目实施需要的得1分；没有内容者不得分。</w:t>
            </w:r>
            <w:r/>
          </w:p>
        </w:tc>
      </w:tr>
      <w:tr>
        <w:trPr>
          <w:trHeight w:val="855"/>
        </w:trPr>
        <w:tc>
          <w:tcPr>
            <w:tcW w:w="521" w:type="pct"/>
            <w:vAlign w:val="center"/>
            <w:vMerge w:val="continue"/>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r>
            <w:r/>
          </w:p>
        </w:tc>
        <w:tc>
          <w:tcPr>
            <w:tcW w:w="842" w:type="pct"/>
            <w:vAlign w:val="center"/>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电梯应急预案方案</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3</w:t>
            </w:r>
            <w:r>
              <w:rPr>
                <w:rFonts w:hint="eastAsia" w:ascii="Times New Roman" w:hAnsi="Times New Roman" w:eastAsia="宋体" w:cs="宋体"/>
                <w:b w:val="0"/>
                <w:bCs w:val="0"/>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针对招标文件“第四章、采购需求”中的“</w:t>
            </w:r>
            <w:r>
              <w:rPr>
                <w:rFonts w:hint="eastAsia" w:ascii="Times New Roman" w:hAnsi="Times New Roman" w:eastAsia="宋体" w:cs="宋体"/>
                <w:b w:val="0"/>
                <w:bCs w:val="0"/>
                <w:color w:val="auto"/>
                <w:sz w:val="24"/>
                <w:szCs w:val="24"/>
                <w:highlight w:val="none"/>
                <w:lang w:val="en-US" w:eastAsia="zh-CN"/>
              </w:rPr>
              <w:t xml:space="preserve">六</w:t>
            </w:r>
            <w:r>
              <w:rPr>
                <w:rFonts w:hint="eastAsia" w:ascii="Times New Roman" w:hAnsi="Times New Roman" w:eastAsia="宋体" w:cs="宋体"/>
                <w:b w:val="0"/>
                <w:bCs w:val="0"/>
                <w:color w:val="auto"/>
                <w:sz w:val="24"/>
                <w:szCs w:val="24"/>
                <w:highlight w:val="none"/>
              </w:rPr>
              <w:t xml:space="preserve">、项目实施方案-</w:t>
            </w:r>
            <w:r>
              <w:rPr>
                <w:rFonts w:hint="eastAsia" w:ascii="Times New Roman" w:hAnsi="Times New Roman" w:eastAsia="宋体" w:cs="宋体"/>
                <w:b w:val="0"/>
                <w:bCs w:val="0"/>
                <w:color w:val="auto"/>
                <w:sz w:val="24"/>
                <w:szCs w:val="24"/>
                <w:highlight w:val="none"/>
                <w:lang w:val="en-US" w:eastAsia="zh-CN"/>
              </w:rPr>
              <w:t xml:space="preserve">5</w:t>
            </w:r>
            <w:r>
              <w:rPr>
                <w:rFonts w:hint="eastAsia" w:ascii="Times New Roman" w:hAnsi="Times New Roman" w:eastAsia="宋体" w:cs="宋体"/>
                <w:b w:val="0"/>
                <w:bCs w:val="0"/>
                <w:color w:val="auto"/>
                <w:sz w:val="24"/>
                <w:szCs w:val="24"/>
                <w:highlight w:val="none"/>
              </w:rPr>
              <w:t xml:space="preserve">、电梯应急预案”提供电梯应急预案方案。</w:t>
            </w:r>
            <w:r>
              <w:rPr>
                <w:rFonts w:hint="eastAsia" w:ascii="Times New Roman" w:hAnsi="Times New Roman" w:cs="宋体"/>
                <w:color w:val="000000" w:themeColor="text1"/>
                <w:sz w:val="24"/>
                <w:szCs w:val="24"/>
                <w14:textFill>
                  <w14:solidFill>
                    <w14:schemeClr w14:val="tx1"/>
                  </w14:solidFill>
                </w14:textFill>
              </w:rPr>
              <w:t xml:space="preserve">方案内容详细，方案考虑周全、切实可行，优于采购需求得</w:t>
            </w:r>
            <w:r>
              <w:rPr>
                <w:rFonts w:hint="eastAsia" w:ascii="Times New Roman" w:hAnsi="Times New Roman" w:cs="宋体"/>
                <w:color w:val="000000" w:themeColor="text1"/>
                <w:sz w:val="24"/>
                <w:szCs w:val="24"/>
                <w:lang w:val="en-US" w:eastAsia="zh-CN"/>
                <w14:textFill>
                  <w14:solidFill>
                    <w14:schemeClr w14:val="tx1"/>
                  </w14:solidFill>
                </w14:textFill>
              </w:rPr>
              <w:t xml:space="preserve">3</w:t>
            </w:r>
            <w:r>
              <w:rPr>
                <w:rFonts w:hint="eastAsia" w:ascii="Times New Roman" w:hAnsi="Times New Roman" w:cs="宋体"/>
                <w:color w:val="000000" w:themeColor="text1"/>
                <w:sz w:val="24"/>
                <w:szCs w:val="24"/>
                <w14:textFill>
                  <w14:solidFill>
                    <w14:schemeClr w14:val="tx1"/>
                  </w14:solidFill>
                </w14:textFill>
              </w:rPr>
              <w:t xml:space="preserve">分；方案内容较为详细，方案考虑较为周全、可操作性，能满足项目实施需要的得</w:t>
            </w:r>
            <w:r>
              <w:rPr>
                <w:rFonts w:hint="eastAsia" w:ascii="Times New Roman" w:hAnsi="Times New Roman" w:cs="宋体"/>
                <w:color w:val="000000" w:themeColor="text1"/>
                <w:sz w:val="24"/>
                <w:szCs w:val="24"/>
                <w:lang w:val="en-US" w:eastAsia="zh-CN"/>
                <w14:textFill>
                  <w14:solidFill>
                    <w14:schemeClr w14:val="tx1"/>
                  </w14:solidFill>
                </w14:textFill>
              </w:rPr>
              <w:t xml:space="preserve">2</w:t>
            </w:r>
            <w:r>
              <w:rPr>
                <w:rFonts w:hint="eastAsia" w:ascii="Times New Roman" w:hAnsi="Times New Roman" w:cs="宋体"/>
                <w:color w:val="000000" w:themeColor="text1"/>
                <w:sz w:val="24"/>
                <w:szCs w:val="24"/>
                <w14:textFill>
                  <w14:solidFill>
                    <w14:schemeClr w14:val="tx1"/>
                  </w14:solidFill>
                </w14:textFill>
              </w:rPr>
              <w:t xml:space="preserve">分；方案简单，基本能满足项目实施需要的得1分；没有内容者不得分。</w:t>
            </w:r>
            <w:r/>
          </w:p>
        </w:tc>
      </w:tr>
      <w:tr>
        <w:trPr>
          <w:trHeight w:val="1360"/>
        </w:trPr>
        <w:tc>
          <w:tcPr>
            <w:tcW w:w="521" w:type="pct"/>
            <w:vAlign w:val="center"/>
            <w:vMerge w:val="restart"/>
            <w:textDirection w:val="lrTb"/>
            <w:noWrap w:val="false"/>
          </w:tcPr>
          <w:p>
            <w:pPr>
              <w:jc w:val="left"/>
              <w:spacing w:line="360" w:lineRule="exact"/>
              <w:widowControl/>
              <w:rPr>
                <w:rFonts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售后服务</w:t>
            </w:r>
            <w:r>
              <w:rPr>
                <w:rFonts w:hint="eastAsia" w:ascii="Times New Roman" w:hAnsi="Times New Roman" w:cs="宋体"/>
                <w:b w:val="0"/>
                <w:bCs w:val="0"/>
                <w:color w:val="auto"/>
                <w:sz w:val="24"/>
                <w:szCs w:val="24"/>
                <w:highlight w:val="none"/>
                <w:lang w:val="en-US" w:eastAsia="zh-CN"/>
              </w:rPr>
              <w:t xml:space="preserve">及维保</w:t>
            </w:r>
            <w:r/>
          </w:p>
        </w:tc>
        <w:tc>
          <w:tcPr>
            <w:tcW w:w="842" w:type="pct"/>
            <w:vAlign w:val="center"/>
            <w:textDirection w:val="lrTb"/>
            <w:noWrap w:val="false"/>
          </w:tcPr>
          <w:p>
            <w:pPr>
              <w:ind w:left="240" w:hanging="240"/>
              <w:jc w:val="left"/>
              <w:spacing w:line="240" w:lineRule="auto"/>
              <w:widowControl/>
              <w:rPr>
                <w:rFonts w:hint="eastAsia" w:ascii="Times New Roman" w:hAnsi="Times New Roman" w:eastAsia="宋体" w:cs="宋体"/>
                <w:b w:val="0"/>
                <w:bCs w:val="0"/>
                <w:color w:val="auto"/>
                <w:sz w:val="24"/>
                <w:szCs w:val="24"/>
                <w:highlight w:val="none"/>
                <w:lang w:eastAsia="zh-CN"/>
              </w:rPr>
            </w:pPr>
            <w:r>
              <w:rPr>
                <w:rFonts w:hint="eastAsia" w:ascii="Times New Roman" w:hAnsi="Times New Roman" w:eastAsia="宋体" w:cs="宋体"/>
                <w:b w:val="0"/>
                <w:bCs w:val="0"/>
                <w:color w:val="auto"/>
                <w:sz w:val="24"/>
                <w:szCs w:val="24"/>
                <w:highlight w:val="none"/>
              </w:rPr>
              <w:t xml:space="preserve">售后</w:t>
            </w:r>
            <w:r>
              <w:rPr>
                <w:rFonts w:hint="eastAsia" w:ascii="Times New Roman" w:hAnsi="Times New Roman" w:cs="宋体"/>
                <w:b w:val="0"/>
                <w:bCs w:val="0"/>
                <w:color w:val="auto"/>
                <w:sz w:val="24"/>
                <w:szCs w:val="24"/>
                <w:highlight w:val="none"/>
                <w:lang w:eastAsia="zh-CN"/>
              </w:rPr>
              <w:t xml:space="preserve">技术</w:t>
            </w:r>
            <w:r>
              <w:rPr>
                <w:rFonts w:hint="eastAsia" w:ascii="Times New Roman" w:hAnsi="Times New Roman" w:eastAsia="宋体" w:cs="宋体"/>
                <w:b w:val="0"/>
                <w:bCs w:val="0"/>
                <w:color w:val="auto"/>
                <w:sz w:val="24"/>
                <w:szCs w:val="24"/>
                <w:highlight w:val="none"/>
              </w:rPr>
              <w:t xml:space="preserve">服务</w:t>
            </w:r>
            <w:r>
              <w:rPr>
                <w:rFonts w:hint="eastAsia" w:ascii="Times New Roman" w:hAnsi="Times New Roman" w:cs="宋体"/>
                <w:b w:val="0"/>
                <w:bCs w:val="0"/>
                <w:color w:val="auto"/>
                <w:sz w:val="24"/>
                <w:szCs w:val="24"/>
                <w:highlight w:val="none"/>
                <w:lang w:eastAsia="zh-CN"/>
              </w:rPr>
              <w:t xml:space="preserve">方案</w:t>
            </w:r>
            <w:r/>
          </w:p>
        </w:tc>
        <w:tc>
          <w:tcPr>
            <w:tcW w:w="621" w:type="pct"/>
            <w:vAlign w:val="center"/>
            <w:textDirection w:val="lrTb"/>
            <w:noWrap w:val="false"/>
          </w:tcPr>
          <w:p>
            <w:pPr>
              <w:jc w:val="center"/>
              <w:spacing w:line="240" w:lineRule="auto"/>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cs="宋体"/>
                <w:b w:val="0"/>
                <w:bCs w:val="0"/>
                <w:color w:val="auto"/>
                <w:sz w:val="24"/>
                <w:szCs w:val="24"/>
                <w:highlight w:val="none"/>
                <w:lang w:val="en-US" w:eastAsia="zh-CN"/>
              </w:rPr>
              <w:t xml:space="preserve">8</w:t>
            </w:r>
            <w:r>
              <w:rPr>
                <w:rFonts w:hint="eastAsia" w:ascii="Times New Roman" w:hAnsi="Times New Roman" w:eastAsia="宋体" w:cs="宋体"/>
                <w:b w:val="0"/>
                <w:bCs w:val="0"/>
                <w:color w:val="auto"/>
                <w:sz w:val="24"/>
                <w:szCs w:val="24"/>
                <w:highlight w:val="none"/>
              </w:rPr>
              <w:t xml:space="preserve">.00分</w:t>
            </w:r>
            <w:r/>
          </w:p>
        </w:tc>
        <w:tc>
          <w:tcPr>
            <w:tcW w:w="3014" w:type="pct"/>
            <w:vAlign w:val="center"/>
            <w:textDirection w:val="lrTb"/>
            <w:noWrap w:val="false"/>
          </w:tcPr>
          <w:p>
            <w:pPr>
              <w:pStyle w:val="766"/>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auto"/>
                <w:sz w:val="24"/>
                <w:szCs w:val="24"/>
                <w:highlight w:val="none"/>
                <w:lang w:val="en-US" w:eastAsia="zh-CN"/>
              </w:rPr>
              <w:t xml:space="preserve">1.投标人拟派现场项目经</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理同时具备电梯操作人员证、机电工程专业一级建造师证书、安全管理员证书的得4分；响应内容不完整得2分；</w:t>
            </w:r>
            <w:r>
              <w:rPr>
                <w:rFonts w:hint="eastAsia" w:ascii="Times New Roman" w:hAnsi="Times New Roman" w:eastAsia="宋体" w:cs="宋体"/>
                <w:b w:val="0"/>
                <w:bCs w:val="0"/>
                <w:color w:val="000000" w:themeColor="text1"/>
                <w:sz w:val="24"/>
                <w:szCs w:val="24"/>
                <w:highlight w:val="none"/>
                <w14:textFill>
                  <w14:solidFill>
                    <w14:schemeClr w14:val="tx1"/>
                  </w14:solidFill>
                </w14:textFill>
              </w:rPr>
              <w:t xml:space="preserve">没有内容者不得分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（须提供证书复印件及最近两个月的社保证明加盖投标单位公章）。</w:t>
            </w:r>
            <w:r/>
          </w:p>
          <w:p>
            <w:pPr>
              <w:numPr>
                <w:ilvl w:val="0"/>
                <w:numId w:val="0"/>
              </w:numPr>
              <w:jc w:val="left"/>
              <w:spacing w:line="240" w:lineRule="auto"/>
              <w:widowControl/>
              <w:rPr>
                <w:rFonts w:hint="eastAsia" w:ascii="Times New Roman" w:hAnsi="Times New Roman" w:eastAsia="宋体" w:cs="宋体"/>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cs="宋体"/>
                <w:b w:val="0"/>
                <w:bCs w:val="0"/>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宋体"/>
                <w:b w:val="0"/>
                <w:bCs w:val="0"/>
                <w:color w:val="000000" w:themeColor="text1"/>
                <w:sz w:val="24"/>
                <w:szCs w:val="24"/>
                <w:highlight w:val="none"/>
                <w14:textFill>
                  <w14:solidFill>
                    <w14:schemeClr w14:val="tx1"/>
                  </w14:solidFill>
                </w14:textFill>
              </w:rPr>
              <w:t xml:space="preserve">针对招标文件“第四章、采购需求”中的“</w:t>
            </w:r>
            <w:r>
              <w:rPr>
                <w:rFonts w:hint="eastAsia" w:ascii="Times New Roman" w:hAnsi="Times New Roman" w:eastAsia="宋体" w:cs="宋体"/>
                <w:b w:val="0"/>
                <w:bCs w:val="0"/>
                <w:color w:val="000000" w:themeColor="text1"/>
                <w:sz w:val="24"/>
                <w:szCs w:val="24"/>
                <w:highlight w:val="none"/>
                <w:lang w:val="en-US" w:eastAsia="zh-CN"/>
                <w14:textFill>
                  <w14:solidFill>
                    <w14:schemeClr w14:val="tx1"/>
                  </w14:solidFill>
                </w14:textFill>
              </w:rPr>
              <w:t xml:space="preserve">七</w:t>
            </w:r>
            <w:r>
              <w:rPr>
                <w:rFonts w:hint="eastAsia" w:ascii="Times New Roman" w:hAnsi="Times New Roman" w:eastAsia="宋体" w:cs="宋体"/>
                <w:b w:val="0"/>
                <w:bCs w:val="0"/>
                <w:color w:val="000000" w:themeColor="text1"/>
                <w:sz w:val="24"/>
                <w:szCs w:val="24"/>
                <w:highlight w:val="none"/>
                <w14:textFill>
                  <w14:solidFill>
                    <w14:schemeClr w14:val="tx1"/>
                  </w14:solidFill>
                </w14:textFill>
              </w:rPr>
              <w:t xml:space="preserve">、售后服务及维保要求”，提供售后</w:t>
            </w:r>
            <w:r>
              <w:rPr>
                <w:rFonts w:hint="eastAsia" w:ascii="Times New Roman" w:hAnsi="Times New Roman" w:cs="宋体"/>
                <w:b w:val="0"/>
                <w:bCs w:val="0"/>
                <w:color w:val="000000" w:themeColor="text1"/>
                <w:sz w:val="24"/>
                <w:szCs w:val="24"/>
                <w:highlight w:val="none"/>
                <w:lang w:eastAsia="zh-CN"/>
                <w14:textFill>
                  <w14:solidFill>
                    <w14:schemeClr w14:val="tx1"/>
                  </w14:solidFill>
                </w14:textFill>
              </w:rPr>
              <w:t xml:space="preserve">技术</w:t>
            </w:r>
            <w:r>
              <w:rPr>
                <w:rFonts w:hint="eastAsia" w:ascii="Times New Roman" w:hAnsi="Times New Roman" w:eastAsia="宋体" w:cs="宋体"/>
                <w:b w:val="0"/>
                <w:bCs w:val="0"/>
                <w:color w:val="000000" w:themeColor="text1"/>
                <w:sz w:val="24"/>
                <w:szCs w:val="24"/>
                <w:highlight w:val="none"/>
                <w14:textFill>
                  <w14:solidFill>
                    <w14:schemeClr w14:val="tx1"/>
                  </w14:solidFill>
                </w14:textFill>
              </w:rPr>
              <w:t xml:space="preserve">服务方案。</w:t>
            </w:r>
            <w:r>
              <w:rPr>
                <w:rFonts w:hint="eastAsia" w:ascii="Times New Roman" w:hAnsi="Times New Roman" w:cs="宋体"/>
                <w:color w:val="000000" w:themeColor="text1"/>
                <w:sz w:val="24"/>
                <w:szCs w:val="24"/>
                <w14:textFill>
                  <w14:solidFill>
                    <w14:schemeClr w14:val="tx1"/>
                  </w14:solidFill>
                </w14:textFill>
              </w:rPr>
              <w:t xml:space="preserve">方案内容详细，方案考虑周全、切实可行，优于采购需求得</w:t>
            </w:r>
            <w:r>
              <w:rPr>
                <w:rFonts w:hint="eastAsia" w:ascii="Times New Roman" w:hAnsi="Times New Roman" w:cs="宋体"/>
                <w:color w:val="000000" w:themeColor="text1"/>
                <w:sz w:val="24"/>
                <w:szCs w:val="24"/>
                <w:lang w:val="en-US" w:eastAsia="zh-CN"/>
                <w14:textFill>
                  <w14:solidFill>
                    <w14:schemeClr w14:val="tx1"/>
                  </w14:solidFill>
                </w14:textFill>
              </w:rPr>
              <w:t xml:space="preserve">4</w:t>
            </w:r>
            <w:r>
              <w:rPr>
                <w:rFonts w:hint="eastAsia" w:ascii="Times New Roman" w:hAnsi="Times New Roman" w:cs="宋体"/>
                <w:color w:val="000000" w:themeColor="text1"/>
                <w:sz w:val="24"/>
                <w:szCs w:val="24"/>
                <w14:textFill>
                  <w14:solidFill>
                    <w14:schemeClr w14:val="tx1"/>
                  </w14:solidFill>
                </w14:textFill>
              </w:rPr>
              <w:t xml:space="preserve">分；方案内容较为详细，方案考虑较为周全、可操作性，能满足项目实施需要的得3分；方案简单，基本能满足项目实施需要的得1分；没有内容者不得分。</w:t>
            </w:r>
            <w:r>
              <w:rPr>
                <w:rFonts w:hint="eastAsia" w:ascii="Times New Roman" w:hAnsi="Times New Roman" w:eastAsia="宋体" w:cs="宋体"/>
                <w:b w:val="0"/>
                <w:bCs w:val="0"/>
                <w:color w:val="000000" w:themeColor="text1"/>
                <w:sz w:val="24"/>
                <w:szCs w:val="24"/>
                <w:highlight w:val="none"/>
                <w:lang w:val="en-US" w:eastAsia="zh-CN"/>
                <w14:textFill>
                  <w14:solidFill>
                    <w14:schemeClr w14:val="tx1"/>
                  </w14:solidFill>
                </w14:textFill>
              </w:rPr>
              <w:t xml:space="preserve"> </w:t>
            </w:r>
            <w:r/>
          </w:p>
          <w:p>
            <w:pPr>
              <w:numPr>
                <w:ilvl w:val="0"/>
                <w:numId w:val="0"/>
              </w:numPr>
              <w:jc w:val="left"/>
              <w:spacing w:line="240" w:lineRule="auto"/>
              <w:widowControl/>
              <w:rPr>
                <w:rFonts w:hint="default" w:ascii="Times New Roman" w:hAnsi="Times New Roman" w:eastAsia="宋体" w:cs="宋体"/>
                <w:b w:val="0"/>
                <w:bCs w:val="0"/>
                <w:color w:val="auto"/>
                <w:sz w:val="24"/>
                <w:szCs w:val="24"/>
                <w:highlight w:val="none"/>
                <w:lang w:val="en-US" w:eastAsia="zh-CN"/>
              </w:rPr>
            </w:pPr>
            <w:r>
              <w:rPr>
                <w:rFonts w:hint="eastAsia" w:ascii="Times New Roman" w:hAnsi="Times New Roman" w:cs="宋体"/>
                <w:b w:val="0"/>
                <w:bCs w:val="0"/>
                <w:color w:val="000000" w:themeColor="text1"/>
                <w:sz w:val="24"/>
                <w:szCs w:val="24"/>
                <w:highlight w:val="none"/>
                <w:lang w:val="en-US" w:eastAsia="zh-CN"/>
                <w14:textFill>
                  <w14:solidFill>
                    <w14:schemeClr w14:val="tx1"/>
                  </w14:solidFill>
                </w14:textFill>
              </w:rPr>
              <w:t xml:space="preserve">注：</w:t>
            </w:r>
            <w:r>
              <w:rPr>
                <w:rFonts w:hint="eastAsia" w:ascii="Times New Roman" w:hAnsi="Times New Roman" w:cs="宋体"/>
                <w:b w:val="0"/>
                <w:bCs w:val="0"/>
                <w:color w:val="000000" w:themeColor="text1"/>
                <w:sz w:val="24"/>
                <w:szCs w:val="24"/>
                <w:highlight w:val="none"/>
                <w14:textFill>
                  <w14:solidFill>
                    <w14:schemeClr w14:val="tx1"/>
                  </w14:solidFill>
                </w14:textFill>
              </w:rPr>
              <w:t xml:space="preserve">中标人提供的有关</w:t>
            </w:r>
            <w:r>
              <w:rPr>
                <w:rFonts w:hint="eastAsia" w:ascii="Times New Roman" w:hAnsi="Times New Roman" w:cs="宋体"/>
                <w:b w:val="0"/>
                <w:bCs w:val="0"/>
                <w:color w:val="000000" w:themeColor="text1"/>
                <w:sz w:val="24"/>
                <w:szCs w:val="24"/>
                <w:highlight w:val="none"/>
                <w:lang w:val="en-US" w:eastAsia="zh-CN"/>
                <w14:textFill>
                  <w14:solidFill>
                    <w14:schemeClr w14:val="tx1"/>
                  </w14:solidFill>
                </w14:textFill>
              </w:rPr>
              <w:t xml:space="preserve">证书</w:t>
            </w:r>
            <w:r>
              <w:rPr>
                <w:rFonts w:hint="eastAsia" w:ascii="Times New Roman" w:hAnsi="Times New Roman" w:cs="宋体"/>
                <w:b w:val="0"/>
                <w:bCs w:val="0"/>
                <w:color w:val="000000" w:themeColor="text1"/>
                <w:sz w:val="24"/>
                <w:szCs w:val="24"/>
                <w:highlight w:val="none"/>
                <w14:textFill>
                  <w14:solidFill>
                    <w14:schemeClr w14:val="tx1"/>
                  </w14:solidFill>
                </w14:textFill>
              </w:rPr>
              <w:t xml:space="preserve">将随中标结果同步公开。</w:t>
            </w:r>
            <w:r/>
          </w:p>
        </w:tc>
      </w:tr>
      <w:tr>
        <w:trPr>
          <w:trHeight w:val="1125"/>
        </w:trPr>
        <w:tc>
          <w:tcPr>
            <w:tcW w:w="521" w:type="pct"/>
            <w:vAlign w:val="center"/>
            <w:vMerge w:val="continue"/>
            <w:textDirection w:val="lrTb"/>
            <w:noWrap w:val="false"/>
          </w:tcPr>
          <w:p>
            <w:pPr>
              <w:jc w:val="left"/>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r>
            <w:r/>
          </w:p>
        </w:tc>
        <w:tc>
          <w:tcPr>
            <w:tcW w:w="842" w:type="pct"/>
            <w:vAlign w:val="center"/>
            <w:textDirection w:val="lrTb"/>
            <w:noWrap w:val="false"/>
          </w:tcPr>
          <w:p>
            <w:pPr>
              <w:ind w:left="240" w:hanging="240"/>
              <w:jc w:val="left"/>
              <w:spacing w:line="360" w:lineRule="exact"/>
              <w:widowControl/>
              <w:rPr>
                <w:rFonts w:hint="eastAsia" w:ascii="Times New Roman" w:hAnsi="Times New Roman" w:eastAsia="宋体" w:cs="宋体"/>
                <w:b w:val="0"/>
                <w:bCs w:val="0"/>
                <w:color w:val="auto"/>
                <w:sz w:val="24"/>
                <w:szCs w:val="24"/>
                <w:highlight w:val="none"/>
              </w:rPr>
            </w:pPr>
            <w:r>
              <w:rPr>
                <w:rFonts w:hint="eastAsia" w:ascii="Times New Roman" w:hAnsi="Times New Roman" w:cs="宋体"/>
                <w:b w:val="0"/>
                <w:bCs w:val="0"/>
                <w:color w:val="auto"/>
                <w:sz w:val="24"/>
                <w:szCs w:val="24"/>
                <w:highlight w:val="none"/>
                <w:lang w:eastAsia="zh-CN"/>
              </w:rPr>
              <w:t xml:space="preserve">维</w:t>
            </w:r>
            <w:r>
              <w:rPr>
                <w:rFonts w:hint="eastAsia" w:ascii="Times New Roman" w:hAnsi="Times New Roman" w:eastAsia="宋体" w:cs="宋体"/>
                <w:b w:val="0"/>
                <w:bCs w:val="0"/>
                <w:color w:val="auto"/>
                <w:sz w:val="24"/>
                <w:szCs w:val="24"/>
                <w:highlight w:val="none"/>
                <w:lang w:eastAsia="zh-CN"/>
              </w:rPr>
              <w:t xml:space="preserve">保承诺</w:t>
            </w:r>
            <w:r/>
          </w:p>
        </w:tc>
        <w:tc>
          <w:tcPr>
            <w:tcW w:w="621" w:type="pct"/>
            <w:vAlign w:val="center"/>
            <w:textDirection w:val="lrTb"/>
            <w:noWrap w:val="false"/>
          </w:tcPr>
          <w:p>
            <w:pPr>
              <w:jc w:val="center"/>
              <w:spacing w:line="360" w:lineRule="exact"/>
              <w:widowControl/>
              <w:rPr>
                <w:rFonts w:hint="default" w:ascii="Times New Roman" w:hAnsi="Times New Roman" w:cs="宋体"/>
                <w:b w:val="0"/>
                <w:bCs w:val="0"/>
                <w:color w:val="auto"/>
                <w:sz w:val="24"/>
                <w:szCs w:val="24"/>
                <w:highlight w:val="none"/>
                <w:lang w:val="en-US" w:eastAsia="zh-CN"/>
              </w:rPr>
            </w:pPr>
            <w:r>
              <w:rPr>
                <w:rFonts w:hint="eastAsia" w:ascii="Times New Roman" w:hAnsi="Times New Roman" w:cs="宋体"/>
                <w:b w:val="0"/>
                <w:bCs w:val="0"/>
                <w:color w:val="auto"/>
                <w:sz w:val="24"/>
                <w:szCs w:val="24"/>
                <w:highlight w:val="none"/>
                <w:lang w:val="en-US" w:eastAsia="zh-CN"/>
              </w:rPr>
              <w:t xml:space="preserve">6.00分</w:t>
            </w:r>
            <w:r/>
          </w:p>
        </w:tc>
        <w:tc>
          <w:tcPr>
            <w:tcW w:w="3014" w:type="pct"/>
            <w:vAlign w:val="center"/>
            <w:textDirection w:val="lrTb"/>
            <w:noWrap w:val="false"/>
          </w:tcPr>
          <w:p>
            <w:pPr>
              <w:numPr>
                <w:ilvl w:val="0"/>
                <w:numId w:val="0"/>
              </w:numPr>
              <w:jc w:val="left"/>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cs="宋体"/>
                <w:b w:val="0"/>
                <w:bCs w:val="0"/>
                <w:color w:val="auto"/>
                <w:sz w:val="24"/>
                <w:szCs w:val="24"/>
                <w:highlight w:val="none"/>
                <w:lang w:val="en-US" w:eastAsia="zh-CN"/>
              </w:rPr>
              <w:t xml:space="preserve">电梯整机维修保养期限不少于5</w:t>
            </w:r>
            <w:r>
              <w:rPr>
                <w:rFonts w:hint="eastAsia" w:ascii="Times New Roman" w:hAnsi="Times New Roman" w:eastAsia="宋体" w:cs="宋体"/>
                <w:b w:val="0"/>
                <w:bCs w:val="0"/>
                <w:color w:val="auto"/>
                <w:sz w:val="24"/>
                <w:szCs w:val="24"/>
                <w:highlight w:val="none"/>
                <w:lang w:val="en-US" w:eastAsia="zh-CN"/>
              </w:rPr>
              <w:t xml:space="preserve">年,每增加一年得1分,此项最高得</w:t>
            </w:r>
            <w:r>
              <w:rPr>
                <w:rFonts w:hint="eastAsia" w:ascii="Times New Roman" w:hAnsi="Times New Roman" w:cs="宋体"/>
                <w:b w:val="0"/>
                <w:bCs w:val="0"/>
                <w:color w:val="auto"/>
                <w:sz w:val="24"/>
                <w:szCs w:val="24"/>
                <w:highlight w:val="none"/>
                <w:lang w:val="en-US" w:eastAsia="zh-CN"/>
              </w:rPr>
              <w:t xml:space="preserve">3</w:t>
            </w:r>
            <w:r>
              <w:rPr>
                <w:rFonts w:hint="eastAsia" w:ascii="Times New Roman" w:hAnsi="Times New Roman" w:eastAsia="宋体" w:cs="宋体"/>
                <w:b w:val="0"/>
                <w:bCs w:val="0"/>
                <w:color w:val="auto"/>
                <w:sz w:val="24"/>
                <w:szCs w:val="24"/>
                <w:highlight w:val="none"/>
                <w:lang w:val="en-US" w:eastAsia="zh-CN"/>
              </w:rPr>
              <w:t xml:space="preserve">分，投标人提供加盖公章的承诺书(格式自拟)，未提供不得分。</w:t>
            </w:r>
            <w:r/>
          </w:p>
          <w:p>
            <w:pPr>
              <w:numPr>
                <w:ilvl w:val="0"/>
                <w:numId w:val="0"/>
              </w:numPr>
              <w:jc w:val="left"/>
              <w:spacing w:line="360" w:lineRule="exact"/>
              <w:widowControl/>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cs="宋体"/>
                <w:b w:val="0"/>
                <w:bCs w:val="0"/>
                <w:color w:val="000000" w:themeColor="text1"/>
                <w:sz w:val="24"/>
                <w:szCs w:val="24"/>
                <w:highlight w:val="none"/>
                <w:lang w:val="en-US" w:eastAsia="zh-CN"/>
                <w14:textFill>
                  <w14:solidFill>
                    <w14:schemeClr w14:val="tx1"/>
                  </w14:solidFill>
                </w14:textFill>
              </w:rPr>
              <w:t xml:space="preserve">投标人须提供书</w:t>
            </w:r>
            <w:r>
              <w:rPr>
                <w:rFonts w:hint="eastAsia" w:ascii="Times New Roman" w:hAnsi="Times New Roman" w:cs="宋体"/>
                <w:b w:val="0"/>
                <w:bCs w:val="0"/>
                <w:color w:val="000000" w:themeColor="text1"/>
                <w:sz w:val="24"/>
                <w:szCs w:val="24"/>
                <w:highlight w:val="none"/>
                <w:lang w:val="en-US" w:eastAsia="zh-CN"/>
                <w14:textFill>
                  <w14:solidFill>
                    <w14:schemeClr w14:val="tx1"/>
                  </w14:solidFill>
                </w14:textFill>
              </w:rPr>
              <w:t xml:space="preserve">面承诺函，承诺其已完全遵守宿迁市特种设备维保相关法规及市场管理局备案要求，并已具备宿迁市三星级及以上维保服务能力（认定标准以宿迁市市场监督管理局最新公布的星级评定结果为准，或提供经行业权威机构认证的等同能力佐证材料）。满足以上承诺内容得3分。中标人须在中标通知书发出后15个日历日内，完成宿迁市市场管理局的全部备案手续，并提交备案回执供招标人核验；逾期未完成或备案内容与承诺不符的，视为中标人违约，招标人有权取消其中标资格并追究其法律责任。（注：本项须提供承诺函及能力佐证材料扫描件，未提供或内容不完整不得分。）</w:t>
            </w:r>
            <w:r/>
          </w:p>
        </w:tc>
      </w:tr>
    </w:tbl>
    <w:p>
      <w:pPr>
        <w:ind w:firstLine="480"/>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bookmarkEnd w:id="118"/>
      <w:r/>
    </w:p>
    <w:p>
      <w:pPr>
        <w:jc w:val="center"/>
        <w:keepLines/>
        <w:keepNext/>
        <w:pageBreakBefore/>
        <w:rPr>
          <w:rFonts w:hint="eastAsia"/>
          <w:b/>
          <w:color w:val="auto"/>
          <w:sz w:val="44"/>
          <w:szCs w:val="44"/>
          <w:highlight w:val="none"/>
        </w:rPr>
        <w:outlineLvl w:val="0"/>
      </w:pPr>
      <w:r/>
      <w:bookmarkStart w:id="121" w:name="_Toc81575169"/>
      <w:r/>
      <w:bookmarkStart w:id="122" w:name="_Toc22098"/>
      <w:r/>
      <w:bookmarkStart w:id="123" w:name="_Toc81575206"/>
      <w:r/>
      <w:bookmarkStart w:id="124" w:name="_Toc31499"/>
      <w:r/>
      <w:bookmarkStart w:id="125" w:name="_Toc2513"/>
      <w:r>
        <w:rPr>
          <w:rFonts w:hint="eastAsia"/>
          <w:b/>
          <w:color w:val="auto"/>
          <w:sz w:val="44"/>
          <w:szCs w:val="44"/>
          <w:highlight w:val="none"/>
        </w:rPr>
        <w:t xml:space="preserve">第四章</w:t>
      </w:r>
      <w:r>
        <w:rPr>
          <w:b/>
          <w:color w:val="auto"/>
          <w:sz w:val="44"/>
          <w:szCs w:val="44"/>
          <w:highlight w:val="none"/>
        </w:rPr>
        <w:t xml:space="preserve">  </w:t>
      </w:r>
      <w:r>
        <w:rPr>
          <w:rFonts w:hint="eastAsia"/>
          <w:b/>
          <w:color w:val="auto"/>
          <w:sz w:val="44"/>
          <w:szCs w:val="44"/>
          <w:highlight w:val="none"/>
        </w:rPr>
        <w:t xml:space="preserve">采购需求</w:t>
      </w:r>
      <w:r/>
    </w:p>
    <w:p>
      <w:pPr>
        <w:ind w:left="0" w:right="0" w:firstLine="562"/>
        <w:jc w:val="both"/>
        <w:spacing w:before="0" w:after="0" w:line="479"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8"/>
        </w:rPr>
        <w:t xml:space="preserve">一、采购标的清单</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735"/>
        <w:gridCol w:w="3150"/>
        <w:gridCol w:w="36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采购包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line="36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center"/>
              <w:spacing w:before="0" w:after="0" w:line="36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479" w:lineRule="atLeast"/>
              <w:tabs>
                <w:tab w:val="left" w:pos="202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479" w:lineRule="atLeast"/>
              <w:tabs>
                <w:tab w:val="left" w:pos="202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line="479" w:lineRule="atLeast"/>
              <w:tabs>
                <w:tab w:val="left" w:pos="202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电梯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1300"/>
              <w:jc w:val="both"/>
              <w:spacing w:before="0" w:after="0" w:line="479"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工业</w:t>
            </w:r>
            <w:r/>
          </w:p>
        </w:tc>
      </w:tr>
    </w:tbl>
    <w:p>
      <w:pPr>
        <w:ind w:left="0" w:right="0" w:firstLine="562"/>
        <w:jc w:val="both"/>
        <w:spacing w:before="0" w:after="0" w:line="479"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8"/>
        </w:rPr>
        <w:t xml:space="preserve">二、项目概况</w:t>
      </w:r>
      <w:r/>
    </w:p>
    <w:p>
      <w:pPr>
        <w:ind w:left="0" w:right="0" w:firstLine="480"/>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（一）项目名称：202</w:t>
      </w:r>
      <w:r>
        <w:rPr>
          <w:rFonts w:hint="eastAsia" w:ascii="宋体" w:hAnsi="宋体" w:cs="宋体"/>
          <w:b w:val="0"/>
          <w:bCs w:val="0"/>
          <w:color w:val="auto"/>
          <w:sz w:val="24"/>
          <w:highlight w:val="none"/>
          <w:lang w:val="en-US" w:eastAsia="zh-CN"/>
        </w:rPr>
        <w:t xml:space="preserve">6</w:t>
      </w:r>
      <w:r>
        <w:rPr>
          <w:rFonts w:ascii="宋体" w:hAnsi="宋体" w:eastAsia="宋体" w:cs="宋体"/>
          <w:b w:val="0"/>
          <w:bCs w:val="0"/>
          <w:color w:val="auto"/>
          <w:sz w:val="24"/>
          <w:highlight w:val="none"/>
        </w:rPr>
        <w:t xml:space="preserve">年泗阳县城区住宅电梯更新采购项目</w:t>
      </w:r>
      <w:r/>
    </w:p>
    <w:p>
      <w:pPr>
        <w:ind w:left="0" w:right="0" w:firstLine="480"/>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（二）预算金额:</w:t>
      </w:r>
      <w:r>
        <w:rPr>
          <w:rFonts w:hint="eastAsia" w:ascii="宋体" w:hAnsi="宋体" w:cs="宋体"/>
          <w:b w:val="0"/>
          <w:bCs w:val="0"/>
          <w:color w:val="auto"/>
          <w:sz w:val="24"/>
          <w:highlight w:val="none"/>
          <w:lang w:val="en-US" w:eastAsia="zh-CN"/>
        </w:rPr>
        <w:t xml:space="preserve">380</w:t>
      </w:r>
      <w:r>
        <w:rPr>
          <w:rFonts w:ascii="宋体" w:hAnsi="宋体" w:eastAsia="宋体" w:cs="宋体"/>
          <w:b w:val="0"/>
          <w:bCs w:val="0"/>
          <w:color w:val="auto"/>
          <w:sz w:val="24"/>
          <w:highlight w:val="none"/>
        </w:rPr>
        <w:t xml:space="preserve">万元投标人报价应满足“超长期特别国债资金支持的更新电梯”条件；本次电梯更新工程实体现状至完成验收交付之间产生的一切成本（包括但不限于因验收规范产生的土建改造、电梯采购等）需投标人综合考虑在报价内。 </w:t>
      </w:r>
      <w:r/>
    </w:p>
    <w:p>
      <w:pPr>
        <w:ind w:left="0" w:right="0" w:firstLine="480"/>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（三）采购内容：拟对泗阳县城区老旧小区高层住宅</w:t>
      </w:r>
      <w:r>
        <w:rPr>
          <w:rFonts w:hint="eastAsia" w:ascii="宋体" w:hAnsi="宋体" w:eastAsia="宋体" w:cs="宋体"/>
          <w:b w:val="0"/>
          <w:bCs w:val="0"/>
          <w:color w:val="auto"/>
          <w:sz w:val="24"/>
          <w:highlight w:val="none"/>
          <w:lang w:val="en-US" w:eastAsia="zh-CN"/>
        </w:rPr>
        <w:t xml:space="preserve">24</w:t>
      </w:r>
      <w:r>
        <w:rPr>
          <w:rFonts w:ascii="宋体" w:hAnsi="宋体" w:eastAsia="宋体" w:cs="宋体"/>
          <w:b w:val="0"/>
          <w:bCs w:val="0"/>
          <w:color w:val="auto"/>
          <w:sz w:val="24"/>
          <w:highlight w:val="none"/>
        </w:rPr>
        <w:t xml:space="preserve">部电梯进行更新，采购内容包含原有电梯拆除、井道及机房改造 、新电梯采购、安装及维保等。</w:t>
      </w:r>
      <w:r/>
    </w:p>
    <w:p>
      <w:pPr>
        <w:ind w:left="0" w:right="0" w:firstLine="482"/>
        <w:spacing w:before="240" w:after="240" w:line="479"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（四）合同履行期限：合同签订后</w:t>
      </w:r>
      <w:r>
        <w:rPr>
          <w:rFonts w:hint="eastAsia" w:ascii="宋体" w:hAnsi="宋体" w:cs="宋体"/>
          <w:b w:val="0"/>
          <w:bCs w:val="0"/>
          <w:color w:val="auto"/>
          <w:sz w:val="24"/>
          <w:highlight w:val="none"/>
          <w:lang w:val="en-US" w:eastAsia="zh-CN"/>
        </w:rPr>
        <w:t xml:space="preserve">120</w:t>
      </w:r>
      <w:r>
        <w:rPr>
          <w:rFonts w:ascii="宋体" w:hAnsi="宋体" w:eastAsia="宋体" w:cs="宋体"/>
          <w:b w:val="0"/>
          <w:bCs w:val="0"/>
          <w:color w:val="auto"/>
          <w:sz w:val="24"/>
          <w:highlight w:val="none"/>
        </w:rPr>
        <w:t xml:space="preserve">日历天内完成供货安装调试，每部电梯限30日历天内完工。</w:t>
      </w:r>
      <w:r/>
    </w:p>
    <w:p>
      <w:pPr>
        <w:ind w:left="0" w:right="0" w:firstLine="562"/>
        <w:jc w:val="both"/>
        <w:spacing w:before="0" w:after="0" w:line="479"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8"/>
          <w:highlight w:val="none"/>
        </w:rPr>
        <w:t xml:space="preserve">三、货物清单及技术规范</w:t>
      </w:r>
      <w:r/>
    </w:p>
    <w:p>
      <w:pPr>
        <w:ind w:left="0" w:right="0" w:firstLine="482"/>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（一）货物清单</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1715"/>
        <w:gridCol w:w="4275"/>
        <w:gridCol w:w="975"/>
        <w:gridCol w:w="9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top"/>
            <w:textDirection w:val="lrTb"/>
            <w:noWrap w:val="false"/>
          </w:tcPr>
          <w:p>
            <w:pPr>
              <w:ind w:left="0" w:right="0" w:firstLine="0"/>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5" w:type="dxa"/>
            <w:vAlign w:val="top"/>
            <w:textDirection w:val="lrTb"/>
            <w:noWrap w:val="false"/>
          </w:tcPr>
          <w:p>
            <w:pPr>
              <w:ind w:left="0" w:right="0" w:firstLine="0"/>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0"/>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480"/>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480"/>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电梯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5" w:type="dxa"/>
            <w:vAlign w:val="center"/>
            <w:textDirection w:val="lrTb"/>
            <w:noWrap w:val="false"/>
          </w:tcPr>
          <w:p>
            <w:pPr>
              <w:ind w:left="0" w:right="0" w:firstLine="480"/>
              <w:jc w:val="both"/>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有机房乘客电梯，含井道和机房更新，具体技术要求详见“（二）电梯技术要求”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400"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line="400" w:lineRule="atLeast"/>
              <w:rPr>
                <w:rFonts w:hint="default" w:eastAsia="宋体"/>
                <w:b w:val="0"/>
                <w:bCs w:val="0"/>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val="en-US" w:eastAsia="zh-CN"/>
              </w:rPr>
              <w:t xml:space="preserve">24</w:t>
            </w:r>
            <w:r/>
          </w:p>
        </w:tc>
      </w:tr>
    </w:tbl>
    <w:p>
      <w:pPr>
        <w:ind w:right="0"/>
        <w:jc w:val="both"/>
        <w:spacing w:before="0" w:after="0" w:line="400" w:lineRule="atLeast"/>
        <w:rPr>
          <w:b w:val="0"/>
          <w:bCs w:val="0"/>
          <w:color w:val="auto"/>
        </w:rPr>
        <w:pBdr>
          <w:top w:val="none" w:color="000000" w:sz="0" w:space="0"/>
          <w:left w:val="none" w:color="000000" w:sz="0" w:space="0"/>
          <w:bottom w:val="none" w:color="000000" w:sz="0" w:space="0"/>
          <w:right w:val="none" w:color="000000" w:sz="0" w:space="0"/>
        </w:pBdr>
      </w:pPr>
      <w:r>
        <w:rPr>
          <w:b w:val="0"/>
          <w:bCs w:val="0"/>
          <w:color w:val="auto"/>
        </w:rPr>
      </w:r>
      <w:r/>
    </w:p>
    <w:p>
      <w:pPr>
        <w:numPr>
          <w:ilvl w:val="0"/>
          <w:numId w:val="0"/>
        </w:numPr>
        <w:ind w:left="-62" w:firstLine="480"/>
        <w:jc w:val="both"/>
        <w:spacing w:before="0" w:after="0" w:line="400" w:lineRule="atLeast"/>
        <w:rPr>
          <w:b w:val="0"/>
          <w:bCs w:val="0"/>
          <w:color w:val="auto"/>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二）</w:t>
      </w:r>
      <w:r>
        <w:rPr>
          <w:rFonts w:ascii="宋体" w:hAnsi="宋体" w:eastAsia="宋体" w:cs="宋体"/>
          <w:b w:val="0"/>
          <w:bCs w:val="0"/>
          <w:color w:val="auto"/>
          <w:sz w:val="24"/>
        </w:rPr>
        <w:t xml:space="preserve">电梯技术要求</w:t>
      </w:r>
      <w:r/>
    </w:p>
    <w:p>
      <w:pPr>
        <w:ind w:left="0" w:right="0" w:firstLine="472"/>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   1.1总体要求 </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以现状为准）</w:t>
      </w:r>
      <w:r>
        <w:rPr>
          <w:rFonts w:ascii="宋体" w:hAnsi="宋体" w:eastAsia="宋体" w:cs="宋体"/>
          <w:b w:val="0"/>
          <w:bCs w:val="0"/>
          <w:color w:val="auto"/>
          <w:sz w:val="24"/>
        </w:rPr>
        <w:t xml:space="preserve">             </w:t>
      </w:r>
      <w:r/>
    </w:p>
    <w:tbl>
      <w:tblPr>
        <w:tblStyle w:val="784"/>
        <w:tblW w:w="9051" w:type="dxa"/>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781"/>
        <w:gridCol w:w="683"/>
        <w:gridCol w:w="488"/>
        <w:gridCol w:w="561"/>
        <w:gridCol w:w="658"/>
        <w:gridCol w:w="927"/>
        <w:gridCol w:w="439"/>
        <w:gridCol w:w="658"/>
        <w:gridCol w:w="586"/>
        <w:gridCol w:w="1083"/>
        <w:gridCol w:w="600"/>
        <w:gridCol w:w="609"/>
      </w:tblGrid>
      <w:tr>
        <w:trPr>
          <w:trHeight w:val="363"/>
        </w:trPr>
        <w:tc>
          <w:tcPr>
            <w:tcW w:w="978" w:type="dxa"/>
            <w:vAlign w:val="top"/>
            <w:textDirection w:val="lrTb"/>
            <w:noWrap w:val="false"/>
          </w:tcPr>
          <w:p>
            <w:pPr>
              <w:jc w:val="center"/>
              <w:spacing w:after="0" w:line="240" w:lineRule="auto"/>
              <w:rPr>
                <w:rFonts w:hint="default"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小区名称</w:t>
            </w:r>
            <w:r/>
          </w:p>
        </w:tc>
        <w:tc>
          <w:tcPr>
            <w:tcW w:w="781" w:type="dxa"/>
            <w:vAlign w:val="top"/>
            <w:textDirection w:val="lrTb"/>
            <w:noWrap w:val="false"/>
          </w:tcPr>
          <w:p>
            <w:pPr>
              <w:jc w:val="center"/>
              <w:spacing w:after="0" w:line="240" w:lineRule="auto"/>
              <w:rPr>
                <w:rFonts w:hint="eastAsia"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楼号</w:t>
            </w:r>
            <w:r/>
          </w:p>
        </w:tc>
        <w:tc>
          <w:tcPr>
            <w:tcW w:w="683" w:type="dxa"/>
            <w:vAlign w:val="top"/>
            <w:textDirection w:val="lrTb"/>
            <w:noWrap w:val="false"/>
          </w:tcPr>
          <w:p>
            <w:pPr>
              <w:jc w:val="center"/>
              <w:spacing w:after="0" w:line="240" w:lineRule="auto"/>
              <w:rPr>
                <w:rFonts w:hint="default"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电梯类别</w:t>
            </w:r>
            <w:r/>
          </w:p>
        </w:tc>
        <w:tc>
          <w:tcPr>
            <w:tcW w:w="488" w:type="dxa"/>
            <w:vAlign w:val="top"/>
            <w:textDirection w:val="lrTb"/>
            <w:noWrap w:val="false"/>
          </w:tcPr>
          <w:p>
            <w:pPr>
              <w:jc w:val="center"/>
              <w:spacing w:after="0" w:line="240" w:lineRule="auto"/>
              <w:rPr>
                <w:rFonts w:hint="default"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机房</w:t>
            </w:r>
            <w:r/>
          </w:p>
        </w:tc>
        <w:tc>
          <w:tcPr>
            <w:tcW w:w="561" w:type="dxa"/>
            <w:vAlign w:val="top"/>
            <w:textDirection w:val="lrTb"/>
            <w:noWrap w:val="false"/>
          </w:tcPr>
          <w:p>
            <w:pPr>
              <w:jc w:val="center"/>
              <w:spacing w:after="0" w:line="240" w:lineRule="auto"/>
              <w:rPr>
                <w:rFonts w:hint="eastAsia"/>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载重</w:t>
            </w:r>
            <w:r/>
          </w:p>
          <w:p>
            <w:pPr>
              <w:jc w:val="center"/>
              <w:spacing w:after="0" w:line="240" w:lineRule="auto"/>
              <w:rPr>
                <w:rFonts w:hint="default"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KG</w:t>
            </w:r>
            <w:r>
              <w:rPr>
                <w:rFonts w:hint="eastAsia" w:ascii="Times New Roman" w:hAnsi="Times New Roman"/>
                <w:color w:val="auto"/>
                <w:highlight w:val="none"/>
              </w:rPr>
              <w:t xml:space="preserve">★</w:t>
            </w:r>
            <w:r/>
          </w:p>
        </w:tc>
        <w:tc>
          <w:tcPr>
            <w:tcW w:w="658" w:type="dxa"/>
            <w:vAlign w:val="top"/>
            <w:textDirection w:val="lrTb"/>
            <w:noWrap w:val="false"/>
          </w:tcPr>
          <w:p>
            <w:pPr>
              <w:spacing w:after="0" w:line="240" w:lineRule="auto"/>
              <w:rPr>
                <w:rFonts w:hint="default"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速度m/s</w:t>
            </w:r>
            <w:r>
              <w:rPr>
                <w:rFonts w:hint="eastAsia" w:ascii="Times New Roman" w:hAnsi="Times New Roman"/>
                <w:color w:val="auto"/>
                <w:highlight w:val="none"/>
              </w:rPr>
              <w:t xml:space="preserve">★</w:t>
            </w:r>
            <w:r/>
          </w:p>
        </w:tc>
        <w:tc>
          <w:tcPr>
            <w:tcW w:w="927" w:type="dxa"/>
            <w:vAlign w:val="top"/>
            <w:textDirection w:val="lrTb"/>
            <w:noWrap w:val="false"/>
          </w:tcPr>
          <w:p>
            <w:pPr>
              <w:spacing w:after="0" w:line="240" w:lineRule="auto"/>
              <w:rPr>
                <w:b w:val="0"/>
                <w:bCs w:val="0"/>
                <w:color w:val="auto"/>
                <w:sz w:val="18"/>
                <w:szCs w:val="18"/>
                <w:vertAlign w:val="baseline"/>
              </w:rPr>
            </w:pPr>
            <w:r>
              <w:rPr>
                <w:rFonts w:hint="eastAsia"/>
                <w:b w:val="0"/>
                <w:bCs w:val="0"/>
                <w:color w:val="auto"/>
                <w:sz w:val="18"/>
                <w:szCs w:val="18"/>
                <w:vertAlign w:val="baseline"/>
              </w:rPr>
              <w:t xml:space="preserve">层/站/门</w:t>
            </w:r>
            <w:r>
              <w:rPr>
                <w:rFonts w:hint="eastAsia" w:ascii="Times New Roman" w:hAnsi="Times New Roman"/>
                <w:color w:val="auto"/>
                <w:highlight w:val="none"/>
              </w:rPr>
              <w:t xml:space="preserve">★</w:t>
            </w:r>
            <w:r/>
          </w:p>
        </w:tc>
        <w:tc>
          <w:tcPr>
            <w:tcW w:w="439" w:type="dxa"/>
            <w:vAlign w:val="top"/>
            <w:textDirection w:val="lrTb"/>
            <w:noWrap w:val="false"/>
          </w:tcPr>
          <w:p>
            <w:pPr>
              <w:spacing w:after="0" w:line="240" w:lineRule="auto"/>
              <w:rPr>
                <w:rFonts w:hint="default"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台量</w:t>
            </w:r>
            <w:r/>
          </w:p>
        </w:tc>
        <w:tc>
          <w:tcPr>
            <w:tcW w:w="658" w:type="dxa"/>
            <w:vAlign w:val="top"/>
            <w:textDirection w:val="lrTb"/>
            <w:noWrap w:val="false"/>
          </w:tcPr>
          <w:p>
            <w:pPr>
              <w:spacing w:after="0" w:line="240" w:lineRule="auto"/>
              <w:rPr>
                <w:rFonts w:hint="eastAsia"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停靠站</w:t>
            </w:r>
            <w:r/>
          </w:p>
        </w:tc>
        <w:tc>
          <w:tcPr>
            <w:tcW w:w="586" w:type="dxa"/>
            <w:vAlign w:val="top"/>
            <w:textDirection w:val="lrTb"/>
            <w:noWrap w:val="false"/>
          </w:tcPr>
          <w:p>
            <w:pPr>
              <w:spacing w:after="0" w:line="240" w:lineRule="auto"/>
              <w:rPr>
                <w:rFonts w:hint="default"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运行方式</w:t>
            </w:r>
            <w:r/>
          </w:p>
        </w:tc>
        <w:tc>
          <w:tcPr>
            <w:tcW w:w="1083" w:type="dxa"/>
            <w:vAlign w:val="top"/>
            <w:textDirection w:val="lrTb"/>
            <w:noWrap w:val="false"/>
          </w:tcPr>
          <w:p>
            <w:pPr>
              <w:spacing w:after="0" w:line="240" w:lineRule="auto"/>
              <w:rPr>
                <w:rFonts w:hint="default"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井道尺寸mm</w:t>
            </w:r>
            <w:r/>
          </w:p>
        </w:tc>
        <w:tc>
          <w:tcPr>
            <w:tcW w:w="600" w:type="dxa"/>
            <w:vAlign w:val="top"/>
            <w:textDirection w:val="lrTb"/>
            <w:noWrap w:val="false"/>
          </w:tcPr>
          <w:p>
            <w:pPr>
              <w:spacing w:after="0" w:line="240" w:lineRule="auto"/>
              <w:rPr>
                <w:rFonts w:hint="default"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底坑深度</w:t>
            </w:r>
            <w:r/>
          </w:p>
        </w:tc>
        <w:tc>
          <w:tcPr>
            <w:tcW w:w="609" w:type="dxa"/>
            <w:vAlign w:val="top"/>
            <w:textDirection w:val="lrTb"/>
            <w:noWrap w:val="false"/>
          </w:tcPr>
          <w:p>
            <w:pPr>
              <w:spacing w:after="0" w:line="240" w:lineRule="auto"/>
              <w:rPr>
                <w:rFonts w:hint="default" w:eastAsia="宋体"/>
                <w:b w:val="0"/>
                <w:bCs w:val="0"/>
                <w:color w:val="auto"/>
                <w:sz w:val="18"/>
                <w:szCs w:val="18"/>
                <w:vertAlign w:val="baseline"/>
                <w:lang w:val="en-US" w:eastAsia="zh-CN"/>
              </w:rPr>
            </w:pPr>
            <w:r>
              <w:rPr>
                <w:rFonts w:hint="eastAsia"/>
                <w:b w:val="0"/>
                <w:bCs w:val="0"/>
                <w:color w:val="auto"/>
                <w:sz w:val="18"/>
                <w:szCs w:val="18"/>
                <w:vertAlign w:val="baseline"/>
                <w:lang w:val="en-US" w:eastAsia="zh-CN"/>
              </w:rPr>
              <w:t xml:space="preserve">顶层高度</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学府名苑</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5#-1单元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无</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12/12/12</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2170*1800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5200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学府名苑</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5#-2单元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无</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12/12/12</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2170*1800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5200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学府名苑</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5#-3单元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无</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12/12/12</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2170*1800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5200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学府名苑</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10#-1单元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无</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12/12/12</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2170*1800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5200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学府名苑</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10#-2单元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无</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12/12/12</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2170*1800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5200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学府名苑</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10#-3单元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无</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12/12/12</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2170*1800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5200</w:t>
            </w:r>
            <w:r/>
          </w:p>
        </w:tc>
      </w:tr>
      <w:tr>
        <w:trPr>
          <w:trHeight w:val="363"/>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学府名苑</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无</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12/11/11</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1，2~11</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2400*1800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5200</w:t>
            </w:r>
            <w:r/>
          </w:p>
        </w:tc>
      </w:tr>
      <w:tr>
        <w:trPr>
          <w:trHeight w:val="363"/>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学府名苑</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无</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12/11/11</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1，2~11</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2400*1800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5200</w:t>
            </w:r>
            <w:r/>
          </w:p>
        </w:tc>
      </w:tr>
      <w:tr>
        <w:trPr>
          <w:trHeight w:val="363"/>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学府名苑</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1#-3单元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无</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12/11/11</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1，2~11</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2400*1800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5200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东方名苑</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G1幢</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1000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11/11/11</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2200*2300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1600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7000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东方名苑</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G2幢</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1000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11/11/11</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2200*2300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1600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7000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凤凰苑商业楼</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15#东单元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rFonts w:hint="default"/>
                <w:b w:val="0"/>
                <w:bCs w:val="0"/>
                <w:color w:val="auto"/>
                <w:sz w:val="18"/>
                <w:szCs w:val="18"/>
                <w:vertAlign w:val="baseline"/>
                <w:lang w:val="en-US"/>
              </w:rPr>
              <w:suppressLineNumbers w:val="0"/>
            </w:pPr>
            <w:r>
              <w:rPr>
                <w:rFonts w:hint="eastAsia" w:ascii="宋体" w:hAnsi="宋体" w:cs="宋体"/>
                <w:b w:val="0"/>
                <w:bCs w:val="0"/>
                <w:i w:val="0"/>
                <w:iCs w:val="0"/>
                <w:color w:val="auto"/>
                <w:sz w:val="18"/>
                <w:szCs w:val="18"/>
                <w:u w:val="none"/>
                <w:lang w:val="en-US" w:eastAsia="zh-CN" w:bidi="ar"/>
              </w:rPr>
              <w:t xml:space="preserve">630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15/15/15</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1~15</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并联</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1800*1800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5800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凤凰苑商业楼</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15#东单元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rFonts w:hint="default"/>
                <w:b w:val="0"/>
                <w:bCs w:val="0"/>
                <w:color w:val="auto"/>
                <w:sz w:val="18"/>
                <w:szCs w:val="18"/>
                <w:vertAlign w:val="baseline"/>
                <w:lang w:val="en-US"/>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rPr>
                <w:rFonts w:hint="eastAsia" w:ascii="宋体" w:hAnsi="宋体" w:cs="宋体"/>
                <w:b w:val="0"/>
                <w:bCs w:val="0"/>
                <w:i w:val="0"/>
                <w:iCs w:val="0"/>
                <w:color w:val="auto"/>
                <w:sz w:val="18"/>
                <w:szCs w:val="18"/>
                <w:u w:val="none"/>
                <w:lang w:val="en-US" w:eastAsia="zh-CN" w:bidi="ar"/>
              </w:rPr>
              <w:t xml:space="preserve">30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15/15/15</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1~15</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并联</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2000*1800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5800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凤凰苑商业楼</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15#西单元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rFonts w:hint="default"/>
                <w:b w:val="0"/>
                <w:bCs w:val="0"/>
                <w:color w:val="auto"/>
                <w:sz w:val="18"/>
                <w:szCs w:val="18"/>
                <w:vertAlign w:val="baseline"/>
                <w:lang w:val="en-US"/>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rPr>
                <w:rFonts w:hint="eastAsia" w:ascii="宋体" w:hAnsi="宋体" w:cs="宋体"/>
                <w:b w:val="0"/>
                <w:bCs w:val="0"/>
                <w:i w:val="0"/>
                <w:iCs w:val="0"/>
                <w:color w:val="auto"/>
                <w:sz w:val="18"/>
                <w:szCs w:val="18"/>
                <w:u w:val="none"/>
                <w:lang w:val="en-US" w:eastAsia="zh-CN" w:bidi="ar"/>
              </w:rPr>
              <w:t xml:space="preserve">30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15/15/15</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1~15</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并联</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1800*1800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5800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凤凰苑商业楼</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15#西单元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rFonts w:hint="default"/>
                <w:b w:val="0"/>
                <w:bCs w:val="0"/>
                <w:color w:val="auto"/>
                <w:sz w:val="18"/>
                <w:szCs w:val="18"/>
                <w:vertAlign w:val="baseline"/>
                <w:lang w:val="en-US"/>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rPr>
                <w:rFonts w:hint="eastAsia" w:ascii="宋体" w:hAnsi="宋体" w:cs="宋体"/>
                <w:b w:val="0"/>
                <w:bCs w:val="0"/>
                <w:i w:val="0"/>
                <w:iCs w:val="0"/>
                <w:color w:val="auto"/>
                <w:sz w:val="18"/>
                <w:szCs w:val="18"/>
                <w:u w:val="none"/>
                <w:lang w:val="en-US" w:eastAsia="zh-CN" w:bidi="ar"/>
              </w:rPr>
              <w:t xml:space="preserve">30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15/15/15</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1~15</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并联</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2000*1800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5800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凤凰苑商业楼</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1#甲单元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11/10/10</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1,3~10</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1950*1800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4300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凤凰苑商业楼</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1#乙单元</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11/10/10</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1,3~10</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1950*1800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4300</w:t>
            </w:r>
            <w:r/>
          </w:p>
        </w:tc>
      </w:tr>
      <w:tr>
        <w:trPr>
          <w:trHeight w:val="187"/>
        </w:trPr>
        <w:tc>
          <w:tcPr>
            <w:tcW w:w="97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凤凰苑商业楼</w:t>
            </w:r>
            <w:r/>
          </w:p>
        </w:tc>
        <w:tc>
          <w:tcPr>
            <w:tcW w:w="78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tcW w:w="6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11/10/10</w:t>
            </w:r>
            <w:r/>
          </w:p>
        </w:tc>
        <w:tc>
          <w:tcPr>
            <w:tcW w:w="43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1,3~10</w:t>
            </w:r>
            <w:r/>
          </w:p>
        </w:tc>
        <w:tc>
          <w:tcPr>
            <w:tcW w:w="586"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1950*1800</w:t>
            </w:r>
            <w:r/>
          </w:p>
        </w:tc>
        <w:tc>
          <w:tcPr>
            <w:tcW w:w="600"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b w:val="0"/>
                <w:bCs w:val="0"/>
                <w:color w:val="auto"/>
                <w:sz w:val="18"/>
                <w:szCs w:val="18"/>
                <w:vertAlign w:val="baseline"/>
              </w:rPr>
              <w:suppressLineNumbers w:val="0"/>
            </w:pPr>
            <w:r>
              <w:rPr>
                <w:rFonts w:hint="eastAsia" w:ascii="宋体" w:hAnsi="宋体" w:eastAsia="宋体" w:cs="宋体"/>
                <w:b w:val="0"/>
                <w:bCs w:val="0"/>
                <w:i w:val="0"/>
                <w:iCs w:val="0"/>
                <w:color w:val="auto"/>
                <w:sz w:val="18"/>
                <w:szCs w:val="18"/>
                <w:u w:val="none"/>
                <w:lang w:val="en-US" w:eastAsia="zh-CN" w:bidi="ar"/>
              </w:rPr>
              <w:t xml:space="preserve">4300</w:t>
            </w:r>
            <w:r/>
          </w:p>
        </w:tc>
      </w:tr>
      <w:tr>
        <w:trPr>
          <w:trHeight w:val="540"/>
        </w:trPr>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金地商都综合楼</w:t>
            </w:r>
            <w:r/>
          </w:p>
        </w:tc>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综合楼1单元</w:t>
            </w:r>
            <w:r/>
          </w:p>
        </w:tc>
        <w:tc>
          <w:tcPr>
            <w:tcW w:w="6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16/13/13</w:t>
            </w:r>
            <w:r/>
          </w:p>
        </w:tc>
        <w:tc>
          <w:tcPr>
            <w:tcW w:w="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-1~1,5~15</w:t>
            </w:r>
            <w:r/>
          </w:p>
        </w:tc>
        <w:tc>
          <w:tcPr>
            <w:tcW w:w="586"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2000*1800</w:t>
            </w:r>
            <w:r/>
          </w:p>
        </w:tc>
        <w:tc>
          <w:tcPr>
            <w:tcW w:w="6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4500</w:t>
            </w:r>
            <w:r/>
          </w:p>
        </w:tc>
      </w:tr>
      <w:tr>
        <w:trPr>
          <w:trHeight w:val="540"/>
        </w:trPr>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金地商都综合楼</w:t>
            </w:r>
            <w:r/>
          </w:p>
        </w:tc>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综合楼2单元</w:t>
            </w:r>
            <w:r/>
          </w:p>
        </w:tc>
        <w:tc>
          <w:tcPr>
            <w:tcW w:w="6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16/13/13</w:t>
            </w:r>
            <w:r/>
          </w:p>
        </w:tc>
        <w:tc>
          <w:tcPr>
            <w:tcW w:w="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-1~1,5~15</w:t>
            </w:r>
            <w:r/>
          </w:p>
        </w:tc>
        <w:tc>
          <w:tcPr>
            <w:tcW w:w="586"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2000*1800</w:t>
            </w:r>
            <w:r/>
          </w:p>
        </w:tc>
        <w:tc>
          <w:tcPr>
            <w:tcW w:w="6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4500</w:t>
            </w:r>
            <w:r/>
          </w:p>
        </w:tc>
      </w:tr>
      <w:tr>
        <w:trPr>
          <w:trHeight w:val="1032"/>
        </w:trPr>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金地商都综合楼</w:t>
            </w:r>
            <w:r/>
          </w:p>
        </w:tc>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综合楼3单元</w:t>
            </w:r>
            <w:r/>
          </w:p>
        </w:tc>
        <w:tc>
          <w:tcPr>
            <w:tcW w:w="6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16/13/13</w:t>
            </w:r>
            <w:r/>
          </w:p>
        </w:tc>
        <w:tc>
          <w:tcPr>
            <w:tcW w:w="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-1~1,5~15</w:t>
            </w:r>
            <w:r/>
          </w:p>
        </w:tc>
        <w:tc>
          <w:tcPr>
            <w:tcW w:w="586"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2000*1800</w:t>
            </w:r>
            <w:r/>
          </w:p>
        </w:tc>
        <w:tc>
          <w:tcPr>
            <w:tcW w:w="6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4500</w:t>
            </w:r>
            <w:r/>
          </w:p>
        </w:tc>
      </w:tr>
      <w:tr>
        <w:trPr>
          <w:trHeight w:val="540"/>
        </w:trPr>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金地商都综合楼</w:t>
            </w:r>
            <w:r/>
          </w:p>
        </w:tc>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综合楼4单元</w:t>
            </w:r>
            <w:r/>
          </w:p>
        </w:tc>
        <w:tc>
          <w:tcPr>
            <w:tcW w:w="6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800</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16/13/13</w:t>
            </w:r>
            <w:r/>
          </w:p>
        </w:tc>
        <w:tc>
          <w:tcPr>
            <w:tcW w:w="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-1~1,5~15</w:t>
            </w:r>
            <w:r/>
          </w:p>
        </w:tc>
        <w:tc>
          <w:tcPr>
            <w:tcW w:w="586"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2000*1800</w:t>
            </w:r>
            <w:r/>
          </w:p>
        </w:tc>
        <w:tc>
          <w:tcPr>
            <w:tcW w:w="6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4500</w:t>
            </w:r>
            <w:r/>
          </w:p>
        </w:tc>
      </w:tr>
      <w:tr>
        <w:trPr>
          <w:trHeight w:val="187"/>
        </w:trPr>
        <w:tc>
          <w:tcPr>
            <w:tcW w:w="978"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金地如意里</w:t>
            </w:r>
            <w:r/>
          </w:p>
        </w:tc>
        <w:tc>
          <w:tcPr>
            <w:tcW w:w="781"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东梯</w:t>
            </w:r>
            <w:r/>
          </w:p>
        </w:tc>
        <w:tc>
          <w:tcPr>
            <w:tcW w:w="6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1000</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10/8/8</w:t>
            </w:r>
            <w:r/>
          </w:p>
        </w:tc>
        <w:tc>
          <w:tcPr>
            <w:tcW w:w="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1,4~10</w:t>
            </w:r>
            <w:r/>
          </w:p>
        </w:tc>
        <w:tc>
          <w:tcPr>
            <w:tcW w:w="586"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2200*2200</w:t>
            </w:r>
            <w:r/>
          </w:p>
        </w:tc>
        <w:tc>
          <w:tcPr>
            <w:tcW w:w="6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6300</w:t>
            </w:r>
            <w:r/>
          </w:p>
        </w:tc>
      </w:tr>
      <w:tr>
        <w:trPr>
          <w:trHeight w:val="197"/>
        </w:trPr>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金地如意里</w:t>
            </w:r>
            <w:r/>
          </w:p>
        </w:tc>
        <w:tc>
          <w:tcPr>
            <w:tcW w:w="781"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西梯</w:t>
            </w:r>
            <w:r/>
          </w:p>
        </w:tc>
        <w:tc>
          <w:tcPr>
            <w:tcW w:w="6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乘客电梯</w:t>
            </w:r>
            <w:r/>
          </w:p>
        </w:tc>
        <w:tc>
          <w:tcPr>
            <w:tcW w:w="48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有</w:t>
            </w:r>
            <w:r/>
          </w:p>
        </w:tc>
        <w:tc>
          <w:tcPr>
            <w:tcW w:w="561"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1000</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1.75</w:t>
            </w:r>
            <w:r/>
          </w:p>
        </w:tc>
        <w:tc>
          <w:tcPr>
            <w:tcW w:w="92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10/8/8</w:t>
            </w:r>
            <w:r/>
          </w:p>
        </w:tc>
        <w:tc>
          <w:tcPr>
            <w:tcW w:w="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tcW w:w="65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1,4~10</w:t>
            </w:r>
            <w:r/>
          </w:p>
        </w:tc>
        <w:tc>
          <w:tcPr>
            <w:tcW w:w="586"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单梯</w:t>
            </w:r>
            <w:r/>
          </w:p>
        </w:tc>
        <w:tc>
          <w:tcPr>
            <w:tcW w:w="108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2200*2200</w:t>
            </w:r>
            <w:r/>
          </w:p>
        </w:tc>
        <w:tc>
          <w:tcPr>
            <w:tcW w:w="6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1500</w:t>
            </w:r>
            <w:r/>
          </w:p>
        </w:tc>
        <w:tc>
          <w:tcPr>
            <w:tcW w:w="60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auto"/>
                <w:sz w:val="18"/>
                <w:szCs w:val="18"/>
                <w:u w:val="none"/>
                <w:lang w:val="en-US" w:eastAsia="zh-CN" w:bidi="ar"/>
              </w:rPr>
              <w:suppressLineNumbers w:val="0"/>
            </w:pPr>
            <w:r>
              <w:rPr>
                <w:rFonts w:hint="eastAsia" w:ascii="宋体" w:hAnsi="宋体" w:eastAsia="宋体" w:cs="宋体"/>
                <w:b w:val="0"/>
                <w:bCs w:val="0"/>
                <w:i w:val="0"/>
                <w:iCs w:val="0"/>
                <w:color w:val="auto"/>
                <w:sz w:val="18"/>
                <w:szCs w:val="18"/>
                <w:u w:val="none"/>
                <w:lang w:val="en-US" w:eastAsia="zh-CN" w:bidi="ar"/>
              </w:rPr>
              <w:t xml:space="preserve">6300</w:t>
            </w:r>
            <w:r/>
          </w:p>
        </w:tc>
      </w:tr>
    </w:tbl>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 </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p>
    <w:p>
      <w:pPr>
        <w:ind w:left="0" w:right="0" w:firstLine="480"/>
        <w:spacing w:before="240" w:after="240" w:line="473"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＊1.1.1 层门、轿门和轿厢：</w:t>
      </w:r>
      <w:r/>
    </w:p>
    <w:p>
      <w:pPr>
        <w:ind w:left="0" w:right="0" w:firstLine="480"/>
        <w:spacing w:before="240" w:after="240" w:line="47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层门和轿门的地坎、轿厢护脚板应当采用金属材料；（2）更新的金属层门、轿门和轿壁的面板材料至少由一层公称厚度不小于1.5mm的单一金属板材构成；保留的金属层门，其金属材质面板公称厚度不小于1.2mm；保留层门的下部保持装置啮合深度不小于15mm。</w:t>
      </w:r>
      <w:r/>
    </w:p>
    <w:p>
      <w:pPr>
        <w:ind w:left="0" w:right="0" w:firstLine="480"/>
        <w:spacing w:before="240" w:after="240" w:line="478"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＊1.1.2.导轨</w:t>
      </w:r>
      <w:r/>
    </w:p>
    <w:p>
      <w:pPr>
        <w:ind w:left="0" w:right="0" w:firstLine="480"/>
        <w:spacing w:before="240" w:after="240" w:line="78"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配置安全钳的更新导轨及其连接板应当符合GB/T22562（含表2至表10）的要求，其中对于额定载重量大于630kg的电梯，其轿厢侧导轨宽度b1应当不小于89mm。</w:t>
      </w:r>
      <w:r/>
    </w:p>
    <w:p>
      <w:pPr>
        <w:ind w:left="0" w:right="0" w:firstLine="480"/>
        <w:spacing w:before="240" w:after="240" w:line="473"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1.1.3.悬挂系统</w:t>
      </w:r>
      <w:r/>
    </w:p>
    <w:p>
      <w:pPr>
        <w:ind w:left="0" w:right="0" w:firstLine="480"/>
        <w:spacing w:before="240" w:after="240" w:line="73"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＊（1）在正常使用条件下，悬挂钢丝绳使用年限不少于10年或者对应电梯驱动主机启动次数不少于200万次；包覆带使用年限不少于20年或者对应电梯驱动主机启动次数不少于400万次。</w:t>
      </w:r>
      <w:r/>
    </w:p>
    <w:p>
      <w:pPr>
        <w:ind w:left="0" w:right="0" w:firstLine="480"/>
        <w:spacing w:before="240" w:after="240" w:line="7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＊（2）采用包覆带作为悬挂装置的，应当在控制柜内永久性张贴包括防止水、砂尘和润滑油等介质影响包覆带曳引能力的日常检查和维护保养要求的标识。</w:t>
      </w:r>
      <w:r/>
    </w:p>
    <w:p>
      <w:pPr>
        <w:ind w:left="0" w:right="0" w:firstLine="480"/>
        <w:spacing w:before="240" w:after="240" w:line="7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p>
    <w:p>
      <w:pPr>
        <w:ind w:left="0" w:right="0" w:firstLine="480"/>
        <w:spacing w:before="240" w:after="240" w:line="7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＊（4）反绳轮应当采用金属材质。</w:t>
      </w:r>
      <w:r/>
    </w:p>
    <w:p>
      <w:pPr>
        <w:ind w:left="0" w:right="0" w:firstLine="480"/>
        <w:spacing w:before="240" w:after="240" w:line="7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＊1.1.4.对重块和轿厢配重：对重块和轿厢配重不得使用非金属材质。</w:t>
      </w:r>
      <w:r/>
    </w:p>
    <w:p>
      <w:pPr>
        <w:ind w:left="0" w:right="0" w:firstLine="480"/>
        <w:spacing w:before="240" w:after="240" w:line="7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＊1.1.5.缓冲器：不得使用非金属材质非线性蓄能型缓冲器。</w:t>
      </w:r>
      <w:r>
        <w:rPr>
          <w:rFonts w:ascii="宋体" w:hAnsi="宋体" w:eastAsia="宋体" w:cs="宋体"/>
          <w:b w:val="0"/>
          <w:bCs w:val="0"/>
          <w:color w:val="auto"/>
          <w:sz w:val="24"/>
        </w:rPr>
        <w:t xml:space="preserve">满足国标GB/T 7588.</w:t>
      </w:r>
      <w:r>
        <w:rPr>
          <w:rFonts w:hint="eastAsia" w:ascii="宋体" w:hAnsi="宋体" w:eastAsia="宋体" w:cs="宋体"/>
          <w:b w:val="0"/>
          <w:bCs w:val="0"/>
          <w:color w:val="auto"/>
          <w:sz w:val="24"/>
          <w:lang w:val="en-US" w:eastAsia="zh-CN"/>
        </w:rPr>
        <w:t xml:space="preserve">2</w:t>
      </w:r>
      <w:r>
        <w:rPr>
          <w:rFonts w:ascii="宋体" w:hAnsi="宋体" w:eastAsia="宋体" w:cs="宋体"/>
          <w:b w:val="0"/>
          <w:bCs w:val="0"/>
          <w:color w:val="auto"/>
          <w:sz w:val="24"/>
        </w:rPr>
        <w:t xml:space="preserve">-2020试验要求(提供省级特种设备检测研究院或国家电梯质量监督检验中心或有CMA认证的第三方机构出具的检验报告原件扫描件上传。注：中标人须在合同签订前向招标人提供检验报告原件备查)。</w:t>
      </w:r>
      <w:r/>
    </w:p>
    <w:p>
      <w:pPr>
        <w:ind w:left="0" w:right="0" w:firstLine="472"/>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＊1.1.6限速器：</w:t>
      </w:r>
      <w:r>
        <w:rPr>
          <w:rFonts w:ascii="宋体" w:hAnsi="宋体" w:eastAsia="宋体" w:cs="宋体"/>
          <w:b w:val="0"/>
          <w:bCs w:val="0"/>
          <w:color w:val="auto"/>
          <w:sz w:val="24"/>
        </w:rPr>
        <w:t xml:space="preserve">满足国标GB/T 7588.</w:t>
      </w:r>
      <w:r>
        <w:rPr>
          <w:rFonts w:hint="eastAsia" w:ascii="宋体" w:hAnsi="宋体" w:eastAsia="宋体" w:cs="宋体"/>
          <w:b w:val="0"/>
          <w:bCs w:val="0"/>
          <w:color w:val="auto"/>
          <w:sz w:val="24"/>
          <w:lang w:val="en-US" w:eastAsia="zh-CN"/>
        </w:rPr>
        <w:t xml:space="preserve">2</w:t>
      </w:r>
      <w:r>
        <w:rPr>
          <w:rFonts w:ascii="宋体" w:hAnsi="宋体" w:eastAsia="宋体" w:cs="宋体"/>
          <w:b w:val="0"/>
          <w:bCs w:val="0"/>
          <w:color w:val="auto"/>
          <w:sz w:val="24"/>
        </w:rPr>
        <w:t xml:space="preserve">-2020规定的测速与提拉力要求(提供省级特种设备检测研究院或国家电梯质量监督检验中心或有CMA认证的第三方机构出具的检验报告原件扫描件上传。注：中标人须在合同签订前向招标人提供检验报告原件备查)。</w:t>
      </w:r>
      <w:r/>
    </w:p>
    <w:p>
      <w:pPr>
        <w:ind w:left="0" w:right="0" w:firstLine="472"/>
        <w:jc w:val="both"/>
        <w:spacing w:before="0" w:after="0" w:line="85" w:lineRule="atLeast"/>
        <w:tabs>
          <w:tab w:val="left" w:pos="6840" w:leader="none"/>
        </w:tabs>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r>
      <w:r/>
    </w:p>
    <w:p>
      <w:pPr>
        <w:ind w:left="0" w:right="0" w:firstLine="472"/>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＊1.1.7安全钳：满足国标GB/T 7588.2-2020的制动要求(提供省级特种设备检测研究院或国家电梯质量监督检验中心或有CMA认证的第三方机构出具的检验报告原件扫描件上传。注：在合同签订前，中标人须向招标人提供检验报告原件备查)。</w:t>
      </w:r>
      <w:r>
        <w:rPr>
          <w:rFonts w:ascii="宋体" w:hAnsi="宋体" w:eastAsia="宋体" w:cs="宋体"/>
          <w:b w:val="0"/>
          <w:bCs w:val="0"/>
          <w:color w:val="auto"/>
          <w:sz w:val="24"/>
        </w:rPr>
        <w:t xml:space="preserve"> </w:t>
      </w:r>
      <w:r/>
    </w:p>
    <w:p>
      <w:pPr>
        <w:ind w:left="0" w:right="0" w:firstLine="472"/>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 1.2 详细技术规格及参数</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投标电梯须可靠、稳定，符合设计要求和使用规范。配置按中高档电梯功能。投标电梯在具备电梯所有基本功能的前提下，还应保证满足以下有关技术要求（以下要求，除特别说明外，对每台电梯均适用）。</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＊1.2.1电源要求：交流三相380V，50Hz；交流单相 220V，50Hz。</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1.2.2曳引机：①采用交流三相永磁同步无齿轮；②与所投电梯为同一品牌；③外壳防护等级不低于IP41；（提供省级特种设备检测研究院或国家电梯质量监督检验中心或有CMA认证的第三方机构出具的检验报告原件扫描件上传。注：中标人须在合同签订前向招标人提供检验报告原件备查）。</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▲1.2.3曳引机制动器：动作寿命达到</w:t>
      </w:r>
      <w:r>
        <w:rPr>
          <w:rFonts w:ascii="宋体" w:hAnsi="宋体" w:eastAsia="宋体" w:cs="宋体"/>
          <w:b w:val="0"/>
          <w:bCs w:val="0"/>
          <w:color w:val="auto"/>
          <w:sz w:val="24"/>
          <w:highlight w:val="none"/>
        </w:rPr>
        <w:t xml:space="preserve">2000万</w:t>
      </w:r>
      <w:r>
        <w:rPr>
          <w:rFonts w:ascii="宋体" w:hAnsi="宋体" w:eastAsia="宋体" w:cs="宋体"/>
          <w:b w:val="0"/>
          <w:bCs w:val="0"/>
          <w:color w:val="auto"/>
          <w:sz w:val="24"/>
        </w:rPr>
        <w:t xml:space="preserve">次及以上（提供省级特种设备检测研究院或国家电梯质量监督检验中心或有CMA认证的第三方机构出具的检验报告原件扫描件上传。注：中标人须在合同签订前向招标人提供检验报告原件备查）。</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1.2.4拖动系统：全电脑控制，曳引机采用交流变频变压变速方式驱动（VVVF），曳引机应满足GB10058-2023的相关规定要求。</w:t>
      </w:r>
      <w:r/>
    </w:p>
    <w:p>
      <w:pPr>
        <w:ind w:left="0" w:right="0" w:firstLine="480"/>
        <w:jc w:val="both"/>
        <w:spacing w:before="0" w:after="0" w:line="85" w:lineRule="atLeast"/>
        <w:tabs>
          <w:tab w:val="left" w:pos="6840" w:leader="none"/>
        </w:tabs>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1.2.5控制系统：</w:t>
      </w:r>
      <w:r/>
    </w:p>
    <w:p>
      <w:pPr>
        <w:ind w:left="0" w:right="0" w:firstLine="480"/>
        <w:jc w:val="both"/>
        <w:spacing w:before="0" w:after="0" w:line="85" w:lineRule="atLeast"/>
        <w:tabs>
          <w:tab w:val="left" w:pos="6840" w:leader="none"/>
        </w:tabs>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①处理器：所投电梯控制系统需采用双32位微机处理器（提供省级特种设备检测研究院或国家电梯质量监督检验中心或有CMA认证的第三方机构出具的检验报告原件扫描件上传。注：中标人须在合同签订前向招标人提供检验报告原件备查）。</w:t>
      </w:r>
      <w:r/>
    </w:p>
    <w:p>
      <w:pPr>
        <w:ind w:left="0" w:right="0" w:firstLine="480"/>
        <w:jc w:val="both"/>
        <w:spacing w:before="0" w:after="0" w:line="85" w:lineRule="atLeast"/>
        <w:tabs>
          <w:tab w:val="left" w:pos="6840" w:leader="none"/>
        </w:tabs>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＊②控制柜：雷击浪涌干扰电压≥</w:t>
      </w:r>
      <w:r>
        <w:rPr>
          <w:rFonts w:hint="eastAsia" w:ascii="宋体" w:hAnsi="宋体" w:eastAsia="宋体" w:cs="宋体"/>
          <w:b w:val="0"/>
          <w:bCs w:val="0"/>
          <w:color w:val="auto"/>
          <w:sz w:val="24"/>
          <w:highlight w:val="none"/>
          <w:lang w:val="en-US" w:eastAsia="zh-CN"/>
        </w:rPr>
        <w:t xml:space="preserve">1</w:t>
      </w:r>
      <w:r>
        <w:rPr>
          <w:rFonts w:ascii="宋体" w:hAnsi="宋体" w:eastAsia="宋体" w:cs="宋体"/>
          <w:b w:val="0"/>
          <w:bCs w:val="0"/>
          <w:color w:val="auto"/>
          <w:sz w:val="24"/>
          <w:highlight w:val="none"/>
        </w:rPr>
        <w:t xml:space="preserve">5KV（提供省级特种设备检测研究院或国家电梯质量监督检验中心或有CMA认证的第三方机构出具的检验报告原件扫描件上传。注：中标人须在合同签订前向招标人提供检验报告原件备查）。</w:t>
      </w:r>
      <w:r/>
    </w:p>
    <w:p>
      <w:pPr>
        <w:ind w:left="0" w:right="0" w:firstLine="480"/>
        <w:jc w:val="both"/>
        <w:spacing w:before="0" w:after="0" w:line="85" w:lineRule="atLeast"/>
        <w:tabs>
          <w:tab w:val="left" w:pos="6840" w:leader="none"/>
        </w:tabs>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w:t>
      </w:r>
      <w:r>
        <w:rPr>
          <w:rFonts w:hint="default" w:ascii="Calibri" w:hAnsi="Calibri" w:eastAsia="宋体" w:cs="Calibri"/>
          <w:b w:val="0"/>
          <w:bCs w:val="0"/>
          <w:color w:val="auto"/>
          <w:sz w:val="24"/>
          <w:highlight w:val="none"/>
        </w:rPr>
        <w:t xml:space="preserve">③含有电子元件的安全电路和可编程电子安全相关系统</w:t>
      </w:r>
      <w:r>
        <w:rPr>
          <w:rFonts w:hint="eastAsia" w:cs="Calibri"/>
          <w:b w:val="0"/>
          <w:bCs w:val="0"/>
          <w:color w:val="auto"/>
          <w:sz w:val="24"/>
          <w:highlight w:val="none"/>
          <w:lang w:eastAsia="zh-CN"/>
        </w:rPr>
        <w:t xml:space="preserve">：</w:t>
      </w:r>
      <w:r>
        <w:rPr>
          <w:rFonts w:ascii="宋体" w:hAnsi="宋体" w:eastAsia="宋体" w:cs="宋体"/>
          <w:b w:val="0"/>
          <w:bCs w:val="0"/>
          <w:color w:val="auto"/>
          <w:sz w:val="24"/>
        </w:rPr>
        <w:t xml:space="preserve">满足国标GB/T 7588.</w:t>
      </w:r>
      <w:r>
        <w:rPr>
          <w:rFonts w:hint="eastAsia" w:ascii="宋体" w:hAnsi="宋体" w:eastAsia="宋体" w:cs="宋体"/>
          <w:b w:val="0"/>
          <w:bCs w:val="0"/>
          <w:color w:val="auto"/>
          <w:sz w:val="24"/>
          <w:lang w:val="en-US" w:eastAsia="zh-CN"/>
        </w:rPr>
        <w:t xml:space="preserve">1</w:t>
      </w:r>
      <w:r>
        <w:rPr>
          <w:rFonts w:ascii="宋体" w:hAnsi="宋体" w:eastAsia="宋体" w:cs="宋体"/>
          <w:b w:val="0"/>
          <w:bCs w:val="0"/>
          <w:color w:val="auto"/>
          <w:sz w:val="24"/>
        </w:rPr>
        <w:t xml:space="preserve">-2020试验要求(提供省级特种设备检测研究院或国家电梯质量监督检验中心或有CMA认证的第三方机构出具的检验报告原件扫描件上传。注：中标人须在合同签订前向招标人提供检验报告原件备查)。</w:t>
      </w:r>
      <w:r/>
    </w:p>
    <w:p>
      <w:pPr>
        <w:ind w:left="0" w:right="0" w:firstLine="480"/>
        <w:jc w:val="both"/>
        <w:spacing w:before="0" w:after="0" w:line="85" w:lineRule="atLeast"/>
        <w:tabs>
          <w:tab w:val="left" w:pos="6840" w:leader="none"/>
        </w:tabs>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＊1.2.6</w:t>
      </w:r>
      <w:r>
        <w:rPr>
          <w:rFonts w:hint="eastAsia" w:ascii="宋体" w:hAnsi="宋体" w:cs="宋体"/>
          <w:b w:val="0"/>
          <w:bCs w:val="0"/>
          <w:color w:val="auto"/>
          <w:sz w:val="24"/>
          <w:highlight w:val="none"/>
          <w:lang w:val="en-US" w:eastAsia="zh-CN"/>
        </w:rPr>
        <w:t xml:space="preserve">绳头组合</w:t>
      </w:r>
      <w:r>
        <w:rPr>
          <w:rFonts w:ascii="宋体" w:hAnsi="宋体" w:eastAsia="宋体" w:cs="宋体"/>
          <w:b w:val="0"/>
          <w:bCs w:val="0"/>
          <w:color w:val="auto"/>
          <w:sz w:val="24"/>
          <w:highlight w:val="none"/>
        </w:rPr>
        <w:t xml:space="preserve">：与所投电梯为同一品（提供省级特种设备检测研究院或国家电梯质量监督检验中心或有CMA认证的第三方机构出具的检验报告原件扫描件上传。注：中标人须在合同签订前向招标人提供检验报告原件备查）。</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▲1.2.7门电机：门电机防尘防水等级≥IP</w:t>
      </w:r>
      <w:r>
        <w:rPr>
          <w:rFonts w:hint="eastAsia" w:ascii="宋体" w:hAnsi="宋体" w:eastAsia="宋体" w:cs="宋体"/>
          <w:b w:val="0"/>
          <w:bCs w:val="0"/>
          <w:color w:val="auto"/>
          <w:sz w:val="24"/>
          <w:highlight w:val="none"/>
          <w:lang w:val="en-US" w:eastAsia="zh-CN"/>
        </w:rPr>
        <w:t xml:space="preserve">54、绝缘等级</w:t>
      </w:r>
      <w:r>
        <w:rPr>
          <w:rFonts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F</w:t>
      </w:r>
      <w:r>
        <w:rPr>
          <w:rFonts w:ascii="宋体" w:hAnsi="宋体" w:eastAsia="宋体" w:cs="宋体"/>
          <w:b w:val="0"/>
          <w:bCs w:val="0"/>
          <w:color w:val="auto"/>
          <w:sz w:val="24"/>
          <w:highlight w:val="none"/>
        </w:rPr>
        <w:t xml:space="preserve">（提供省级特种设备检测研究院或国家电梯质量监督检验中心或有CMA认证的第三方机构出具的检验报告原件扫描件上传。注：中标人须在合同签订前向招标人提供检验报告原件备查）。</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1.2.8开门方式：双扇自动中分门。</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＊1.2.9轿厢</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1.2.9.1轿厢装饰方案：轿厢及轿门均采用发纹不锈钢，材质304发纹不锈钢≥1.5mm；轿顶采用标准装饰并提供样本图册，供采购人选订。轿厢净高不得低于2300cm。电梯轿厢内前壁采用1套连体式发纹不锈钢操作面板。</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＊1.2.9.2 轿内操纵箱：发纹不锈钢，设置一体化操纵盘，采用液晶显示，不锈钢按钮，有运行方向箭头显示。</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＊1.2.9.3层站位置指示器：配置高亮度液晶显示器，可以显示电梯的位置和运行方向。</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＊1.2.9.4称重装置：电子称重装置，控制柜中可实时显示荷载重量。</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＊1.2.9.5 轿厢讯号装置：具有超载显示报警功能。</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＊1.2.9.6主要层站开门时间可调，并具有延长开门时间按钮。</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1.2.10轿厢门和厅门</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＊1.2.10.1开门机：变频变压调速电脑控制（VVVF），门机采用带齿皮带传动；要求调速平滑，运行可靠。</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▲1.2.10.</w:t>
      </w:r>
      <w:r>
        <w:rPr>
          <w:rFonts w:hint="eastAsia" w:ascii="宋体" w:hAnsi="宋体" w:cs="宋体"/>
          <w:b w:val="0"/>
          <w:bCs w:val="0"/>
          <w:color w:val="auto"/>
          <w:sz w:val="24"/>
          <w:highlight w:val="none"/>
          <w:lang w:val="en-US" w:eastAsia="zh-CN"/>
        </w:rPr>
        <w:t xml:space="preserve">2</w:t>
      </w:r>
      <w:r>
        <w:rPr>
          <w:rFonts w:ascii="宋体" w:hAnsi="宋体" w:eastAsia="宋体" w:cs="宋体"/>
          <w:b w:val="0"/>
          <w:bCs w:val="0"/>
          <w:color w:val="auto"/>
          <w:sz w:val="24"/>
          <w:highlight w:val="none"/>
        </w:rPr>
        <w:t xml:space="preserve">根据GB/T 7588.1-7588.</w:t>
      </w:r>
      <w:r>
        <w:rPr>
          <w:rFonts w:hint="eastAsia" w:ascii="宋体" w:hAnsi="宋体" w:eastAsia="宋体" w:cs="宋体"/>
          <w:b w:val="0"/>
          <w:bCs w:val="0"/>
          <w:color w:val="auto"/>
          <w:sz w:val="24"/>
          <w:highlight w:val="none"/>
          <w:lang w:val="en-US" w:eastAsia="zh-CN"/>
        </w:rPr>
        <w:t xml:space="preserve">2</w:t>
      </w:r>
      <w:r>
        <w:rPr>
          <w:rFonts w:ascii="宋体" w:hAnsi="宋体" w:eastAsia="宋体" w:cs="宋体"/>
          <w:b w:val="0"/>
          <w:bCs w:val="0"/>
          <w:color w:val="auto"/>
          <w:sz w:val="24"/>
          <w:highlight w:val="none"/>
        </w:rPr>
        <w:t xml:space="preserve">的方法进行层门摆锤冲击试验，</w:t>
      </w:r>
      <w:r>
        <w:rPr>
          <w:rFonts w:hint="eastAsia" w:ascii="宋体" w:hAnsi="宋体" w:eastAsia="宋体" w:cs="宋体"/>
          <w:b w:val="0"/>
          <w:bCs w:val="0"/>
          <w:color w:val="auto"/>
          <w:sz w:val="24"/>
          <w:highlight w:val="none"/>
          <w:lang w:val="en-US" w:eastAsia="zh-CN"/>
        </w:rPr>
        <w:t xml:space="preserve">撞击后门组件不丧失完整性并保持在原有位置，最大间隙</w:t>
      </w:r>
      <w:r>
        <w:rPr>
          <w:rFonts w:hint="default" w:ascii="Arial" w:hAnsi="Arial" w:eastAsia="宋体" w:cs="Arial"/>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45mm</w:t>
      </w:r>
      <w:r>
        <w:rPr>
          <w:rFonts w:ascii="宋体" w:hAnsi="宋体" w:eastAsia="宋体" w:cs="宋体"/>
          <w:b w:val="0"/>
          <w:bCs w:val="0"/>
          <w:color w:val="auto"/>
          <w:sz w:val="24"/>
          <w:highlight w:val="none"/>
        </w:rPr>
        <w:t xml:space="preserve">（提供省级特种设备检测研究院或国家电梯质量监督检验中心或有CMA认证的第三方机构出具的检验报告原件扫描件上传。注：中标人须在合同签订前向招标人提供检验报告原件备查） 。</w:t>
      </w:r>
      <w:r/>
    </w:p>
    <w:p>
      <w:pPr>
        <w:ind w:firstLine="480"/>
        <w:jc w:val="left"/>
        <w:keepLines w:val="0"/>
        <w:keepNext w:val="0"/>
        <w:widowControl/>
        <w:rPr>
          <w:b w:val="0"/>
          <w:bCs w:val="0"/>
          <w:color w:val="auto"/>
        </w:rPr>
        <w:suppressLineNumbers w:val="0"/>
      </w:pPr>
      <w:r>
        <w:rPr>
          <w:rFonts w:ascii="宋体" w:hAnsi="宋体" w:eastAsia="宋体" w:cs="宋体"/>
          <w:b w:val="0"/>
          <w:bCs w:val="0"/>
          <w:color w:val="auto"/>
          <w:sz w:val="24"/>
          <w:highlight w:val="none"/>
        </w:rPr>
        <w:t xml:space="preserve">▲1.2.10.3</w:t>
      </w:r>
      <w:r>
        <w:rPr>
          <w:rFonts w:hint="eastAsia" w:ascii="宋体" w:hAnsi="宋体" w:eastAsia="宋体" w:cs="宋体"/>
          <w:b w:val="0"/>
          <w:bCs w:val="0"/>
          <w:color w:val="auto"/>
          <w:sz w:val="24"/>
          <w:highlight w:val="none"/>
          <w:lang w:val="en-US" w:eastAsia="zh-CN"/>
        </w:rPr>
        <w:t xml:space="preserve">电梯厅轿门系统与电梯为同一品牌</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且</w:t>
      </w:r>
      <w:r>
        <w:rPr>
          <w:rFonts w:ascii="宋体" w:hAnsi="宋体" w:eastAsia="宋体" w:cs="宋体"/>
          <w:b w:val="0"/>
          <w:bCs w:val="0"/>
          <w:color w:val="auto"/>
          <w:sz w:val="24"/>
          <w:highlight w:val="none"/>
        </w:rPr>
        <w:t xml:space="preserve">动作次数≥</w:t>
      </w:r>
      <w:r>
        <w:rPr>
          <w:rFonts w:hint="eastAsia" w:ascii="宋体" w:hAnsi="宋体" w:eastAsia="宋体" w:cs="宋体"/>
          <w:b w:val="0"/>
          <w:bCs w:val="0"/>
          <w:color w:val="auto"/>
          <w:sz w:val="24"/>
          <w:highlight w:val="none"/>
          <w:lang w:val="en-US" w:eastAsia="zh-CN"/>
        </w:rPr>
        <w:t xml:space="preserve">20</w:t>
      </w:r>
      <w:r>
        <w:rPr>
          <w:rFonts w:ascii="宋体" w:hAnsi="宋体" w:eastAsia="宋体" w:cs="宋体"/>
          <w:b w:val="0"/>
          <w:bCs w:val="0"/>
          <w:color w:val="auto"/>
          <w:sz w:val="24"/>
          <w:highlight w:val="none"/>
        </w:rPr>
        <w:t xml:space="preserve">00万次及以上（提供省级特种设备检测研究院或国家电梯质量监督检验中心或有CMA认证的第三方机构出具的检验报告原件扫描件上传。注：中标人须在合同签订前向招标人提供检验报告原件备查）。</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＊1.2.10.4 轿厢门和厅门关闭后，门扇之间的间隙应小于4mm。</w:t>
      </w:r>
      <w:r/>
    </w:p>
    <w:p>
      <w:pPr>
        <w:ind w:left="0" w:right="0" w:firstLine="480"/>
        <w:jc w:val="both"/>
        <w:spacing w:before="0" w:after="0" w:line="85" w:lineRule="atLeast"/>
        <w:tabs>
          <w:tab w:val="left" w:pos="1080" w:leader="none"/>
        </w:tabs>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1.2.10.5电梯光幕与电梯为同一品牌，且满足发射接收管数目≥40对，IP防护等级≥IP65（提供省级特种设备检测研究院或国家电梯质量监督检验中心或有CMA认证的第三方机构出具的检验报告原件扫描件上传。注：中标人须在合同签订前向招标人提供检验报告原件备查）。</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1.2.11轿厢顶</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＊1.2.11.1轿顶上设检修箱及安全护栏，供检修时使用，如轿厢内、井道、控制柜也设有检修运行装置，应确保轿顶优先，检修运行应符合国标相关的规定。</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＊1.2.11.2检修箱应包括以下装置：手旋复位的红色停止按钮；检修开关；带36V检修照明灯；维修用插座（220V，单相三线）；检修运行按钮。</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＊1.2.12厅外指示及呼叫一体式装置</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各层均配置厅外层站指示器与厅外呼叫一体式装置，高亮度液晶显示器，显示电梯的位置和运行方向，当电梯处于关闭、暂停服务或维修状态下时，应能给予各类乘客明确的提示。面板为发纹不锈钢，采用数字微触按钮，微型动态发光二极管按钮照明。呼叫装置应满足普通乘客的使用要求。基站（地面一层）呼叫装置上应有钥匙开关（泊梯开关），该开关用以接通控制电源。</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1.3其他装置</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＊1.3.1轿厢导轨主轨采用实心钢制T型轨。</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＊1.3.2自动精确平层：平层精度应小于±5mm。</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＊1.3.3采购人提供双电路供电开关，停电时，依靠双电源切换装置切换另一回路电力驱动电梯，投标人承诺能保证电梯的正常运行。</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＊1.3.4轿厢应急照明：供电中断，应急灯立即点亮，向轿厢提供照明（应急灯应采用免维护蓄电池，自动充电，供电时间应不小于4小时）。</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＊1.3.5具有电源缺相、错相、短路保护装置。</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1.3.6具备火灾运行管理功能：发生火警时，地面1层消防开关接通，所有召唤取消，轿厢返回地面1层，开门放人。提供和消防控制中心匹配的信号输入输出点，消防完毕信号采用无源干触点输出，供消防设备采集信号。</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＊1.3.7防冲顶功能。</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＊1.3.8防坠落装置。</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＊1.3.9噪声：机房、轿厢内、开门噪声符合国家标准。</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＊1.3.10起、制动及额定运行时应舒适，无抖动、冲击感觉，运行线路应平滑，运行效率高。</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1.4 功能配置</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1.4.1基本功能配置：（符合国家验收规范）</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＊（1）全集选控制运行功能。</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＊（2）消防迫降功能。</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＊（3）轿内防捣乱功能。</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＊（4）安全停靠：出现故障，电梯可低速就近平层，开门放人。</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＊（5）门速自动调整（根据门的重量，系统自动调整门运行速度和力矩）。</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＊（6）无障碍功能（语音报站、三侧扶手、后侧镜面及残疾人操纵箱）。</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＊（7）重复关门（关门受阻时，重复关门动作，直至杂物被清除）。</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＊（8）中文语音报站。</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（9）内部安装五方通话全套设备（即电梯内部通话装置以及连接管理用房的所有管线和设备），实现轿厢、机房、监控中心、电梯顶部、电梯底部五方通话；有线不通时候改为无线。</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（10）轿厢内视频监控功能（摄像监控装置以及连接监控中心的所有管线和设备，实现远程监控，所需电缆、管线及设备包含在内），轿厢内原监控的拆除与恢复。</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＊（11）停电应急照明功能（包含设备材料）。</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＊（12）具备消防操作功能。</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＊（13）故障自动存储功能。</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＊（14）动态分散待机。</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＊（15）超载保护功能。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＊（16）超载报警功能。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＊（17）超速保护功能。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＊（18）电动机空载保护功能。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＊（19）警铃报警联络功能。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＊（20）故障低速自救运行功能。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＊（21）轿顶检修操作功能。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＊（22）无呼自返基站功能。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＊（23）运行次数显示功能。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＊（24）起动补偿功能。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＊（25）停车在非门区提示功能。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＊（26）层高自测定功能。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＊（27）轿厢照明自动控制功能。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＊（28）轿厢通风自动控制功能。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＊（29）开门时间自动调整功能。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＊（30）开门时间自动控制功能。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＊（31）门过载保护功能。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＊（32）开关门时间异常保护功能。 </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＊（33）位置异常自动校正功能。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＊（34）反向内指令自动消除功能。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＊（35）满载直驶运行功能。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＊（36）开门异常自动选层功能。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＊（37）安全触板保护功能。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＊（38）故障自动检测功能。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＊（39）轿内误指令取消功能。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＊（40）无效内指令自动消除功能。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＊（41）泊梯功能。</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＊（42）门区保护（光幕）。</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＊（43）井道照明。</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＊（44）底坑爬梯。</w:t>
      </w:r>
      <w:r/>
    </w:p>
    <w:p>
      <w:pPr>
        <w:ind w:left="0" w:right="0" w:firstLine="480"/>
        <w:jc w:val="both"/>
        <w:spacing w:before="0" w:after="0" w:line="85" w:lineRule="atLeast"/>
        <w:tabs>
          <w:tab w:val="left" w:pos="6840" w:leader="none"/>
        </w:tabs>
        <w:rPr>
          <w:rFonts w:hint="default" w:eastAsia="宋体"/>
          <w:b w:val="0"/>
          <w:bCs w:val="0"/>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(45)阻车系统：防电动车进入电梯，系统需接入现有住宅管理平台。</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1.4.2附加功能配置：由投标人自报，但均含在投标总价中。</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注：投标人所提供的货物技术规格应符合货物的技术规格及要求，如果投标人不能响应招标文件技术规格和要求的某项技术规格，投标人应在技术偏离表中说明偏离情况，如果投标人不提供技术偏离表说明偏离情况，则认为提供的货物完全符合本招标文件的要求。</w:t>
      </w:r>
      <w:r/>
    </w:p>
    <w:p>
      <w:pPr>
        <w:ind w:left="0" w:right="0" w:firstLine="472"/>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2、旧梯拆除、安装、调试</w:t>
      </w:r>
      <w:r/>
    </w:p>
    <w:p>
      <w:pPr>
        <w:ind w:left="0" w:right="0" w:firstLine="42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2.1本次所采购电梯由中标人负责合同设备的采购、安装、调试、报验直至领取运行许可的所有证照，期间发生的一切费用由中标人负责。旧电梯由中标人负责拆除，残值用于旧梯拆除费用和井道整改。（明细报价中注明残值抵扣费用，未注明残值抵扣费用的做无效标处理）</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2.2在安装、调试过程中采购人提供水和电源，费用由投标人自理。货物到达现场后卸货所需的起重设备、辅助设备及货物现场保管安装调试所需的一切费用由投标人负责。</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2.3在安装调试过程中，允许采购单位人员参与。设备在此过程中的损坏由投标人负责。</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2.4安装要求：</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2.4.1 应具有建设主管部门颁发的电梯安装资质证书和地方政府的许可证。</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2.4.2 安装队伍概况说明，拟参加安装人员技术证书和工作证及其安装业绩表。</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2.4.3 电梯的安装标准将执行最新的国家标准。</w:t>
      </w:r>
      <w:r/>
    </w:p>
    <w:p>
      <w:pPr>
        <w:ind w:left="0" w:right="0" w:firstLine="472"/>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3、其它要求</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3.1  投标人需对所投产品做详细的技术描述。</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3.2 主要零部件必须如实标明产地。</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3.3 投标人对中标货物及服务在质保期内的售后服务要有具体内容及承诺。</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3.4质保期满后的售后服务</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3.4.1投标人对中标货物及服务在质保期满后，采购方不委托中标方维保的情况下，中标方要列出售后服务具体内容及承诺。</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3.4.2分别列出投标人对中标货物质保期满后，在采购方要求的时间内，维保清包、大包的范围、内容、价格及承诺。</w:t>
      </w:r>
      <w:r/>
    </w:p>
    <w:p>
      <w:pPr>
        <w:ind w:left="0" w:right="0" w:firstLine="482"/>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4、有关说明</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4.1建筑尺寸、数据：投标人应踏勘现场校核上述尺寸，自行报价。投标人在投标文件中应提供详细的供货范围清单。</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4.2 文件、资料的提供：投标人在投标文件中，应提供设备制造商、电梯安装、维保的相关资质证书。本次投标设备安装、调试、质量监督及其他服务人员的配备情况，包括人员姓名、年龄、履历以及从事本专业的工龄、职称、级别及参加类似项目的经验情况，在本项目中承担的具体任务等。</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4.3门锁、安全钳、限速器、缓冲器等重要安全部件、必须具有型式试验合格证书。</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4.4投标人在投标文件中提供投标设备及其安装、维保单位的相关业绩以及售后服务机构和人员情况。</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4.5投标人在投标文件中应提供投标文件与招标文件的技术及商务条款偏差表，如与招标文件无偏差，也应说明。</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4.6中标人在设备交货时，应向采购人提供设备、材料的装箱清单、使用说明书、操作规程、保养、维护所必须的资料。所提供资料的语言文字必须是中文。</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4.7中标人在设备交货时应向采购人提供设备出厂前各项测试报告和产品合格证书。</w:t>
      </w:r>
      <w:r/>
    </w:p>
    <w:p>
      <w:pPr>
        <w:ind w:left="0" w:right="0" w:firstLine="480"/>
        <w:jc w:val="both"/>
        <w:spacing w:before="0" w:after="0" w:line="85" w:lineRule="atLeast"/>
        <w:tabs>
          <w:tab w:val="left" w:pos="108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4.8我国实行生产许可证、准入证制度的产品，必须是获得我国具备资质的单位批准认可的产品，投标人应随同投标文件提供有关证明文件。</w:t>
      </w:r>
      <w:r/>
    </w:p>
    <w:p>
      <w:pPr>
        <w:ind w:left="-2"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4.9投标人应保证，如能中标，采购人在其本国使用中标设备时，免受第三方提出的侵犯其专利权、商标权或工业设计权的起诉。</w:t>
      </w:r>
      <w:r/>
    </w:p>
    <w:p>
      <w:pPr>
        <w:ind w:left="-2"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4.10 电梯的日常维护、保养时间，双方协商，但中标方应服从采购方的安排。</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4.11 中标方供给采购人的设备、材料及中标方自己的施工用具，进入项目现场后的保管，由中标方负责。中标方在现场安装、调试、验收人员的安全、保险、食宿、交通，由中标方负责。</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4.12需采购方配合的工作：投标人应在投标文件中说明，如能中标，在安装、调试、验收过程中需采购方配合的工作和需采购方提供的条件。</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4.13投标人必须到现场踏勘以充分了解项目位置、情况、道路、储存空间、机房、井道现有尺寸、装卸限制及任何其它足以影响报价的情况等。开门尺寸、井道尺寸、底坑深度、每层高度以现场实际测量为准，充分考虑电梯井道、机房等改造使之满足安装要求等相关费用，并计入投标报价，采购人不负担因投标人对原井道情况考虑不周而产生的其他任何费用。中标后任何因忽视或误解现场情况而导致的索赔申请将不被批准。</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4.14电梯验收合格后，2个月内提供三套完整的电梯验收存档资料，逾期支付采购人1000元/天违约金。</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4.15中标项目负责人须全过程参与电梯安装、调试、验收等工作，无故未请假私自离开工地现场处以500元/天违约金，该违约金直接从合同款中扣除。</w:t>
      </w:r>
      <w:r/>
    </w:p>
    <w:p>
      <w:pPr>
        <w:ind w:left="0" w:right="0" w:firstLine="482"/>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5、技术文件要求</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5.1 投标人必须按规定要求提供投标货物的详细技术资料，以方便采购人评标、定标。 而不是“复印件”，并且所提供的产品样本必须同货物相一致，其中包括货物的主要性能、技术参数、结构特点、适用范围等，所提供的参考资料应尽可能全面详细。</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5.2投标人应按每台/套设备给采购人提供一套完整的资料并随货物包装发运，其中包括设备安装前对安装环境的要求、操作手册、应用指南和服务。安装说明及示意图，产品合格证、使用说明书、装箱单、进口设备或者进口部件的原产地证明书、商检证明书等。</w:t>
      </w:r>
      <w:r/>
    </w:p>
    <w:p>
      <w:pPr>
        <w:ind w:left="0" w:right="0" w:firstLine="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（三）电梯应符合的技术标准要求</w:t>
      </w:r>
      <w:r/>
    </w:p>
    <w:p>
      <w:pPr>
        <w:ind w:left="0" w:right="0" w:firstLine="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    投标人所提供货物的设计、制造、产品性能、材料的选择和材料的检验、产品的测试等，都应按照国内外通行的现行标准和相应的技术规范执行。而这些标准和技术规范应为合同签字日为止最新公布发行的标准和技术规范。本技术规格书中使用的标准如下：</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（1）《电梯技术条件》GB/T10058-2023</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（2）《机械设备安装工程电梯电气装置施工及验收规范》GB50182-93</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（3）《电梯试验方法》GB/T10059-2023</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（4）《电梯主要参数及轿厢、井道、机房的形式及尺寸》GB/T 7025.2-2023</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（5）《电梯安装验收规范》GB10060-2023</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（6）《电梯工程施工质量验收规范》GB50310-2017</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（7）《电梯用钢丝》GB8903-2024</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（8）《电梯曳引机》GB/T13435-2023</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（9）《交流电梯电动机通用技术条件》GB/T12974-2023</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（10）《电梯层门耐火试验方法》GA109-2011</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（11）《电梯操作装置、信号和附件》（JG/T5009-2014）</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（12）江苏省防火部门的条例及相关的中国国家防火规则</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（13）《市场监管总局办公厅关于进一步做好住宅老旧电梯更新有关工作的通知》（市监特设发〔2025〕52号）</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（14）《市场监管总局办公厅关于进一步做好住宅老旧电梯更新有关工作的通知附件1.纳入超长期特别国债资金支持的更新电梯专项要求》（市监特设发〔2025〕52号）</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（15）《市场监管总局办公厅关于进一步做好住宅老旧电梯更新有关工作的通知附件2.纳入超长期特别国债资金支持的更新电梯检验附加要求》（市监特设发〔2025〕52号）</w:t>
      </w:r>
      <w:r/>
    </w:p>
    <w:p>
      <w:pPr>
        <w:ind w:left="0" w:right="0" w:firstLine="36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（16）其他与电梯相关的国家、行业和地方的法律法规、规范规程、标准、图集。</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上述规范及技术条件并非全部，如有停用或废止的，应以相应的最新版本为准。</w:t>
      </w:r>
      <w:r/>
    </w:p>
    <w:p>
      <w:pPr>
        <w:ind w:left="0" w:right="0" w:firstLine="480"/>
        <w:jc w:val="both"/>
        <w:spacing w:before="0" w:after="0" w:line="85" w:lineRule="atLeast"/>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本次招标的电梯要求为未使用过的全新产品。</w:t>
      </w:r>
      <w:r/>
    </w:p>
    <w:p>
      <w:pPr>
        <w:ind w:left="0" w:right="0" w:firstLine="480"/>
        <w:jc w:val="both"/>
        <w:spacing w:before="0" w:after="0" w:line="85" w:lineRule="atLeast"/>
        <w:rPr>
          <w:rFonts w:hint="default" w:ascii="宋体" w:hAnsi="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四）单元内部出新及损坏修复</w:t>
      </w:r>
      <w:r/>
    </w:p>
    <w:p>
      <w:pPr>
        <w:ind w:left="0" w:right="0" w:firstLine="480"/>
        <w:jc w:val="both"/>
        <w:spacing w:before="0" w:after="0" w:line="85" w:lineRule="atLeast"/>
        <w:rPr>
          <w:rFonts w:hint="eastAsia" w:ascii="宋体" w:hAnsi="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lang w:val="en-US" w:eastAsia="zh-CN"/>
        </w:rPr>
        <w:t xml:space="preserve">1、电梯厅、楼梯道墙面、顶棚乳胶漆缺失修补、出新。</w:t>
      </w:r>
      <w:r/>
    </w:p>
    <w:p>
      <w:pPr>
        <w:ind w:left="0" w:right="0" w:firstLine="480"/>
        <w:jc w:val="both"/>
        <w:spacing w:before="0" w:after="0" w:line="85" w:lineRule="atLeast"/>
        <w:rPr>
          <w:rFonts w:hint="eastAsia" w:ascii="宋体" w:hAnsi="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lang w:val="en-US" w:eastAsia="zh-CN"/>
        </w:rPr>
        <w:t xml:space="preserve">2、电梯门套修复（如有损坏）。</w:t>
      </w:r>
      <w:r/>
    </w:p>
    <w:p>
      <w:pPr>
        <w:ind w:left="0" w:right="0" w:firstLine="480"/>
        <w:jc w:val="both"/>
        <w:spacing w:before="0" w:after="0" w:line="85" w:lineRule="atLeast"/>
        <w:rPr>
          <w:rFonts w:hint="eastAsia" w:ascii="宋体" w:hAnsi="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lang w:val="en-US" w:eastAsia="zh-CN"/>
        </w:rPr>
        <w:t xml:space="preserve">3、电梯基坑防水修复（如有渗漏）。</w:t>
      </w:r>
      <w:r/>
    </w:p>
    <w:p>
      <w:pPr>
        <w:ind w:left="0" w:right="0" w:firstLine="480"/>
        <w:jc w:val="both"/>
        <w:spacing w:before="0" w:after="0" w:line="85" w:lineRule="atLeast"/>
        <w:rPr>
          <w:rFonts w:hint="default" w:ascii="宋体" w:hAnsi="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lang w:val="en-US" w:eastAsia="zh-CN"/>
        </w:rPr>
        <w:t xml:space="preserve">4、机房功能性修复（符合验收标准）。</w:t>
      </w:r>
      <w:r/>
    </w:p>
    <w:p>
      <w:pPr>
        <w:ind w:left="0" w:right="0" w:firstLine="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8"/>
        </w:rPr>
        <w:t xml:space="preserve">四、商务要求</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 （一）包装与储运要求</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1、包装与保护</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投标人应确保所提供的货物在装、卸、运输和储存过程中有足够的包装保护，防止货物受潮、生锈、被腐蚀、受到冲撞以及其他不可预见的损坏。货物的包装应为生产厂商出厂时的原包装，并符合相关国家标准。</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2、货物装箱清单及文件</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货物包装箱内必须附有详细的装箱清单，主机、附件、各种零部件和消耗品有清楚的与装箱单相对应的名称和编号。在包装箱中必须有招标文件所要求的所有文件和资料。</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（二）交货期、交货方式及交货地点</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1、交货期：合同签订后</w:t>
      </w:r>
      <w:r>
        <w:rPr>
          <w:rFonts w:hint="eastAsia" w:ascii="宋体" w:hAnsi="宋体" w:cs="宋体"/>
          <w:b w:val="0"/>
          <w:bCs w:val="0"/>
          <w:color w:val="auto"/>
          <w:sz w:val="24"/>
          <w:lang w:val="en-US" w:eastAsia="zh-CN"/>
        </w:rPr>
        <w:t xml:space="preserve">120</w:t>
      </w:r>
      <w:r>
        <w:rPr>
          <w:rFonts w:ascii="宋体" w:hAnsi="宋体" w:eastAsia="宋体" w:cs="宋体"/>
          <w:b w:val="0"/>
          <w:bCs w:val="0"/>
          <w:color w:val="auto"/>
          <w:sz w:val="24"/>
        </w:rPr>
        <w:t xml:space="preserve">日历天内完成供货安装调试。</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2、交货地点：采购人指定地点，由供应商负责办理运输和装卸等，费用由供应商负责，采购人组织验收，检验不合格或不符合质量要求，供应商除无条件退货、返工外，还应承担采购人由此造成的一切损失。</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（三）付款方式</w:t>
      </w:r>
      <w:r/>
    </w:p>
    <w:p>
      <w:pPr>
        <w:ind w:left="0" w:right="0" w:firstLine="480"/>
        <w:jc w:val="both"/>
        <w:spacing w:before="0" w:after="0" w:line="479"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预付款，签订合同后支付合同总价款的30%；</w:t>
      </w:r>
      <w:r/>
    </w:p>
    <w:p>
      <w:pPr>
        <w:ind w:left="0" w:right="0" w:firstLine="480"/>
        <w:jc w:val="both"/>
        <w:spacing w:before="0" w:after="0" w:line="479"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进度款：全部安装完毕付至合同价款的</w:t>
      </w:r>
      <w:r>
        <w:rPr>
          <w:rFonts w:hint="eastAsia" w:ascii="宋体" w:hAnsi="宋体" w:cs="宋体"/>
          <w:b w:val="0"/>
          <w:bCs w:val="0"/>
          <w:color w:val="auto"/>
          <w:sz w:val="24"/>
          <w:lang w:val="en-US" w:eastAsia="zh-CN"/>
        </w:rPr>
        <w:t xml:space="preserve">8</w:t>
      </w:r>
      <w:r>
        <w:rPr>
          <w:rFonts w:ascii="宋体" w:hAnsi="宋体" w:eastAsia="宋体" w:cs="宋体"/>
          <w:b w:val="0"/>
          <w:bCs w:val="0"/>
          <w:color w:val="auto"/>
          <w:sz w:val="24"/>
        </w:rPr>
        <w:t xml:space="preserve">0%，特种设备安全监督部门验收合格、取得“电梯使用登记标志”后付清余款。</w:t>
      </w:r>
      <w:r/>
    </w:p>
    <w:p>
      <w:pPr>
        <w:ind w:left="0" w:right="0" w:firstLine="480"/>
        <w:jc w:val="both"/>
        <w:spacing w:before="0" w:after="0" w:line="479"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（1）可以采用数字人民币支付。</w:t>
      </w:r>
      <w:r/>
    </w:p>
    <w:p>
      <w:pPr>
        <w:ind w:left="0" w:right="0" w:firstLine="480"/>
        <w:jc w:val="both"/>
        <w:spacing w:before="0" w:after="0" w:line="479"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（2）资金支付的时间：收到供应商发票10个工作日内。</w:t>
      </w:r>
      <w:r/>
    </w:p>
    <w:p>
      <w:pPr>
        <w:ind w:left="0" w:right="0" w:firstLine="480"/>
        <w:jc w:val="both"/>
        <w:spacing w:before="0" w:after="0" w:line="479"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（3）资金支付的条件：满足相应阶段的要求且收到供应商发票。</w:t>
      </w:r>
      <w:r/>
    </w:p>
    <w:p>
      <w:pPr>
        <w:ind w:left="0" w:right="0" w:firstLine="480"/>
        <w:jc w:val="both"/>
        <w:spacing w:before="0" w:after="0" w:line="479"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（4）在签订合同时，供应商明确表示无需预付款或者主动要求降低预付款比例的，采购人可不适用前述规定。</w:t>
      </w:r>
      <w:r/>
    </w:p>
    <w:p>
      <w:pPr>
        <w:ind w:left="0" w:right="0" w:firstLine="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8"/>
        </w:rPr>
        <w:t xml:space="preserve">五、验收标准</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（一）鉴定和验收</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1、现场验收：设备、附件及备件的开箱检验，应在货物到达交货地点后10天内在合同指定的现场完成。</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2、场地环境：货物到达安装现场后，按有关技术规程的规定存放和保管，如投标人有特殊要求，应向采购人及早提出。</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3、安装调试：货物应由投标人负责在采购人建筑工地现场进行安装、调试及运行，经当地相关部门电梯检测合格后交付采购人使用。一切在安装、调试过程中造成的货物损坏，责任均在投标人。</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4、设备的检验和验收： 投标人除对标书规定的电梯设备提供重要关键零部件的制造质量检测报告外，在标书中确定的安装地安装完毕后，采购人要求对整机的性能至少做以下第（二）项的检验。试验结果必须符合我国电梯制造与安装安全规范（GB10058，GB10060）以及投标人提供的制造与安装标准和技术规范要求。</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（二）检验要求：</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1、按投标人提供的文件与已安装完毕的电梯比较；</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2、对外观及无特殊要求的部件制造、安装质量，进行直观检查；</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3、门锁装置、控制柜、限速器、安全钳、缓冲器等部件，投标人必须提供鉴定合格证的副本，并将其合格证详细内容与电梯特殊性进行比较。</w:t>
      </w:r>
      <w:r/>
    </w:p>
    <w:p>
      <w:pPr>
        <w:ind w:left="0" w:right="0" w:firstLine="480"/>
        <w:jc w:val="both"/>
        <w:spacing w:before="0" w:after="0" w:line="85" w:lineRule="atLeast"/>
        <w:tabs>
          <w:tab w:val="left" w:pos="684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（三）设备安装调试合格后，由投标人负责联系使用地国家法定检验部门，会同采购人按国家有关标准进行联合验收，并办理使用许可证。</w:t>
      </w:r>
      <w:r/>
    </w:p>
    <w:p>
      <w:pPr>
        <w:ind w:left="0" w:right="0" w:firstLine="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8"/>
        </w:rPr>
        <w:t xml:space="preserve">六、</w:t>
      </w:r>
      <w:r>
        <w:rPr>
          <w:rFonts w:ascii="宋体" w:hAnsi="宋体" w:eastAsia="宋体" w:cs="宋体"/>
          <w:b w:val="0"/>
          <w:bCs w:val="0"/>
          <w:color w:val="auto"/>
          <w:sz w:val="24"/>
        </w:rPr>
        <w:t xml:space="preserve">项目实施方案</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项目实施方案：投标人应按照招标文件要求制定详细的项目实施方案，包括但不限于涉及人员组成、旧梯拆除、质量保障措施、设备安装调试验收、风险预防及控制措施、突发事件处置方案以及原设备拆除等内容。方案应完全满足招标文件对项目实施的要求，结构严谨，内容完整详实，能够针对采购项目内容要求而细化制定。 </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旧梯拆除专项施工方案（应考虑老旧小区改造的特殊性，拆除施工过程中的居民安全保障），内容包括：拆除流程、安全措施、应急预案、人员配置、机具计划、时间计划等。施工前向当地特种设备监督管理部门办理电梯报废停用手续，并提前至少3天在楼道、大堂等显著位置张贴施工公告，明确施工时间、工期、可能的影响及联系方式，提醒业主注意安全。施工过程中将人员安全（包括施工人员、业主、访客等）置于首位，</w:t>
      </w:r>
      <w:r>
        <w:rPr>
          <w:rFonts w:ascii="宋体" w:hAnsi="宋体" w:eastAsia="宋体" w:cs="宋体"/>
          <w:b w:val="0"/>
          <w:bCs w:val="0"/>
          <w:color w:val="auto"/>
          <w:sz w:val="24"/>
        </w:rPr>
        <w:t xml:space="preserve">杜绝任何安全事故，做好安全防护，在所有层门入口处设置高度不低于1.8米的坚固护栏和警示标志，防止人员误入。在机房入口设置警示区，非工作人员禁止入内。预留安全通道，保护公共区域的地面、墙面免受设备运输损坏。现场配备合格的灭火器。作业时必须彻底切断电梯总电源（包括照明和插座电源），在电源开关处悬挂“禁止合闸，有人工作”的警示牌，并实行“上锁”管理，钥匙由现场负责人保管。确认应急发电机不会对系统反向送电。严禁使用电梯原有的曳引钢丝绳和导轨作为吊装承力点。拆除完成以后彻底清扫井道、机房、底坑，无任何垃圾和部件遗留。</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进度计划及保障措施：投标人应根据招标文件要求及业主乘坐电梯需求等实际情况，以及目前的供货及安装条件所需配套人员及机械设备以保障产品供货、物流运输、产品到货日期、设备安装及调试等合同履行期限的要求，进度安排应详细、各环节衔接紧凑、保障措施完备、方式方法应符合规范要求。</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3.1具体的项目进度安排应符合本项目实际需要，确保在合同规定的时间内完成。至少需要提供①生产方案需提供投标货物主要生产、检验、测量设备说明②供货计划需提供交货期及运输方案③进度控制需提供供货安装计划：</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（1）投标人中标后，应在接到采购人中标通知（合同签订）后一周内按标书要求提交详细的施工图及施工组织设计等。</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设备订货合同签订后，由中标方厂家工程师到现场勘查设计，所有尺寸以现场勘测的实际尺寸为准；到货后，中标方须派有资格的工程技术人员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电梯专项安装方案：投标人应根据招标文件要求，电梯拆除针对本项目电梯井道的尺寸，结合电梯井道现场实际情况（如安装所需的基坑土建、电梯井道照明、电梯井防水、电梯井原有无用的设施设备拆除以及其周围墙面及瓷砖的修复等），提供有针对性的电梯钢结构井道现场施工安装方案及安全、质量保障措施，安装方案应完整、具体、流程及施工步骤、方法应符合规范要求。 </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4.1电梯的安装和调试要求需严格执行与电梯相关的国家、行业和地方的法律法规、规范规程、标准、图集的要求：</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（1）对电梯井道进行防水改造，确保一年四季电梯井道干燥，保障电梯能及时安装和调试，确保电梯运行正常。如因中标人原因造成不能及时安装和调试，由中标人承担一切责任和损失。</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（2）所投电梯必须符合中华人民共和国电梯制造与安全规范的制造、安装标准和技术规范要求，中标人须提供采购人所在地质量技术监督部门的验收合格证、运行证等。</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（3）本次采购规定的电梯设备，由中标人负责运输到项目现场，并进行整机安装、调试及试运行，政府验收合格后交付采购人。</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（4）投标人依据现场实际情况和招标文件的要求，提供具体详实的项目实施方案（必须含自收到中标通知书之日起的项目进度计划表）。</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电梯应急预案：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5.1接到报警或发现有乘客被困在电梯内，应立即通知保安消防监控室，同时记录接报和发现时间。</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5.2维修单位经理或值班人员接报后，应立即派人前往现场解救，同时电话通知电梯维修公司前来抢修。</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5.3若维修单位和电梯维修公司都无能力解救或短期时间内解救不了，应视情况向公安部门或消防部门求助（应说明求助原因和情况）。向公安、消防部门求助前应征得甲方的同意。</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5.4在解救过程中，若发现被困乘客中有人晕厥、神志昏迷（尤其是老人或小孩），应立即通知医护人员到场，以便被困人员救出后即可进⾏抢救。</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5.5被困者救出后，应立即请电梯维修公司查明故障原因，修复后方可恢复正常运⾏。</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5.6维修单位经理或值班人员应详细记录故障发生时间、原因、解救办法和修复时间。</w:t>
      </w:r>
      <w:r/>
    </w:p>
    <w:p>
      <w:pPr>
        <w:ind w:left="0" w:right="0" w:firstLine="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8"/>
        </w:rPr>
        <w:t xml:space="preserve">七、售后服务及维保要求</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（一）质保及售后技术服务要求</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1、质量保证</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1.1 投标人提供的所有货物在设计、制造、产品性能、材料的选择和材料的检验及产品的测试等方面均须符合最新发布的国家标准和技术规范。投标人在投标书中应对货物的质量保证体系和适用的标准作出说明。</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1.2 投标人所提供的技术规格应与招标文件技术规格规定的标准相一致或优于招标文件技术规格。若技术规格中无相应的规定，货物则应符合相应的国家标准或其原厂家最新颁布的相应的正式标准。</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1.3 电梯整机质量保证期：不少于</w:t>
      </w:r>
      <w:r>
        <w:rPr>
          <w:rFonts w:ascii="宋体" w:hAnsi="宋体" w:eastAsia="宋体" w:cs="宋体"/>
          <w:b w:val="0"/>
          <w:bCs w:val="0"/>
          <w:color w:val="auto"/>
          <w:sz w:val="24"/>
          <w:u w:val="single"/>
        </w:rPr>
        <w:t xml:space="preserve">五年</w:t>
      </w:r>
      <w:r>
        <w:rPr>
          <w:rFonts w:ascii="宋体" w:hAnsi="宋体" w:eastAsia="宋体" w:cs="宋体"/>
          <w:b w:val="0"/>
          <w:bCs w:val="0"/>
          <w:color w:val="auto"/>
          <w:sz w:val="24"/>
        </w:rPr>
        <w:t xml:space="preserve">（自电梯验收取证之日算起）。在质量保证期内，采购人按照系统使用说明书，在正常条件下使用，由于投标人设计或制造上的缺陷而发生的损坏由投标人负责。</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2、技术支持和服务</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2.1计划</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在合同生效后的15天内，中标人应向采购人提供一份详尽的“工作进度表”，该进度表应含：交货时间表，安装、调试计划和时间表，对采购人人员的培训计划等，并在“工作计划表”中说明采购人应具备的安装条件。</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2.2培训</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 中标人应免费为采购人培训设备维修及操作人员3名，使采购人能够尽快地熟悉设备的性能和使用，直至能够独立操作。时间和地点由投标人自报。</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3、质量保证期内的服务</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3.1零、部件更换</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对由于零、部件质量问题造成的零、部件损坏，投标人将提供现场服务，免费维修更换损坏的零、部件。由于采购人人为原因造成的零、部件损坏，投标人有义务对损坏零、部件作有偿的维修更换。更换后的质量保证期不少于原有质保期。质保期内的易损件、消耗品由投标人免费提供。</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3.2故障响应</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中标人所提供的设备在质量保证期内发生故障时，采购人应立即通知中标方。对于操作故障，中标方应在接到故障通知即时给予解答。对于设备故障，中标方应在接到故障通知后20分钟内派技术人员到达现场。在接到采购人故障通知后，若投标人在应该到达现场的情况下而未能到达现场，采购人有权另请有资质的单位维修，其费用由中标方承担。</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3.3软件升级</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 中标人有责任及时向采购方通报软件升级情况，中标人应免费提供软件升级服务。</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4、质保期满后的售后服务</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4.1中标方对中标货物及服务在质保期满后，中标方应继续对采购方使用过程中的设备损坏进行售后服务，履行好自己在投标文件中的承诺。</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4.2设备要求实行终身保修，质量保证期后采购方如委托中标方进行维护保养，请报五年不变维保价（包括每年维修保养的人工费、配件费、年检费，大、中、小修的人工费、配件费等所有费用），并详细列出维保内容。</w:t>
      </w:r>
      <w:r/>
    </w:p>
    <w:p>
      <w:pPr>
        <w:ind w:left="0" w:right="0" w:firstLine="482"/>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（二）维修与保养</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1、电梯整机维修保养期限：不少于</w:t>
      </w:r>
      <w:r>
        <w:rPr>
          <w:rFonts w:ascii="宋体" w:hAnsi="宋体" w:eastAsia="宋体" w:cs="宋体"/>
          <w:b w:val="0"/>
          <w:bCs w:val="0"/>
          <w:color w:val="auto"/>
          <w:sz w:val="24"/>
          <w:u w:val="single"/>
        </w:rPr>
        <w:t xml:space="preserve">5年 </w:t>
      </w:r>
      <w:r>
        <w:rPr>
          <w:rFonts w:ascii="宋体" w:hAnsi="宋体" w:eastAsia="宋体" w:cs="宋体"/>
          <w:b w:val="0"/>
          <w:bCs w:val="0"/>
          <w:color w:val="auto"/>
          <w:sz w:val="24"/>
        </w:rPr>
        <w:t xml:space="preserve">（自电梯验收取证之日算起）。</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2、中标人应以低于市场价的优惠价格提供易损件。</w:t>
      </w:r>
      <w:r/>
    </w:p>
    <w:p>
      <w:pPr>
        <w:ind w:left="0" w:right="0" w:firstLine="480"/>
        <w:jc w:val="both"/>
        <w:spacing w:before="0" w:after="0" w:line="85" w:lineRule="atLeast"/>
        <w:tabs>
          <w:tab w:val="left" w:pos="1008"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3、保养电梯每年一次全面整梯检修，并视不同易损部件实行1～6个月定期检修、维护。</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4、在运行中出现紧急故障时（如人员被困电梯等），在接到报警电话后 0.2 小时内予以响应，20分钟内派技术人员到达现场解决。</w:t>
      </w:r>
      <w:r/>
    </w:p>
    <w:p>
      <w:pPr>
        <w:ind w:left="0" w:right="0" w:firstLine="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8"/>
        </w:rPr>
        <w:t xml:space="preserve">八、其他要求</w:t>
      </w:r>
      <w:r/>
    </w:p>
    <w:p>
      <w:pPr>
        <w:ind w:left="0" w:right="0" w:firstLine="480"/>
        <w:spacing w:before="240" w:after="24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投标总报价应包括但不限于以下费用：所投货物（包含与货物相关的服务）费用、拆除费、安装费（含拆除及安装施工用水电费、电梯安装所需的全部主辅材料、人工费、机械费、措施费等）、调试费、测试验收费、培训费、售后服务费用、税金、电梯监检费（取得电梯运行合格证）及其他有关的为完成本项目发生的所有费用。</w:t>
      </w:r>
      <w:r/>
    </w:p>
    <w:p>
      <w:pPr>
        <w:ind w:left="0" w:right="0" w:firstLine="480"/>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到建筑物拆除恢复及恢复、电梯基坑、土建安装、钢结构施工及措施费（安全文明施工、二次搬运、地上、地下设施、建筑物的临时保护设施、已完工程及设备保护、临时设施、脚手架、模板、机械吊装等）等所有费用均包含在投标报价内。</w:t>
      </w:r>
      <w:r/>
    </w:p>
    <w:p>
      <w:pPr>
        <w:ind w:left="0" w:right="0" w:firstLine="480"/>
        <w:jc w:val="both"/>
        <w:spacing w:before="0" w:after="0" w:line="85"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3、商品包装、快递包装政府采购需求标准（试行）</w:t>
      </w:r>
      <w:r/>
    </w:p>
    <w:p>
      <w:pPr>
        <w:ind w:left="0" w:right="0" w:firstLine="480"/>
        <w:jc w:val="both"/>
        <w:spacing w:before="0" w:after="0" w:line="85" w:lineRule="atLeast"/>
        <w:rPr>
          <w:rFonts w:hint="eastAsia"/>
          <w:b w:val="0"/>
          <w:bCs w:val="0"/>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为助力打好污染防治攻坚战，推广使用绿色包装，本项目涉及商品包装和快递包装的应符合财政部印发的《商品包装政府采购需求标准（试行）》、《快递包装政府采购需求标准（试行）》规定。</w:t>
      </w:r>
      <w:r/>
    </w:p>
    <w:p>
      <w:pPr>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pStyle w:val="793"/>
        <w:jc w:val="both"/>
        <w:spacing w:before="200"/>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t xml:space="preserve">           </w:t>
      </w:r>
      <w:r/>
    </w:p>
    <w:p>
      <w:pPr>
        <w:pStyle w:val="793"/>
        <w:jc w:val="both"/>
        <w:spacing w:before="200"/>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pStyle w:val="793"/>
        <w:jc w:val="both"/>
        <w:spacing w:before="200"/>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ascii="Calibri" w:hAnsi="Calibri" w:eastAsia="宋体" w:cs="Times New Roman"/>
          <w:b/>
          <w:color w:val="auto"/>
          <w:sz w:val="44"/>
          <w:szCs w:val="44"/>
          <w:highlight w:val="none"/>
          <w:lang w:val="en-US" w:eastAsia="zh-CN"/>
        </w:rPr>
      </w:pPr>
      <w:r>
        <w:rPr>
          <w:rFonts w:hint="eastAsia" w:ascii="Calibri" w:hAnsi="Calibri" w:eastAsia="宋体" w:cs="Times New Roman"/>
          <w:b/>
          <w:color w:val="auto"/>
          <w:sz w:val="44"/>
          <w:szCs w:val="44"/>
          <w:highlight w:val="none"/>
          <w:lang w:val="en-US" w:eastAsia="zh-CN"/>
        </w:rPr>
      </w:r>
      <w:r/>
    </w:p>
    <w:p>
      <w:pPr>
        <w:rPr>
          <w:rFonts w:hint="eastAsia"/>
          <w:lang w:val="en-US" w:eastAsia="zh-CN"/>
        </w:rPr>
      </w:pPr>
      <w:r>
        <w:rPr>
          <w:rFonts w:hint="eastAsia"/>
          <w:lang w:val="en-US" w:eastAsia="zh-CN"/>
        </w:rPr>
      </w:r>
      <w:r/>
    </w:p>
    <w:p>
      <w:pPr>
        <w:pStyle w:val="793"/>
        <w:ind w:firstLine="2209"/>
        <w:jc w:val="both"/>
        <w:spacing w:before="200"/>
        <w:rPr>
          <w:rFonts w:hint="eastAsia" w:ascii="Calibri" w:hAnsi="Calibri" w:eastAsia="宋体" w:cs="Times New Roman"/>
          <w:b/>
          <w:color w:val="auto"/>
          <w:sz w:val="44"/>
          <w:szCs w:val="44"/>
          <w:highlight w:val="none"/>
        </w:rPr>
      </w:pPr>
      <w:r>
        <w:rPr>
          <w:rFonts w:hint="eastAsia" w:ascii="Calibri" w:hAnsi="Calibri" w:eastAsia="宋体" w:cs="Times New Roman"/>
          <w:b/>
          <w:color w:val="auto"/>
          <w:sz w:val="44"/>
          <w:szCs w:val="44"/>
          <w:highlight w:val="none"/>
          <w:lang w:val="en-US" w:eastAsia="zh-CN"/>
        </w:rPr>
        <w:t xml:space="preserve"> </w:t>
      </w:r>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21"/>
      <w:r/>
      <w:bookmarkEnd w:id="122"/>
      <w:r/>
      <w:bookmarkEnd w:id="123"/>
      <w:r/>
      <w:bookmarkEnd w:id="124"/>
      <w:r/>
      <w:bookmarkEnd w:id="125"/>
      <w:r/>
      <w:bookmarkStart w:id="126" w:name="_Toc16938559"/>
      <w:r/>
      <w:bookmarkStart w:id="127" w:name="_Toc513029243"/>
      <w:r/>
      <w:bookmarkStart w:id="128" w:name="_Toc20823315"/>
      <w:r/>
      <w:r/>
    </w:p>
    <w:p>
      <w:pPr>
        <w:spacing w:line="4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31"/>
        <w:jc w:val="center"/>
        <w:rPr>
          <w:rFonts w:ascii="宋体" w:hAnsi="宋体" w:eastAsia="宋体" w:cs="宋体"/>
          <w:b/>
          <w:bCs/>
          <w:color w:val="auto"/>
          <w:spacing w:val="-20"/>
          <w:highlight w:val="none"/>
          <w:lang w:eastAsia="zh-CN"/>
        </w:rPr>
      </w:pPr>
      <w:r>
        <w:rPr>
          <w:rFonts w:ascii="宋体" w:hAnsi="宋体" w:eastAsia="宋体" w:cs="宋体"/>
          <w:b/>
          <w:bCs/>
          <w:color w:val="auto"/>
          <w:spacing w:val="-20"/>
          <w:highlight w:val="none"/>
          <w:lang w:eastAsia="zh-CN"/>
        </w:rPr>
      </w:r>
      <w:r/>
    </w:p>
    <w:p>
      <w:pPr>
        <w:pStyle w:val="831"/>
        <w:jc w:val="center"/>
        <w:rPr>
          <w:rFonts w:ascii="宋体" w:hAnsi="宋体" w:eastAsia="宋体" w:cs="宋体"/>
          <w:b/>
          <w:bCs/>
          <w:color w:val="auto"/>
          <w:spacing w:val="-20"/>
          <w:highlight w:val="none"/>
          <w:lang w:eastAsia="zh-CN"/>
        </w:rPr>
      </w:pPr>
      <w:r/>
      <w:bookmarkStart w:id="129" w:name="_Hlk187856708"/>
      <w:r/>
      <w:r/>
    </w:p>
    <w:p>
      <w:pPr>
        <w:pStyle w:val="831"/>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财政部 政府采购货物买卖合同（试行）</w:t>
      </w:r>
      <w:r/>
    </w:p>
    <w:p>
      <w:pPr>
        <w:pStyle w:val="831"/>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bookmarkEnd w:id="129"/>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hint="eastAsia" w:eastAsia="黑体"/>
          <w:color w:val="auto"/>
          <w:sz w:val="44"/>
          <w:szCs w:val="44"/>
          <w:highlight w:val="none"/>
        </w:rPr>
      </w:pPr>
      <w:r>
        <w:rPr>
          <w:rFonts w:hint="eastAsia" w:eastAsia="黑体"/>
          <w:color w:val="auto"/>
          <w:sz w:val="44"/>
          <w:szCs w:val="44"/>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560"/>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1.本合同标准文本适用于购买现成货物的采购项目，不包括需要供应商定制开发、创新研发的货物采购项目。</w:t>
      </w:r>
      <w:r/>
    </w:p>
    <w:p>
      <w:pPr>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rPr>
          <w:rFonts w:hint="eastAsia" w:ascii="黑体" w:hAnsi="黑体"/>
          <w:b/>
          <w:color w:val="auto"/>
          <w:sz w:val="28"/>
          <w:szCs w:val="28"/>
          <w:highlight w:val="none"/>
        </w:rPr>
      </w:pPr>
      <w:r>
        <w:rPr>
          <w:rFonts w:hint="eastAsia" w:ascii="黑体" w:hAnsi="黑体"/>
          <w:b/>
          <w:color w:val="auto"/>
          <w:sz w:val="28"/>
          <w:szCs w:val="28"/>
          <w:highlight w:val="none"/>
        </w:rPr>
      </w:r>
      <w:r/>
    </w:p>
    <w:p>
      <w:pPr>
        <w:pStyle w:val="794"/>
        <w:jc w:val="center"/>
        <w:spacing w:line="400" w:lineRule="exact"/>
        <w:rPr>
          <w:rFonts w:ascii="黑体" w:hAnsi="华文中宋"/>
          <w:b w:val="0"/>
          <w:color w:val="auto"/>
          <w:szCs w:val="32"/>
          <w:highlight w:val="none"/>
        </w:rPr>
      </w:pPr>
      <w:r>
        <w:rPr>
          <w:rFonts w:hint="eastAsia" w:ascii="黑体" w:hAnsi="黑体"/>
          <w:b w:val="0"/>
          <w:color w:val="auto"/>
          <w:szCs w:val="32"/>
          <w:highlight w:val="none"/>
        </w:rPr>
        <w:t xml:space="preserve">第一节 </w:t>
      </w:r>
      <w:r>
        <w:rPr>
          <w:rFonts w:hint="eastAsia" w:ascii="黑体" w:hAnsi="华文中宋"/>
          <w:b w:val="0"/>
          <w:color w:val="auto"/>
          <w:szCs w:val="32"/>
          <w:highlight w:val="none"/>
        </w:rPr>
        <w:t xml:space="preserve">政府采购合同协议书</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甲方（全称）：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（采购人、受采购人委托签订合同的单位或采购文件约定的合同甲方）</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乙方（全称）：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bookmarkStart w:id="130" w:name="_Hlk187832913"/>
      <w:r>
        <w:rPr>
          <w:rFonts w:hint="eastAsia" w:ascii="宋体" w:hAnsi="宋体"/>
          <w:color w:val="auto"/>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bookmarkEnd w:id="130"/>
      <w:r/>
      <w:r/>
    </w:p>
    <w:p>
      <w:pPr>
        <w:ind w:firstLine="482"/>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项目信息</w:t>
      </w:r>
      <w:r/>
    </w:p>
    <w:p>
      <w:pPr>
        <w:ind w:firstLine="480"/>
        <w:spacing w:line="400" w:lineRule="exact"/>
        <w:rPr>
          <w:rFonts w:ascii="Times New Roman" w:hAnsi="Times New Roman"/>
          <w:color w:val="auto"/>
          <w:sz w:val="24"/>
          <w:szCs w:val="24"/>
          <w:highlight w:val="none"/>
          <w:u w:val="single"/>
        </w:rPr>
      </w:pPr>
      <w:r/>
      <w:bookmarkStart w:id="131" w:name="_Hlk187833240"/>
      <w:r>
        <w:rPr>
          <w:rFonts w:ascii="Times New Roman" w:hAnsi="Times New Roman"/>
          <w:color w:val="auto"/>
          <w:sz w:val="24"/>
          <w:szCs w:val="24"/>
          <w:highlight w:val="none"/>
        </w:rPr>
        <w:t xml:space="preserve">（1）采购项目名称：</w:t>
      </w:r>
      <w:r>
        <w:rPr>
          <w:rFonts w:ascii="Times New Roman" w:hAnsi="Times New Roman"/>
          <w:color w:val="auto"/>
          <w:sz w:val="24"/>
          <w:szCs w:val="24"/>
          <w:highlight w:val="none"/>
          <w:u w:val="single"/>
        </w:rPr>
        <w:t xml:space="preserve">                                          </w:t>
      </w:r>
      <w:r/>
    </w:p>
    <w:p>
      <w:pPr>
        <w:ind w:firstLine="1185"/>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采购项目编号：</w:t>
      </w:r>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（2）采购计划编号：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（3）项目内容：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采购标的及数量（台/套/个/架/组等）：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品牌：                    规格型号：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采购标的的技术要求、商务要求具体见附件。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涉及信息类产品，请填写该产品关键部件的品牌、型号：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标的名称：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ascii="Times New Roman" w:hAnsi="Times New Roman"/>
          <w:color w:val="auto"/>
          <w:sz w:val="24"/>
          <w:szCs w:val="24"/>
          <w:highlight w:val="none"/>
        </w:rPr>
      </w:pPr>
      <w:r>
        <w:rPr>
          <w:rFonts w:ascii="Segoe UI Symbol" w:hAnsi="Segoe UI Symbol" w:cs="Segoe UI Symbol"/>
          <w:color w:val="auto"/>
          <w:sz w:val="24"/>
          <w:szCs w:val="24"/>
          <w:highlight w:val="none"/>
        </w:rPr>
        <w:t xml:space="preserve">②</w:t>
      </w:r>
      <w:r>
        <w:rPr>
          <w:rFonts w:ascii="Times New Roman" w:hAnsi="Times New Roman"/>
          <w:color w:val="auto"/>
          <w:sz w:val="24"/>
          <w:szCs w:val="24"/>
          <w:highlight w:val="none"/>
        </w:rPr>
        <w:t xml:space="preserve">涉及车辆采购，请填写是否属于新能源汽车：</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是，《政府采购品目分类目录》底级品目名称：      数量：     金额：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（4）政府采购组织形式：</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部门集中采购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分散采购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（5）政府采购方式：</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竞争性磋商</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单一来源</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框架协议</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其他：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（注：在框架协议采购的第二阶段，可选择使用该合同文本）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（6）中标采购标的制造商是否为中小企业：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若本项目不专门面向中小企业采购，是否给予小微企业评审优惠：</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中标采购标的制造商是否为残疾人福利性单位：</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中标采购标的制造商是否为监狱企业：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（7）合同是否分包：</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分包主要内容：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分包供应商/制造商名称（如供应商和制造商不同，请分别填写）：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分包供应商/制造商类型（如果供应商和制造商不同，只填写制造商类型）：</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小微型企业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残疾人福利性单位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监狱企业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其他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（8）中标（成交）供应商是否为外商投资企业：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外商投资企业类型：</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全部由外国投资者投资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部分由外国投资者投资</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（9）是否涉及进口产品：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是，《政府采购品目分类目录》底级品目名称：          金额：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国别：         品牌：         规格型号：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（10）是否涉及节能产品：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是，《节能产品政府采购品目清单》的底级品目名称：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是否涉及环境标志产品：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是，《环境标志产品政府采购品目清单》的底级品目名称：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是否涉及绿色产品：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是，绿色产品政府采购相关政策确定的底级品目名称：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不涉及</w:t>
      </w:r>
      <w:bookmarkEnd w:id="131"/>
      <w:r/>
      <w:r/>
    </w:p>
    <w:p>
      <w:pPr>
        <w:numPr>
          <w:ilvl w:val="0"/>
          <w:numId w:val="3"/>
        </w:numPr>
        <w:ind w:firstLine="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合同金额</w:t>
      </w:r>
      <w:r/>
    </w:p>
    <w:p>
      <w:pPr>
        <w:ind w:firstLine="480"/>
        <w:spacing w:line="400" w:lineRule="exact"/>
        <w:rPr>
          <w:rFonts w:ascii="宋体" w:hAnsi="宋体"/>
          <w:color w:val="auto"/>
          <w:sz w:val="24"/>
          <w:szCs w:val="24"/>
          <w:highlight w:val="none"/>
        </w:rPr>
      </w:pPr>
      <w:r/>
      <w:bookmarkStart w:id="132" w:name="_Hlk187833021"/>
      <w:r>
        <w:rPr>
          <w:rFonts w:hint="eastAsia" w:ascii="宋体" w:hAnsi="宋体"/>
          <w:color w:val="auto"/>
          <w:sz w:val="24"/>
          <w:szCs w:val="24"/>
          <w:highlight w:val="none"/>
        </w:rPr>
        <w:t xml:space="preserve">（1）合同金额小写：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bookmarkEnd w:id="132"/>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分包金额（如有）小写：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r/>
    </w:p>
    <w:p>
      <w:pPr>
        <w:ind w:firstLine="48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（注：固定单价合同应填写单价和最高限价）</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（2）合同定价方式（采用组合定价方式的，可以勾选多项）：</w:t>
      </w:r>
      <w:r/>
    </w:p>
    <w:p>
      <w:pPr>
        <w:ind w:firstLine="480"/>
        <w:spacing w:line="400" w:lineRule="exact"/>
        <w:rPr>
          <w:rFonts w:ascii="宋体" w:hAnsi="宋体"/>
          <w:color w:val="auto"/>
          <w:sz w:val="24"/>
          <w:szCs w:val="24"/>
          <w:highlight w:val="none"/>
        </w:rPr>
      </w:pPr>
      <w:r>
        <w:rPr>
          <w:rFonts w:hint="eastAsia" w:ascii="宋体" w:hAnsi="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固定单价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固定费率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绩效激励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其他</w:t>
      </w:r>
      <w:r>
        <w:rPr>
          <w:rFonts w:hint="eastAsia" w:ascii="宋体" w:hAnsi="宋体"/>
          <w:color w:val="auto"/>
          <w:sz w:val="24"/>
          <w:szCs w:val="24"/>
          <w:highlight w:val="none"/>
          <w:u w:val="single"/>
        </w:rPr>
        <w:t xml:space="preserve">       </w:t>
      </w:r>
      <w:r/>
    </w:p>
    <w:p>
      <w:pPr>
        <w:pStyle w:val="1203"/>
        <w:ind w:left="0" w:firstLine="480"/>
        <w:spacing w:line="400" w:lineRule="exact"/>
        <w:rPr>
          <w:color w:val="auto"/>
          <w:highlight w:val="none"/>
          <w:lang w:eastAsia="zh-CN"/>
        </w:rPr>
      </w:pPr>
      <w:r>
        <w:rPr>
          <w:rFonts w:hint="eastAsia" w:ascii="宋体" w:hAnsi="宋体"/>
          <w:color w:val="auto"/>
          <w:highlight w:val="none"/>
          <w:lang w:eastAsia="zh-CN"/>
        </w:rPr>
        <w:t xml:space="preserve">（3）付款方式（按项目实际勾选填写）：</w:t>
      </w:r>
      <w:r/>
    </w:p>
    <w:p>
      <w:pPr>
        <w:ind w:firstLine="48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（应明确一次性支付合同款项的条件）                    </w:t>
      </w:r>
      <w:r/>
    </w:p>
    <w:p>
      <w:pPr>
        <w:ind w:firstLine="480"/>
        <w:spacing w:line="400" w:lineRule="exact"/>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分期付款：</w:t>
      </w:r>
      <w:bookmarkStart w:id="133" w:name="_Hlk187834001"/>
      <w:r>
        <w:rPr>
          <w:rFonts w:hint="eastAsia" w:ascii="宋体" w:hAnsi="宋体" w:cs="Courier New"/>
          <w:color w:val="auto"/>
          <w:sz w:val="24"/>
          <w:szCs w:val="24"/>
          <w:highlight w:val="none"/>
        </w:rPr>
        <w:t xml:space="preserve">（应明确分期支付合同款项的各期比例和支付条件，各期支付条件应与分期履约验收情况挂钩）</w:t>
      </w:r>
      <w:r/>
    </w:p>
    <w:p>
      <w:pPr>
        <w:ind w:firstLine="48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（三）付款方式</w:t>
      </w:r>
      <w:r/>
    </w:p>
    <w:p>
      <w:pPr>
        <w:ind w:firstLine="480"/>
        <w:jc w:val="both"/>
        <w:spacing w:line="4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预付款，签订合同后支付合同总价款的30%；</w:t>
      </w:r>
      <w:r/>
    </w:p>
    <w:p>
      <w:pPr>
        <w:ind w:firstLine="480"/>
        <w:jc w:val="both"/>
        <w:spacing w:line="4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进度款：全部安装完毕付至合同价款的</w:t>
      </w:r>
      <w:r>
        <w:rPr>
          <w:rFonts w:hint="eastAsia" w:ascii="宋体" w:hAnsi="宋体" w:cs="宋体"/>
          <w:color w:val="auto"/>
          <w:sz w:val="24"/>
          <w:szCs w:val="22"/>
          <w:highlight w:val="none"/>
          <w:lang w:val="en-US" w:eastAsia="zh-CN" w:bidi="ar-SA"/>
        </w:rPr>
        <w:t xml:space="preserve">8</w:t>
      </w:r>
      <w:r>
        <w:rPr>
          <w:rFonts w:hint="eastAsia" w:ascii="宋体" w:hAnsi="宋体" w:eastAsia="宋体" w:cs="宋体"/>
          <w:color w:val="auto"/>
          <w:sz w:val="24"/>
          <w:szCs w:val="22"/>
          <w:highlight w:val="none"/>
          <w:lang w:val="en-US" w:eastAsia="zh-CN" w:bidi="ar-SA"/>
        </w:rPr>
        <w:t xml:space="preserve">0%，特种设备安全监督部门验收合格、取得“电梯使用登记标志”后付清余款。</w:t>
      </w:r>
      <w:r/>
    </w:p>
    <w:p>
      <w:pPr>
        <w:ind w:firstLine="480"/>
        <w:jc w:val="both"/>
        <w:spacing w:line="4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（1）可以采用数字人民币支付。</w:t>
      </w:r>
      <w:r/>
    </w:p>
    <w:p>
      <w:pPr>
        <w:ind w:firstLine="480"/>
        <w:jc w:val="both"/>
        <w:spacing w:line="4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（2）资金支付的时间：收到供应商发票10个工作日内。</w:t>
      </w:r>
      <w:r/>
    </w:p>
    <w:p>
      <w:pPr>
        <w:ind w:firstLine="480"/>
        <w:jc w:val="both"/>
        <w:spacing w:line="4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（3）资金支付的条件：满足相应阶段的要求且收到供应商发票。</w:t>
      </w:r>
      <w:r/>
    </w:p>
    <w:p>
      <w:pPr>
        <w:ind w:firstLine="480"/>
        <w:jc w:val="both"/>
        <w:spacing w:line="480" w:lineRule="exact"/>
        <w:widowControl w:val="off"/>
        <w:rPr>
          <w:rFonts w:hint="eastAsia" w:ascii="宋体" w:hAnsi="宋体" w:cs="Courier New"/>
          <w:color w:val="auto"/>
          <w:sz w:val="24"/>
          <w:szCs w:val="24"/>
          <w:highlight w:val="none"/>
        </w:rPr>
      </w:pPr>
      <w:r>
        <w:rPr>
          <w:rFonts w:hint="eastAsia" w:ascii="宋体" w:hAnsi="宋体" w:eastAsia="宋体" w:cs="宋体"/>
          <w:color w:val="auto"/>
          <w:sz w:val="24"/>
          <w:szCs w:val="22"/>
          <w:highlight w:val="none"/>
          <w:lang w:val="en-US" w:eastAsia="zh-CN" w:bidi="ar-SA"/>
        </w:rPr>
        <w:t xml:space="preserve">（4）在签订合同时，供应商明确表示无需预付款或者主动要求降低预付款比例的，采购人可不适用前述规定。</w:t>
      </w:r>
      <w:bookmarkEnd w:id="133"/>
      <w:r/>
      <w:r/>
    </w:p>
    <w:p>
      <w:pPr>
        <w:ind w:firstLine="48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      （应明确按照成本补偿方式的支付方式和支付条件）</w:t>
      </w:r>
      <w:r/>
    </w:p>
    <w:p>
      <w:pPr>
        <w:ind w:firstLine="480"/>
        <w:spacing w:line="400" w:lineRule="exact"/>
        <w:rPr>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      （应明确按照绩效激励方式的支付方式和支付条件）   </w:t>
      </w:r>
      <w:r/>
    </w:p>
    <w:p>
      <w:pPr>
        <w:ind w:left="482"/>
        <w:spacing w:line="400" w:lineRule="exact"/>
        <w:rPr>
          <w:rFonts w:ascii="Times New Roman" w:hAnsi="Times New Roman"/>
          <w:b/>
          <w:color w:val="auto"/>
          <w:sz w:val="24"/>
          <w:szCs w:val="24"/>
          <w:highlight w:val="none"/>
          <w:u w:val="single"/>
        </w:rPr>
      </w:pPr>
      <w:r/>
      <w:bookmarkStart w:id="134" w:name="_Hlk187834132"/>
      <w:r>
        <w:rPr>
          <w:rFonts w:ascii="Times New Roman" w:hAnsi="Times New Roman"/>
          <w:b/>
          <w:color w:val="auto"/>
          <w:sz w:val="24"/>
          <w:szCs w:val="24"/>
          <w:highlight w:val="none"/>
        </w:rPr>
        <w:t xml:space="preserve">2.合同履行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（1）起始日期：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日，完成日期：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w:t>
      </w:r>
      <w:r/>
    </w:p>
    <w:p>
      <w:pPr>
        <w:ind w:firstLine="48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（2）履约地点</w:t>
      </w:r>
      <w:r>
        <w:rPr>
          <w:rFonts w:ascii="Times New Roman" w:hAnsi="Times New Roman"/>
          <w:bCs/>
          <w:color w:val="auto"/>
          <w:sz w:val="24"/>
          <w:szCs w:val="24"/>
          <w:highlight w:val="none"/>
        </w:rPr>
        <w:t xml:space="preserve">：</w:t>
      </w:r>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（3）履约担保：</w:t>
      </w:r>
      <w:bookmarkStart w:id="135" w:name="_Hlk187834600"/>
      <w:r>
        <w:rPr>
          <w:rFonts w:ascii="Times New Roman" w:hAnsi="Times New Roman"/>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否(备注：选择否删除以下履约保证金相关条款，招标文件定稿后该备注删除。）</w:t>
      </w:r>
      <w:bookmarkEnd w:id="135"/>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履约保证金提交金额：按采购合同总价的</w:t>
      </w:r>
      <w:r>
        <w:rPr>
          <w:rFonts w:ascii="Times New Roman" w:hAnsi="Times New Roman"/>
          <w:bCs/>
          <w:color w:val="auto"/>
          <w:sz w:val="24"/>
          <w:szCs w:val="24"/>
          <w:highlight w:val="none"/>
          <w:u w:val="single"/>
        </w:rPr>
        <w:t xml:space="preserve"> </w:t>
      </w:r>
      <w:r>
        <w:rPr>
          <w:rFonts w:hint="eastAsia" w:ascii="Times New Roman" w:hAnsi="Times New Roman"/>
          <w:bCs/>
          <w:color w:val="auto"/>
          <w:sz w:val="24"/>
          <w:szCs w:val="24"/>
          <w:highlight w:val="none"/>
          <w:u w:val="single"/>
          <w:lang w:val="en-US" w:eastAsia="zh-CN"/>
        </w:rPr>
        <w:t xml:space="preserve">10</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 xml:space="preserve">%提交。</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履约保证金提交形式：履约保证金应在采购合同签订前提交，除银行电汇、网上银行、数字人民币外，</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还可选用银行保函、担保公司的保证担保或保险公司的保证保险等多种形式向采购人缴纳。</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支持和鼓励</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使用江苏政府采购电子履约保函（保险）代替缴纳履约保证金，</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如使用江苏政府采购电子履约保函（保险）的，可按采购合同总价的</w:t>
      </w:r>
      <w:r>
        <w:rPr>
          <w:rFonts w:ascii="Times New Roman" w:hAnsi="Times New Roman"/>
          <w:bCs/>
          <w:color w:val="auto"/>
          <w:sz w:val="24"/>
          <w:szCs w:val="24"/>
          <w:highlight w:val="none"/>
          <w:u w:val="single"/>
        </w:rPr>
        <w:t xml:space="preserve"> </w:t>
      </w:r>
      <w:r>
        <w:rPr>
          <w:rFonts w:hint="eastAsia" w:ascii="Times New Roman" w:hAnsi="Times New Roman"/>
          <w:bCs/>
          <w:color w:val="auto"/>
          <w:sz w:val="24"/>
          <w:szCs w:val="24"/>
          <w:highlight w:val="none"/>
          <w:u w:val="single"/>
          <w:lang w:val="en-US" w:eastAsia="zh-CN"/>
        </w:rPr>
        <w:t xml:space="preserve">6 </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 xml:space="preserve">%（应提交金额的6折）提交。</w:t>
      </w:r>
      <w:bookmarkStart w:id="136" w:name="_Hlk187853678"/>
      <w:r>
        <w:rPr>
          <w:rFonts w:ascii="Times New Roman" w:hAnsi="Times New Roman"/>
          <w:bCs/>
          <w:color w:val="auto"/>
          <w:sz w:val="24"/>
          <w:szCs w:val="24"/>
          <w:highlight w:val="none"/>
        </w:rPr>
        <w:t xml:space="preserve">办理流程、偿付等内容详见江苏政府采购网</w:t>
      </w: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保险保函</w:t>
      </w: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模块。</w:t>
      </w:r>
      <w:bookmarkEnd w:id="136"/>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履约保证金退还方式：以银行电汇、网上银行、数字人民币形式缴纳履约保证金的，退回至</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存款账户或数字人民币账户；以保函、担保、保险等形式缴纳履约保证金的，在保函、担保、保险约定的保证期限届满之日起自行失效。</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履约保证金退还条件：具有验收合格相关证明材料。</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履约保证金退还时间：</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收到</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退付申请后5个工作日内退还。</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履约保证金不予退还情形：除不可抗力外，</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不履行与采购人订立的采购合同的，履约保证金不予退还，给采购人造成的损失超过履约保证金数额的，还应对超过部分予以赔偿。</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逾期退还履约保证金违约责任：采购人逾期退还履约保证金的，除应退还履约保证金外，还应按中国人民银行同期贷款基准利率上浮20％后的利率支付超期资金占用费，但因供应商自身原因导致无法及时退还的除外。</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（4）分期履行要求：</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u w:val="single"/>
        </w:rPr>
      </w:pPr>
      <w:r>
        <w:rPr>
          <w:rFonts w:ascii="Times New Roman" w:hAnsi="Times New Roman"/>
          <w:bCs/>
          <w:color w:val="auto"/>
          <w:sz w:val="24"/>
          <w:szCs w:val="24"/>
          <w:highlight w:val="none"/>
        </w:rPr>
        <w:t xml:space="preserve">（5）风险处置措施和替代方案：</w:t>
      </w:r>
      <w:r>
        <w:rPr>
          <w:rFonts w:ascii="Times New Roman" w:hAnsi="Times New Roman"/>
          <w:color w:val="auto"/>
          <w:sz w:val="24"/>
          <w:szCs w:val="24"/>
          <w:highlight w:val="none"/>
          <w:u w:val="single"/>
        </w:rPr>
        <w:t xml:space="preserve">                                           </w:t>
      </w:r>
      <w:bookmarkEnd w:id="134"/>
      <w:r/>
      <w:r/>
    </w:p>
    <w:p>
      <w:pPr>
        <w:ind w:left="482"/>
        <w:spacing w:line="400" w:lineRule="exact"/>
        <w:rPr>
          <w:rFonts w:ascii="宋体" w:hAnsi="宋体"/>
          <w:b/>
          <w:color w:val="auto"/>
          <w:sz w:val="24"/>
          <w:szCs w:val="24"/>
          <w:highlight w:val="none"/>
        </w:rPr>
      </w:pPr>
      <w:r/>
      <w:bookmarkStart w:id="137" w:name="_Hlk187834828"/>
      <w:r>
        <w:rPr>
          <w:rFonts w:hint="eastAsia" w:ascii="宋体" w:hAnsi="宋体"/>
          <w:b/>
          <w:color w:val="auto"/>
          <w:sz w:val="24"/>
          <w:szCs w:val="24"/>
          <w:highlight w:val="none"/>
        </w:rPr>
        <w:t xml:space="preserve">3.合同验收</w:t>
      </w:r>
      <w:r/>
    </w:p>
    <w:p>
      <w:pPr>
        <w:numPr>
          <w:ilvl w:val="0"/>
          <w:numId w:val="4"/>
        </w:num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委托第三方组织</w:t>
      </w:r>
      <w:r/>
    </w:p>
    <w:p>
      <w:pPr>
        <w:ind w:left="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主体：</w:t>
      </w:r>
      <w:r>
        <w:rPr>
          <w:rFonts w:ascii="Times New Roman" w:hAnsi="Times New Roman"/>
          <w:bCs/>
          <w:color w:val="auto"/>
          <w:sz w:val="24"/>
          <w:szCs w:val="24"/>
          <w:highlight w:val="none"/>
          <w:u w:val="single"/>
        </w:rPr>
        <w:t xml:space="preserve">                  </w:t>
      </w:r>
      <w:r/>
    </w:p>
    <w:p>
      <w:pPr>
        <w:ind w:left="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是，抽查比例：</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w:t>
      </w:r>
      <w:r>
        <w:rPr>
          <w:rFonts w:ascii="Times New Roman" w:hAnsi="Times New Roman"/>
          <w:bCs/>
          <w:color w:val="auto"/>
          <w:sz w:val="24"/>
          <w:szCs w:val="24"/>
          <w:highlight w:val="none"/>
          <w:u w:val="single"/>
        </w:rPr>
        <w:t xml:space="preserve">（应明确对被破坏的检测产品的处理方式）</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验收组织的其他事项：</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（2）履约验收时间：</w:t>
      </w:r>
      <w:r>
        <w:rPr>
          <w:rFonts w:ascii="Times New Roman" w:hAnsi="Times New Roman"/>
          <w:bCs/>
          <w:color w:val="auto"/>
          <w:sz w:val="24"/>
          <w:szCs w:val="24"/>
          <w:highlight w:val="none"/>
          <w:u w:val="single"/>
        </w:rPr>
        <w:t xml:space="preserve">（计划于何时验收/供应商提出验收申请之日起   日内组织验收）</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（3）履约验收方式：</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一次性验收 </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分期/分项验收：</w:t>
      </w:r>
      <w:r>
        <w:rPr>
          <w:rFonts w:ascii="Times New Roman" w:hAnsi="Times New Roman"/>
          <w:bCs/>
          <w:color w:val="auto"/>
          <w:sz w:val="24"/>
          <w:szCs w:val="24"/>
          <w:highlight w:val="none"/>
          <w:u w:val="single"/>
        </w:rPr>
        <w:t xml:space="preserve">（应明确分期</w:t>
      </w:r>
      <w:r>
        <w:rPr>
          <w:rFonts w:ascii="Times New Roman" w:hAnsi="Times New Roman"/>
          <w:bCs/>
          <w:color w:val="auto"/>
          <w:sz w:val="24"/>
          <w:szCs w:val="24"/>
          <w:highlight w:val="none"/>
          <w:u w:val="single"/>
          <w:lang w:val="en"/>
        </w:rPr>
        <w:t xml:space="preserve">/分项验收的工作安排</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（4）履约验收程序：</w:t>
      </w:r>
      <w:r/>
    </w:p>
    <w:p>
      <w:pPr>
        <w:ind w:firstLine="480"/>
        <w:spacing w:line="400" w:lineRule="exact"/>
        <w:rPr>
          <w:rFonts w:ascii="Times New Roman" w:hAnsi="Times New Roman"/>
          <w:bCs/>
          <w:color w:val="auto"/>
          <w:sz w:val="24"/>
          <w:szCs w:val="24"/>
          <w:highlight w:val="none"/>
          <w:u w:val="single"/>
        </w:rPr>
      </w:pPr>
      <w:r>
        <w:rPr>
          <w:rFonts w:hint="eastAsia" w:ascii="Times New Roman" w:hAnsi="Times New Roman"/>
          <w:bCs/>
          <w:color w:val="auto"/>
          <w:sz w:val="24"/>
          <w:szCs w:val="24"/>
          <w:highlight w:val="none"/>
        </w:rPr>
        <w:t xml:space="preserve">履约验收条件达到时，采购人在5个工作日内启动履约验收工作，并向供应商发出《政府采购履约验收通知单》</w:t>
      </w:r>
      <w:r>
        <w:rPr>
          <w:rFonts w:hint="eastAsia" w:ascii="Times New Roman" w:hAnsi="Times New Roman"/>
          <w:bCs/>
          <w:color w:val="auto"/>
          <w:sz w:val="24"/>
          <w:szCs w:val="24"/>
          <w:highlight w:val="none"/>
          <w:u w:val="single"/>
        </w:rPr>
        <w:t xml:space="preserve">。</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验收小组制定验收工作实施方案，按照方案开展验收；履约验收工作结束后，验收小组应形成书面验收意见。</w:t>
      </w:r>
      <w:r/>
    </w:p>
    <w:p>
      <w:pPr>
        <w:ind w:firstLine="480"/>
        <w:spacing w:line="400" w:lineRule="exact"/>
        <w:rPr>
          <w:rFonts w:hint="eastAsia"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采购人、供应商对验收小组出具的验收意见进行确认，并形成政府采购履约验收书，验收书格式见江苏省财政厅印发的《政府采购履约验收书参考样本》。</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（5）履约验收的内容：</w:t>
      </w:r>
      <w:r>
        <w:rPr>
          <w:rFonts w:ascii="Times New Roman" w:hAnsi="Times New Roman"/>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（6）履约验收标准：</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hint="eastAsia"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（8）履约验收其他事项：</w:t>
      </w:r>
      <w:r>
        <w:rPr>
          <w:rFonts w:ascii="Times New Roman" w:hAnsi="Times New Roman"/>
          <w:bCs/>
          <w:color w:val="auto"/>
          <w:sz w:val="24"/>
          <w:szCs w:val="24"/>
          <w:highlight w:val="none"/>
          <w:u w:val="single"/>
        </w:rPr>
        <w:t xml:space="preserve">      （产权过户登记等）          </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4.组成合同的文件</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如下述文件之间有任何抵触、矛盾或歧义，应按以下顺序解释：</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（1）政府采购合同协议书及其变更、补充协议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（2）政府采购合同专用条款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（3）政府采购合同通用条款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（4）中标通知书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（5）投标文件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（6）采购文件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（7）有关技术文件，图纸</w:t>
      </w:r>
      <w:r/>
    </w:p>
    <w:p>
      <w:pPr>
        <w:pStyle w:val="1253"/>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（8）国家法律、行政法规和规章制度规定或合同约定的作为合同组成部分的其他文件</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5.合同生效</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生效。</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6.合同份数</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w:t>
      </w:r>
      <w:r>
        <w:rPr>
          <w:rFonts w:hint="eastAsia" w:ascii="宋体" w:hAnsi="宋体"/>
          <w:b/>
          <w:bCs/>
          <w:color w:val="auto"/>
          <w:sz w:val="24"/>
          <w:szCs w:val="24"/>
          <w:highlight w:val="none"/>
        </w:rPr>
        <w:t xml:space="preserve">纸质合同和双方在“苏采云”系统签订的电子合同</w:t>
      </w:r>
      <w:r>
        <w:rPr>
          <w:rFonts w:hint="eastAsia" w:ascii="宋体" w:hAnsi="宋体"/>
          <w:color w:val="auto"/>
          <w:sz w:val="24"/>
          <w:szCs w:val="24"/>
          <w:highlight w:val="none"/>
        </w:rPr>
        <w:t xml:space="preserve">均具有同等法律效力。</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bookmarkEnd w:id="137"/>
      <w:r/>
      <w:r/>
    </w:p>
    <w:p>
      <w:pPr>
        <w:ind w:firstLine="480"/>
        <w:spacing w:line="400" w:lineRule="exact"/>
        <w:rPr>
          <w:rFonts w:ascii="宋体" w:hAnsi="宋体"/>
          <w:color w:val="auto"/>
          <w:sz w:val="24"/>
          <w:szCs w:val="24"/>
          <w:highlight w:val="none"/>
        </w:rPr>
      </w:pPr>
      <w:r/>
      <w:bookmarkStart w:id="138" w:name="_Hlk187835227"/>
      <w:r>
        <w:rPr>
          <w:rFonts w:hint="eastAsia" w:ascii="宋体" w:hAnsi="宋体"/>
          <w:color w:val="auto"/>
          <w:sz w:val="24"/>
          <w:szCs w:val="24"/>
          <w:highlight w:val="none"/>
        </w:rPr>
        <w:t xml:space="preserve">附件：具体标的及其技术要求和商务要求、联合协议、分包意向协议等</w:t>
      </w:r>
      <w:r/>
    </w:p>
    <w:p>
      <w:pPr>
        <w:spacing w:line="400" w:lineRule="exact"/>
        <w:rPr>
          <w:rFonts w:hint="eastAsia"/>
          <w:color w:val="auto"/>
          <w:sz w:val="24"/>
          <w:szCs w:val="24"/>
          <w:highlight w:val="none"/>
        </w:rPr>
      </w:pPr>
      <w:r>
        <w:rPr>
          <w:rFonts w:hint="eastAsia"/>
          <w:color w:val="auto"/>
          <w:sz w:val="24"/>
          <w:szCs w:val="24"/>
          <w:highlight w:val="none"/>
        </w:rPr>
      </w:r>
      <w:r/>
    </w:p>
    <w:tbl>
      <w:tblPr>
        <w:tblStyle w:val="763"/>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3518"/>
        <w:gridCol w:w="1164"/>
        <w:gridCol w:w="3245"/>
      </w:tblGrid>
      <w:tr>
        <w:trPr>
          <w:trHeight w:val="490"/>
        </w:trPr>
        <w:tc>
          <w:tcPr>
            <w:gridSpan w:val="2"/>
            <w:tcW w:w="474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甲方</w:t>
            </w:r>
            <w:r>
              <w:rPr>
                <w:rFonts w:hint="eastAsia" w:ascii="宋体" w:hAnsi="宋体"/>
                <w:color w:val="auto"/>
                <w:sz w:val="24"/>
                <w:szCs w:val="24"/>
                <w:highlight w:val="none"/>
              </w:rPr>
              <w:t xml:space="preserve">（采购人、受采购人委托签订合同的单位或采购文件约定的合同甲方）</w:t>
            </w:r>
            <w:r/>
          </w:p>
        </w:tc>
        <w:tc>
          <w:tcPr>
            <w:gridSpan w:val="2"/>
            <w:tcW w:w="4517"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（供应商）</w:t>
            </w:r>
            <w:r/>
          </w:p>
        </w:tc>
      </w:tr>
      <w:tr>
        <w:trPr>
          <w:trHeight w:val="917"/>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单位名称</w:t>
            </w:r>
            <w:r>
              <w:rPr>
                <w:rFonts w:hint="eastAsia" w:ascii="宋体" w:hAnsi="宋体"/>
                <w:color w:val="auto"/>
                <w:sz w:val="24"/>
                <w:szCs w:val="24"/>
                <w:highlight w:val="none"/>
              </w:rPr>
              <w:t xml:space="preserve">（公章或合同章）</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单位名称</w:t>
            </w:r>
            <w:r>
              <w:rPr>
                <w:rFonts w:hint="eastAsia" w:ascii="宋体" w:hAnsi="宋体"/>
                <w:color w:val="auto"/>
                <w:sz w:val="24"/>
                <w:szCs w:val="24"/>
                <w:highlight w:val="none"/>
              </w:rPr>
              <w:t xml:space="preserve">（公章或合同章）</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1171"/>
        </w:trPr>
        <w:tc>
          <w:tcPr>
            <w:tcW w:w="1126" w:type="dxa"/>
            <w:vAlign w:val="center"/>
            <w:vMerge w:val="restart"/>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法定代表人</w:t>
            </w:r>
            <w:r/>
          </w:p>
          <w:p>
            <w:pPr>
              <w:ind w:firstLine="115"/>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或其</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（签章）</w:t>
            </w:r>
            <w:r/>
          </w:p>
        </w:tc>
        <w:tc>
          <w:tcPr>
            <w:tcW w:w="1436" w:type="dxa"/>
            <w:vAlign w:val="center"/>
            <w:vMerge w:val="restart"/>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法定代表人</w:t>
            </w:r>
            <w:r/>
          </w:p>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或其</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（签章）</w:t>
            </w:r>
            <w:r/>
          </w:p>
        </w:tc>
        <w:tc>
          <w:tcPr>
            <w:tcW w:w="1259"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r>
      <w:tr>
        <w:trPr>
          <w:trHeight w:val="483"/>
        </w:trPr>
        <w:tc>
          <w:tcPr>
            <w:tcW w:w="1126" w:type="dxa"/>
            <w:vAlign w:val="center"/>
            <w:vMerge w:val="continue"/>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vMerge w:val="continue"/>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拥有者性别</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住  所</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住  所</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 系 人</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 系 人</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联系电话</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联系电话</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邮政编码</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邮政编码</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电子邮箱</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电子邮箱</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开户名称</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开户银行</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银行账号</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586"/>
        </w:trPr>
        <w:tc>
          <w:tcPr>
            <w:gridSpan w:val="4"/>
            <w:tcW w:w="9263" w:type="dxa"/>
            <w:vAlign w:val="center"/>
            <w:textDirection w:val="lrTb"/>
            <w:noWrap w:val="false"/>
          </w:tcPr>
          <w:p>
            <w:pPr>
              <w:pStyle w:val="832"/>
              <w:spacing w:before="120" w:line="360" w:lineRule="auto"/>
              <w:rPr>
                <w:rFonts w:ascii="宋体" w:hAnsi="宋体" w:eastAsia="宋体"/>
                <w:color w:val="auto"/>
                <w:spacing w:val="20"/>
                <w:sz w:val="24"/>
                <w:szCs w:val="24"/>
                <w:highlight w:val="none"/>
              </w:rPr>
            </w:pPr>
            <w:r>
              <w:rPr>
                <w:rFonts w:hint="eastAsia" w:ascii="宋体" w:hAnsi="宋体" w:eastAsia="宋体"/>
                <w:color w:val="auto"/>
                <w:sz w:val="24"/>
                <w:szCs w:val="24"/>
                <w:highlight w:val="none"/>
              </w:rPr>
              <w:t xml:space="preserve">注：涉及联合体或其他合同主体的信息应按上表格式加列。</w:t>
            </w:r>
            <w:bookmarkEnd w:id="138"/>
            <w:r/>
            <w:r/>
          </w:p>
        </w:tc>
      </w:tr>
    </w:tbl>
    <w:p>
      <w:pPr>
        <w:pStyle w:val="794"/>
        <w:jc w:val="center"/>
        <w:spacing w:before="120"/>
        <w:rPr>
          <w:rFonts w:ascii="黑体" w:hAnsi="黑体"/>
          <w:color w:val="auto"/>
          <w:szCs w:val="32"/>
          <w:highlight w:val="none"/>
        </w:rPr>
      </w:pPr>
      <w:r>
        <w:rPr>
          <w:rFonts w:hint="eastAsia" w:ascii="黑体" w:hAnsi="黑体"/>
          <w:b w:val="0"/>
          <w:color w:val="auto"/>
          <w:szCs w:val="32"/>
          <w:highlight w:val="none"/>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1. </w:t>
      </w:r>
      <w:r>
        <w:rPr>
          <w:rFonts w:ascii="Times New Roman" w:hAnsi="Times New Roman"/>
          <w:b/>
          <w:bCs/>
          <w:color w:val="auto"/>
          <w:sz w:val="24"/>
          <w:szCs w:val="24"/>
          <w:highlight w:val="none"/>
        </w:rPr>
        <w:t xml:space="preserve">定义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1.1合同当事人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（3）其他合同主体是指除采购人和供应商以外，</w:t>
      </w:r>
      <w:r>
        <w:rPr>
          <w:rFonts w:ascii="Times New Roman" w:hAnsi="Times New Roman"/>
          <w:bCs/>
          <w:color w:val="auto"/>
          <w:sz w:val="24"/>
          <w:szCs w:val="24"/>
          <w:highlight w:val="none"/>
        </w:rPr>
        <w:t xml:space="preserve">依法参与合同缔结或履行，享有权利、承担义务的合同当事人</w:t>
      </w:r>
      <w:r>
        <w:rPr>
          <w:rFonts w:ascii="Times New Roman" w:hAnsi="Times New Roman"/>
          <w:color w:val="auto"/>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1.2本合同下列术语应解释为：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（1）“合同”系指</w:t>
      </w:r>
      <w:r>
        <w:rPr>
          <w:rFonts w:ascii="Times New Roman" w:hAnsi="Times New Roman"/>
          <w:bCs/>
          <w:color w:val="auto"/>
          <w:sz w:val="24"/>
          <w:szCs w:val="24"/>
          <w:highlight w:val="none"/>
        </w:rPr>
        <w:t xml:space="preserve">合同当事人意思表示达成一致的任何协议，包括签署的</w:t>
      </w:r>
      <w:r>
        <w:rPr>
          <w:rFonts w:ascii="Times New Roman" w:hAnsi="Times New Roman"/>
          <w:color w:val="auto"/>
          <w:sz w:val="24"/>
          <w:szCs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ascii="宋体" w:hAnsi="宋体"/>
          <w:color w:val="auto"/>
          <w:sz w:val="24"/>
          <w:szCs w:val="24"/>
          <w:highlight w:val="none"/>
        </w:rPr>
        <w:t xml:space="preserve">“货物”系指乙方根据本合同规定须向甲方提供的各种形态和种类的物品，包括原材料、设备、产品（包括软件）及相关</w:t>
      </w:r>
      <w:r>
        <w:rPr>
          <w:rFonts w:hint="eastAsia" w:ascii="宋体" w:hAnsi="宋体"/>
          <w:color w:val="auto"/>
          <w:sz w:val="24"/>
          <w:szCs w:val="24"/>
          <w:highlight w:val="none"/>
          <w:lang w:eastAsia="zh-CN"/>
        </w:rPr>
        <w:t xml:space="preserve">的</w:t>
      </w:r>
      <w:r>
        <w:rPr>
          <w:rFonts w:ascii="宋体" w:hAnsi="宋体"/>
          <w:color w:val="auto"/>
          <w:sz w:val="24"/>
          <w:szCs w:val="24"/>
          <w:highlight w:val="none"/>
        </w:rPr>
        <w:t xml:space="preserve">备品备件、工具、手册及</w:t>
      </w:r>
      <w:r>
        <w:rPr>
          <w:rFonts w:ascii="宋体" w:hAnsi="宋体"/>
          <w:color w:val="auto"/>
          <w:sz w:val="24"/>
          <w:szCs w:val="24"/>
          <w:highlight w:val="none"/>
          <w:lang w:val="en"/>
        </w:rPr>
        <w:t xml:space="preserve">其他</w:t>
      </w:r>
      <w:r>
        <w:rPr>
          <w:rFonts w:ascii="宋体" w:hAnsi="宋体"/>
          <w:color w:val="auto"/>
          <w:sz w:val="24"/>
          <w:szCs w:val="24"/>
          <w:highlight w:val="none"/>
        </w:rPr>
        <w:t xml:space="preserve">技术资料</w:t>
      </w:r>
      <w:r>
        <w:rPr>
          <w:rFonts w:ascii="Times New Roman" w:hAnsi="Times New Roman"/>
          <w:color w:val="auto"/>
          <w:sz w:val="24"/>
          <w:szCs w:val="24"/>
          <w:highlight w:val="none"/>
        </w:rPr>
        <w:t xml:space="preserve">和材料等。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（4）“相关服务”系指根据合同规定，乙方应提供的与货物有关的技术、管理和</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服务，包括但不限于：管理和质量保证、运输、保险、检验、现场准备、安装、集成、调试、培训、维修、废弃处置、技术支持等以及合同中规定乙方应承担的</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（7）其他术语解释，见【</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w:t>
      </w:r>
      <w:r/>
    </w:p>
    <w:p>
      <w:pPr>
        <w:numPr>
          <w:ilvl w:val="0"/>
          <w:numId w:val="5"/>
        </w:numPr>
        <w:ind w:firstLine="482"/>
        <w:spacing w:line="400" w:lineRule="exact"/>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合同标的及金额</w:t>
      </w:r>
      <w:r/>
    </w:p>
    <w:p>
      <w:pPr>
        <w:ind w:firstLine="480"/>
        <w:spacing w:line="400" w:lineRule="exact"/>
        <w:rPr>
          <w:rFonts w:ascii="Times New Roman" w:hAnsi="Times New Roman"/>
          <w:b/>
          <w:bCs/>
          <w:i/>
          <w:iCs/>
          <w:color w:val="auto"/>
          <w:sz w:val="24"/>
          <w:szCs w:val="24"/>
          <w:highlight w:val="none"/>
        </w:rPr>
      </w:pPr>
      <w:r>
        <w:rPr>
          <w:rFonts w:ascii="Times New Roman" w:hAnsi="Times New Roman"/>
          <w:color w:val="auto"/>
          <w:sz w:val="24"/>
          <w:szCs w:val="24"/>
          <w:highlight w:val="none"/>
        </w:rPr>
        <w:t xml:space="preserve">2.1 合同标的及金额应与中标（成交）结果一致。乙方为履行本合同而发生的所有费用均应包含在合同价款中，甲方不再另行支付</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任何费用。</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3. 履行合同的时间、地点和方式</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 乙方应当在约定的时间、地点，按照约定方式履行合同。</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4. 甲方的权利和义务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ascii="Times New Roman" w:hAnsi="Times New Roman" w:eastAsia="华文楷体"/>
          <w:color w:val="auto"/>
          <w:sz w:val="24"/>
          <w:szCs w:val="24"/>
          <w:highlight w:val="none"/>
        </w:rPr>
      </w:pPr>
      <w:r>
        <w:rPr>
          <w:rFonts w:ascii="Times New Roman" w:hAnsi="Times New Roman"/>
          <w:color w:val="auto"/>
          <w:sz w:val="24"/>
          <w:szCs w:val="24"/>
          <w:highlight w:val="none"/>
        </w:rPr>
        <w:t xml:space="preserve">4.4 甲方应当按照合同约定及时对交付的货物进行验收，未在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约定的期限内对乙方履约提出任何异议或者向乙方作出任何说明的，视为验收通过。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4.5 甲方应当根据合同约定及时向乙方支付合同价款，不得以内部人员变更、履行内部付款流程等为由，拒绝或迟延支付。</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4.6 国家法律法规规定及</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约定应由甲方承担的其他义务和责任。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5. 乙方的权利和义务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5.1 签署合同后，乙方应确定项目负责人（或项目联系人），负责与本合同有关的事务。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5.3乙方有权根据合同约定向甲方收取合同价款。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5.4国家法律法规规定及</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约定应由乙方承担的其他义务和责任。</w:t>
      </w:r>
      <w:r/>
    </w:p>
    <w:p>
      <w:pPr>
        <w:numPr>
          <w:ilvl w:val="0"/>
          <w:numId w:val="6"/>
        </w:num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合同履行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6.1 甲乙双方应当按照</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约定顺序履行合同义务；如果没有先后顺序的，应当同时履行。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7. 货物包装、运输、保险和交付要求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7.1 本合同</w:t>
      </w:r>
      <w:r>
        <w:rPr>
          <w:rFonts w:ascii="Times New Roman" w:hAnsi="Times New Roman"/>
          <w:bCs/>
          <w:color w:val="auto"/>
          <w:sz w:val="24"/>
          <w:szCs w:val="24"/>
          <w:highlight w:val="none"/>
        </w:rPr>
        <w:t xml:space="preserve">涉及商品包装、快递包装的，</w:t>
      </w:r>
      <w:r>
        <w:rPr>
          <w:rFonts w:ascii="Times New Roman" w:hAnsi="Times New Roman"/>
          <w:color w:val="auto"/>
          <w:sz w:val="24"/>
          <w:szCs w:val="24"/>
          <w:highlight w:val="none"/>
        </w:rPr>
        <w:t xml:space="preserve">除</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另有约定外，</w:t>
      </w:r>
      <w:r>
        <w:rPr>
          <w:rFonts w:ascii="Times New Roman" w:hAnsi="Times New Roman"/>
          <w:color w:val="auto"/>
          <w:sz w:val="24"/>
          <w:szCs w:val="24"/>
          <w:highlight w:val="none"/>
        </w:rPr>
        <w:t xml:space="preserve">包装应适应远距离运输、防潮、防震、防锈和防野蛮装卸等要求，确保货物安全无损地运抵</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约定的</w:t>
      </w:r>
      <w:r>
        <w:rPr>
          <w:rFonts w:ascii="Times New Roman" w:hAnsi="Times New Roman"/>
          <w:color w:val="auto"/>
          <w:sz w:val="24"/>
          <w:szCs w:val="24"/>
          <w:highlight w:val="none"/>
        </w:rPr>
        <w:t xml:space="preserve">指定现场。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7.2 除</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另有约定外，</w:t>
      </w:r>
      <w:r>
        <w:rPr>
          <w:rFonts w:ascii="Times New Roman" w:hAnsi="Times New Roman"/>
          <w:color w:val="auto"/>
          <w:sz w:val="24"/>
          <w:szCs w:val="24"/>
          <w:highlight w:val="none"/>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7.3 货物保险要求按</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规定执行</w:t>
      </w:r>
      <w:r>
        <w:rPr>
          <w:rFonts w:ascii="Times New Roman" w:hAnsi="Times New Roman"/>
          <w:color w:val="auto"/>
          <w:sz w:val="24"/>
          <w:szCs w:val="24"/>
          <w:highlight w:val="none"/>
        </w:rPr>
        <w:t xml:space="preserve">。</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7.5 乙方在运输到达之前应提前通知甲方，并提示货物运输装卸的注意事项，甲方配合乙方做好货物的接收工作。</w:t>
      </w:r>
      <w:r/>
    </w:p>
    <w:p>
      <w:pPr>
        <w:pStyle w:val="1253"/>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8. 质量标准和保证</w:t>
      </w:r>
      <w:r/>
    </w:p>
    <w:p>
      <w:pPr>
        <w:pStyle w:val="837"/>
        <w:ind w:firstLine="480"/>
        <w:spacing w:line="400" w:lineRule="exact"/>
        <w:rPr>
          <w:rFonts w:ascii="Times New Roman" w:hAnsi="Times New Roman" w:cs="Times New Roman"/>
          <w:b/>
          <w:color w:val="auto"/>
          <w:sz w:val="24"/>
          <w:szCs w:val="24"/>
          <w:highlight w:val="none"/>
        </w:rPr>
      </w:pPr>
      <w:r>
        <w:rPr>
          <w:rFonts w:ascii="Times New Roman" w:hAnsi="Times New Roman" w:cs="Times New Roman"/>
          <w:color w:val="auto"/>
          <w:sz w:val="24"/>
          <w:szCs w:val="24"/>
          <w:highlight w:val="none"/>
        </w:rPr>
        <w:t xml:space="preserve">8.1 质量标准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7"/>
        <w:ind w:firstLine="480"/>
        <w:spacing w:line="4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（2）采用中华人民共和国法定计量单位。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（3）乙方所提供的货物应符合国家有关安全、环保、卫生的规定。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8.2 保证</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规定或乙方书面承诺（两者以较长的为准）的质量保证期内，本保证保持有效。</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（2）在质量保证期内所发现的缺陷，甲方应尽快以书面形式通知乙方。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（3）乙方收到通知后，应在</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规定的响应时间内以合理的速度免费维修或更换有缺陷的货物或部件。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9. 权利瑕疵担保</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9.1 乙方保证对其出售的货物享有合法的权利。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9.2 乙方保证在交付的货物上不存在抵押权等担保物权。</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9.3 如甲方使用上述货物构成对第三人侵权的，则由乙方承担全部责任。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10. 知识产权保护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11. 保密义务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中约定。</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12. 合同价款支付</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12.1 合同价款支付按照国库集中支付制度及财政管理相关规定执行。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】中约定。</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13. 履约保证金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13.1 乙方应当以支票、汇票、本票或者金融机构、担保机构出具的保函等非现金形式提交。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13.2 如果乙方出现</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13.3 甲方在项目通过验收后按照</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规定的时间内将履约保证金退还乙方；逾期退还的，乙方可要求甲方支付违约金，违约金按照</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规定支付。</w:t>
      </w:r>
      <w:r/>
    </w:p>
    <w:p>
      <w:pPr>
        <w:ind w:firstLine="482"/>
        <w:spacing w:line="400" w:lineRule="exact"/>
        <w:rPr>
          <w:rFonts w:ascii="Times New Roman" w:hAnsi="Times New Roman"/>
          <w:b/>
          <w:color w:val="auto"/>
          <w:sz w:val="24"/>
          <w:szCs w:val="24"/>
          <w:highlight w:val="none"/>
        </w:rPr>
      </w:pPr>
      <w:r>
        <w:rPr>
          <w:rFonts w:ascii="Times New Roman" w:hAnsi="Times New Roman"/>
          <w:b/>
          <w:bCs/>
          <w:color w:val="auto"/>
          <w:sz w:val="24"/>
          <w:szCs w:val="24"/>
          <w:highlight w:val="none"/>
        </w:rPr>
        <w:t xml:space="preserve">14. </w:t>
      </w:r>
      <w:r>
        <w:rPr>
          <w:rFonts w:ascii="Times New Roman" w:hAnsi="Times New Roman"/>
          <w:b/>
          <w:color w:val="auto"/>
          <w:sz w:val="24"/>
          <w:szCs w:val="24"/>
          <w:highlight w:val="none"/>
        </w:rPr>
        <w:t xml:space="preserve">售后服务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14.1 除项目不涉及或采购活动中明确约定无须承担外，乙方还应提供下列服务：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（1）货物的现场移动、安装、调试、启动监督及技术支持；</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（2）提供货物组装和维修所需的专用工具和辅助材料；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（4）在制造商所在地或指定现场就货物的安装、启动、运营、维护、废弃处置等对甲方操作人员进行培训；</w:t>
      </w:r>
      <w:r/>
    </w:p>
    <w:p>
      <w:pPr>
        <w:pStyle w:val="1253"/>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（5）依照法律、行政法规的规定或者按照</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约定，货物在有效使用年限届满后应予回收的，乙方有自行或委托第三人对货物予以回收的义务；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规定由乙方提供的其他服务。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 乙方提供的售后服务的费用已包含在合同价款中，甲方不再另行支付。</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15. 违约责任</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15.1质量瑕疵的违约责任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乙方提供的产品不符合合同约定的质量标准或存在产品质量缺陷，甲方有权要求乙方根据</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要求</w:t>
      </w:r>
      <w:r>
        <w:rPr>
          <w:rFonts w:ascii="Times New Roman" w:hAnsi="Times New Roman"/>
          <w:color w:val="auto"/>
          <w:sz w:val="24"/>
          <w:szCs w:val="24"/>
          <w:highlight w:val="none"/>
        </w:rPr>
        <w:t xml:space="preserve">及时修理、重作、更换，并承担由此给甲方造成的损失。</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15.2 迟延交货的违约责任</w:t>
      </w:r>
      <w:r/>
    </w:p>
    <w:p>
      <w:pPr>
        <w:ind w:firstLine="480"/>
        <w:spacing w:line="40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15.3 迟延支付的违约责任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甲方存在迟延支付乙方合同款项的，应当承担</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规定的逾期付款利息。</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15.4其他违约责任根据项目实际需要按</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规定执行。</w:t>
      </w:r>
      <w:r/>
    </w:p>
    <w:p>
      <w:pPr>
        <w:numPr>
          <w:ilvl w:val="0"/>
          <w:numId w:val="7"/>
        </w:num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合同变更、中止与终止</w:t>
      </w:r>
      <w:r/>
    </w:p>
    <w:p>
      <w:pPr>
        <w:ind w:left="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16.1合同的变更</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16.2合同的中止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（1）合同履行过程中因供应商就采购文件、采购过程或结果提起投诉的，甲方认为有必要的，可以中止合同的履行。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（2）合同履行过程中，如果乙方出现以下情形之一的：</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1.</w:t>
      </w:r>
      <w:r>
        <w:rPr>
          <w:rFonts w:ascii="Times New Roman" w:hAnsi="Times New Roman"/>
          <w:color w:val="auto"/>
          <w:sz w:val="24"/>
          <w:szCs w:val="24"/>
          <w:highlight w:val="none"/>
        </w:rPr>
        <w:t xml:space="preserve">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53"/>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（4）甲方不得以行政区划调整、政府换届、机构或者职能调整以及相关责任人更替为由中止合同。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16.3合同的终止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（1）合同因有效期限届满而终止；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（2）乙方未按合同约定履行，构成根本性违约的，甲方有权终止合同，并追究乙方的违约责任。</w:t>
      </w:r>
      <w:r/>
    </w:p>
    <w:p>
      <w:pPr>
        <w:pStyle w:val="1253"/>
        <w:ind w:firstLine="480"/>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16.4 </w:t>
      </w:r>
      <w:r>
        <w:rPr>
          <w:rFonts w:ascii="Times New Roman" w:hAnsi="Times New Roman" w:eastAsia="宋体" w:cs="Times New Roman"/>
          <w:color w:val="auto"/>
          <w:sz w:val="24"/>
          <w:szCs w:val="24"/>
          <w:highlight w:val="none"/>
        </w:rPr>
        <w:t xml:space="preserve">涉及国家利益、社会公共利益的情形</w:t>
      </w:r>
      <w:r/>
    </w:p>
    <w:p>
      <w:pPr>
        <w:pStyle w:val="1253"/>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17. 合同分包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17.1 乙方不得将合同转包给其他供应商。涉及合同分包的，乙方应根据采购文件和投标（响应）文件规定进行合同分包。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18. 不可抗力</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18.1 不可抗力是指合同双方不能预见、不能避免且不能克服的客观情况。</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19. 解决争议的方法</w:t>
      </w:r>
      <w:r/>
    </w:p>
    <w:p>
      <w:pPr>
        <w:pStyle w:val="1253"/>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53"/>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19.2 选择仲裁的，应在</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中明确仲裁机构及仲裁地；通过诉讼方式解决的，可以在</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中进一步约定选择与争议有实际联系的地点的人民法院管辖，但管辖法院的约定不得违反级别管辖和专属管辖的规定。</w:t>
      </w:r>
      <w:r/>
    </w:p>
    <w:p>
      <w:pPr>
        <w:pStyle w:val="1253"/>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19.3 如甲乙双方有争议的事项不影响合同其他部分的履行，在争议解决期间，合同其他部分应当继续履行。</w:t>
      </w:r>
      <w:r/>
    </w:p>
    <w:p>
      <w:pPr>
        <w:ind w:firstLine="482"/>
        <w:spacing w:line="400" w:lineRule="exact"/>
        <w:rPr>
          <w:rFonts w:ascii="Times New Roman" w:hAnsi="Times New Roman"/>
          <w:color w:val="auto"/>
          <w:sz w:val="24"/>
          <w:szCs w:val="24"/>
          <w:highlight w:val="none"/>
        </w:rPr>
      </w:pPr>
      <w:r>
        <w:rPr>
          <w:rFonts w:ascii="Times New Roman" w:hAnsi="Times New Roman"/>
          <w:b/>
          <w:color w:val="auto"/>
          <w:sz w:val="24"/>
          <w:szCs w:val="24"/>
          <w:highlight w:val="none"/>
        </w:rPr>
        <w:t xml:space="preserve">20. 政府采购政策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20.1 </w:t>
      </w:r>
      <w:r>
        <w:rPr>
          <w:rFonts w:ascii="Times New Roman" w:hAnsi="Times New Roman"/>
          <w:color w:val="auto"/>
          <w:sz w:val="24"/>
          <w:szCs w:val="24"/>
          <w:highlight w:val="none"/>
          <w:lang w:val="en-GB"/>
        </w:rPr>
        <w:t xml:space="preserve">本合同按照规定执行政府采购政策。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20.2 本合同依法执行政府采购政策的方式和内容，属于合同履约验收的范围。甲乙双方</w:t>
      </w:r>
      <w:r>
        <w:rPr>
          <w:rFonts w:ascii="Times New Roman" w:hAnsi="Times New Roman"/>
          <w:color w:val="auto"/>
          <w:sz w:val="24"/>
          <w:szCs w:val="24"/>
          <w:highlight w:val="none"/>
          <w:lang w:val="en-GB"/>
        </w:rPr>
        <w:t xml:space="preserve">未按规定要求执行政府采购政策造成损失的</w:t>
      </w:r>
      <w:r>
        <w:rPr>
          <w:rFonts w:ascii="Times New Roman" w:hAnsi="Times New Roman"/>
          <w:color w:val="auto"/>
          <w:sz w:val="24"/>
          <w:szCs w:val="24"/>
          <w:highlight w:val="none"/>
        </w:rPr>
        <w:t xml:space="preserve">，有过错的一方应当承担赔偿责任，双方都有过错的，各自承担相应的责任。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21. 法律适用</w:t>
      </w:r>
      <w:r/>
    </w:p>
    <w:p>
      <w:pPr>
        <w:pStyle w:val="1253"/>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21.1 本合同的订立、生效、解释、履行及与本合同有关的争议解决，均适用法律、行政法规。</w:t>
      </w:r>
      <w:r/>
    </w:p>
    <w:p>
      <w:pPr>
        <w:pStyle w:val="1253"/>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22. 通知</w:t>
      </w:r>
      <w:r/>
    </w:p>
    <w:p>
      <w:pPr>
        <w:pStyle w:val="1253"/>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253"/>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22.3本合同一方给另一方的通知均应采用书面形式，传真或快递送到本合同中规定的对方的地址和办理签收手续。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22.4通知以送达之日或通知书中规定的生效之日起生效，两者中以较迟之日为准。</w:t>
      </w:r>
      <w:r/>
    </w:p>
    <w:p>
      <w:pPr>
        <w:numPr>
          <w:ilvl w:val="0"/>
          <w:numId w:val="8"/>
        </w:num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合同未尽事项</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23.1合同未尽事项见</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w:t>
      </w:r>
      <w:r/>
    </w:p>
    <w:p>
      <w:pPr>
        <w:ind w:firstLine="480"/>
        <w:spacing w:line="400" w:lineRule="exact"/>
        <w:rPr>
          <w:rFonts w:ascii="黑体" w:hAnsi="华文中宋" w:eastAsia="黑体"/>
          <w:color w:val="auto"/>
          <w:sz w:val="24"/>
          <w:szCs w:val="24"/>
          <w:highlight w:val="none"/>
        </w:rPr>
      </w:pPr>
      <w:r>
        <w:rPr>
          <w:rFonts w:ascii="Times New Roman" w:hAnsi="Times New Roman"/>
          <w:bCs/>
          <w:color w:val="auto"/>
          <w:sz w:val="24"/>
          <w:szCs w:val="24"/>
          <w:highlight w:val="none"/>
        </w:rPr>
        <w:t xml:space="preserve">23.2 合同附件与合同正文具有同等的法律效力。</w:t>
      </w:r>
      <w:r/>
    </w:p>
    <w:p>
      <w:pPr>
        <w:pStyle w:val="794"/>
        <w:jc w:val="center"/>
        <w:rPr>
          <w:rFonts w:ascii="黑体" w:hAnsi="华文中宋"/>
          <w:b w:val="0"/>
          <w:color w:val="auto"/>
          <w:szCs w:val="32"/>
          <w:highlight w:val="none"/>
        </w:rPr>
      </w:pPr>
      <w:r>
        <w:rPr>
          <w:rFonts w:hint="eastAsia" w:ascii="黑体" w:hAnsi="华文中宋"/>
          <w:b w:val="0"/>
          <w:color w:val="auto"/>
          <w:szCs w:val="32"/>
          <w:highlight w:val="none"/>
        </w:rPr>
        <w:t xml:space="preserve">第三节 政府采购合同专用条款</w:t>
      </w:r>
      <w:r/>
    </w:p>
    <w:tbl>
      <w:tblPr>
        <w:tblStyle w:val="763"/>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见招标文件</w:t>
            </w:r>
            <w:r/>
          </w:p>
        </w:tc>
      </w:tr>
      <w:tr>
        <w:trPr>
          <w:trHeight w:val="604"/>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收到验收申请后3个工作日</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keepLines w:val="0"/>
              <w:keepNext w:val="0"/>
              <w:pageBreakBefore w:val="0"/>
              <w:spacing w:line="380" w:lineRule="exact"/>
              <w:rPr>
                <w:rFonts w:hint="eastAsia" w:ascii="宋体" w:hAnsi="宋体"/>
                <w:color w:val="auto"/>
                <w:highlight w:val="none"/>
              </w:rPr>
            </w:pPr>
            <w:r>
              <w:rPr>
                <w:rFonts w:hint="eastAsia" w:ascii="宋体" w:hAnsi="宋体"/>
                <w:color w:val="auto"/>
                <w:highlight w:val="none"/>
              </w:rPr>
              <w:t xml:space="preserve">乙方保证所交付的货物（包含与货物相关的服务）的所有权完全属于乙方且无任何抵押、查封等产权瑕疵；</w:t>
            </w:r>
            <w:r/>
          </w:p>
          <w:p>
            <w:pPr>
              <w:jc w:val="left"/>
              <w:keepLines w:val="0"/>
              <w:keepNext w:val="0"/>
              <w:pageBreakBefore w:val="0"/>
              <w:spacing w:line="380" w:lineRule="exact"/>
              <w:rPr>
                <w:rFonts w:hint="eastAsia" w:ascii="宋体" w:hAnsi="宋体"/>
                <w:color w:val="auto"/>
                <w:highlight w:val="none"/>
              </w:rPr>
            </w:pPr>
            <w:r>
              <w:rPr>
                <w:rFonts w:hint="eastAsia" w:ascii="宋体" w:hAnsi="宋体"/>
                <w:color w:val="auto"/>
                <w:highlight w:val="none"/>
              </w:rPr>
              <w:t xml:space="preserve">乙方所供货物质量不符合规定的，由其负责包换或包修，并承担修理、调换或退货而支付的实际费用；</w:t>
            </w:r>
            <w:r/>
          </w:p>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jc w:val="left"/>
              <w:keepLines w:val="0"/>
              <w:keepNext w:val="0"/>
              <w:pageBreakBefore w:val="0"/>
              <w:spacing w:line="380" w:lineRule="exact"/>
              <w:rPr>
                <w:rFonts w:hint="eastAsia" w:ascii="宋体" w:hAnsi="宋体"/>
                <w:color w:val="auto"/>
                <w:highlight w:val="none"/>
              </w:rPr>
            </w:pPr>
            <w:r>
              <w:rPr>
                <w:rFonts w:hint="eastAsia" w:ascii="宋体" w:hAnsi="宋体"/>
                <w:color w:val="auto"/>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keepLines w:val="0"/>
              <w:keepNext w:val="0"/>
              <w:pageBreakBefore w:val="0"/>
              <w:spacing w:line="380" w:lineRule="exact"/>
              <w:rPr>
                <w:color w:val="auto"/>
                <w:highlight w:val="none"/>
              </w:rPr>
            </w:pPr>
            <w:r>
              <w:rPr>
                <w:rFonts w:hint="eastAsia" w:ascii="宋体" w:hAnsi="宋体"/>
                <w:color w:val="auto"/>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keepLines w:val="0"/>
              <w:keepNext w:val="0"/>
              <w:pageBreakBefore w:val="0"/>
              <w:spacing w:line="380" w:lineRule="exact"/>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jc w:val="left"/>
              <w:keepLines w:val="0"/>
              <w:keepNext w:val="0"/>
              <w:pageBreakBefore w:val="0"/>
              <w:spacing w:line="380" w:lineRule="exact"/>
              <w:rPr>
                <w:color w:val="auto"/>
                <w:highlight w:val="none"/>
              </w:rPr>
            </w:pPr>
            <w:r>
              <w:rPr>
                <w:rFonts w:hint="eastAsia" w:ascii="宋体" w:hAnsi="宋体"/>
                <w:color w:val="auto"/>
                <w:highlight w:val="none"/>
              </w:rPr>
              <w:t xml:space="preserve">甲方指定的项目现场</w:t>
            </w:r>
            <w:r/>
          </w:p>
        </w:tc>
      </w:tr>
      <w:tr>
        <w:trPr>
          <w:trHeight w:val="772"/>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jc w:val="left"/>
              <w:keepLines w:val="0"/>
              <w:keepNext w:val="0"/>
              <w:pageBreakBefore w:val="0"/>
              <w:spacing w:line="380" w:lineRule="exact"/>
              <w:rPr>
                <w:color w:val="auto"/>
                <w:highlight w:val="none"/>
              </w:rPr>
            </w:pPr>
            <w:r>
              <w:rPr>
                <w:rFonts w:hint="eastAsia" w:ascii="宋体" w:hAnsi="宋体"/>
                <w:color w:val="auto"/>
                <w:highlight w:val="none"/>
              </w:rPr>
              <w:t xml:space="preserve">无</w:t>
            </w:r>
            <w:r/>
          </w:p>
        </w:tc>
      </w:tr>
      <w:tr>
        <w:trPr>
          <w:trHeight w:val="667"/>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jc w:val="left"/>
              <w:keepLines w:val="0"/>
              <w:keepNext w:val="0"/>
              <w:pageBreakBefore w:val="0"/>
              <w:spacing w:line="380" w:lineRule="exact"/>
              <w:rPr>
                <w:color w:val="auto"/>
                <w:highlight w:val="none"/>
              </w:rPr>
            </w:pPr>
            <w:r>
              <w:rPr>
                <w:rFonts w:hint="eastAsia" w:ascii="宋体" w:hAnsi="宋体"/>
                <w:color w:val="auto"/>
                <w:highlight w:val="none"/>
              </w:rPr>
              <w:t xml:space="preserve">货物在交付甲方前发生的风险均由乙方负责</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售后服务期：</w:t>
            </w:r>
            <w:r>
              <w:rPr>
                <w:rFonts w:hint="eastAsia" w:ascii="宋体" w:hAnsi="宋体"/>
                <w:color w:val="auto"/>
                <w:highlight w:val="none"/>
                <w:lang w:val="en-US" w:eastAsia="zh-CN"/>
              </w:rPr>
              <w:t xml:space="preserve">5</w:t>
            </w:r>
            <w:r>
              <w:rPr>
                <w:rFonts w:hint="eastAsia" w:ascii="宋体" w:hAnsi="宋体"/>
                <w:color w:val="auto"/>
                <w:highlight w:val="none"/>
              </w:rPr>
              <w:t xml:space="preserve">年</w:t>
            </w:r>
            <w:r>
              <w:rPr>
                <w:rFonts w:hint="eastAsia"/>
                <w:color w:val="auto"/>
                <w:highlight w:val="none"/>
              </w:rPr>
              <w:t xml:space="preserve">（自货物最终交付验收合格后）</w:t>
            </w:r>
            <w:r>
              <w:rPr>
                <w:rFonts w:hint="eastAsia" w:ascii="宋体" w:hAnsi="宋体"/>
                <w:color w:val="auto"/>
                <w:highlight w:val="none"/>
              </w:rPr>
              <w:t xml:space="preserve">。（有特殊要求的产品，售后服务期按招标文件的约定执行）。</w:t>
            </w:r>
            <w:r>
              <w:rPr>
                <w:rFonts w:hint="eastAsia" w:ascii="宋体" w:hAnsi="宋体"/>
                <w:color w:val="auto"/>
                <w:highlight w:val="none"/>
                <w:lang w:val="en-US" w:eastAsia="zh-CN"/>
              </w:rPr>
              <w:t xml:space="preserve">5</w:t>
            </w:r>
            <w:r>
              <w:rPr>
                <w:rFonts w:hint="eastAsia" w:ascii="宋体" w:hAnsi="宋体"/>
                <w:color w:val="auto"/>
                <w:highlight w:val="none"/>
              </w:rPr>
              <w:t xml:space="preserve">年内发现设备缺陷等质量问题，中标供应商负责无条件维修或调换；中标供应商货物经过双方检验认可后，签署验收报告，按国家及相关部门的 “三包”要求（特别要求的按特别要求执行）。</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货物质量缺陷</w:t>
            </w:r>
            <w:r/>
          </w:p>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投标人服务时间应为 7×24小时，当投标产品或软件遭到损坏或出现故障时，乙方在接到甲方通知的</w:t>
            </w:r>
            <w:r>
              <w:rPr>
                <w:rFonts w:hint="eastAsia" w:ascii="宋体" w:hAnsi="宋体"/>
                <w:color w:val="auto"/>
                <w:highlight w:val="none"/>
                <w:lang w:val="en-US" w:eastAsia="zh-CN"/>
              </w:rPr>
              <w:t xml:space="preserve">20分钟</w:t>
            </w:r>
            <w:r>
              <w:rPr>
                <w:rFonts w:hint="eastAsia" w:ascii="宋体" w:hAnsi="宋体"/>
                <w:color w:val="auto"/>
                <w:highlight w:val="none"/>
              </w:rPr>
              <w:t xml:space="preserve">内快速响应服务，派人到达现场处理设备故障和问题，</w:t>
            </w:r>
            <w:r>
              <w:rPr>
                <w:rFonts w:hint="eastAsia" w:ascii="宋体" w:hAnsi="宋体"/>
                <w:color w:val="auto"/>
                <w:highlight w:val="none"/>
                <w:u w:val="single"/>
                <w:lang w:val="en-US" w:eastAsia="zh-CN"/>
              </w:rPr>
              <w:t xml:space="preserve">    </w:t>
            </w:r>
            <w:r>
              <w:rPr>
                <w:rFonts w:hint="eastAsia" w:ascii="宋体" w:hAnsi="宋体"/>
                <w:color w:val="auto"/>
                <w:highlight w:val="none"/>
              </w:rPr>
              <w:t xml:space="preserve">小时内解决问题。另根据设备的具体情况，对其进行至少每</w:t>
            </w:r>
            <w:r>
              <w:rPr>
                <w:rFonts w:hint="eastAsia" w:ascii="宋体" w:hAnsi="宋体"/>
                <w:color w:val="auto"/>
                <w:highlight w:val="none"/>
                <w:lang w:val="en-US" w:eastAsia="zh-CN"/>
              </w:rPr>
              <w:t xml:space="preserve">月</w:t>
            </w:r>
            <w:r>
              <w:rPr>
                <w:rFonts w:hint="eastAsia" w:ascii="宋体" w:hAnsi="宋体"/>
                <w:color w:val="auto"/>
                <w:highlight w:val="none"/>
              </w:rPr>
              <w:t xml:space="preserve">一次的维护服务。</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1253"/>
              <w:ind w:firstLine="0"/>
              <w:jc w:val="center"/>
              <w:keepLines w:val="0"/>
              <w:keepNext w:val="0"/>
              <w:pageBreakBefore w:val="0"/>
              <w:spacing w:line="380" w:lineRule="exact"/>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jc w:val="left"/>
              <w:keepLines w:val="0"/>
              <w:keepNext w:val="0"/>
              <w:pageBreakBefore w:val="0"/>
              <w:spacing w:line="38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预付款，签订合同后支付合同总价款的30%；</w:t>
            </w:r>
            <w:r/>
          </w:p>
          <w:p>
            <w:pPr>
              <w:jc w:val="left"/>
              <w:keepLines w:val="0"/>
              <w:keepNext w:val="0"/>
              <w:pageBreakBefore w:val="0"/>
              <w:spacing w:line="38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进度款：全部安装完毕付至合同价款的80%，特种设备安全监督部门验收合格、取得“电梯使用登记标志”后付清余款。</w:t>
            </w:r>
            <w:r/>
          </w:p>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lang w:val="en-US" w:eastAsia="zh-CN"/>
              </w:rPr>
              <w:t xml:space="preserve">可以采用数字人民币支付；资金支付的时间：收到供应商发票10个工作日内；资金支付的条件：满足相应阶段的要求且收到供应商发票；在签订合同时，供应商明确表示无需预付款或者主动要求降低预付款比例的，采购人可不适用前述规定。</w:t>
            </w:r>
            <w:r/>
          </w:p>
        </w:tc>
      </w:tr>
      <w:tr>
        <w:trPr>
          <w:trHeight w:val="697"/>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keepLines w:val="0"/>
              <w:keepNext w:val="0"/>
              <w:pageBreakBefore w:val="0"/>
              <w:spacing w:line="380" w:lineRule="exact"/>
              <w:rPr>
                <w:rFonts w:hint="eastAsia" w:ascii="宋体" w:hAnsi="宋体"/>
                <w:color w:val="auto"/>
                <w:highlight w:val="none"/>
                <w:lang w:val="zh-CN"/>
              </w:rPr>
            </w:pPr>
            <w:r>
              <w:rPr>
                <w:rFonts w:hint="eastAsia" w:ascii="宋体" w:hAnsi="宋体"/>
                <w:color w:val="auto"/>
                <w:highlight w:val="none"/>
                <w:lang w:val="zh-CN"/>
              </w:rPr>
              <w:t xml:space="preserve">货物类项目，项目验收合格，出具验收报告及履约保证金收据申请退付；</w:t>
            </w:r>
            <w:r/>
          </w:p>
          <w:p>
            <w:pPr>
              <w:jc w:val="left"/>
              <w:keepLines w:val="0"/>
              <w:keepNext w:val="0"/>
              <w:pageBreakBefore w:val="0"/>
              <w:spacing w:line="380" w:lineRule="exact"/>
              <w:rPr>
                <w:rFonts w:hint="eastAsia" w:ascii="宋体" w:hAnsi="宋体"/>
                <w:color w:val="auto"/>
                <w:highlight w:val="none"/>
                <w:lang w:val="zh-CN"/>
              </w:rPr>
            </w:pPr>
            <w:r>
              <w:rPr>
                <w:rFonts w:hint="eastAsia" w:ascii="宋体" w:hAnsi="宋体"/>
                <w:color w:val="auto"/>
                <w:highlight w:val="none"/>
                <w:lang w:val="zh-CN"/>
              </w:rPr>
              <w:t xml:space="preserve">履约保证金退还时间：采购单位收到投标人退付申请后5个工作日内退还；</w:t>
            </w:r>
            <w:r/>
          </w:p>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tc>
      </w:tr>
      <w:tr>
        <w:trPr>
          <w:trHeight w:val="784"/>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lang w:val="en-US" w:eastAsia="zh-CN"/>
              </w:rPr>
              <w:t xml:space="preserve">货物交付前应试运行，试运行时间包含在项目供货期内，试运行结束乙方应当提交试运行报告作为验收资料组成，项目维修期限5</w:t>
            </w:r>
            <w:r>
              <w:rPr>
                <w:rFonts w:hint="eastAsia" w:ascii="宋体" w:hAnsi="宋体"/>
                <w:color w:val="auto"/>
                <w:highlight w:val="none"/>
              </w:rPr>
              <w:t xml:space="preserve">年</w:t>
            </w:r>
            <w:r>
              <w:rPr>
                <w:rFonts w:hint="eastAsia"/>
                <w:color w:val="auto"/>
                <w:highlight w:val="none"/>
              </w:rPr>
              <w:t xml:space="preserve">（自货物最终交付验收合格后）</w:t>
            </w:r>
            <w:r/>
          </w:p>
        </w:tc>
      </w:tr>
      <w:tr>
        <w:trPr>
          <w:trHeight w:val="784"/>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5170" w:type="dxa"/>
            <w:vAlign w:val="center"/>
            <w:textDirection w:val="lrTb"/>
            <w:noWrap w:val="false"/>
          </w:tcPr>
          <w:p>
            <w:pPr>
              <w:jc w:val="left"/>
              <w:keepLines w:val="0"/>
              <w:keepNext w:val="0"/>
              <w:pageBreakBefore w:val="0"/>
              <w:spacing w:line="380" w:lineRule="exact"/>
              <w:rPr>
                <w:rFonts w:hint="eastAsia" w:ascii="宋体" w:hAnsi="宋体"/>
                <w:color w:val="auto"/>
                <w:highlight w:val="none"/>
              </w:rPr>
            </w:pPr>
            <w:r>
              <w:rPr>
                <w:rFonts w:hint="eastAsia" w:ascii="宋体" w:hAnsi="宋体"/>
                <w:color w:val="auto"/>
                <w:highlight w:val="none"/>
              </w:rPr>
              <w:t xml:space="preserve">乙方提供的货物在质量期内因货物本身的质量问题发生故障，乙方应负责免费更换。对达不到技术要求者，根据实际情况，经双方协商，可按以下办法处理：</w:t>
            </w:r>
            <w:r/>
          </w:p>
          <w:p>
            <w:pPr>
              <w:jc w:val="left"/>
              <w:keepLines w:val="0"/>
              <w:keepNext w:val="0"/>
              <w:pageBreakBefore w:val="0"/>
              <w:spacing w:line="380" w:lineRule="exact"/>
              <w:rPr>
                <w:rFonts w:hint="eastAsia" w:ascii="宋体" w:hAnsi="宋体"/>
                <w:color w:val="auto"/>
                <w:highlight w:val="none"/>
              </w:rPr>
            </w:pPr>
            <w:r>
              <w:rPr>
                <w:rFonts w:hint="eastAsia" w:ascii="宋体" w:hAnsi="宋体"/>
                <w:color w:val="auto"/>
                <w:highlight w:val="none"/>
              </w:rPr>
              <w:t xml:space="preserve">⑴更换：由乙方承担所发生的全部费用。</w:t>
            </w:r>
            <w:r/>
          </w:p>
          <w:p>
            <w:pPr>
              <w:jc w:val="left"/>
              <w:keepLines w:val="0"/>
              <w:keepNext w:val="0"/>
              <w:pageBreakBefore w:val="0"/>
              <w:spacing w:line="380" w:lineRule="exact"/>
              <w:rPr>
                <w:rFonts w:hint="eastAsia" w:ascii="宋体" w:hAnsi="宋体"/>
                <w:color w:val="auto"/>
                <w:highlight w:val="none"/>
              </w:rPr>
            </w:pPr>
            <w:r>
              <w:rPr>
                <w:rFonts w:hint="eastAsia" w:ascii="宋体" w:hAnsi="宋体"/>
                <w:color w:val="auto"/>
                <w:highlight w:val="none"/>
              </w:rPr>
              <w:t xml:space="preserve">⑵贬值处理：由甲乙双方合议定价。</w:t>
            </w:r>
            <w:r/>
          </w:p>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u w:val="single"/>
              </w:rPr>
            </w:pPr>
            <w:r>
              <w:rPr>
                <w:rFonts w:hint="eastAsia" w:ascii="宋体" w:hAnsi="宋体"/>
                <w:color w:val="auto"/>
                <w:highlight w:val="none"/>
              </w:rPr>
              <w:t xml:space="preserve">甲方无故逾期验收和办理货款支付手续的</w:t>
            </w:r>
            <w:r>
              <w:rPr>
                <w:rFonts w:hint="eastAsia" w:ascii="宋体" w:hAnsi="宋体"/>
                <w:color w:val="auto"/>
                <w:highlight w:val="none"/>
                <w:lang w:eastAsia="zh-CN"/>
              </w:rPr>
              <w:t xml:space="preserve">，</w:t>
            </w:r>
            <w:r>
              <w:rPr>
                <w:rFonts w:hint="eastAsia" w:ascii="宋体" w:hAnsi="宋体"/>
                <w:color w:val="auto"/>
                <w:highlight w:val="none"/>
              </w:rPr>
              <w:t xml:space="preserve">甲方应按逾期付款总额每日万分之一向乙方支付违约金</w:t>
            </w:r>
            <w:r/>
          </w:p>
        </w:tc>
      </w:tr>
      <w:tr>
        <w:trPr>
          <w:trHeight w:val="876"/>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其他违约责任</w:t>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u w:val="single"/>
              </w:rPr>
            </w:pPr>
            <w:r>
              <w:rPr>
                <w:rFonts w:hint="eastAsia" w:ascii="宋体" w:hAnsi="宋体"/>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5170" w:type="dxa"/>
            <w:vAlign w:val="center"/>
            <w:textDirection w:val="lrTb"/>
            <w:noWrap w:val="false"/>
          </w:tcPr>
          <w:p>
            <w:pPr>
              <w:jc w:val="left"/>
              <w:keepLines w:val="0"/>
              <w:keepNext w:val="0"/>
              <w:pageBreakBefore w:val="0"/>
              <w:spacing w:line="38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p>
          <w:p>
            <w:pPr>
              <w:jc w:val="left"/>
              <w:keepLines w:val="0"/>
              <w:keepNext w:val="0"/>
              <w:pageBreakBefore w:val="0"/>
              <w:spacing w:line="38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jc w:val="left"/>
              <w:keepLines w:val="0"/>
              <w:keepNext w:val="0"/>
              <w:pageBreakBefore w:val="0"/>
              <w:spacing w:line="380" w:lineRule="exact"/>
              <w:rPr>
                <w:rFonts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第二节</w:t>
            </w:r>
            <w:r/>
          </w:p>
          <w:p>
            <w:pPr>
              <w:jc w:val="center"/>
              <w:keepLines w:val="0"/>
              <w:keepNext w:val="0"/>
              <w:pageBreakBefore w:val="0"/>
              <w:spacing w:line="380" w:lineRule="exact"/>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hint="eastAsia" w:ascii="宋体" w:hAnsi="宋体"/>
                <w:bCs/>
                <w:color w:val="auto"/>
                <w:szCs w:val="21"/>
                <w:highlight w:val="none"/>
              </w:rPr>
              <w:t xml:space="preserve">其他专用条款</w:t>
            </w:r>
            <w:bookmarkEnd w:id="126"/>
            <w:r/>
            <w:bookmarkEnd w:id="127"/>
            <w:r/>
            <w:bookmarkEnd w:id="128"/>
            <w:r/>
            <w:r/>
          </w:p>
        </w:tc>
        <w:tc>
          <w:tcPr>
            <w:tcW w:w="5170" w:type="dxa"/>
            <w:vAlign w:val="center"/>
            <w:textDirection w:val="lrTb"/>
            <w:noWrap w:val="false"/>
          </w:tcPr>
          <w:p>
            <w:pPr>
              <w:jc w:val="left"/>
              <w:keepLines w:val="0"/>
              <w:keepNext w:val="0"/>
              <w:pageBreakBefore w:val="0"/>
              <w:spacing w:line="380" w:lineRule="exact"/>
              <w:rPr>
                <w:rFonts w:ascii="宋体" w:hAnsi="宋体"/>
                <w:color w:val="auto"/>
                <w:szCs w:val="21"/>
                <w:highlight w:val="none"/>
              </w:rPr>
            </w:pPr>
            <w:r>
              <w:rPr>
                <w:rFonts w:ascii="宋体" w:hAnsi="宋体"/>
                <w:color w:val="auto"/>
                <w:szCs w:val="21"/>
                <w:highlight w:val="none"/>
              </w:rPr>
            </w:r>
            <w:r/>
          </w:p>
        </w:tc>
      </w:tr>
    </w:tbl>
    <w:p>
      <w:pPr>
        <w:jc w:val="center"/>
        <w:keepLines/>
        <w:keepNext/>
        <w:pageBreakBefore/>
        <w:rPr>
          <w:b/>
          <w:color w:val="auto"/>
          <w:sz w:val="44"/>
          <w:szCs w:val="44"/>
          <w:highlight w:val="none"/>
        </w:rPr>
        <w:outlineLvl w:val="0"/>
      </w:pPr>
      <w:r/>
      <w:bookmarkStart w:id="139" w:name="_Toc81575207"/>
      <w:r/>
      <w:bookmarkStart w:id="140" w:name="_Toc19649"/>
      <w:r/>
      <w:bookmarkStart w:id="141" w:name="_Toc12937"/>
      <w:r/>
      <w:bookmarkStart w:id="142" w:name="_Toc22853"/>
      <w:r/>
      <w:bookmarkStart w:id="143" w:name="_Toc81575170"/>
      <w:r/>
      <w:bookmarkStart w:id="144" w:name="_Toc9003"/>
      <w:r>
        <w:rPr>
          <w:rFonts w:hint="eastAsia"/>
          <w:b/>
          <w:color w:val="auto"/>
          <w:sz w:val="44"/>
          <w:szCs w:val="44"/>
          <w:highlight w:val="none"/>
        </w:rPr>
        <w:t xml:space="preserve">第六章  投标文件格式</w:t>
      </w:r>
      <w:bookmarkEnd w:id="139"/>
      <w:r/>
      <w:bookmarkEnd w:id="140"/>
      <w:r/>
      <w:bookmarkEnd w:id="141"/>
      <w:r/>
      <w:bookmarkEnd w:id="142"/>
      <w:r/>
      <w:bookmarkEnd w:id="143"/>
      <w:r/>
      <w:bookmarkEnd w:id="144"/>
      <w:r/>
      <w:r/>
    </w:p>
    <w:p>
      <w:pPr>
        <w:rPr>
          <w:color w:val="auto"/>
          <w:highlight w:val="none"/>
        </w:rPr>
      </w:pPr>
      <w:r/>
      <w:bookmarkStart w:id="145" w:name="EB819316f773b24a75aef829f9b72900c0"/>
      <w:r/>
      <w:r/>
    </w:p>
    <w:p>
      <w:pPr>
        <w:rPr>
          <w:rFonts w:ascii="Times New Roman" w:hAnsi="Times New Roman"/>
          <w:b/>
          <w:color w:val="auto"/>
          <w:sz w:val="72"/>
          <w:highlight w:val="none"/>
        </w:rPr>
      </w:pPr>
      <w:r/>
      <w:bookmarkStart w:id="146"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46"/>
      <w:r/>
      <w:r/>
    </w:p>
    <w:p>
      <w:pPr>
        <w:pStyle w:val="1076"/>
        <w:rPr>
          <w:rFonts w:ascii="宋体" w:hAnsi="宋体" w:eastAsia="宋体" w:cs="宋体"/>
          <w:color w:val="auto"/>
          <w:highlight w:val="none"/>
        </w:rPr>
      </w:pPr>
      <w:r>
        <w:rPr>
          <w:rFonts w:ascii="宋体" w:hAnsi="宋体" w:eastAsia="宋体" w:cs="宋体"/>
          <w:color w:val="auto"/>
          <w:highlight w:val="none"/>
        </w:rPr>
      </w:r>
      <w:r/>
    </w:p>
    <w:p>
      <w:pPr>
        <w:pStyle w:val="1076"/>
        <w:rPr>
          <w:rFonts w:ascii="宋体" w:hAnsi="宋体" w:eastAsia="宋体" w:cs="宋体"/>
          <w:color w:val="auto"/>
          <w:highlight w:val="none"/>
        </w:rPr>
      </w:pPr>
      <w:r>
        <w:rPr>
          <w:rFonts w:ascii="宋体" w:hAnsi="宋体" w:eastAsia="宋体" w:cs="宋体"/>
          <w:color w:val="auto"/>
          <w:highlight w:val="none"/>
        </w:rPr>
      </w:r>
      <w:r/>
    </w:p>
    <w:p>
      <w:pPr>
        <w:pStyle w:val="1076"/>
        <w:rPr>
          <w:rFonts w:ascii="宋体" w:hAnsi="宋体" w:eastAsia="宋体" w:cs="宋体"/>
          <w:color w:val="auto"/>
          <w:highlight w:val="none"/>
        </w:rPr>
      </w:pPr>
      <w:r>
        <w:rPr>
          <w:rFonts w:ascii="宋体" w:hAnsi="宋体" w:eastAsia="宋体" w:cs="宋体"/>
          <w:color w:val="auto"/>
          <w:highlight w:val="none"/>
        </w:rPr>
      </w:r>
      <w:r/>
    </w:p>
    <w:p>
      <w:pPr>
        <w:pStyle w:val="1076"/>
        <w:rPr>
          <w:rFonts w:ascii="宋体" w:hAnsi="宋体" w:eastAsia="宋体" w:cs="宋体"/>
          <w:color w:val="auto"/>
          <w:highlight w:val="none"/>
        </w:rPr>
      </w:pPr>
      <w:r>
        <w:rPr>
          <w:rFonts w:ascii="宋体" w:hAnsi="宋体" w:eastAsia="宋体" w:cs="宋体"/>
          <w:color w:val="auto"/>
          <w:highlight w:val="none"/>
        </w:rPr>
      </w:r>
      <w:bookmarkEnd w:id="145"/>
      <w:r/>
    </w:p>
    <w:p>
      <w:pPr>
        <w:pStyle w:val="1076"/>
        <w:rPr>
          <w:rFonts w:ascii="宋体" w:hAnsi="宋体" w:eastAsia="宋体" w:cs="宋体"/>
          <w:color w:val="auto"/>
          <w:highlight w:val="none"/>
        </w:rPr>
      </w:pPr>
      <w:r>
        <w:rPr>
          <w:rFonts w:ascii="宋体" w:hAnsi="宋体" w:eastAsia="宋体" w:cs="宋体"/>
          <w:color w:val="auto"/>
          <w:highlight w:val="none"/>
        </w:rPr>
      </w:r>
      <w:r/>
    </w:p>
    <w:p>
      <w:pPr>
        <w:pStyle w:val="1076"/>
        <w:rPr>
          <w:rFonts w:ascii="宋体" w:hAnsi="宋体" w:eastAsia="宋体" w:cs="宋体"/>
          <w:color w:val="auto"/>
          <w:highlight w:val="none"/>
        </w:rPr>
      </w:pPr>
      <w:r>
        <w:rPr>
          <w:rFonts w:ascii="宋体" w:hAnsi="宋体" w:eastAsia="宋体" w:cs="宋体"/>
          <w:color w:val="auto"/>
          <w:highlight w:val="none"/>
        </w:rPr>
      </w:r>
      <w:r/>
    </w:p>
    <w:p>
      <w:pPr>
        <w:pStyle w:val="1076"/>
        <w:rPr>
          <w:rFonts w:ascii="宋体" w:hAnsi="宋体" w:eastAsia="宋体" w:cs="宋体"/>
          <w:color w:val="auto"/>
          <w:highlight w:val="none"/>
        </w:rPr>
      </w:pPr>
      <w:r>
        <w:rPr>
          <w:rFonts w:ascii="宋体" w:hAnsi="宋体" w:eastAsia="宋体" w:cs="宋体"/>
          <w:color w:val="auto"/>
          <w:highlight w:val="none"/>
        </w:rPr>
      </w:r>
      <w:r/>
    </w:p>
    <w:p>
      <w:pPr>
        <w:pStyle w:val="1076"/>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76"/>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76"/>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一、投标函</w:t>
      </w:r>
      <w:r/>
    </w:p>
    <w:p>
      <w:pPr>
        <w:spacing w:line="360" w:lineRule="auto"/>
        <w:rPr>
          <w:rFonts w:hint="eastAsia" w:ascii="Times New Roman" w:hAnsi="Times New Roman" w:eastAsia="宋体"/>
          <w:color w:val="auto"/>
          <w:sz w:val="28"/>
          <w:szCs w:val="28"/>
          <w:highlight w:val="none"/>
          <w:lang w:eastAsia="zh-CN"/>
        </w:rPr>
      </w:pPr>
      <w:r>
        <w:rPr>
          <w:rFonts w:hint="eastAsia" w:ascii="Times New Roman" w:hAnsi="Times New Roman"/>
          <w:color w:val="auto"/>
          <w:sz w:val="28"/>
          <w:szCs w:val="28"/>
          <w:highlight w:val="none"/>
          <w:lang w:eastAsia="zh-CN"/>
        </w:rPr>
        <w:t xml:space="preserve">二、投标人资质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三</w:t>
      </w:r>
      <w:r>
        <w:rPr>
          <w:rFonts w:hint="eastAsia" w:ascii="Times New Roman" w:hAnsi="Times New Roman"/>
          <w:color w:val="auto"/>
          <w:sz w:val="28"/>
          <w:szCs w:val="28"/>
          <w:highlight w:val="none"/>
        </w:rPr>
        <w:t xml:space="preserve">、法人授权书</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四</w:t>
      </w:r>
      <w:r>
        <w:rPr>
          <w:rFonts w:hint="eastAsia" w:ascii="Times New Roman" w:hAnsi="Times New Roman"/>
          <w:color w:val="auto"/>
          <w:sz w:val="28"/>
          <w:szCs w:val="28"/>
          <w:highlight w:val="none"/>
        </w:rPr>
        <w:t xml:space="preserve">、开标一览表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五</w:t>
      </w:r>
      <w:r>
        <w:rPr>
          <w:rFonts w:hint="eastAsia" w:ascii="Times New Roman" w:hAnsi="Times New Roman"/>
          <w:color w:val="auto"/>
          <w:sz w:val="28"/>
          <w:szCs w:val="28"/>
          <w:highlight w:val="none"/>
        </w:rPr>
        <w:t xml:space="preserve">、分项报价表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六</w:t>
      </w:r>
      <w:r>
        <w:rPr>
          <w:rFonts w:hint="eastAsia" w:ascii="Times New Roman" w:hAnsi="Times New Roman"/>
          <w:color w:val="auto"/>
          <w:sz w:val="28"/>
          <w:szCs w:val="28"/>
          <w:highlight w:val="none"/>
        </w:rPr>
        <w:t xml:space="preserve">、中小企业或残疾人福利性单位声明函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七</w:t>
      </w:r>
      <w:r>
        <w:rPr>
          <w:rFonts w:hint="eastAsia" w:ascii="Times New Roman" w:hAnsi="Times New Roman"/>
          <w:color w:val="auto"/>
          <w:sz w:val="28"/>
          <w:szCs w:val="28"/>
          <w:highlight w:val="none"/>
        </w:rPr>
        <w:t xml:space="preserve">、技术响应偏离表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八</w:t>
      </w:r>
      <w:r>
        <w:rPr>
          <w:rFonts w:hint="eastAsia" w:ascii="Times New Roman" w:hAnsi="Times New Roman"/>
          <w:color w:val="auto"/>
          <w:sz w:val="28"/>
          <w:szCs w:val="28"/>
          <w:highlight w:val="none"/>
        </w:rPr>
        <w:t xml:space="preserve">、企业业绩</w:t>
      </w:r>
      <w:r/>
    </w:p>
    <w:p>
      <w:pPr>
        <w:spacing w:line="360" w:lineRule="auto"/>
        <w:rPr>
          <w:rFonts w:hint="eastAsia" w:ascii="Times New Roman" w:hAnsi="Times New Roman"/>
          <w:color w:val="000000" w:themeColor="text1"/>
          <w:sz w:val="28"/>
          <w:szCs w:val="28"/>
          <w:highlight w:val="none"/>
          <w:lang w:val="en-US" w:eastAsia="zh-CN"/>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 xml:space="preserve">九、项目经理</w:t>
      </w:r>
      <w:r/>
    </w:p>
    <w:p>
      <w:pPr>
        <w:spacing w:line="360" w:lineRule="auto"/>
        <w:rPr>
          <w:rFonts w:hint="default" w:ascii="Times New Roman" w:hAnsi="Times New Roman"/>
          <w:color w:val="000000" w:themeColor="text1"/>
          <w:sz w:val="28"/>
          <w:szCs w:val="28"/>
          <w:highlight w:val="none"/>
          <w:lang w:val="en-US" w:eastAsia="zh-CN"/>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 xml:space="preserve">十、项目实施方案</w:t>
      </w:r>
      <w:r/>
    </w:p>
    <w:p>
      <w:pPr>
        <w:spacing w:line="360" w:lineRule="auto"/>
        <w:rPr>
          <w:rFonts w:hint="eastAsia" w:ascii="宋体" w:cs="宋体"/>
          <w:color w:val="ff0000"/>
          <w:sz w:val="24"/>
          <w:szCs w:val="24"/>
        </w:rPr>
      </w:pPr>
      <w:r>
        <w:rPr>
          <w:rFonts w:hint="eastAsia" w:ascii="Times New Roman" w:hAnsi="Times New Roman"/>
          <w:color w:val="000000" w:themeColor="text1"/>
          <w:sz w:val="28"/>
          <w:szCs w:val="28"/>
          <w:highlight w:val="none"/>
          <w:lang w:val="en-US" w:eastAsia="zh-CN"/>
          <w14:textFill>
            <w14:solidFill>
              <w14:schemeClr w14:val="tx1"/>
            </w14:solidFill>
          </w14:textFill>
        </w:rPr>
        <w:t xml:space="preserve">十一</w:t>
      </w:r>
      <w:r>
        <w:rPr>
          <w:rFonts w:hint="eastAsia" w:ascii="Times New Roman" w:hAnsi="Times New Roman"/>
          <w:color w:val="000000" w:themeColor="text1"/>
          <w:sz w:val="28"/>
          <w:szCs w:val="28"/>
          <w:highlight w:val="none"/>
          <w14:textFill>
            <w14:solidFill>
              <w14:schemeClr w14:val="tx1"/>
            </w14:solidFill>
          </w14:textFill>
        </w:rPr>
        <w:t xml:space="preserve">、</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关于符合本国产品标准的声明函</w:t>
      </w:r>
      <w:r/>
    </w:p>
    <w:p>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lang w:val="en-US" w:eastAsia="zh-CN"/>
        </w:rPr>
        <w:t xml:space="preserve">十二</w:t>
      </w:r>
      <w:r>
        <w:rPr>
          <w:rFonts w:hint="eastAsia" w:ascii="Times New Roman" w:hAnsi="Times New Roman"/>
          <w:color w:val="auto"/>
          <w:sz w:val="28"/>
          <w:szCs w:val="28"/>
          <w:highlight w:val="none"/>
        </w:rPr>
        <w:t xml:space="preserve">、投标所需其他材料</w:t>
      </w:r>
      <w:r/>
    </w:p>
    <w:p>
      <w:pPr>
        <w:rPr>
          <w:color w:val="auto"/>
          <w:highlight w:val="none"/>
        </w:rPr>
      </w:pPr>
      <w:r/>
      <w:bookmarkStart w:id="147" w:name="_Toc20577"/>
      <w:r/>
      <w:bookmarkStart w:id="148" w:name="_Toc26005"/>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86"/>
        <w:rPr>
          <w:b w:val="0"/>
          <w:bCs/>
          <w:color w:val="auto"/>
          <w:highlight w:val="none"/>
        </w:rPr>
        <w:outlineLvl w:val="1"/>
      </w:pPr>
      <w:r/>
      <w:bookmarkStart w:id="149" w:name="_Toc8978"/>
      <w:r>
        <w:rPr>
          <w:rFonts w:hint="eastAsia"/>
          <w:b w:val="0"/>
          <w:bCs/>
          <w:color w:val="auto"/>
          <w:highlight w:val="none"/>
        </w:rPr>
        <w:t xml:space="preserve">一</w:t>
      </w:r>
      <w:r>
        <w:rPr>
          <w:b w:val="0"/>
          <w:bCs/>
          <w:color w:val="auto"/>
          <w:highlight w:val="none"/>
        </w:rPr>
        <w:t xml:space="preserve">、投标函</w:t>
      </w:r>
      <w:bookmarkEnd w:id="147"/>
      <w:r/>
      <w:bookmarkEnd w:id="148"/>
      <w:r/>
      <w:bookmarkEnd w:id="149"/>
      <w:r/>
      <w:r/>
    </w:p>
    <w:p>
      <w:pPr>
        <w:pStyle w:val="1087"/>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87"/>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87"/>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87"/>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87"/>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87"/>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7"/>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87"/>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w:t>
      </w:r>
      <w:r>
        <w:rPr>
          <w:rFonts w:hint="eastAsia" w:ascii="宋体" w:hAnsi="宋体"/>
          <w:color w:val="auto"/>
          <w:sz w:val="24"/>
          <w:szCs w:val="24"/>
          <w:highlight w:val="none"/>
          <w:lang w:eastAsia="zh-CN"/>
        </w:rPr>
        <w:t xml:space="preserve">按照</w:t>
      </w:r>
      <w:r>
        <w:rPr>
          <w:rFonts w:hint="eastAsia" w:ascii="宋体" w:hAnsi="宋体"/>
          <w:color w:val="auto"/>
          <w:sz w:val="24"/>
          <w:szCs w:val="24"/>
          <w:highlight w:val="none"/>
        </w:rPr>
        <w:t xml:space="preserve">《中华人民共和国民法典（第三编合同）》及其他有关法律、法规的规定，按期、按质、按量交付采购单位，全面做到履约守信；</w:t>
      </w:r>
      <w:r/>
    </w:p>
    <w:p>
      <w:pPr>
        <w:pStyle w:val="1087"/>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87"/>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上网公开。</w:t>
      </w:r>
      <w:r/>
    </w:p>
    <w:p>
      <w:pPr>
        <w:pStyle w:val="1087"/>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87"/>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87"/>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87"/>
        <w:ind w:firstLine="480"/>
        <w:rPr>
          <w:rFonts w:ascii="宋体" w:hAnsi="宋体"/>
          <w:color w:val="auto"/>
          <w:sz w:val="24"/>
          <w:szCs w:val="24"/>
          <w:highlight w:val="none"/>
        </w:rPr>
      </w:pPr>
      <w:r>
        <w:rPr>
          <w:rFonts w:ascii="宋体" w:hAnsi="宋体"/>
          <w:color w:val="auto"/>
          <w:sz w:val="24"/>
          <w:szCs w:val="24"/>
          <w:highlight w:val="none"/>
        </w:rPr>
      </w:r>
      <w:r/>
    </w:p>
    <w:p>
      <w:pPr>
        <w:pStyle w:val="1087"/>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86"/>
        <w:rPr>
          <w:rFonts w:hint="eastAsia"/>
          <w:b w:val="0"/>
          <w:bCs/>
          <w:color w:val="auto"/>
          <w:highlight w:val="none"/>
        </w:rPr>
        <w:outlineLvl w:val="1"/>
      </w:pPr>
      <w:r/>
      <w:bookmarkStart w:id="150" w:name="_Toc15099"/>
      <w:r>
        <w:rPr>
          <w:rFonts w:hint="eastAsia"/>
          <w:b w:val="0"/>
          <w:bCs/>
          <w:color w:val="auto"/>
          <w:highlight w:val="none"/>
        </w:rPr>
        <w:t xml:space="preserve">二、投标人资质</w:t>
      </w:r>
      <w:bookmarkEnd w:id="150"/>
      <w:r/>
      <w:r/>
    </w:p>
    <w:p>
      <w:pPr>
        <w:rPr>
          <w:rFonts w:hint="eastAsia"/>
          <w:color w:val="auto"/>
          <w:sz w:val="30"/>
          <w:szCs w:val="30"/>
          <w:highlight w:val="none"/>
        </w:rPr>
      </w:pPr>
      <w:r>
        <w:rPr>
          <w:rFonts w:hint="eastAsia"/>
          <w:color w:val="auto"/>
          <w:sz w:val="30"/>
          <w:szCs w:val="30"/>
          <w:highlight w:val="none"/>
        </w:rPr>
        <w:t xml:space="preserve">按招标文件要求提供相应资质证书</w:t>
      </w:r>
      <w:r/>
    </w:p>
    <w:p>
      <w:pPr>
        <w:rPr>
          <w:color w:val="auto"/>
          <w:highlight w:val="none"/>
        </w:rPr>
        <w:outlineLvl w:val="1"/>
      </w:pPr>
      <w:r>
        <w:rPr>
          <w:rFonts w:hint="eastAsia"/>
          <w:color w:val="auto"/>
          <w:highlight w:val="none"/>
        </w:rPr>
        <w:br w:type="page" w:clear="all"/>
      </w:r>
      <w:bookmarkStart w:id="151" w:name="_Toc3680"/>
      <w:r/>
      <w:bookmarkStart w:id="152" w:name="_Toc29506"/>
      <w:r/>
      <w:bookmarkStart w:id="153" w:name="_Toc27409"/>
      <w:r>
        <w:rPr>
          <w:rFonts w:hint="eastAsia" w:ascii="黑体" w:hAnsi="黑体" w:eastAsia="黑体" w:cs="黑体"/>
          <w:bCs/>
          <w:color w:val="auto"/>
          <w:sz w:val="32"/>
          <w:szCs w:val="24"/>
          <w:highlight w:val="none"/>
        </w:rPr>
        <w:t xml:space="preserve">三、</w:t>
      </w:r>
      <w:bookmarkEnd w:id="151"/>
      <w:r/>
      <w:bookmarkEnd w:id="152"/>
      <w:r>
        <w:rPr>
          <w:rFonts w:hint="eastAsia" w:ascii="黑体" w:hAnsi="黑体" w:eastAsia="黑体" w:cs="黑体"/>
          <w:bCs/>
          <w:color w:val="auto"/>
          <w:sz w:val="32"/>
          <w:szCs w:val="24"/>
          <w:highlight w:val="none"/>
        </w:rPr>
        <w:t xml:space="preserve">法人授权书</w:t>
      </w:r>
      <w:bookmarkEnd w:id="153"/>
      <w:r/>
      <w:r/>
    </w:p>
    <w:p>
      <w:pPr>
        <w:pStyle w:val="1087"/>
        <w:jc w:val="center"/>
        <w:rPr>
          <w:rFonts w:ascii="方正小标宋_GBK" w:eastAsia="方正小标宋_GBK"/>
          <w:bCs/>
          <w:color w:val="auto"/>
          <w:sz w:val="32"/>
          <w:szCs w:val="32"/>
          <w:highlight w:val="none"/>
        </w:rPr>
      </w:pPr>
      <w:r/>
      <w:bookmarkStart w:id="154" w:name="OLE_LINK6"/>
      <w:r>
        <w:rPr>
          <w:rFonts w:hint="eastAsia" w:ascii="方正小标宋_GBK" w:eastAsia="方正小标宋_GBK"/>
          <w:bCs/>
          <w:color w:val="auto"/>
          <w:sz w:val="32"/>
          <w:szCs w:val="32"/>
          <w:highlight w:val="none"/>
        </w:rPr>
        <w:t xml:space="preserve">法人授权书</w:t>
      </w:r>
      <w:bookmarkEnd w:id="154"/>
      <w:r/>
      <w:r/>
    </w:p>
    <w:p>
      <w:pPr>
        <w:pStyle w:val="1207"/>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 xml:space="preserve">采购活动的合法代理人，以本单位名义全权处理一切与该项目采购有关的事务。</w:t>
      </w:r>
      <w:r/>
    </w:p>
    <w:p>
      <w:pPr>
        <w:pStyle w:val="1207"/>
        <w:ind w:firstLine="482"/>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207"/>
        <w:ind w:firstLine="482"/>
        <w:spacing w:line="480" w:lineRule="exact"/>
        <w:rPr>
          <w:color w:val="auto"/>
          <w:sz w:val="24"/>
          <w:szCs w:val="24"/>
          <w:highlight w:val="none"/>
          <w:u w:val="single"/>
        </w:rPr>
      </w:pP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p>
    <w:p>
      <w:pPr>
        <w:pStyle w:val="1207"/>
        <w:ind w:firstLine="482"/>
        <w:spacing w:line="480" w:lineRule="exact"/>
        <w:rPr>
          <w:rFonts w:ascii="宋体" w:hAnsi="宋体"/>
          <w:color w:val="auto"/>
          <w:sz w:val="24"/>
          <w:szCs w:val="24"/>
          <w:highlight w:val="none"/>
        </w:rPr>
      </w:pPr>
      <w:r>
        <w:rPr>
          <w:rFonts w:hint="eastAsia"/>
          <w:color w:val="auto"/>
          <w:sz w:val="24"/>
          <w:szCs w:val="24"/>
          <w:highlight w:val="none"/>
        </w:rPr>
        <w:t xml:space="preserve">被授权人联系电话：（手机）</w:t>
      </w:r>
      <w:r>
        <w:rPr>
          <w:rFonts w:hint="eastAsia"/>
          <w:color w:val="auto"/>
          <w:sz w:val="24"/>
          <w:szCs w:val="24"/>
          <w:highlight w:val="none"/>
          <w:u w:val="single"/>
        </w:rPr>
        <w:t xml:space="preserve">                          </w:t>
      </w:r>
      <w:r/>
    </w:p>
    <w:p>
      <w:pPr>
        <w:pStyle w:val="1207"/>
        <w:ind w:firstLine="482"/>
        <w:spacing w:line="480" w:lineRule="exact"/>
        <w:rPr>
          <w:rFonts w:ascii="宋体" w:hAnsi="宋体"/>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（盖CA电子公章）</w:t>
      </w:r>
      <w:r/>
    </w:p>
    <w:p>
      <w:pPr>
        <w:pStyle w:val="1207"/>
        <w:ind w:firstLine="482"/>
        <w:spacing w:line="480" w:lineRule="exact"/>
        <w:rPr>
          <w:rFonts w:ascii="宋体" w:hAnsi="宋体"/>
          <w:color w:val="auto"/>
          <w:sz w:val="24"/>
          <w:szCs w:val="24"/>
          <w:highlight w:val="none"/>
        </w:rPr>
      </w:pPr>
      <w:r>
        <w:rPr>
          <w:rFonts w:hint="eastAsia"/>
          <w:color w:val="auto"/>
          <w:sz w:val="24"/>
          <w:szCs w:val="24"/>
          <w:highlight w:val="none"/>
        </w:rPr>
        <w:t xml:space="preserve">单位地址：</w:t>
      </w:r>
      <w:r>
        <w:rPr>
          <w:rFonts w:hint="eastAsia"/>
          <w:color w:val="auto"/>
          <w:sz w:val="24"/>
          <w:szCs w:val="24"/>
          <w:highlight w:val="none"/>
          <w:u w:val="single"/>
        </w:rPr>
        <w:t xml:space="preserve">                                         </w:t>
      </w:r>
      <w:r/>
    </w:p>
    <w:p>
      <w:pPr>
        <w:pStyle w:val="1207"/>
        <w:ind w:firstLine="482"/>
        <w:spacing w:line="480" w:lineRule="exact"/>
        <w:rPr>
          <w:rFonts w:hint="eastAsia" w:ascii="宋体" w:hAnsi="宋体"/>
          <w:color w:val="auto"/>
          <w:sz w:val="24"/>
          <w:szCs w:val="24"/>
          <w:highlight w:val="none"/>
        </w:rPr>
      </w:pPr>
      <w:r>
        <w:rPr>
          <w:rFonts w:hint="eastAsia"/>
          <w:color w:val="auto"/>
          <w:sz w:val="24"/>
          <w:szCs w:val="24"/>
          <w:highlight w:val="none"/>
        </w:rPr>
        <w:t xml:space="preserve">日期：</w:t>
      </w:r>
      <w:bookmarkStart w:id="155" w:name="_格式3__银行出具的资信证明"/>
      <w:r/>
      <w:bookmarkEnd w:id="155"/>
      <w:r/>
      <w:bookmarkStart w:id="156" w:name="_Hlt26955070"/>
      <w:r/>
      <w:bookmarkEnd w:id="156"/>
      <w:r/>
      <w:bookmarkStart w:id="157" w:name="_Hlt26671380"/>
      <w:r/>
      <w:bookmarkEnd w:id="157"/>
      <w:r>
        <w:rPr>
          <w:rFonts w:hint="eastAsia"/>
          <w:color w:val="auto"/>
          <w:sz w:val="24"/>
          <w:szCs w:val="24"/>
          <w:highlight w:val="none"/>
          <w:u w:val="single"/>
        </w:rPr>
        <w:t xml:space="preserve">                                         </w:t>
      </w:r>
      <w:r/>
    </w:p>
    <w:p>
      <w:pPr>
        <w:pStyle w:val="1089"/>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pStyle w:val="1092"/>
        <w:rPr>
          <w:color w:val="auto"/>
          <w:highlight w:val="none"/>
        </w:rPr>
        <w:outlineLvl w:val="1"/>
      </w:pPr>
      <w:r>
        <w:rPr>
          <w:color w:val="auto"/>
          <w:highlight w:val="none"/>
        </w:rPr>
        <w:br w:type="page" w:clear="all"/>
      </w:r>
      <w:bookmarkStart w:id="158" w:name="_Toc30543"/>
      <w:r/>
      <w:bookmarkStart w:id="159" w:name="_Toc13550"/>
      <w:r/>
      <w:bookmarkStart w:id="160" w:name="_Toc27199"/>
      <w:r>
        <w:rPr>
          <w:rFonts w:hint="eastAsia"/>
          <w:b w:val="0"/>
          <w:bCs/>
          <w:color w:val="auto"/>
          <w:highlight w:val="none"/>
        </w:rPr>
        <w:t xml:space="preserve">四</w:t>
      </w:r>
      <w:r>
        <w:rPr>
          <w:b w:val="0"/>
          <w:bCs/>
          <w:color w:val="auto"/>
          <w:highlight w:val="none"/>
        </w:rPr>
        <w:t xml:space="preserve">、开标一览表</w:t>
      </w:r>
      <w:bookmarkEnd w:id="158"/>
      <w:r/>
      <w:bookmarkEnd w:id="159"/>
      <w:r/>
      <w:bookmarkEnd w:id="160"/>
      <w:r/>
      <w:r/>
    </w:p>
    <w:p>
      <w:pPr>
        <w:pStyle w:val="109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3"/>
        <w:rPr>
          <w:color w:val="auto"/>
          <w:highlight w:val="none"/>
        </w:rPr>
      </w:pPr>
      <w:r>
        <w:rPr>
          <w:rFonts w:hint="eastAsia" w:ascii="宋体" w:hAnsi="宋体" w:eastAsia="宋体" w:cs="宋体"/>
          <w:color w:val="auto"/>
          <w:highlight w:val="none"/>
        </w:rPr>
        <w:t xml:space="preserve">投标人全称</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w:t>
      </w:r>
      <w:r>
        <w:rPr>
          <w:rFonts w:ascii="宋体" w:hAnsi="宋体" w:eastAsia="宋体" w:cs="宋体"/>
          <w:color w:val="auto"/>
          <w:sz w:val="24"/>
          <w:szCs w:val="24"/>
          <w:highlight w:val="none"/>
        </w:rPr>
        <w:t xml:space="preserve"> </w:t>
      </w:r>
      <w:r/>
    </w:p>
    <w:tbl>
      <w:tblPr>
        <w:tblStyle w:val="8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2"/>
      </w:tblGrid>
      <w:tr>
        <w:trPr/>
        <w:tc>
          <w:tcPr>
            <w:tcW w:w="9400" w:type="dxa"/>
            <w:vAlign w:val="top"/>
            <w:textDirection w:val="lrTb"/>
            <w:noWrap w:val="false"/>
          </w:tcPr>
          <w:p>
            <w:pPr>
              <w:jc w:val="cente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 xml:space="preserve">总价（大写）：</w:t>
            </w:r>
            <w:r>
              <w:rPr>
                <w:rStyle w:val="1157"/>
                <w:rFonts w:ascii="宋体" w:hAnsi="宋体" w:eastAsia="宋体" w:cs="宋体"/>
                <w:color w:val="auto"/>
                <w:sz w:val="24"/>
                <w:szCs w:val="24"/>
                <w:highlight w:val="none"/>
              </w:rPr>
              <w:t xml:space="preserve">金额大写</w:t>
            </w:r>
            <w:r>
              <w:rPr>
                <w:rFonts w:ascii="宋体" w:hAnsi="宋体" w:eastAsia="宋体" w:cs="宋体"/>
                <w:color w:val="auto"/>
                <w:sz w:val="24"/>
                <w:szCs w:val="24"/>
                <w:highlight w:val="none"/>
              </w:rPr>
              <w:t xml:space="preserve"> （人民币：元）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61"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61"/>
      <w:r/>
      <w:r/>
    </w:p>
    <w:p>
      <w:pPr>
        <w:pStyle w:val="1095"/>
        <w:rPr>
          <w:rFonts w:hint="eastAsia"/>
          <w:color w:val="auto"/>
          <w:highlight w:val="none"/>
        </w:rPr>
        <w:outlineLvl w:val="1"/>
      </w:pPr>
      <w:r>
        <w:rPr>
          <w:color w:val="auto"/>
          <w:highlight w:val="none"/>
        </w:rPr>
        <w:br w:type="page" w:clear="all"/>
      </w:r>
      <w:bookmarkStart w:id="162" w:name="_Toc26543"/>
      <w:r/>
      <w:bookmarkStart w:id="163" w:name="_Toc956"/>
      <w:r/>
      <w:bookmarkStart w:id="164" w:name="_Toc12614"/>
      <w:r>
        <w:rPr>
          <w:rFonts w:hint="eastAsia"/>
          <w:b w:val="0"/>
          <w:bCs/>
          <w:color w:val="auto"/>
          <w:highlight w:val="none"/>
        </w:rPr>
        <w:t xml:space="preserve">五</w:t>
      </w:r>
      <w:r>
        <w:rPr>
          <w:b w:val="0"/>
          <w:bCs/>
          <w:color w:val="auto"/>
          <w:highlight w:val="none"/>
        </w:rPr>
        <w:t xml:space="preserve">、</w:t>
      </w:r>
      <w:bookmarkEnd w:id="162"/>
      <w:r/>
      <w:bookmarkEnd w:id="163"/>
      <w:r>
        <w:rPr>
          <w:rFonts w:hint="eastAsia"/>
          <w:b w:val="0"/>
          <w:bCs/>
          <w:color w:val="auto"/>
          <w:highlight w:val="none"/>
        </w:rPr>
        <w:t xml:space="preserve">分项报价表</w:t>
      </w:r>
      <w:bookmarkEnd w:id="164"/>
      <w:r/>
      <w:r/>
    </w:p>
    <w:p>
      <w:pPr>
        <w:pStyle w:val="1087"/>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分项报价表</w:t>
      </w:r>
      <w:r/>
    </w:p>
    <w:p>
      <w:pPr>
        <w:pStyle w:val="1087"/>
        <w:jc w:val="center"/>
        <w:rPr>
          <w:rFonts w:hint="eastAsia"/>
          <w:b/>
          <w:bCs/>
          <w:color w:val="auto"/>
          <w:highlight w:val="none"/>
        </w:rPr>
      </w:pPr>
      <w:r>
        <w:rPr>
          <w:rFonts w:hint="eastAsia" w:ascii="方正小标宋_GBK" w:eastAsia="方正小标宋_GBK"/>
          <w:bCs/>
          <w:color w:val="auto"/>
          <w:sz w:val="32"/>
          <w:szCs w:val="32"/>
          <w:highlight w:val="none"/>
        </w:rPr>
        <w:t xml:space="preserve">（货物类）</w:t>
      </w:r>
      <w:r/>
    </w:p>
    <w:tbl>
      <w:tblPr>
        <w:tblStyle w:val="763"/>
        <w:tblW w:w="101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754"/>
        <w:gridCol w:w="1246"/>
      </w:tblGrid>
      <w:tr>
        <w:trPr>
          <w:cantSplit/>
          <w:jc w:val="center"/>
          <w:trHeight w:val="544"/>
        </w:trPr>
        <w:tc>
          <w:tcPr>
            <w:tcW w:w="500"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1233"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932" w:type="dxa"/>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754" w:type="dxa"/>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c>
          <w:tcPr>
            <w:tcW w:w="1246" w:type="dxa"/>
            <w:vAlign w:val="center"/>
            <w:textDirection w:val="lrTb"/>
            <w:noWrap w:val="false"/>
          </w:tcPr>
          <w:p>
            <w:pPr>
              <w:jc w:val="left"/>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cantSplit/>
          <w:jc w:val="center"/>
          <w:trHeight w:val="688"/>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jc w:val="left"/>
              <w:spacing w:line="0" w:lineRule="atLeast"/>
              <w:rPr>
                <w:rFonts w:hint="default" w:ascii="宋体" w:hAnsi="宋体" w:eastAsia="宋体"/>
                <w:b w:val="0"/>
                <w:bCs/>
                <w:i/>
                <w:color w:val="auto"/>
                <w:sz w:val="20"/>
                <w:szCs w:val="20"/>
                <w:highlight w:val="none"/>
                <w:u w:val="none"/>
              </w:rPr>
            </w:pPr>
            <w:r>
              <w:rPr>
                <w:rFonts w:hint="eastAsia" w:ascii="宋体" w:hAnsi="宋体"/>
                <w:b w:val="0"/>
                <w:bCs w:val="0"/>
                <w:i/>
                <w:iCs/>
                <w:color w:val="auto"/>
                <w:sz w:val="20"/>
                <w:szCs w:val="20"/>
                <w:highlight w:val="none"/>
                <w:u w:val="none"/>
                <w:lang w:val="en-US" w:eastAsia="zh-CN"/>
              </w:rPr>
              <w:t xml:space="preserve">此项填报旧梯残值抵扣费用（不计入总价）</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96"/>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jc w:val="left"/>
              <w:spacing w:line="0" w:lineRule="atLeas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r>
      <w:tr>
        <w:trPr>
          <w:cantSplit/>
          <w:jc w:val="center"/>
          <w:trHeight w:val="724"/>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77"/>
        </w:trPr>
        <w:tc>
          <w:tcPr>
            <w:tcW w:w="500" w:type="dxa"/>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52" w:type="dxa"/>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77"/>
        </w:trPr>
        <w:tc>
          <w:tcPr>
            <w:gridSpan w:val="3"/>
            <w:tcW w:w="2366" w:type="dxa"/>
            <w:vAlign w:val="center"/>
            <w:textDirection w:val="lrTb"/>
            <w:noWrap w:val="false"/>
          </w:tcPr>
          <w:p>
            <w:pPr>
              <w:pStyle w:val="1184"/>
              <w:jc w:val="left"/>
              <w:spacing w:line="500" w:lineRule="exact"/>
              <w:rPr>
                <w:rFonts w:hint="eastAsia" w:ascii="宋体" w:hAnsi="宋体"/>
                <w:b/>
                <w:bCs/>
                <w:color w:val="auto"/>
                <w:sz w:val="24"/>
                <w:highlight w:val="none"/>
              </w:rPr>
            </w:pPr>
            <w:r>
              <w:rPr>
                <w:rFonts w:hint="eastAsia" w:ascii="宋体" w:hAnsi="宋体"/>
                <w:b/>
                <w:bCs/>
                <w:color w:val="auto"/>
                <w:sz w:val="28"/>
                <w:szCs w:val="28"/>
                <w:highlight w:val="none"/>
              </w:rPr>
              <w:t xml:space="preserve">投标总报价</w:t>
            </w:r>
            <w:r/>
          </w:p>
        </w:tc>
        <w:tc>
          <w:tcPr>
            <w:gridSpan w:val="7"/>
            <w:tcW w:w="7775" w:type="dxa"/>
            <w:vAlign w:val="center"/>
            <w:textDirection w:val="lrTb"/>
            <w:noWrap w:val="false"/>
          </w:tcPr>
          <w:p>
            <w:pPr>
              <w:pStyle w:val="1184"/>
              <w:jc w:val="left"/>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1184"/>
              <w:jc w:val="left"/>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人民币（大写）：</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仟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 万</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元</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角</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分</w:t>
            </w:r>
            <w:r/>
          </w:p>
        </w:tc>
      </w:tr>
    </w:tbl>
    <w:p>
      <w:pP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p>
      <w:pPr>
        <w:ind w:firstLine="480"/>
        <w:spacing w:line="400" w:lineRule="exac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1.投标报价</w:t>
      </w:r>
      <w:r>
        <w:rPr>
          <w:rFonts w:hint="eastAsia" w:ascii="Times New Roman" w:hAnsi="Times New Roman"/>
          <w:color w:val="000000" w:themeColor="text1"/>
          <w:sz w:val="24"/>
          <w:szCs w:val="21"/>
          <w14:textFill>
            <w14:solidFill>
              <w14:schemeClr w14:val="tx1"/>
            </w14:solidFill>
          </w14:textFill>
        </w:rPr>
        <w:t xml:space="preserve">采用总承包方式，“投标总报价”应包括所投货物（包含与货物相关的服务）费用、安装调试费、测试验收费、培训费、运行维护费用、税金国内运输保险、办理全套免税手续费用及其他有关的为完成本项目发生的所有费用，招标文件中另有规定的除外。“投标总报价”数额为各“分项总价”之和。</w:t>
      </w:r>
      <w:r/>
    </w:p>
    <w:p>
      <w:pPr>
        <w:ind w:firstLine="480"/>
        <w:spacing w:line="400" w:lineRule="exact"/>
        <w:tabs>
          <w:tab w:val="center" w:pos="4592" w:leader="none"/>
        </w:tabs>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 xml:space="preserve">2.“投标分项报价表”中“投标总报价”数额应当与“开标一览表”中“投标总报价”数额一致。</w:t>
      </w:r>
      <w:r>
        <w:tab/>
      </w:r>
      <w:r/>
    </w:p>
    <w:p>
      <w:pPr>
        <w:ind w:firstLine="480"/>
        <w:spacing w:line="400" w:lineRule="exact"/>
        <w:rPr>
          <w:rFonts w:ascii="Times New Roman" w:hAnsi="Times New Roman" w:cs="方正魏碑_GBK"/>
          <w:color w:val="000000" w:themeColor="text1"/>
          <w:sz w:val="24"/>
          <w:szCs w:val="28"/>
          <w14:textFill>
            <w14:solidFill>
              <w14:schemeClr w14:val="tx1"/>
            </w14:solidFill>
          </w14:textFill>
        </w:rPr>
      </w:pPr>
      <w:r>
        <w:rPr>
          <w:rFonts w:hint="eastAsia" w:ascii="Times New Roman" w:hAnsi="Times New Roman" w:cs="方正魏碑_GBK"/>
          <w:color w:val="000000" w:themeColor="text1"/>
          <w:sz w:val="24"/>
          <w:szCs w:val="28"/>
          <w14:textFill>
            <w14:solidFill>
              <w14:schemeClr w14:val="tx1"/>
            </w14:solidFill>
          </w14:textFill>
        </w:rPr>
        <w:t xml:space="preserve">3</w:t>
      </w:r>
      <w:r>
        <w:rPr>
          <w:rFonts w:ascii="Times New Roman" w:hAnsi="Times New Roman" w:cs="方正魏碑_GBK"/>
          <w:color w:val="000000" w:themeColor="text1"/>
          <w:sz w:val="24"/>
          <w:szCs w:val="28"/>
          <w14:textFill>
            <w14:solidFill>
              <w14:schemeClr w14:val="tx1"/>
            </w14:solidFill>
          </w14:textFill>
        </w:rPr>
        <w:t xml:space="preserve">.</w:t>
      </w:r>
      <w:r>
        <w:rPr>
          <w:rFonts w:hint="eastAsia" w:ascii="Times New Roman" w:hAnsi="Times New Roman" w:cs="方正魏碑_GBK"/>
          <w:color w:val="000000" w:themeColor="text1"/>
          <w:sz w:val="24"/>
          <w:szCs w:val="28"/>
          <w14:textFill>
            <w14:solidFill>
              <w14:schemeClr w14:val="tx1"/>
            </w14:solidFill>
          </w14:textFill>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eastAsia="宋体" w:cs="宋体"/>
          <w:b w:val="0"/>
          <w:color w:val="000000" w:themeColor="text1"/>
          <w:sz w:val="24"/>
          <w:szCs w:val="24"/>
          <w14:textFill>
            <w14:solidFill>
              <w14:schemeClr w14:val="tx1"/>
            </w14:solidFill>
          </w14:textFill>
        </w:rPr>
        <w:t xml:space="preserve">（政府采购服务类项目中涉及的货物为多种产品时，适用本国产品优惠政策。）</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87"/>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rPr>
          <w:rFonts w:hint="eastAsia" w:ascii="黑体" w:hAnsi="黑体" w:eastAsia="黑体" w:cs="黑体"/>
          <w:b w:val="0"/>
          <w:bCs/>
          <w:color w:val="auto"/>
          <w:sz w:val="32"/>
          <w:szCs w:val="24"/>
          <w:highlight w:val="none"/>
          <w:lang w:val="en-US" w:eastAsia="zh-CN" w:bidi="ar-SA"/>
        </w:rPr>
        <w:outlineLvl w:val="1"/>
      </w:pPr>
      <w:r/>
      <w:bookmarkStart w:id="165" w:name="_Toc21129"/>
      <w:r/>
      <w:bookmarkStart w:id="166" w:name="_Toc2747"/>
      <w:r>
        <w:rPr>
          <w:rFonts w:hint="eastAsia" w:ascii="黑体" w:hAnsi="黑体" w:eastAsia="黑体" w:cs="黑体"/>
          <w:b w:val="0"/>
          <w:bCs/>
          <w:color w:val="auto"/>
          <w:sz w:val="32"/>
          <w:szCs w:val="24"/>
          <w:highlight w:val="none"/>
          <w:lang w:val="en-US" w:eastAsia="zh-CN" w:bidi="ar-SA"/>
        </w:rPr>
        <w:t xml:space="preserve">六、中小企业或残疾人福利性单位声明函</w:t>
      </w:r>
      <w:bookmarkEnd w:id="165"/>
      <w:r/>
      <w:bookmarkEnd w:id="166"/>
      <w:r/>
      <w:r/>
    </w:p>
    <w:p>
      <w:pPr>
        <w:pStyle w:val="1087"/>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104"/>
        <w:ind w:firstLine="442"/>
        <w:spacing w:line="480" w:lineRule="exact"/>
        <w:rPr>
          <w:rFonts w:ascii="Times New Roman" w:hAnsi="Times New Roman"/>
          <w:sz w:val="24"/>
          <w:szCs w:val="24"/>
        </w:rPr>
      </w:pPr>
      <w:r>
        <w:rPr>
          <w:rFonts w:hint="eastAsia" w:ascii="宋体" w:hAnsi="宋体" w:eastAsia="宋体" w:cs="宋体"/>
          <w:sz w:val="32"/>
          <w:lang w:val="en-US" w:eastAsia="zh-CN"/>
        </w:rPr>
        <w:t xml:space="preserve">格式详见投标文件制作工具</w:t>
      </w:r>
      <w:r/>
    </w:p>
    <w:p>
      <w:pPr>
        <w:pStyle w:val="1104"/>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4"/>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4"/>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4"/>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4"/>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4"/>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4"/>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4"/>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4"/>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794"/>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七、技术响应偏离表（技术参数响应）</w:t>
      </w:r>
      <w:r/>
    </w:p>
    <w:tbl>
      <w:tblPr>
        <w:tblStyle w:val="763"/>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auto"/>
                <w:sz w:val="28"/>
                <w:highlight w:val="none"/>
              </w:rPr>
            </w:pPr>
            <w:r>
              <w:rPr>
                <w:rFonts w:hint="eastAsia" w:ascii="宋体" w:hAnsi="宋体" w:cs="仿宋"/>
                <w:color w:val="auto"/>
                <w:sz w:val="28"/>
                <w:highlight w:val="none"/>
              </w:rPr>
              <w:t xml:space="preserve">偏离情况</w:t>
            </w:r>
            <w:r/>
          </w:p>
          <w:p>
            <w:pPr>
              <w:jc w:val="center"/>
              <w:spacing w:before="100" w:line="400" w:lineRule="exact"/>
              <w:rPr>
                <w:rFonts w:hint="eastAsia" w:ascii="宋体" w:hAnsi="宋体" w:cs="仿宋"/>
                <w:color w:val="auto"/>
                <w:sz w:val="28"/>
                <w:highlight w:val="none"/>
              </w:rPr>
            </w:pPr>
            <w:r>
              <w:rPr>
                <w:rFonts w:hint="eastAsia" w:ascii="宋体" w:hAnsi="宋体" w:cs="仿宋"/>
                <w:color w:val="auto"/>
                <w:sz w:val="28"/>
                <w:highlight w:val="none"/>
              </w:rPr>
              <w:t xml:space="preserve">（</w:t>
            </w:r>
            <w:r>
              <w:rPr>
                <w:rFonts w:ascii="宋体" w:hAnsi="宋体" w:cs="仿宋"/>
                <w:b/>
                <w:color w:val="auto"/>
                <w:sz w:val="24"/>
                <w:highlight w:val="none"/>
              </w:rPr>
              <w:t xml:space="preserve">正偏离、负偏离、无偏离</w:t>
            </w:r>
            <w:r>
              <w:rPr>
                <w:rFonts w:hint="eastAsia" w:ascii="宋体" w:hAnsi="宋体"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auto"/>
                <w:sz w:val="28"/>
                <w:szCs w:val="28"/>
                <w:highlight w:val="none"/>
              </w:rPr>
            </w:pPr>
            <w:r>
              <w:rPr>
                <w:rFonts w:hint="eastAsia" w:ascii="宋体" w:hAnsi="宋体" w:cs="仿宋"/>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pStyle w:val="869"/>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869"/>
        <w:ind w:firstLine="482"/>
        <w:jc w:val="both"/>
        <w:spacing w:before="0" w:beforeAutospacing="0" w:after="0" w:afterAutospacing="0" w:line="400" w:lineRule="exact"/>
        <w:widowControl w:val="off"/>
        <w:rPr>
          <w:rFonts w:ascii="Times New Roman" w:hAnsi="Times New Roman"/>
          <w:b/>
          <w:bCs/>
          <w:color w:val="auto"/>
          <w:szCs w:val="20"/>
          <w:highlight w:val="none"/>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000000" w:themeColor="text1"/>
          <w:szCs w:val="28"/>
          <w:highlight w:val="none"/>
          <w14:textFill>
            <w14:solidFill>
              <w14:schemeClr w14:val="tx1"/>
            </w14:solidFill>
          </w14:textFill>
        </w:rPr>
        <w:t xml:space="preserve">1</w:t>
      </w:r>
      <w:bookmarkStart w:id="167" w:name="_Hlk187934629"/>
      <w:r>
        <w:rPr>
          <w:rFonts w:hint="eastAsia" w:ascii="Times New Roman" w:hAnsi="Times New Roman" w:cs="仿宋"/>
          <w:color w:val="000000" w:themeColor="text1"/>
          <w:szCs w:val="28"/>
          <w:highlight w:val="none"/>
          <w14:textFill>
            <w14:solidFill>
              <w14:schemeClr w14:val="tx1"/>
            </w14:solidFill>
          </w14:textFill>
        </w:rPr>
        <w:t xml:space="preserve">.</w:t>
      </w:r>
      <w:r>
        <w:rPr>
          <w:rFonts w:hint="eastAsia" w:ascii="Times New Roman" w:hAnsi="Times New Roman"/>
          <w:color w:val="000000" w:themeColor="text1"/>
          <w:szCs w:val="20"/>
          <w:highlight w:val="none"/>
          <w14:textFill>
            <w14:solidFill>
              <w14:schemeClr w14:val="tx1"/>
            </w14:solidFill>
          </w14:textFill>
        </w:rPr>
        <w:t xml:space="preserve">针对采购需求中的实质性要求（“★”内容），投标人须做出明确响应。</w:t>
      </w:r>
      <w:r>
        <w:rPr>
          <w:rFonts w:hint="eastAsia" w:ascii="Times New Roman" w:hAnsi="Times New Roman"/>
          <w:color w:val="auto"/>
          <w:szCs w:val="20"/>
          <w:highlight w:val="none"/>
        </w:rPr>
        <w:t xml:space="preserve">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69"/>
        <w:ind w:firstLine="480"/>
        <w:jc w:val="both"/>
        <w:spacing w:before="0" w:beforeAutospacing="0" w:after="0" w:afterAutospacing="0" w:line="400" w:lineRule="exact"/>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2.对采购需求的其它非实质性要求，投标人按所投产品情况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；未列明的均视为未响应招标文件要求</w:t>
      </w:r>
      <w:r>
        <w:rPr>
          <w:rFonts w:ascii="Times New Roman" w:hAnsi="Times New Roman" w:cs="仿宋"/>
          <w:color w:val="auto"/>
          <w:szCs w:val="28"/>
          <w:highlight w:val="none"/>
        </w:rPr>
        <w:t xml:space="preserve">。</w:t>
      </w:r>
      <w:bookmarkEnd w:id="167"/>
      <w:r/>
      <w:r/>
    </w:p>
    <w:p>
      <w:pPr>
        <w:spacing w:line="400" w:lineRule="exact"/>
        <w:rPr>
          <w:rFonts w:hint="eastAsia" w:ascii="Times New Roman" w:hAnsi="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1"/>
          <w:highlight w:val="none"/>
        </w:rPr>
      </w:r>
      <w:r/>
    </w:p>
    <w:p>
      <w:pPr>
        <w:rPr>
          <w:rFonts w:hint="eastAsia" w:ascii="宋体" w:hAnsi="宋体" w:eastAsia="宋体" w:cs="宋体"/>
          <w:color w:val="auto"/>
          <w:highlight w:val="none"/>
        </w:rPr>
      </w:pPr>
      <w:r>
        <w:rPr>
          <w:rFonts w:hint="eastAsia" w:ascii="宋体" w:hAnsi="宋体" w:eastAsia="宋体" w:cs="宋体"/>
          <w:bCs/>
          <w:color w:val="auto"/>
          <w:highlight w:val="none"/>
        </w:rPr>
        <w:br w:type="page" w:clear="all"/>
      </w:r>
      <w:r/>
    </w:p>
    <w:p>
      <w:pPr>
        <w:pStyle w:val="1121"/>
        <w:ind w:left="210"/>
        <w:rPr>
          <w:rFonts w:hint="eastAsia" w:ascii="宋体"/>
          <w:b w:val="0"/>
          <w:color w:val="auto"/>
          <w:szCs w:val="32"/>
          <w:highlight w:val="none"/>
        </w:rPr>
        <w:outlineLvl w:val="1"/>
      </w:pPr>
      <w:r/>
      <w:bookmarkStart w:id="168" w:name="_Toc15871"/>
      <w:r/>
      <w:bookmarkStart w:id="169" w:name="_Toc25337"/>
      <w:r>
        <w:rPr>
          <w:rFonts w:hint="eastAsia" w:ascii="宋体"/>
          <w:b w:val="0"/>
          <w:color w:val="auto"/>
          <w:szCs w:val="32"/>
          <w:highlight w:val="none"/>
          <w:lang w:eastAsia="zh-CN"/>
        </w:rPr>
        <w:t xml:space="preserve">八</w:t>
      </w:r>
      <w:r>
        <w:rPr>
          <w:rFonts w:hint="eastAsia" w:ascii="宋体"/>
          <w:b w:val="0"/>
          <w:color w:val="auto"/>
          <w:szCs w:val="32"/>
          <w:highlight w:val="none"/>
        </w:rPr>
        <w:t xml:space="preserve">、企业业绩</w:t>
      </w:r>
      <w:bookmarkEnd w:id="168"/>
      <w:r/>
      <w:bookmarkEnd w:id="169"/>
      <w:r/>
      <w:r/>
    </w:p>
    <w:p>
      <w:pPr>
        <w:pStyle w:val="1129"/>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170"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日以来承担</w:t>
      </w:r>
      <w:r/>
    </w:p>
    <w:p>
      <w:pPr>
        <w:pStyle w:val="1129"/>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170"/>
      <w:r/>
      <w:r/>
    </w:p>
    <w:tbl>
      <w:tblPr>
        <w:tblStyle w:val="76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3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3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3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3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3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129"/>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pStyle w:val="1121"/>
        <w:ind w:left="210"/>
        <w:rPr>
          <w:rFonts w:hint="eastAsia" w:ascii="宋体"/>
          <w:b w:val="0"/>
          <w:color w:val="000000" w:themeColor="text1"/>
          <w:szCs w:val="32"/>
          <w:highlight w:val="none"/>
          <w:lang w:eastAsia="zh-CN"/>
          <w14:textFill>
            <w14:solidFill>
              <w14:schemeClr w14:val="tx1"/>
            </w14:solidFill>
          </w14:textFill>
        </w:rPr>
        <w:outlineLvl w:val="1"/>
      </w:pPr>
      <w:r>
        <w:rPr>
          <w:rFonts w:hint="eastAsia" w:ascii="宋体"/>
          <w:b w:val="0"/>
          <w:color w:val="000000" w:themeColor="text1"/>
          <w:szCs w:val="32"/>
          <w:highlight w:val="none"/>
          <w14:textFill>
            <w14:solidFill>
              <w14:schemeClr w14:val="tx1"/>
            </w14:solidFill>
          </w14:textFill>
        </w:rPr>
        <w:t xml:space="preserve">九、项目</w:t>
      </w:r>
      <w:r>
        <w:rPr>
          <w:rFonts w:hint="eastAsia" w:ascii="宋体"/>
          <w:b w:val="0"/>
          <w:color w:val="000000" w:themeColor="text1"/>
          <w:szCs w:val="32"/>
          <w:highlight w:val="none"/>
          <w:lang w:val="en-US" w:eastAsia="zh-CN"/>
          <w14:textFill>
            <w14:solidFill>
              <w14:schemeClr w14:val="tx1"/>
            </w14:solidFill>
          </w14:textFill>
        </w:rPr>
        <w:t xml:space="preserve">经理</w:t>
      </w:r>
      <w:r/>
    </w:p>
    <w:p>
      <w:pPr>
        <w:pStyle w:val="1178"/>
        <w:jc w:val="center"/>
        <w:spacing w:line="440" w:lineRule="exact"/>
        <w:rPr>
          <w:rFonts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项目</w:t>
      </w:r>
      <w:r>
        <w:rPr>
          <w:rFonts w:hint="eastAsia" w:ascii="宋体" w:eastAsia="宋体" w:cs="宋体"/>
          <w:b/>
          <w:bCs/>
          <w:color w:val="000000" w:themeColor="text1"/>
          <w:sz w:val="24"/>
          <w:lang w:val="en-US" w:eastAsia="zh-CN"/>
          <w14:textFill>
            <w14:solidFill>
              <w14:schemeClr w14:val="tx1"/>
            </w14:solidFill>
          </w14:textFill>
        </w:rPr>
        <w:t xml:space="preserve">经理</w:t>
      </w:r>
      <w:r/>
    </w:p>
    <w:tbl>
      <w:tblPr>
        <w:tblStyle w:val="76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1984"/>
        <w:gridCol w:w="1702"/>
        <w:gridCol w:w="962"/>
      </w:tblGrid>
      <w:tr>
        <w:trPr>
          <w:trHeight w:val="836"/>
        </w:trPr>
        <w:tc>
          <w:tcPr>
            <w:tcW w:w="959" w:type="dxa"/>
            <w:vAlign w:val="center"/>
            <w:textDirection w:val="lrTb"/>
            <w:noWrap/>
          </w:tcPr>
          <w:p>
            <w:pPr>
              <w:pStyle w:val="1193"/>
              <w:jc w:val="center"/>
              <w:spacing w:line="440" w:lineRule="exact"/>
              <w:widowControl/>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姓名</w:t>
            </w:r>
            <w:r/>
          </w:p>
        </w:tc>
        <w:tc>
          <w:tcPr>
            <w:tcW w:w="1843" w:type="dxa"/>
            <w:vAlign w:val="center"/>
            <w:textDirection w:val="lrTb"/>
            <w:noWrap/>
          </w:tcPr>
          <w:p>
            <w:pPr>
              <w:pStyle w:val="1193"/>
              <w:jc w:val="center"/>
              <w:spacing w:line="440" w:lineRule="exact"/>
              <w:widowControl/>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职务</w:t>
            </w:r>
            <w:r/>
          </w:p>
        </w:tc>
        <w:tc>
          <w:tcPr>
            <w:tcW w:w="1984" w:type="dxa"/>
            <w:vAlign w:val="center"/>
            <w:textDirection w:val="lrTb"/>
            <w:noWrap/>
          </w:tcPr>
          <w:p>
            <w:pPr>
              <w:pStyle w:val="1193"/>
              <w:ind w:firstLine="280"/>
              <w:spacing w:line="440" w:lineRule="exact"/>
              <w:widowControl/>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身份证号</w:t>
            </w:r>
            <w:r/>
          </w:p>
        </w:tc>
        <w:tc>
          <w:tcPr>
            <w:tcW w:w="1702" w:type="dxa"/>
            <w:vAlign w:val="center"/>
            <w:textDirection w:val="lrTb"/>
            <w:noWrap/>
          </w:tcPr>
          <w:p>
            <w:pPr>
              <w:pStyle w:val="1193"/>
              <w:jc w:val="center"/>
              <w:spacing w:line="440" w:lineRule="exact"/>
              <w:widowControl/>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相关证书</w:t>
            </w:r>
            <w:r/>
          </w:p>
        </w:tc>
        <w:tc>
          <w:tcPr>
            <w:tcW w:w="962" w:type="dxa"/>
            <w:vAlign w:val="center"/>
            <w:textDirection w:val="lrTb"/>
            <w:noWrap/>
          </w:tcPr>
          <w:p>
            <w:pPr>
              <w:pStyle w:val="1193"/>
              <w:spacing w:line="440" w:lineRule="exact"/>
              <w:widowControl/>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备注</w:t>
            </w:r>
            <w:r/>
          </w:p>
        </w:tc>
      </w:tr>
      <w:tr>
        <w:trPr>
          <w:trHeight w:val="729"/>
        </w:trPr>
        <w:tc>
          <w:tcPr>
            <w:tcW w:w="959"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843" w:type="dxa"/>
            <w:vAlign w:val="center"/>
            <w:textDirection w:val="lrTb"/>
            <w:noWrap/>
          </w:tcPr>
          <w:p>
            <w:pPr>
              <w:pStyle w:val="1178"/>
              <w:jc w:val="center"/>
              <w:spacing w:line="440" w:lineRule="exact"/>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项目经理</w:t>
            </w:r>
            <w:r/>
          </w:p>
        </w:tc>
        <w:tc>
          <w:tcPr>
            <w:tcW w:w="1984"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70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96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r>
      <w:tr>
        <w:trPr>
          <w:trHeight w:val="729"/>
        </w:trPr>
        <w:tc>
          <w:tcPr>
            <w:tcW w:w="959"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843" w:type="dxa"/>
            <w:vAlign w:val="center"/>
            <w:textDirection w:val="lrTb"/>
            <w:noWrap/>
          </w:tcPr>
          <w:p>
            <w:pPr>
              <w:pStyle w:val="1178"/>
              <w:jc w:val="center"/>
              <w:spacing w:line="440" w:lineRule="exact"/>
              <w:rPr>
                <w:rFonts w:hint="eastAsia" w:ascii="宋体" w:eastAsia="宋体" w:cs="宋体"/>
                <w:color w:val="000000" w:themeColor="text1"/>
                <w:lang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 </w:t>
            </w:r>
            <w:r/>
          </w:p>
        </w:tc>
        <w:tc>
          <w:tcPr>
            <w:tcW w:w="1984"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70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96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r>
      <w:tr>
        <w:trPr>
          <w:trHeight w:val="729"/>
        </w:trPr>
        <w:tc>
          <w:tcPr>
            <w:tcW w:w="959"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843" w:type="dxa"/>
            <w:vAlign w:val="center"/>
            <w:textDirection w:val="lrTb"/>
            <w:noWrap/>
          </w:tcPr>
          <w:p>
            <w:pPr>
              <w:pStyle w:val="1178"/>
              <w:ind w:firstLine="280"/>
              <w:spacing w:line="440" w:lineRule="exact"/>
              <w:rPr>
                <w:rFonts w:hint="eastAsia" w:ascii="宋体" w:eastAsia="宋体" w:cs="宋体"/>
                <w:color w:val="000000" w:themeColor="text1"/>
                <w:lang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 </w:t>
            </w:r>
            <w:r/>
          </w:p>
        </w:tc>
        <w:tc>
          <w:tcPr>
            <w:tcW w:w="1984"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70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96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r>
      <w:tr>
        <w:trPr>
          <w:trHeight w:val="729"/>
        </w:trPr>
        <w:tc>
          <w:tcPr>
            <w:tcW w:w="959"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843" w:type="dxa"/>
            <w:vAlign w:val="center"/>
            <w:textDirection w:val="lrTb"/>
            <w:noWrap/>
          </w:tcPr>
          <w:p>
            <w:pPr>
              <w:pStyle w:val="1178"/>
              <w:spacing w:line="440" w:lineRule="exact"/>
              <w:rPr>
                <w:rFonts w:ascii="宋体" w:cs="宋体"/>
                <w:color w:val="000000" w:themeColor="text1"/>
                <w14:textFill>
                  <w14:solidFill>
                    <w14:schemeClr w14:val="tx1"/>
                  </w14:solidFill>
                </w14:textFill>
              </w:rPr>
            </w:pPr>
            <w:r>
              <w:rPr>
                <w:rFonts w:ascii="宋体" w:cs="宋体"/>
                <w:color w:val="000000" w:themeColor="text1"/>
                <w14:textFill>
                  <w14:solidFill>
                    <w14:schemeClr w14:val="tx1"/>
                  </w14:solidFill>
                </w14:textFill>
              </w:rPr>
            </w:r>
            <w:r/>
          </w:p>
        </w:tc>
        <w:tc>
          <w:tcPr>
            <w:tcW w:w="1984"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70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96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r>
      <w:tr>
        <w:trPr>
          <w:trHeight w:val="729"/>
        </w:trPr>
        <w:tc>
          <w:tcPr>
            <w:tcW w:w="959"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843" w:type="dxa"/>
            <w:vAlign w:val="center"/>
            <w:textDirection w:val="lrTb"/>
            <w:noWrap/>
          </w:tcPr>
          <w:p>
            <w:pPr>
              <w:pStyle w:val="1178"/>
              <w:spacing w:line="440" w:lineRule="exact"/>
              <w:rPr>
                <w:rFonts w:ascii="宋体" w:cs="宋体"/>
                <w:color w:val="000000" w:themeColor="text1"/>
                <w14:textFill>
                  <w14:solidFill>
                    <w14:schemeClr w14:val="tx1"/>
                  </w14:solidFill>
                </w14:textFill>
              </w:rPr>
            </w:pPr>
            <w:r>
              <w:rPr>
                <w:rFonts w:ascii="宋体" w:cs="宋体"/>
                <w:color w:val="000000" w:themeColor="text1"/>
                <w14:textFill>
                  <w14:solidFill>
                    <w14:schemeClr w14:val="tx1"/>
                  </w14:solidFill>
                </w14:textFill>
              </w:rPr>
            </w:r>
            <w:r/>
          </w:p>
        </w:tc>
        <w:tc>
          <w:tcPr>
            <w:tcW w:w="1984"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70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96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r>
      <w:tr>
        <w:trPr>
          <w:trHeight w:val="729"/>
        </w:trPr>
        <w:tc>
          <w:tcPr>
            <w:tcW w:w="959"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843"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984"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70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96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r>
      <w:tr>
        <w:trPr>
          <w:trHeight w:val="729"/>
        </w:trPr>
        <w:tc>
          <w:tcPr>
            <w:tcW w:w="959"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843"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984"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70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96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r>
      <w:tr>
        <w:trPr>
          <w:trHeight w:val="729"/>
        </w:trPr>
        <w:tc>
          <w:tcPr>
            <w:tcW w:w="959"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843"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984"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70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96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r>
      <w:tr>
        <w:trPr>
          <w:trHeight w:val="729"/>
        </w:trPr>
        <w:tc>
          <w:tcPr>
            <w:tcW w:w="959"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843"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984"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70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96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r>
      <w:tr>
        <w:trPr>
          <w:trHeight w:val="729"/>
        </w:trPr>
        <w:tc>
          <w:tcPr>
            <w:tcW w:w="959"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843"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984"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170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c>
          <w:tcPr>
            <w:tcW w:w="962" w:type="dxa"/>
            <w:vAlign w:val="center"/>
            <w:textDirection w:val="lrTb"/>
            <w:noWrap/>
          </w:tcPr>
          <w:p>
            <w:pPr>
              <w:pStyle w:val="1193"/>
              <w:ind w:firstLine="560"/>
              <w:jc w:val="center"/>
              <w:spacing w:line="440" w:lineRule="exact"/>
              <w:widowControl/>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tc>
      </w:tr>
    </w:tbl>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398"/>
        <w:spacing w:line="440" w:lineRule="exact"/>
        <w:rPr>
          <w:rFonts w:hint="eastAsia" w:ascii="宋体" w:cs="宋体"/>
          <w:b/>
          <w:color w:val="000000" w:themeColor="text1"/>
          <w14:textFill>
            <w14:solidFill>
              <w14:schemeClr w14:val="tx1"/>
            </w14:solidFill>
          </w14:textFill>
        </w:rPr>
      </w:pPr>
      <w:r>
        <w:rPr>
          <w:rFonts w:hint="eastAsia" w:ascii="宋体" w:cs="宋体"/>
          <w:b/>
          <w:color w:val="000000" w:themeColor="text1"/>
          <w14:textFill>
            <w14:solidFill>
              <w14:schemeClr w14:val="tx1"/>
            </w14:solidFill>
          </w14:textFill>
        </w:rPr>
      </w:r>
      <w:r/>
    </w:p>
    <w:p>
      <w:pPr>
        <w:pStyle w:val="1178"/>
        <w:ind w:firstLine="696"/>
        <w:spacing w:line="440" w:lineRule="exact"/>
        <w:rPr>
          <w:rFonts w:ascii="宋体" w:cs="宋体"/>
          <w:color w:val="ff0000"/>
        </w:rPr>
      </w:pPr>
      <w:r>
        <w:rPr>
          <w:rFonts w:hint="eastAsia" w:ascii="宋体" w:cs="宋体"/>
          <w:b/>
          <w:color w:val="000000" w:themeColor="text1"/>
          <w14:textFill>
            <w14:solidFill>
              <w14:schemeClr w14:val="tx1"/>
            </w14:solidFill>
          </w14:textFill>
        </w:rPr>
        <w:t xml:space="preserve">注：如供应商中标，须按本表承诺操作。按招标文件要求附相关证书。</w:t>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360" w:lineRule="auto"/>
        <w:rPr>
          <w:rFonts w:hint="eastAsia" w:ascii="宋体" w:hAnsi="黑体" w:eastAsia="黑体" w:cs="黑体"/>
          <w:b w:val="0"/>
          <w:color w:val="000000" w:themeColor="text1"/>
          <w:sz w:val="32"/>
          <w:szCs w:val="32"/>
          <w:highlight w:val="none"/>
          <w:lang w:val="en-US" w:eastAsia="zh-CN" w:bidi="ar-SA"/>
          <w14:textFill>
            <w14:solidFill>
              <w14:schemeClr w14:val="tx1"/>
            </w14:solidFill>
          </w14:textFill>
        </w:rPr>
      </w:pPr>
      <w:r>
        <w:rPr>
          <w:rFonts w:hint="eastAsia" w:ascii="宋体" w:hAnsi="黑体" w:eastAsia="黑体" w:cs="黑体"/>
          <w:b w:val="0"/>
          <w:color w:val="000000" w:themeColor="text1"/>
          <w:sz w:val="32"/>
          <w:szCs w:val="32"/>
          <w:highlight w:val="none"/>
          <w:lang w:val="en-US" w:eastAsia="zh-CN" w:bidi="ar-SA"/>
          <w14:textFill>
            <w14:solidFill>
              <w14:schemeClr w14:val="tx1"/>
            </w14:solidFill>
          </w14:textFill>
        </w:rPr>
        <w:t xml:space="preserve">十、项目实施方案</w:t>
      </w:r>
      <w:r/>
    </w:p>
    <w:p>
      <w:pPr>
        <w:pStyle w:val="890"/>
        <w:spacing w:line="440" w:lineRule="exact"/>
        <w:rPr>
          <w:rFonts w:hint="eastAsia" w:ascii="宋体" w:hAnsi="宋体" w:eastAsia="宋体" w:cs="宋体"/>
          <w:b w:val="0"/>
          <w:color w:val="000000" w:themeColor="text1"/>
          <w:sz w:val="32"/>
          <w:szCs w:val="22"/>
          <w:lang w:val="en-US" w:eastAsia="zh-CN" w:bidi="ar-SA"/>
          <w14:textFill>
            <w14:solidFill>
              <w14:schemeClr w14:val="tx1"/>
            </w14:solidFill>
          </w14:textFill>
        </w:rPr>
        <w:outlineLvl w:val="1"/>
      </w:pPr>
      <w:r>
        <w:rPr>
          <w:rFonts w:hint="eastAsia" w:ascii="宋体" w:hAnsi="宋体" w:eastAsia="宋体" w:cs="宋体"/>
          <w:b w:val="0"/>
          <w:color w:val="000000" w:themeColor="text1"/>
          <w:sz w:val="32"/>
          <w:szCs w:val="22"/>
          <w:lang w:val="en-US" w:eastAsia="zh-CN" w:bidi="ar-SA"/>
          <w14:textFill>
            <w14:solidFill>
              <w14:schemeClr w14:val="tx1"/>
            </w14:solidFill>
          </w14:textFill>
        </w:rPr>
        <w:t xml:space="preserve">根据评分办法自行编制</w:t>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jc w:val="both"/>
        <w:spacing w:line="360" w:lineRule="auto"/>
        <w:widowControl w:val="off"/>
        <w:rPr>
          <w:rFonts w:hint="default" w:ascii="Times New Roman" w:hAnsi="Times New Roman"/>
          <w:color w:val="auto"/>
          <w:sz w:val="28"/>
          <w:szCs w:val="28"/>
          <w:highlight w:val="none"/>
          <w:lang w:val="en-US" w:eastAsia="zh-CN"/>
        </w:rPr>
      </w:pPr>
      <w:r>
        <w:rPr>
          <w:rFonts w:hint="default" w:ascii="Times New Roman" w:hAnsi="Times New Roman"/>
          <w:color w:val="auto"/>
          <w:sz w:val="28"/>
          <w:szCs w:val="28"/>
          <w:highlight w:val="none"/>
          <w:lang w:val="en-US" w:eastAsia="zh-CN"/>
        </w:rPr>
      </w:r>
      <w:r/>
    </w:p>
    <w:p>
      <w:pPr>
        <w:numPr>
          <w:ilvl w:val="0"/>
          <w:numId w:val="0"/>
        </w:numPr>
        <w:spacing w:line="360" w:lineRule="auto"/>
        <w:rPr>
          <w:rFonts w:hint="eastAsia" w:ascii="宋体" w:hAnsi="黑体" w:eastAsia="黑体" w:cs="黑体"/>
          <w:b w:val="0"/>
          <w:color w:val="000000" w:themeColor="text1"/>
          <w:sz w:val="32"/>
          <w:szCs w:val="32"/>
          <w:highlight w:val="none"/>
          <w:lang w:val="en-US" w:eastAsia="zh-CN" w:bidi="ar-SA"/>
          <w14:textFill>
            <w14:solidFill>
              <w14:schemeClr w14:val="tx1"/>
            </w14:solidFill>
          </w14:textFill>
        </w:rPr>
      </w:pPr>
      <w:r>
        <w:rPr>
          <w:rFonts w:hint="eastAsia" w:ascii="宋体" w:hAnsi="黑体" w:eastAsia="黑体" w:cs="黑体"/>
          <w:b w:val="0"/>
          <w:color w:val="000000" w:themeColor="text1"/>
          <w:sz w:val="32"/>
          <w:szCs w:val="32"/>
          <w:highlight w:val="none"/>
          <w:lang w:val="en-US" w:eastAsia="zh-CN" w:bidi="ar-SA"/>
          <w14:textFill>
            <w14:solidFill>
              <w14:schemeClr w14:val="tx1"/>
            </w14:solidFill>
          </w14:textFill>
        </w:rPr>
        <w:t xml:space="preserve">十一、关于符合本国产品标准的声明函</w:t>
      </w:r>
      <w:r/>
    </w:p>
    <w:p>
      <w:pPr>
        <w:pStyle w:val="1104"/>
        <w:ind w:firstLine="442"/>
        <w:spacing w:line="480" w:lineRule="exact"/>
        <w:rPr>
          <w:rFonts w:hint="eastAsia" w:ascii="宋体" w:hAnsi="宋体" w:eastAsia="宋体" w:cs="宋体"/>
          <w:color w:val="000000" w:themeColor="text1"/>
          <w:sz w:val="32"/>
          <w:lang w:val="en-US" w:eastAsia="zh-CN"/>
          <w14:textFill>
            <w14:solidFill>
              <w14:schemeClr w14:val="tx1"/>
            </w14:solidFill>
          </w14:textFill>
        </w:rPr>
      </w:pPr>
      <w:r>
        <w:rPr>
          <w:rFonts w:hint="eastAsia" w:ascii="宋体" w:hAnsi="宋体" w:eastAsia="宋体" w:cs="宋体"/>
          <w:color w:val="000000" w:themeColor="text1"/>
          <w:sz w:val="32"/>
          <w:lang w:val="en-US" w:eastAsia="zh-CN"/>
          <w14:textFill>
            <w14:solidFill>
              <w14:schemeClr w14:val="tx1"/>
            </w14:solidFill>
          </w14:textFill>
        </w:rPr>
        <w:t xml:space="preserve">格式详见投标文件制作工具</w:t>
      </w:r>
      <w:r/>
    </w:p>
    <w:p>
      <w:pPr>
        <w:numPr>
          <w:ilvl w:val="0"/>
          <w:numId w:val="0"/>
        </w:numPr>
        <w:spacing w:line="480" w:lineRule="exact"/>
        <w:rPr>
          <w:color w:val="auto"/>
          <w:sz w:val="24"/>
          <w:szCs w:val="24"/>
          <w:highlight w:val="none"/>
        </w:rPr>
        <w:outlineLvl w:val="1"/>
      </w:pPr>
      <w:r>
        <w:rPr>
          <w:rFonts w:ascii="宋体" w:hAnsi="宋体"/>
          <w:bCs/>
          <w:color w:val="auto"/>
          <w:highlight w:val="none"/>
        </w:rPr>
        <w:br w:type="page" w:clear="all"/>
      </w:r>
      <w:bookmarkStart w:id="171" w:name="_Toc26048"/>
      <w:r/>
      <w:bookmarkStart w:id="172" w:name="_Toc9275"/>
      <w:r/>
      <w:r/>
    </w:p>
    <w:p>
      <w:pPr>
        <w:numPr>
          <w:ilvl w:val="0"/>
          <w:numId w:val="0"/>
        </w:numPr>
        <w:spacing w:line="480" w:lineRule="exact"/>
        <w:rPr>
          <w:rFonts w:hint="eastAsia" w:ascii="宋体" w:hAnsi="黑体" w:eastAsia="黑体" w:cs="黑体"/>
          <w:color w:val="auto"/>
          <w:sz w:val="32"/>
          <w:szCs w:val="32"/>
          <w:highlight w:val="none"/>
          <w:lang w:val="en-US" w:eastAsia="zh-CN"/>
        </w:rPr>
        <w:outlineLvl w:val="1"/>
      </w:pPr>
      <w:r>
        <w:rPr>
          <w:rFonts w:hint="eastAsia" w:ascii="宋体" w:hAnsi="黑体" w:eastAsia="黑体" w:cs="黑体"/>
          <w:color w:val="auto"/>
          <w:sz w:val="32"/>
          <w:szCs w:val="32"/>
          <w:highlight w:val="none"/>
          <w:lang w:val="en-US" w:eastAsia="zh-CN"/>
        </w:rPr>
        <w:t xml:space="preserve">十二、投标所需其他材料</w:t>
      </w:r>
      <w:r/>
    </w:p>
    <w:p>
      <w:pPr>
        <w:pStyle w:val="1133"/>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numPr>
          <w:ilvl w:val="0"/>
          <w:numId w:val="0"/>
        </w:numPr>
        <w:spacing w:line="480" w:lineRule="exact"/>
        <w:rPr>
          <w:rFonts w:hint="eastAsia"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r>
      <w:bookmarkEnd w:id="171"/>
      <w:bookmarkEnd w:id="172"/>
      <w:r/>
    </w:p>
    <w:p>
      <w:pPr>
        <w:numPr>
          <w:ilvl w:val="0"/>
          <w:numId w:val="0"/>
        </w:numPr>
        <w:spacing w:line="480" w:lineRule="exact"/>
        <w:rPr>
          <w:rFonts w:hint="eastAsia"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r>
      <w:r/>
    </w:p>
    <w:p>
      <w:pPr>
        <w:ind w:firstLine="0"/>
        <w:jc w:val="left"/>
        <w:keepLines w:val="0"/>
        <w:keepNext w:val="0"/>
        <w:pageBreakBefore w:val="0"/>
        <w:spacing w:line="240" w:lineRule="auto"/>
        <w:widowControl/>
        <w:rPr>
          <w:rFonts w:ascii="宋体" w:hAnsi="宋体"/>
          <w:color w:val="auto"/>
          <w:sz w:val="24"/>
          <w:szCs w:val="24"/>
          <w:highlight w:val="none"/>
        </w:rPr>
      </w:pPr>
      <w:r>
        <w:rPr>
          <w:rFonts w:ascii="宋体" w:hAnsi="宋体"/>
          <w:color w:val="auto"/>
          <w:sz w:val="24"/>
          <w:szCs w:val="24"/>
          <w:highlight w:val="none"/>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48"/>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48"/>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48"/>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48"/>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16"/>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0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5"/>
  </w:num>
  <w:num w:numId="5">
    <w:abstractNumId w:val="6"/>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link w:val="1264"/>
    <w:uiPriority w:val="0"/>
    <w:qFormat/>
    <w:pPr>
      <w:jc w:val="both"/>
      <w:widowControl w:val="off"/>
    </w:pPr>
    <w:rPr>
      <w:rFonts w:hint="default" w:ascii="Calibri" w:hAnsi="Calibri" w:eastAsia="宋体" w:cs="Times New Roman"/>
      <w:sz w:val="21"/>
      <w:szCs w:val="22"/>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right="0" w:firstLine="0"/>
      <w:spacing w:after="57"/>
    </w:pPr>
  </w:style>
  <w:style w:type="paragraph" w:styleId="765">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annotation text"/>
    <w:basedOn w:val="752"/>
    <w:uiPriority w:val="99"/>
    <w:semiHidden/>
    <w:unhideWhenUsed/>
    <w:qFormat/>
    <w:pPr>
      <w:jc w:val="left"/>
    </w:pPr>
  </w:style>
  <w:style w:type="paragraph" w:styleId="767">
    <w:name w:val="Body Text Indent"/>
    <w:basedOn w:val="752"/>
    <w:uiPriority w:val="0"/>
    <w:qFormat/>
    <w:pPr>
      <w:ind w:firstLine="645"/>
      <w:jc w:val="both"/>
      <w:widowControl w:val="off"/>
    </w:pPr>
    <w:rPr>
      <w:rFonts w:hint="default" w:ascii="楷体_GB2312" w:hAnsi="Calibri" w:eastAsia="楷体_GB2312" w:cs="Times New Roman"/>
      <w:sz w:val="32"/>
      <w:szCs w:val="32"/>
      <w:lang w:val="en-US" w:eastAsia="en-US" w:bidi="ar-SA"/>
    </w:rPr>
  </w:style>
  <w:style w:type="paragraph" w:styleId="768">
    <w:name w:val="toc 5"/>
    <w:basedOn w:val="752"/>
    <w:next w:val="752"/>
    <w:uiPriority w:val="39"/>
    <w:unhideWhenUsed/>
    <w:qFormat/>
    <w:pPr>
      <w:ind w:left="1134" w:right="0" w:firstLine="0"/>
      <w:spacing w:after="57"/>
    </w:pPr>
  </w:style>
  <w:style w:type="paragraph" w:styleId="769">
    <w:name w:val="toc 3"/>
    <w:basedOn w:val="752"/>
    <w:next w:val="752"/>
    <w:uiPriority w:val="39"/>
    <w:unhideWhenUsed/>
    <w:qFormat/>
    <w:pPr>
      <w:ind w:left="567" w:right="0" w:firstLine="0"/>
      <w:spacing w:after="57"/>
    </w:pPr>
  </w:style>
  <w:style w:type="paragraph" w:styleId="770">
    <w:name w:val="toc 8"/>
    <w:basedOn w:val="752"/>
    <w:next w:val="752"/>
    <w:uiPriority w:val="39"/>
    <w:unhideWhenUsed/>
    <w:qFormat/>
    <w:pPr>
      <w:ind w:left="1984" w:right="0" w:firstLine="0"/>
      <w:spacing w:after="57"/>
    </w:pPr>
  </w:style>
  <w:style w:type="paragraph" w:styleId="771">
    <w:name w:val="endnote text"/>
    <w:basedOn w:val="752"/>
    <w:uiPriority w:val="99"/>
    <w:semiHidden/>
    <w:unhideWhenUsed/>
    <w:qFormat/>
    <w:pPr>
      <w:spacing w:after="0" w:line="240" w:lineRule="auto"/>
    </w:pPr>
    <w:rPr>
      <w:sz w:val="20"/>
    </w:rPr>
  </w:style>
  <w:style w:type="paragraph" w:styleId="772">
    <w:name w:val="Footer"/>
    <w:basedOn w:val="752"/>
    <w:uiPriority w:val="99"/>
    <w:unhideWhenUsed/>
    <w:qFormat/>
    <w:pPr>
      <w:spacing w:after="0" w:line="240" w:lineRule="auto"/>
      <w:tabs>
        <w:tab w:val="center" w:pos="7143" w:leader="none"/>
        <w:tab w:val="right" w:pos="14287" w:leader="none"/>
      </w:tabs>
    </w:pPr>
  </w:style>
  <w:style w:type="paragraph" w:styleId="773">
    <w:name w:val="Header"/>
    <w:basedOn w:val="752"/>
    <w:uiPriority w:val="99"/>
    <w:unhideWhenUsed/>
    <w:qFormat/>
    <w:pPr>
      <w:spacing w:after="0" w:line="240" w:lineRule="auto"/>
      <w:tabs>
        <w:tab w:val="center" w:pos="7143" w:leader="none"/>
        <w:tab w:val="right" w:pos="14287" w:leader="none"/>
      </w:tabs>
    </w:pPr>
  </w:style>
  <w:style w:type="paragraph" w:styleId="774">
    <w:name w:val="toc 1"/>
    <w:basedOn w:val="752"/>
    <w:next w:val="752"/>
    <w:uiPriority w:val="39"/>
    <w:unhideWhenUsed/>
    <w:qFormat/>
    <w:pPr>
      <w:ind w:left="0" w:right="0" w:firstLine="0"/>
      <w:spacing w:after="57"/>
    </w:pPr>
  </w:style>
  <w:style w:type="paragraph" w:styleId="775">
    <w:name w:val="toc 4"/>
    <w:basedOn w:val="752"/>
    <w:next w:val="752"/>
    <w:uiPriority w:val="39"/>
    <w:unhideWhenUsed/>
    <w:qFormat/>
    <w:pPr>
      <w:ind w:left="850" w:right="0" w:firstLine="0"/>
      <w:spacing w:after="57"/>
    </w:pPr>
  </w:style>
  <w:style w:type="paragraph" w:styleId="776">
    <w:name w:val="Subtitle"/>
    <w:basedOn w:val="752"/>
    <w:next w:val="752"/>
    <w:uiPriority w:val="11"/>
    <w:qFormat/>
    <w:pPr>
      <w:spacing w:before="200" w:after="200"/>
    </w:pPr>
    <w:rPr>
      <w:sz w:val="24"/>
      <w:szCs w:val="24"/>
    </w:rPr>
  </w:style>
  <w:style w:type="paragraph" w:styleId="777">
    <w:name w:val="footnote text"/>
    <w:basedOn w:val="752"/>
    <w:uiPriority w:val="99"/>
    <w:semiHidden/>
    <w:unhideWhenUsed/>
    <w:qFormat/>
    <w:pPr>
      <w:spacing w:after="40" w:line="240" w:lineRule="auto"/>
    </w:pPr>
    <w:rPr>
      <w:sz w:val="18"/>
    </w:rPr>
  </w:style>
  <w:style w:type="paragraph" w:styleId="778">
    <w:name w:val="toc 6"/>
    <w:basedOn w:val="752"/>
    <w:next w:val="752"/>
    <w:uiPriority w:val="39"/>
    <w:unhideWhenUsed/>
    <w:qFormat/>
    <w:pPr>
      <w:ind w:left="1417" w:right="0" w:firstLine="0"/>
      <w:spacing w:after="57"/>
    </w:pPr>
  </w:style>
  <w:style w:type="paragraph" w:styleId="779">
    <w:name w:val="table of figures"/>
    <w:basedOn w:val="752"/>
    <w:next w:val="752"/>
    <w:uiPriority w:val="99"/>
    <w:unhideWhenUsed/>
    <w:qFormat/>
    <w:pPr>
      <w:spacing w:after="0" w:afterAutospacing="0"/>
    </w:pPr>
  </w:style>
  <w:style w:type="paragraph" w:styleId="780">
    <w:name w:val="toc 2"/>
    <w:basedOn w:val="752"/>
    <w:next w:val="752"/>
    <w:uiPriority w:val="39"/>
    <w:unhideWhenUsed/>
    <w:qFormat/>
    <w:pPr>
      <w:ind w:left="283" w:right="0" w:firstLine="0"/>
      <w:spacing w:after="57"/>
    </w:pPr>
  </w:style>
  <w:style w:type="paragraph" w:styleId="781">
    <w:name w:val="toc 9"/>
    <w:basedOn w:val="752"/>
    <w:next w:val="752"/>
    <w:uiPriority w:val="39"/>
    <w:unhideWhenUsed/>
    <w:qFormat/>
    <w:pPr>
      <w:ind w:left="2268" w:right="0" w:firstLine="0"/>
      <w:spacing w:after="57"/>
    </w:pPr>
  </w:style>
  <w:style w:type="paragraph" w:styleId="782">
    <w:name w:val="Normal (Web)"/>
    <w:basedOn w:val="752"/>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83">
    <w:name w:val="Title"/>
    <w:basedOn w:val="752"/>
    <w:next w:val="752"/>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62"/>
    <w:uiPriority w:val="22"/>
    <w:qFormat/>
    <w:rPr>
      <w:b/>
    </w:r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name w:val="List Paragraph"/>
    <w:basedOn w:val="752"/>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paragraph" w:styleId="791">
    <w:name w:val="Quote"/>
    <w:basedOn w:val="752"/>
    <w:next w:val="752"/>
    <w:uiPriority w:val="29"/>
    <w:qFormat/>
    <w:pPr>
      <w:ind w:left="720" w:right="720"/>
    </w:pPr>
    <w:rPr>
      <w:i/>
    </w:rPr>
  </w:style>
  <w:style w:type="paragraph" w:styleId="792">
    <w:name w:val="Intense Quote"/>
    <w:basedOn w:val="752"/>
    <w:next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3" w:customStyle="1">
    <w:name w:val="标题 11"/>
    <w:basedOn w:val="752"/>
    <w:next w:val="752"/>
    <w:link w:val="812"/>
    <w:uiPriority w:val="0"/>
    <w:qFormat/>
    <w:pPr>
      <w:keepLines/>
      <w:keepNext/>
      <w:spacing w:before="480" w:after="200"/>
      <w:outlineLvl w:val="0"/>
    </w:pPr>
    <w:rPr>
      <w:rFonts w:ascii="Arial" w:hAnsi="Arial" w:eastAsia="Arial" w:cs="Arial"/>
      <w:sz w:val="40"/>
      <w:szCs w:val="40"/>
    </w:rPr>
  </w:style>
  <w:style w:type="paragraph" w:styleId="794" w:customStyle="1">
    <w:name w:val="标题 211"/>
    <w:basedOn w:val="752"/>
    <w:next w:val="795"/>
    <w:link w:val="813"/>
    <w:uiPriority w:val="0"/>
    <w:qFormat/>
    <w:pPr>
      <w:keepLines/>
      <w:keepNext/>
      <w:spacing w:before="260" w:after="260" w:line="413" w:lineRule="auto"/>
      <w:outlineLvl w:val="1"/>
    </w:pPr>
    <w:rPr>
      <w:rFonts w:ascii="Arial" w:hAnsi="Arial" w:eastAsia="黑体"/>
      <w:b/>
      <w:sz w:val="32"/>
      <w:szCs w:val="20"/>
    </w:rPr>
  </w:style>
  <w:style w:type="paragraph" w:styleId="795" w:customStyle="1">
    <w:name w:val="正文缩进11"/>
    <w:basedOn w:val="752"/>
    <w:link w:val="814"/>
    <w:uiPriority w:val="0"/>
    <w:qFormat/>
    <w:pPr>
      <w:ind w:firstLine="420"/>
    </w:pPr>
    <w:rPr>
      <w:rFonts w:ascii="宋体"/>
      <w:color w:val="000000"/>
      <w:sz w:val="24"/>
      <w:szCs w:val="20"/>
    </w:rPr>
  </w:style>
  <w:style w:type="paragraph" w:styleId="796" w:customStyle="1">
    <w:name w:val="标题 311"/>
    <w:basedOn w:val="797"/>
    <w:next w:val="798"/>
    <w:link w:val="815"/>
    <w:uiPriority w:val="0"/>
    <w:qFormat/>
    <w:pPr>
      <w:keepLines/>
      <w:keepNext/>
      <w:spacing w:before="320" w:after="200"/>
      <w:outlineLvl w:val="2"/>
    </w:pPr>
    <w:rPr>
      <w:rFonts w:ascii="Arial" w:hAnsi="Arial" w:eastAsia="Arial" w:cs="Arial"/>
      <w:sz w:val="30"/>
      <w:szCs w:val="30"/>
    </w:rPr>
  </w:style>
  <w:style w:type="paragraph" w:styleId="797" w:customStyle="1">
    <w:name w:val="Normal1"/>
    <w:next w:val="796"/>
    <w:uiPriority w:val="0"/>
    <w:qFormat/>
    <w:pPr>
      <w:jc w:val="both"/>
      <w:widowControl w:val="off"/>
    </w:pPr>
    <w:rPr>
      <w:rFonts w:hint="default" w:ascii="Calibri" w:hAnsi="Calibri" w:eastAsia="宋体" w:cs="Times New Roman"/>
      <w:sz w:val="21"/>
      <w:szCs w:val="22"/>
      <w:lang w:val="en-US" w:eastAsia="zh-CN" w:bidi="ar-SA"/>
    </w:rPr>
  </w:style>
  <w:style w:type="paragraph" w:styleId="798" w:customStyle="1">
    <w:name w:val="Normal_19"/>
    <w:next w:val="799"/>
    <w:uiPriority w:val="0"/>
    <w:qFormat/>
    <w:rPr>
      <w:rFonts w:hint="default" w:ascii="黑体" w:hAnsi="黑体" w:eastAsia="黑体" w:cs="黑体"/>
      <w:b/>
      <w:sz w:val="32"/>
      <w:szCs w:val="24"/>
      <w:lang w:val="en-US" w:eastAsia="zh-CN" w:bidi="ar-SA"/>
    </w:rPr>
  </w:style>
  <w:style w:type="paragraph" w:styleId="799" w:customStyle="1">
    <w:name w:val="正文1"/>
    <w:next w:val="800"/>
    <w:uiPriority w:val="0"/>
    <w:qFormat/>
    <w:rPr>
      <w:rFonts w:hint="default" w:ascii="Times New Roman" w:hAnsi="Times New Roman" w:eastAsia="Times New Roman" w:cs="Times New Roman"/>
      <w:sz w:val="24"/>
      <w:szCs w:val="24"/>
      <w:lang w:val="en-US" w:eastAsia="zh-CN" w:bidi="ar-SA"/>
    </w:rPr>
  </w:style>
  <w:style w:type="paragraph" w:styleId="800" w:customStyle="1">
    <w:name w:val="Body Text First Indent1"/>
    <w:basedOn w:val="801"/>
    <w:uiPriority w:val="99"/>
    <w:unhideWhenUsed/>
    <w:qFormat/>
    <w:pPr>
      <w:ind w:firstLine="420"/>
    </w:pPr>
  </w:style>
  <w:style w:type="paragraph" w:styleId="801" w:customStyle="1">
    <w:name w:val="Body Text1"/>
    <w:basedOn w:val="802"/>
    <w:uiPriority w:val="99"/>
    <w:unhideWhenUsed/>
    <w:qFormat/>
    <w:pPr>
      <w:spacing w:after="120"/>
    </w:pPr>
  </w:style>
  <w:style w:type="paragraph" w:styleId="802" w:customStyle="1">
    <w:name w:val="Normal11"/>
    <w:next w:val="800"/>
    <w:uiPriority w:val="0"/>
    <w:qFormat/>
    <w:pPr>
      <w:jc w:val="both"/>
      <w:widowControl w:val="off"/>
    </w:pPr>
    <w:rPr>
      <w:rFonts w:hint="default" w:ascii="Times New Roman" w:hAnsi="Times New Roman" w:eastAsia="宋体" w:cs="Times New Roman"/>
      <w:szCs w:val="21"/>
      <w:lang w:val="en-US" w:eastAsia="zh-CN" w:bidi="ar-SA"/>
    </w:rPr>
  </w:style>
  <w:style w:type="paragraph" w:styleId="803" w:customStyle="1">
    <w:name w:val="标题 411"/>
    <w:basedOn w:val="752"/>
    <w:next w:val="752"/>
    <w:link w:val="816"/>
    <w:uiPriority w:val="0"/>
    <w:qFormat/>
    <w:pPr>
      <w:jc w:val="center"/>
      <w:keepNext/>
      <w:outlineLvl w:val="3"/>
    </w:pPr>
    <w:rPr>
      <w:rFonts w:eastAsia="新宋体"/>
      <w:sz w:val="30"/>
      <w:szCs w:val="21"/>
    </w:rPr>
  </w:style>
  <w:style w:type="paragraph" w:styleId="804" w:customStyle="1">
    <w:name w:val="标题 51"/>
    <w:basedOn w:val="752"/>
    <w:next w:val="752"/>
    <w:link w:val="817"/>
    <w:uiPriority w:val="0"/>
    <w:qFormat/>
    <w:pPr>
      <w:keepLines/>
      <w:keepNext/>
      <w:spacing w:before="320" w:after="200"/>
      <w:outlineLvl w:val="4"/>
    </w:pPr>
    <w:rPr>
      <w:rFonts w:ascii="Arial" w:hAnsi="Arial" w:eastAsia="Arial" w:cs="Arial"/>
      <w:b/>
      <w:bCs/>
      <w:sz w:val="24"/>
      <w:szCs w:val="24"/>
    </w:rPr>
  </w:style>
  <w:style w:type="paragraph" w:styleId="805" w:customStyle="1">
    <w:name w:val="标题 61"/>
    <w:basedOn w:val="752"/>
    <w:next w:val="752"/>
    <w:link w:val="818"/>
    <w:uiPriority w:val="0"/>
    <w:qFormat/>
    <w:pPr>
      <w:keepLines/>
      <w:keepNext/>
      <w:spacing w:before="320" w:after="200"/>
      <w:outlineLvl w:val="5"/>
    </w:pPr>
    <w:rPr>
      <w:rFonts w:ascii="Arial" w:hAnsi="Arial" w:eastAsia="Arial" w:cs="Arial"/>
      <w:b/>
      <w:bCs/>
      <w:sz w:val="22"/>
    </w:rPr>
  </w:style>
  <w:style w:type="paragraph" w:styleId="806" w:customStyle="1">
    <w:name w:val="标题 71"/>
    <w:basedOn w:val="752"/>
    <w:next w:val="752"/>
    <w:link w:val="819"/>
    <w:uiPriority w:val="0"/>
    <w:qFormat/>
    <w:pPr>
      <w:keepLines/>
      <w:keepNext/>
      <w:spacing w:before="320" w:after="200"/>
      <w:outlineLvl w:val="6"/>
    </w:pPr>
    <w:rPr>
      <w:rFonts w:ascii="Arial" w:hAnsi="Arial" w:eastAsia="Arial" w:cs="Arial"/>
      <w:b/>
      <w:bCs/>
      <w:i/>
      <w:iCs/>
      <w:sz w:val="22"/>
    </w:rPr>
  </w:style>
  <w:style w:type="paragraph" w:styleId="807" w:customStyle="1">
    <w:name w:val="标题 81"/>
    <w:basedOn w:val="752"/>
    <w:next w:val="752"/>
    <w:link w:val="820"/>
    <w:uiPriority w:val="0"/>
    <w:qFormat/>
    <w:pPr>
      <w:keepLines/>
      <w:keepNext/>
      <w:spacing w:before="320" w:after="200"/>
      <w:outlineLvl w:val="7"/>
    </w:pPr>
    <w:rPr>
      <w:rFonts w:ascii="Arial" w:hAnsi="Arial" w:eastAsia="Arial" w:cs="Arial"/>
      <w:i/>
      <w:iCs/>
      <w:sz w:val="22"/>
    </w:rPr>
  </w:style>
  <w:style w:type="paragraph" w:styleId="808" w:customStyle="1">
    <w:name w:val="标题 91"/>
    <w:basedOn w:val="752"/>
    <w:next w:val="752"/>
    <w:link w:val="821"/>
    <w:uiPriority w:val="0"/>
    <w:qFormat/>
    <w:pPr>
      <w:keepLines/>
      <w:keepNext/>
      <w:spacing w:before="320" w:after="200"/>
      <w:outlineLvl w:val="8"/>
    </w:pPr>
    <w:rPr>
      <w:rFonts w:ascii="Arial" w:hAnsi="Arial" w:eastAsia="Arial" w:cs="Arial"/>
      <w:i/>
      <w:iCs/>
      <w:szCs w:val="21"/>
    </w:rPr>
  </w:style>
  <w:style w:type="character" w:styleId="809" w:customStyle="1">
    <w:name w:val="默认段落字体11"/>
    <w:link w:val="752"/>
    <w:uiPriority w:val="1"/>
    <w:unhideWhenUsed/>
    <w:qFormat/>
  </w:style>
  <w:style w:type="table" w:styleId="810" w:customStyle="1">
    <w:name w:val="普通表格1"/>
    <w:uiPriority w:val="99"/>
    <w:unhideWhenUsed/>
    <w:qFormat/>
    <w:tblPr/>
  </w:style>
  <w:style w:type="character" w:styleId="811" w:customStyle="1">
    <w:name w:val="页码1"/>
    <w:link w:val="752"/>
    <w:uiPriority w:val="0"/>
    <w:qFormat/>
    <w:rPr>
      <w:rFonts w:ascii="Calibri" w:hAnsi="Calibri"/>
      <w:sz w:val="21"/>
      <w:szCs w:val="22"/>
      <w:lang w:val="en-US" w:eastAsia="zh-CN" w:bidi="ar-SA"/>
    </w:rPr>
  </w:style>
  <w:style w:type="character" w:styleId="812" w:customStyle="1">
    <w:name w:val="标题 1 字符"/>
    <w:link w:val="793"/>
    <w:uiPriority w:val="0"/>
    <w:qFormat/>
    <w:rPr>
      <w:rFonts w:ascii="Arial" w:hAnsi="Arial" w:eastAsia="Arial" w:cs="Arial"/>
      <w:sz w:val="40"/>
      <w:szCs w:val="40"/>
    </w:rPr>
  </w:style>
  <w:style w:type="character" w:styleId="813" w:customStyle="1">
    <w:name w:val="标题 2 字符"/>
    <w:link w:val="794"/>
    <w:uiPriority w:val="0"/>
    <w:qFormat/>
    <w:rPr>
      <w:rFonts w:ascii="Arial" w:hAnsi="Arial" w:eastAsia="Arial" w:cs="Arial"/>
      <w:sz w:val="34"/>
    </w:rPr>
  </w:style>
  <w:style w:type="character" w:styleId="814" w:customStyle="1">
    <w:name w:val="正文缩进 字符"/>
    <w:link w:val="795"/>
    <w:uiPriority w:val="0"/>
    <w:qFormat/>
    <w:rPr>
      <w:rFonts w:ascii="宋体" w:hAnsi="Calibri"/>
      <w:color w:val="000000"/>
      <w:sz w:val="24"/>
    </w:rPr>
  </w:style>
  <w:style w:type="character" w:styleId="815" w:customStyle="1">
    <w:name w:val="标题 3 字符"/>
    <w:link w:val="796"/>
    <w:uiPriority w:val="0"/>
    <w:qFormat/>
    <w:rPr>
      <w:rFonts w:ascii="Arial" w:hAnsi="Arial" w:eastAsia="Arial" w:cs="Arial"/>
      <w:sz w:val="30"/>
      <w:szCs w:val="30"/>
    </w:rPr>
  </w:style>
  <w:style w:type="character" w:styleId="816" w:customStyle="1">
    <w:name w:val="标题 4 字符"/>
    <w:link w:val="803"/>
    <w:uiPriority w:val="0"/>
    <w:qFormat/>
    <w:rPr>
      <w:rFonts w:ascii="Arial" w:hAnsi="Arial" w:eastAsia="Arial" w:cs="Arial"/>
      <w:b/>
      <w:bCs/>
      <w:sz w:val="26"/>
      <w:szCs w:val="26"/>
    </w:rPr>
  </w:style>
  <w:style w:type="character" w:styleId="817" w:customStyle="1">
    <w:name w:val="标题 5 字符"/>
    <w:link w:val="804"/>
    <w:uiPriority w:val="0"/>
    <w:qFormat/>
    <w:rPr>
      <w:rFonts w:ascii="Arial" w:hAnsi="Arial" w:eastAsia="Arial" w:cs="Arial"/>
      <w:b/>
      <w:bCs/>
      <w:sz w:val="24"/>
      <w:szCs w:val="24"/>
    </w:rPr>
  </w:style>
  <w:style w:type="character" w:styleId="818" w:customStyle="1">
    <w:name w:val="标题 6 字符"/>
    <w:link w:val="805"/>
    <w:uiPriority w:val="0"/>
    <w:qFormat/>
    <w:rPr>
      <w:rFonts w:ascii="Arial" w:hAnsi="Arial" w:eastAsia="Arial" w:cs="Arial"/>
      <w:b/>
      <w:bCs/>
      <w:sz w:val="22"/>
      <w:szCs w:val="22"/>
    </w:rPr>
  </w:style>
  <w:style w:type="character" w:styleId="819" w:customStyle="1">
    <w:name w:val="标题 7 字符"/>
    <w:link w:val="806"/>
    <w:uiPriority w:val="0"/>
    <w:qFormat/>
    <w:rPr>
      <w:rFonts w:ascii="Arial" w:hAnsi="Arial" w:eastAsia="Arial" w:cs="Arial"/>
      <w:b/>
      <w:bCs/>
      <w:i/>
      <w:iCs/>
      <w:sz w:val="22"/>
      <w:szCs w:val="22"/>
    </w:rPr>
  </w:style>
  <w:style w:type="character" w:styleId="820" w:customStyle="1">
    <w:name w:val="标题 8 字符"/>
    <w:link w:val="807"/>
    <w:uiPriority w:val="0"/>
    <w:qFormat/>
    <w:rPr>
      <w:rFonts w:ascii="Arial" w:hAnsi="Arial" w:eastAsia="Arial" w:cs="Arial"/>
      <w:i/>
      <w:iCs/>
      <w:sz w:val="22"/>
      <w:szCs w:val="22"/>
    </w:rPr>
  </w:style>
  <w:style w:type="character" w:styleId="821" w:customStyle="1">
    <w:name w:val="标题 9 字符"/>
    <w:link w:val="808"/>
    <w:uiPriority w:val="0"/>
    <w:qFormat/>
    <w:rPr>
      <w:rFonts w:ascii="Arial" w:hAnsi="Arial" w:eastAsia="Arial" w:cs="Arial"/>
      <w:i/>
      <w:iCs/>
      <w:sz w:val="21"/>
      <w:szCs w:val="21"/>
    </w:rPr>
  </w:style>
  <w:style w:type="paragraph" w:styleId="822" w:customStyle="1">
    <w:name w:val="列表 31"/>
    <w:basedOn w:val="752"/>
    <w:uiPriority w:val="0"/>
    <w:qFormat/>
    <w:pPr>
      <w:ind w:left="100" w:hanging="200"/>
    </w:pPr>
    <w:rPr>
      <w:rFonts w:ascii="Times New Roman" w:hAnsi="Times New Roman"/>
      <w:szCs w:val="21"/>
    </w:rPr>
  </w:style>
  <w:style w:type="paragraph" w:styleId="823" w:customStyle="1">
    <w:name w:val="目录 71"/>
    <w:basedOn w:val="752"/>
    <w:next w:val="752"/>
    <w:uiPriority w:val="0"/>
    <w:unhideWhenUsed/>
    <w:qFormat/>
    <w:pPr>
      <w:ind w:left="1701"/>
      <w:spacing w:after="57"/>
    </w:pPr>
  </w:style>
  <w:style w:type="paragraph" w:styleId="824" w:customStyle="1">
    <w:name w:val="题注1"/>
    <w:basedOn w:val="752"/>
    <w:next w:val="752"/>
    <w:uiPriority w:val="35"/>
    <w:qFormat/>
    <w:pPr>
      <w:spacing w:line="276" w:lineRule="auto"/>
    </w:pPr>
    <w:rPr>
      <w:b/>
      <w:bCs/>
      <w:color w:val="5b9bd5"/>
      <w:sz w:val="18"/>
      <w:szCs w:val="18"/>
    </w:rPr>
  </w:style>
  <w:style w:type="paragraph" w:styleId="825" w:customStyle="1">
    <w:name w:val="文档结构图1"/>
    <w:basedOn w:val="752"/>
    <w:link w:val="826"/>
    <w:uiPriority w:val="0"/>
    <w:semiHidden/>
    <w:qFormat/>
    <w:pPr>
      <w:shd w:val="clear" w:color="auto" w:fill="000080"/>
    </w:pPr>
    <w:rPr>
      <w:rFonts w:ascii="Times New Roman" w:hAnsi="Times New Roman"/>
      <w:szCs w:val="21"/>
    </w:rPr>
  </w:style>
  <w:style w:type="character" w:styleId="826" w:customStyle="1">
    <w:name w:val="文档结构图 字符"/>
    <w:link w:val="825"/>
    <w:uiPriority w:val="0"/>
    <w:semiHidden/>
    <w:qFormat/>
    <w:rPr>
      <w:sz w:val="21"/>
      <w:szCs w:val="21"/>
      <w:shd w:val="clear" w:color="auto" w:fill="000080"/>
    </w:rPr>
  </w:style>
  <w:style w:type="paragraph" w:styleId="827" w:customStyle="1">
    <w:name w:val="批注文字1"/>
    <w:basedOn w:val="752"/>
    <w:link w:val="828"/>
    <w:uiPriority w:val="0"/>
    <w:semiHidden/>
    <w:qFormat/>
    <w:pPr>
      <w:jc w:val="left"/>
    </w:pPr>
    <w:rPr>
      <w:rFonts w:ascii="Times New Roman" w:hAnsi="Times New Roman"/>
      <w:szCs w:val="21"/>
    </w:rPr>
  </w:style>
  <w:style w:type="character" w:styleId="828" w:customStyle="1">
    <w:name w:val="批注文字 字符"/>
    <w:link w:val="827"/>
    <w:uiPriority w:val="0"/>
    <w:semiHidden/>
    <w:qFormat/>
    <w:rPr>
      <w:sz w:val="21"/>
      <w:szCs w:val="21"/>
    </w:rPr>
  </w:style>
  <w:style w:type="paragraph" w:styleId="829" w:customStyle="1">
    <w:name w:val="正文文本 31"/>
    <w:basedOn w:val="752"/>
    <w:link w:val="830"/>
    <w:uiPriority w:val="0"/>
    <w:qFormat/>
    <w:rPr>
      <w:rFonts w:ascii="仿宋_GB2312" w:hAnsi="Arial" w:eastAsia="仿宋_GB2312"/>
      <w:sz w:val="32"/>
      <w:szCs w:val="32"/>
    </w:rPr>
  </w:style>
  <w:style w:type="character" w:styleId="830" w:customStyle="1">
    <w:name w:val="正文文本 3 字符"/>
    <w:link w:val="829"/>
    <w:uiPriority w:val="0"/>
    <w:qFormat/>
    <w:rPr>
      <w:rFonts w:ascii="仿宋_GB2312" w:hAnsi="Arial" w:eastAsia="仿宋_GB2312"/>
      <w:sz w:val="32"/>
      <w:szCs w:val="32"/>
    </w:rPr>
  </w:style>
  <w:style w:type="paragraph" w:styleId="831" w:customStyle="1">
    <w:name w:val="正文文本111"/>
    <w:basedOn w:val="752"/>
    <w:uiPriority w:val="0"/>
    <w:semiHidden/>
    <w:qFormat/>
    <w:rPr>
      <w:rFonts w:ascii="仿宋" w:hAnsi="仿宋" w:eastAsia="仿宋" w:cs="仿宋"/>
      <w:sz w:val="32"/>
      <w:szCs w:val="32"/>
      <w:lang w:val="en-US" w:eastAsia="en-US" w:bidi="ar-SA"/>
    </w:rPr>
  </w:style>
  <w:style w:type="paragraph" w:styleId="832" w:customStyle="1">
    <w:name w:val="正文文本缩进111"/>
    <w:basedOn w:val="752"/>
    <w:link w:val="833"/>
    <w:uiPriority w:val="0"/>
    <w:qFormat/>
    <w:pPr>
      <w:ind w:firstLine="225"/>
    </w:pPr>
    <w:rPr>
      <w:rFonts w:ascii="仿宋_GB2312" w:eastAsia="仿宋_GB2312"/>
      <w:sz w:val="32"/>
    </w:rPr>
  </w:style>
  <w:style w:type="character" w:styleId="833" w:customStyle="1">
    <w:name w:val="正文文本缩进 字符1"/>
    <w:link w:val="832"/>
    <w:uiPriority w:val="0"/>
    <w:qFormat/>
    <w:rPr>
      <w:rFonts w:ascii="仿宋_GB2312" w:hAnsi="Calibri" w:eastAsia="仿宋_GB2312"/>
      <w:sz w:val="32"/>
      <w:szCs w:val="22"/>
    </w:rPr>
  </w:style>
  <w:style w:type="paragraph" w:styleId="834" w:customStyle="1">
    <w:name w:val="列表 21"/>
    <w:basedOn w:val="752"/>
    <w:uiPriority w:val="0"/>
    <w:qFormat/>
    <w:pPr>
      <w:ind w:left="100" w:hanging="200"/>
    </w:pPr>
    <w:rPr>
      <w:rFonts w:ascii="Times New Roman" w:hAnsi="Times New Roman"/>
      <w:szCs w:val="21"/>
    </w:rPr>
  </w:style>
  <w:style w:type="paragraph" w:styleId="835" w:customStyle="1">
    <w:name w:val="目录 51"/>
    <w:basedOn w:val="752"/>
    <w:next w:val="752"/>
    <w:uiPriority w:val="0"/>
    <w:unhideWhenUsed/>
    <w:qFormat/>
    <w:pPr>
      <w:ind w:left="1134"/>
      <w:spacing w:after="57"/>
    </w:pPr>
  </w:style>
  <w:style w:type="paragraph" w:styleId="836" w:customStyle="1">
    <w:name w:val="目录 31"/>
    <w:basedOn w:val="752"/>
    <w:next w:val="752"/>
    <w:uiPriority w:val="0"/>
    <w:unhideWhenUsed/>
    <w:qFormat/>
    <w:pPr>
      <w:ind w:left="567"/>
      <w:spacing w:after="57"/>
    </w:pPr>
  </w:style>
  <w:style w:type="paragraph" w:styleId="837" w:customStyle="1">
    <w:name w:val="纯文本11"/>
    <w:basedOn w:val="752"/>
    <w:link w:val="838"/>
    <w:uiPriority w:val="0"/>
    <w:qFormat/>
    <w:rPr>
      <w:rFonts w:ascii="宋体" w:hAnsi="Courier New" w:cs="Courier New"/>
      <w:szCs w:val="21"/>
    </w:rPr>
  </w:style>
  <w:style w:type="character" w:styleId="838" w:customStyle="1">
    <w:name w:val="纯文本 字符"/>
    <w:link w:val="837"/>
    <w:uiPriority w:val="0"/>
    <w:qFormat/>
    <w:rPr>
      <w:rFonts w:ascii="宋体" w:hAnsi="Courier New" w:cs="Courier New"/>
      <w:sz w:val="21"/>
      <w:szCs w:val="21"/>
    </w:rPr>
  </w:style>
  <w:style w:type="paragraph" w:styleId="839" w:customStyle="1">
    <w:name w:val="目录 81"/>
    <w:basedOn w:val="752"/>
    <w:next w:val="752"/>
    <w:uiPriority w:val="0"/>
    <w:unhideWhenUsed/>
    <w:qFormat/>
    <w:pPr>
      <w:ind w:left="1984"/>
      <w:spacing w:after="57"/>
    </w:pPr>
  </w:style>
  <w:style w:type="paragraph" w:styleId="840" w:customStyle="1">
    <w:name w:val="日期1"/>
    <w:basedOn w:val="752"/>
    <w:next w:val="752"/>
    <w:link w:val="841"/>
    <w:uiPriority w:val="0"/>
    <w:qFormat/>
    <w:rPr>
      <w:rFonts w:ascii="Times New Roman" w:hAnsi="Times New Roman"/>
      <w:sz w:val="24"/>
      <w:szCs w:val="24"/>
    </w:rPr>
  </w:style>
  <w:style w:type="character" w:styleId="841" w:customStyle="1">
    <w:name w:val="日期 字符"/>
    <w:link w:val="840"/>
    <w:uiPriority w:val="0"/>
    <w:qFormat/>
    <w:rPr>
      <w:sz w:val="24"/>
      <w:szCs w:val="24"/>
    </w:rPr>
  </w:style>
  <w:style w:type="paragraph" w:styleId="842" w:customStyle="1">
    <w:name w:val="正文文本缩进 21"/>
    <w:basedOn w:val="752"/>
    <w:link w:val="843"/>
    <w:uiPriority w:val="0"/>
    <w:qFormat/>
    <w:pPr>
      <w:ind w:left="630" w:firstLine="645"/>
    </w:pPr>
    <w:rPr>
      <w:rFonts w:ascii="Arial" w:hAnsi="Arial" w:eastAsia="仿宋_GB2312" w:cs="Arial"/>
      <w:sz w:val="32"/>
      <w:szCs w:val="32"/>
    </w:rPr>
  </w:style>
  <w:style w:type="character" w:styleId="843" w:customStyle="1">
    <w:name w:val="正文文本缩进 2 字符"/>
    <w:link w:val="842"/>
    <w:uiPriority w:val="0"/>
    <w:qFormat/>
    <w:rPr>
      <w:rFonts w:ascii="Arial" w:hAnsi="Arial" w:eastAsia="仿宋_GB2312" w:cs="Arial"/>
      <w:sz w:val="32"/>
      <w:szCs w:val="32"/>
    </w:rPr>
  </w:style>
  <w:style w:type="paragraph" w:styleId="844" w:customStyle="1">
    <w:name w:val="尾注文本1"/>
    <w:basedOn w:val="752"/>
    <w:link w:val="845"/>
    <w:uiPriority w:val="99"/>
    <w:unhideWhenUsed/>
    <w:qFormat/>
    <w:rPr>
      <w:sz w:val="20"/>
    </w:rPr>
  </w:style>
  <w:style w:type="character" w:styleId="845" w:customStyle="1">
    <w:name w:val="尾注文本 字符"/>
    <w:link w:val="844"/>
    <w:uiPriority w:val="99"/>
    <w:qFormat/>
    <w:rPr>
      <w:sz w:val="20"/>
    </w:rPr>
  </w:style>
  <w:style w:type="paragraph" w:styleId="846" w:customStyle="1">
    <w:name w:val="批注框文本1"/>
    <w:basedOn w:val="752"/>
    <w:link w:val="847"/>
    <w:uiPriority w:val="0"/>
    <w:qFormat/>
    <w:rPr>
      <w:rFonts w:ascii="Times New Roman" w:hAnsi="Times New Roman"/>
      <w:sz w:val="18"/>
      <w:szCs w:val="18"/>
    </w:rPr>
  </w:style>
  <w:style w:type="character" w:styleId="847" w:customStyle="1">
    <w:name w:val="批注框文本 字符"/>
    <w:link w:val="846"/>
    <w:uiPriority w:val="0"/>
    <w:qFormat/>
    <w:rPr>
      <w:sz w:val="18"/>
      <w:szCs w:val="18"/>
    </w:rPr>
  </w:style>
  <w:style w:type="paragraph" w:styleId="848" w:customStyle="1">
    <w:name w:val="页脚11"/>
    <w:basedOn w:val="752"/>
    <w:link w:val="849"/>
    <w:uiPriority w:val="99"/>
    <w:qFormat/>
    <w:pPr>
      <w:jc w:val="left"/>
      <w:tabs>
        <w:tab w:val="center" w:pos="4153" w:leader="none"/>
        <w:tab w:val="right" w:pos="8306" w:leader="none"/>
      </w:tabs>
    </w:pPr>
    <w:rPr>
      <w:sz w:val="18"/>
      <w:szCs w:val="18"/>
    </w:rPr>
  </w:style>
  <w:style w:type="character" w:styleId="849" w:customStyle="1">
    <w:name w:val="页脚 字符"/>
    <w:link w:val="848"/>
    <w:uiPriority w:val="99"/>
    <w:qFormat/>
  </w:style>
  <w:style w:type="paragraph" w:styleId="850" w:customStyle="1">
    <w:name w:val="页眉11"/>
    <w:basedOn w:val="752"/>
    <w:link w:val="851"/>
    <w:uiPriority w:val="0"/>
    <w:qFormat/>
    <w:pPr>
      <w:jc w:val="center"/>
      <w:tabs>
        <w:tab w:val="center" w:pos="4153" w:leader="none"/>
        <w:tab w:val="right" w:pos="8306" w:leader="none"/>
      </w:tabs>
    </w:pPr>
    <w:rPr>
      <w:sz w:val="18"/>
      <w:szCs w:val="18"/>
    </w:rPr>
  </w:style>
  <w:style w:type="character" w:styleId="851" w:customStyle="1">
    <w:name w:val="页眉 字符"/>
    <w:link w:val="850"/>
    <w:uiPriority w:val="0"/>
    <w:qFormat/>
    <w:rPr>
      <w:rFonts w:ascii="Calibri" w:hAnsi="Calibri"/>
      <w:sz w:val="18"/>
      <w:szCs w:val="18"/>
    </w:rPr>
  </w:style>
  <w:style w:type="paragraph" w:styleId="852" w:customStyle="1">
    <w:name w:val="目录 11"/>
    <w:basedOn w:val="752"/>
    <w:next w:val="752"/>
    <w:uiPriority w:val="0"/>
    <w:qFormat/>
    <w:pPr>
      <w:jc w:val="left"/>
      <w:spacing w:before="120" w:after="120"/>
    </w:pPr>
    <w:rPr>
      <w:rFonts w:cs="Calibri"/>
      <w:b/>
      <w:bCs/>
      <w:caps/>
      <w:sz w:val="20"/>
      <w:szCs w:val="20"/>
    </w:rPr>
  </w:style>
  <w:style w:type="paragraph" w:styleId="853" w:customStyle="1">
    <w:name w:val="目录 41"/>
    <w:basedOn w:val="752"/>
    <w:next w:val="752"/>
    <w:uiPriority w:val="0"/>
    <w:unhideWhenUsed/>
    <w:qFormat/>
    <w:pPr>
      <w:ind w:left="850"/>
      <w:spacing w:after="57"/>
    </w:pPr>
  </w:style>
  <w:style w:type="paragraph" w:styleId="854" w:customStyle="1">
    <w:name w:val="副标题1"/>
    <w:basedOn w:val="752"/>
    <w:next w:val="752"/>
    <w:link w:val="855"/>
    <w:uiPriority w:val="11"/>
    <w:qFormat/>
    <w:pPr>
      <w:spacing w:before="200" w:after="200"/>
    </w:pPr>
    <w:rPr>
      <w:sz w:val="24"/>
      <w:szCs w:val="24"/>
    </w:rPr>
  </w:style>
  <w:style w:type="character" w:styleId="855" w:customStyle="1">
    <w:name w:val="副标题 字符"/>
    <w:link w:val="854"/>
    <w:uiPriority w:val="11"/>
    <w:qFormat/>
    <w:rPr>
      <w:sz w:val="24"/>
      <w:szCs w:val="24"/>
    </w:rPr>
  </w:style>
  <w:style w:type="paragraph" w:styleId="856" w:customStyle="1">
    <w:name w:val="列表1"/>
    <w:basedOn w:val="752"/>
    <w:uiPriority w:val="0"/>
    <w:qFormat/>
    <w:pPr>
      <w:ind w:left="200" w:hanging="200"/>
    </w:pPr>
    <w:rPr>
      <w:rFonts w:ascii="Times New Roman" w:hAnsi="Times New Roman"/>
      <w:szCs w:val="21"/>
    </w:rPr>
  </w:style>
  <w:style w:type="paragraph" w:styleId="857" w:customStyle="1">
    <w:name w:val="脚注文本11"/>
    <w:basedOn w:val="752"/>
    <w:link w:val="858"/>
    <w:uiPriority w:val="99"/>
    <w:unhideWhenUsed/>
    <w:qFormat/>
    <w:pPr>
      <w:spacing w:after="40"/>
    </w:pPr>
    <w:rPr>
      <w:sz w:val="18"/>
    </w:rPr>
  </w:style>
  <w:style w:type="character" w:styleId="858" w:customStyle="1">
    <w:name w:val="脚注文本 字符"/>
    <w:link w:val="857"/>
    <w:uiPriority w:val="99"/>
    <w:qFormat/>
    <w:rPr>
      <w:sz w:val="18"/>
    </w:rPr>
  </w:style>
  <w:style w:type="paragraph" w:styleId="859" w:customStyle="1">
    <w:name w:val="目录 61"/>
    <w:basedOn w:val="752"/>
    <w:next w:val="752"/>
    <w:uiPriority w:val="0"/>
    <w:unhideWhenUsed/>
    <w:qFormat/>
    <w:pPr>
      <w:ind w:left="1417"/>
      <w:spacing w:after="57"/>
    </w:pPr>
  </w:style>
  <w:style w:type="paragraph" w:styleId="860" w:customStyle="1">
    <w:name w:val="正文文本缩进 31"/>
    <w:basedOn w:val="752"/>
    <w:link w:val="861"/>
    <w:uiPriority w:val="0"/>
    <w:qFormat/>
    <w:pPr>
      <w:ind w:left="645" w:firstLine="645"/>
    </w:pPr>
    <w:rPr>
      <w:rFonts w:ascii="Arial" w:hAnsi="Arial" w:eastAsia="仿宋_GB2312" w:cs="Arial"/>
      <w:color w:val="ffff00"/>
      <w:sz w:val="32"/>
      <w:szCs w:val="32"/>
    </w:rPr>
  </w:style>
  <w:style w:type="character" w:styleId="861" w:customStyle="1">
    <w:name w:val="正文文本缩进 3 字符"/>
    <w:link w:val="860"/>
    <w:uiPriority w:val="0"/>
    <w:qFormat/>
    <w:rPr>
      <w:rFonts w:ascii="Arial" w:hAnsi="Arial" w:eastAsia="仿宋_GB2312" w:cs="Arial"/>
      <w:color w:val="ffff00"/>
      <w:sz w:val="32"/>
      <w:szCs w:val="32"/>
    </w:rPr>
  </w:style>
  <w:style w:type="paragraph" w:styleId="862" w:customStyle="1">
    <w:name w:val="图表目录1"/>
    <w:basedOn w:val="752"/>
    <w:next w:val="752"/>
    <w:uiPriority w:val="0"/>
    <w:unhideWhenUsed/>
    <w:qFormat/>
  </w:style>
  <w:style w:type="paragraph" w:styleId="863" w:customStyle="1">
    <w:name w:val="目录 21"/>
    <w:basedOn w:val="752"/>
    <w:next w:val="752"/>
    <w:uiPriority w:val="0"/>
    <w:qFormat/>
    <w:pPr>
      <w:ind w:left="210"/>
      <w:jc w:val="left"/>
    </w:pPr>
    <w:rPr>
      <w:rFonts w:cs="Calibri"/>
      <w:smallCaps/>
      <w:sz w:val="20"/>
      <w:szCs w:val="20"/>
    </w:rPr>
  </w:style>
  <w:style w:type="paragraph" w:styleId="864" w:customStyle="1">
    <w:name w:val="目录 91"/>
    <w:basedOn w:val="752"/>
    <w:next w:val="752"/>
    <w:uiPriority w:val="0"/>
    <w:unhideWhenUsed/>
    <w:qFormat/>
    <w:pPr>
      <w:ind w:left="2268"/>
      <w:spacing w:after="57"/>
    </w:pPr>
  </w:style>
  <w:style w:type="paragraph" w:styleId="865" w:customStyle="1">
    <w:name w:val="正文文本 21"/>
    <w:basedOn w:val="752"/>
    <w:link w:val="866"/>
    <w:uiPriority w:val="0"/>
    <w:qFormat/>
    <w:pPr>
      <w:jc w:val="center"/>
      <w:widowControl/>
    </w:pPr>
    <w:rPr>
      <w:rFonts w:ascii="楷体_GB2312" w:hAnsi="Times New Roman" w:eastAsia="楷体_GB2312"/>
      <w:sz w:val="28"/>
      <w:szCs w:val="28"/>
    </w:rPr>
  </w:style>
  <w:style w:type="character" w:styleId="866" w:customStyle="1">
    <w:name w:val="正文文本 2 字符"/>
    <w:link w:val="865"/>
    <w:uiPriority w:val="0"/>
    <w:qFormat/>
    <w:rPr>
      <w:rFonts w:ascii="楷体_GB2312" w:eastAsia="楷体_GB2312"/>
      <w:sz w:val="28"/>
      <w:szCs w:val="28"/>
    </w:rPr>
  </w:style>
  <w:style w:type="paragraph" w:styleId="867" w:customStyle="1">
    <w:name w:val="HTML 预设格式1"/>
    <w:basedOn w:val="752"/>
    <w:link w:val="86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8" w:customStyle="1">
    <w:name w:val="HTML 预设格式 字符"/>
    <w:link w:val="867"/>
    <w:uiPriority w:val="99"/>
    <w:qFormat/>
    <w:rPr>
      <w:rFonts w:ascii="宋体" w:hAnsi="宋体"/>
      <w:sz w:val="24"/>
      <w:szCs w:val="24"/>
    </w:rPr>
  </w:style>
  <w:style w:type="paragraph" w:styleId="869" w:customStyle="1">
    <w:name w:val="普通(网站)111"/>
    <w:basedOn w:val="752"/>
    <w:uiPriority w:val="99"/>
    <w:qFormat/>
    <w:pPr>
      <w:jc w:val="left"/>
      <w:spacing w:before="100" w:beforeAutospacing="1" w:after="100" w:afterAutospacing="1"/>
      <w:widowControl/>
    </w:pPr>
    <w:rPr>
      <w:rFonts w:ascii="宋体" w:hAnsi="宋体" w:cs="宋体"/>
      <w:sz w:val="24"/>
      <w:szCs w:val="24"/>
    </w:rPr>
  </w:style>
  <w:style w:type="paragraph" w:styleId="870" w:customStyle="1">
    <w:name w:val="索引 11"/>
    <w:basedOn w:val="752"/>
    <w:next w:val="752"/>
    <w:uiPriority w:val="0"/>
    <w:semiHidden/>
    <w:qFormat/>
    <w:pPr>
      <w:spacing w:line="240" w:lineRule="atLeast"/>
    </w:pPr>
    <w:rPr>
      <w:rFonts w:ascii="Times New Roman" w:hAnsi="Times New Roman"/>
      <w:b/>
      <w:bCs/>
      <w:szCs w:val="21"/>
    </w:rPr>
  </w:style>
  <w:style w:type="paragraph" w:styleId="871" w:customStyle="1">
    <w:name w:val="标题11"/>
    <w:basedOn w:val="752"/>
    <w:next w:val="752"/>
    <w:link w:val="872"/>
    <w:uiPriority w:val="10"/>
    <w:qFormat/>
    <w:pPr>
      <w:contextualSpacing/>
      <w:spacing w:before="300" w:after="200"/>
    </w:pPr>
    <w:rPr>
      <w:sz w:val="48"/>
      <w:szCs w:val="48"/>
    </w:rPr>
  </w:style>
  <w:style w:type="character" w:styleId="872" w:customStyle="1">
    <w:name w:val="标题 字符"/>
    <w:link w:val="871"/>
    <w:uiPriority w:val="10"/>
    <w:qFormat/>
    <w:rPr>
      <w:sz w:val="48"/>
      <w:szCs w:val="48"/>
    </w:rPr>
  </w:style>
  <w:style w:type="paragraph" w:styleId="873" w:customStyle="1">
    <w:name w:val="批注主题1"/>
    <w:basedOn w:val="827"/>
    <w:next w:val="827"/>
    <w:link w:val="874"/>
    <w:uiPriority w:val="0"/>
    <w:semiHidden/>
    <w:qFormat/>
    <w:rPr>
      <w:b/>
      <w:bCs/>
    </w:rPr>
  </w:style>
  <w:style w:type="character" w:styleId="874" w:customStyle="1">
    <w:name w:val="批注主题 字符"/>
    <w:link w:val="873"/>
    <w:uiPriority w:val="0"/>
    <w:semiHidden/>
    <w:qFormat/>
    <w:rPr>
      <w:b/>
      <w:bCs/>
      <w:sz w:val="21"/>
      <w:szCs w:val="21"/>
    </w:rPr>
  </w:style>
  <w:style w:type="paragraph" w:styleId="875" w:customStyle="1">
    <w:name w:val="正文首行缩进 2111"/>
    <w:basedOn w:val="832"/>
    <w:link w:val="876"/>
    <w:uiPriority w:val="0"/>
    <w:qFormat/>
    <w:pPr>
      <w:ind w:firstLine="420"/>
      <w:spacing w:line="360" w:lineRule="auto"/>
    </w:pPr>
    <w:rPr>
      <w:rFonts w:ascii="宋体" w:hAnsi="宋体" w:eastAsia="宋体"/>
      <w:sz w:val="21"/>
      <w:szCs w:val="20"/>
    </w:rPr>
  </w:style>
  <w:style w:type="character" w:styleId="876" w:customStyle="1">
    <w:name w:val="正文文本首行缩进 2 字符"/>
    <w:link w:val="875"/>
    <w:uiPriority w:val="0"/>
    <w:qFormat/>
    <w:rPr>
      <w:rFonts w:ascii="宋体" w:hAnsi="宋体" w:eastAsia="仿宋_GB2312"/>
      <w:sz w:val="21"/>
      <w:szCs w:val="22"/>
    </w:rPr>
  </w:style>
  <w:style w:type="table" w:styleId="877" w:customStyle="1">
    <w:name w:val="网格型1"/>
    <w:basedOn w:val="810"/>
    <w:uiPriority w:val="0"/>
    <w:qFormat/>
    <w:pPr>
      <w:jc w:val="both"/>
      <w:widowControl w:val="off"/>
    </w:pPr>
    <w:tblPr/>
  </w:style>
  <w:style w:type="character" w:styleId="878" w:customStyle="1">
    <w:name w:val="要点1"/>
    <w:link w:val="752"/>
    <w:uiPriority w:val="0"/>
    <w:qFormat/>
    <w:rPr>
      <w:b/>
      <w:bCs/>
    </w:rPr>
  </w:style>
  <w:style w:type="character" w:styleId="879" w:customStyle="1">
    <w:name w:val="尾注引用1"/>
    <w:link w:val="752"/>
    <w:uiPriority w:val="99"/>
    <w:unhideWhenUsed/>
    <w:qFormat/>
    <w:rPr>
      <w:vertAlign w:val="superscript"/>
    </w:rPr>
  </w:style>
  <w:style w:type="character" w:styleId="880" w:customStyle="1">
    <w:name w:val="页码2"/>
    <w:link w:val="752"/>
    <w:uiPriority w:val="0"/>
    <w:qFormat/>
  </w:style>
  <w:style w:type="character" w:styleId="881" w:customStyle="1">
    <w:name w:val="已访问的超链接1"/>
    <w:link w:val="752"/>
    <w:uiPriority w:val="0"/>
    <w:qFormat/>
    <w:rPr>
      <w:color w:val="800080"/>
      <w:u w:val="single"/>
    </w:rPr>
  </w:style>
  <w:style w:type="character" w:styleId="882" w:customStyle="1">
    <w:name w:val="超链接1"/>
    <w:link w:val="752"/>
    <w:uiPriority w:val="0"/>
    <w:qFormat/>
    <w:rPr>
      <w:color w:val="0000ff"/>
      <w:u w:val="single"/>
    </w:rPr>
  </w:style>
  <w:style w:type="character" w:styleId="883" w:customStyle="1">
    <w:name w:val="批注引用1"/>
    <w:link w:val="752"/>
    <w:uiPriority w:val="0"/>
    <w:semiHidden/>
    <w:qFormat/>
    <w:rPr>
      <w:sz w:val="21"/>
      <w:szCs w:val="21"/>
    </w:rPr>
  </w:style>
  <w:style w:type="character" w:styleId="884" w:customStyle="1">
    <w:name w:val="脚注引用1"/>
    <w:link w:val="752"/>
    <w:uiPriority w:val="99"/>
    <w:unhideWhenUsed/>
    <w:qFormat/>
    <w:rPr>
      <w:vertAlign w:val="superscript"/>
    </w:rPr>
  </w:style>
  <w:style w:type="paragraph" w:styleId="885" w:customStyle="1">
    <w:name w:val="标题二、"/>
    <w:basedOn w:val="752"/>
    <w:uiPriority w:val="99"/>
    <w:qFormat/>
    <w:pPr>
      <w:ind w:firstLine="200"/>
      <w:spacing w:line="360" w:lineRule="auto"/>
      <w:outlineLvl w:val="2"/>
    </w:pPr>
    <w:rPr>
      <w:rFonts w:ascii="宋体" w:hAnsi="宋体"/>
      <w:b/>
    </w:rPr>
  </w:style>
  <w:style w:type="paragraph" w:styleId="886" w:customStyle="1">
    <w:name w:val="正文首行缩进 21"/>
    <w:basedOn w:val="887"/>
    <w:next w:val="752"/>
    <w:uiPriority w:val="0"/>
    <w:qFormat/>
    <w:pPr>
      <w:ind w:firstLine="420"/>
      <w:spacing w:line="360" w:lineRule="auto"/>
    </w:pPr>
    <w:rPr>
      <w:rFonts w:ascii="宋体" w:hAnsi="宋体" w:eastAsia="宋体"/>
      <w:sz w:val="21"/>
      <w:szCs w:val="20"/>
    </w:rPr>
  </w:style>
  <w:style w:type="paragraph" w:styleId="887" w:customStyle="1">
    <w:name w:val="正文文本缩进1"/>
    <w:basedOn w:val="752"/>
    <w:next w:val="888"/>
    <w:uiPriority w:val="0"/>
    <w:qFormat/>
    <w:pPr>
      <w:ind w:firstLine="645"/>
    </w:pPr>
    <w:rPr>
      <w:rFonts w:ascii="楷体_GB2312" w:eastAsia="楷体_GB2312"/>
      <w:sz w:val="32"/>
      <w:szCs w:val="32"/>
    </w:rPr>
  </w:style>
  <w:style w:type="paragraph" w:styleId="888" w:customStyle="1">
    <w:name w:val="寄信人地址1"/>
    <w:basedOn w:val="752"/>
    <w:uiPriority w:val="0"/>
    <w:qFormat/>
    <w:rPr>
      <w:rFonts w:ascii="Arial" w:hAnsi="Arial"/>
    </w:rPr>
  </w:style>
  <w:style w:type="paragraph" w:styleId="889" w:customStyle="1">
    <w:name w:val="标题 41"/>
    <w:basedOn w:val="890"/>
    <w:next w:val="75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0" w:customStyle="1">
    <w:name w:val="Normal_20"/>
    <w:next w:val="891"/>
    <w:uiPriority w:val="0"/>
    <w:qFormat/>
    <w:rPr>
      <w:rFonts w:hint="default" w:ascii="黑体" w:hAnsi="黑体" w:eastAsia="黑体" w:cs="黑体"/>
      <w:b/>
      <w:sz w:val="32"/>
      <w:szCs w:val="24"/>
      <w:lang w:val="en-US" w:eastAsia="zh-CN" w:bidi="ar-SA"/>
    </w:rPr>
  </w:style>
  <w:style w:type="paragraph" w:styleId="891" w:customStyle="1">
    <w:name w:val="Body Text First Indent_2"/>
    <w:basedOn w:val="890"/>
    <w:uiPriority w:val="0"/>
    <w:qFormat/>
    <w:pPr>
      <w:ind w:firstLine="100"/>
      <w:spacing w:after="120"/>
    </w:pPr>
  </w:style>
  <w:style w:type="paragraph" w:styleId="892" w:customStyle="1">
    <w:name w:val="脚注文本1"/>
    <w:basedOn w:val="752"/>
    <w:uiPriority w:val="0"/>
    <w:qFormat/>
    <w:pPr>
      <w:jc w:val="left"/>
    </w:pPr>
    <w:rPr>
      <w:rFonts w:eastAsia="Times New Roman"/>
      <w:sz w:val="18"/>
      <w:szCs w:val="24"/>
    </w:rPr>
  </w:style>
  <w:style w:type="table" w:styleId="893" w:customStyle="1">
    <w:name w:val="Plain Table 1"/>
    <w:basedOn w:val="810"/>
    <w:uiPriority w:val="59"/>
    <w:qFormat/>
    <w:pPr>
      <w:spacing w:after="0" w:line="240" w:lineRule="auto"/>
    </w:pPr>
    <w:tblPr/>
  </w:style>
  <w:style w:type="table" w:styleId="894" w:customStyle="1">
    <w:name w:val="Plain Table 2"/>
    <w:basedOn w:val="810"/>
    <w:uiPriority w:val="59"/>
    <w:qFormat/>
    <w:pPr>
      <w:spacing w:after="0" w:line="240" w:lineRule="auto"/>
    </w:pPr>
    <w:tblPr/>
  </w:style>
  <w:style w:type="table" w:styleId="895" w:customStyle="1">
    <w:name w:val="Plain Table 3"/>
    <w:basedOn w:val="810"/>
    <w:uiPriority w:val="99"/>
    <w:qFormat/>
    <w:pPr>
      <w:spacing w:after="0" w:line="240" w:lineRule="auto"/>
    </w:pPr>
    <w:tblPr/>
  </w:style>
  <w:style w:type="table" w:styleId="896" w:customStyle="1">
    <w:name w:val="Plain Table 4"/>
    <w:basedOn w:val="810"/>
    <w:uiPriority w:val="99"/>
    <w:qFormat/>
    <w:pPr>
      <w:spacing w:after="0" w:line="240" w:lineRule="auto"/>
    </w:pPr>
    <w:tblPr/>
  </w:style>
  <w:style w:type="table" w:styleId="897" w:customStyle="1">
    <w:name w:val="Plain Table 5"/>
    <w:basedOn w:val="810"/>
    <w:uiPriority w:val="99"/>
    <w:qFormat/>
    <w:pPr>
      <w:spacing w:after="0" w:line="240" w:lineRule="auto"/>
    </w:pPr>
    <w:tblPr/>
  </w:style>
  <w:style w:type="table" w:styleId="898" w:customStyle="1">
    <w:name w:val="Grid Table 1 Light"/>
    <w:basedOn w:val="810"/>
    <w:uiPriority w:val="99"/>
    <w:qFormat/>
    <w:pPr>
      <w:spacing w:after="0" w:line="240" w:lineRule="auto"/>
    </w:pPr>
    <w:tblPr/>
  </w:style>
  <w:style w:type="table" w:styleId="899" w:customStyle="1">
    <w:name w:val="Grid Table 2"/>
    <w:basedOn w:val="810"/>
    <w:uiPriority w:val="99"/>
    <w:qFormat/>
    <w:pPr>
      <w:spacing w:after="0" w:line="240" w:lineRule="auto"/>
    </w:pPr>
    <w:tblPr/>
  </w:style>
  <w:style w:type="table" w:styleId="900" w:customStyle="1">
    <w:name w:val="Grid Table 3"/>
    <w:basedOn w:val="810"/>
    <w:uiPriority w:val="99"/>
    <w:qFormat/>
    <w:pPr>
      <w:spacing w:after="0" w:line="240" w:lineRule="auto"/>
    </w:pPr>
    <w:tblPr/>
  </w:style>
  <w:style w:type="table" w:styleId="901" w:customStyle="1">
    <w:name w:val="Grid Table 4"/>
    <w:basedOn w:val="810"/>
    <w:uiPriority w:val="59"/>
    <w:qFormat/>
    <w:pPr>
      <w:spacing w:after="0" w:line="240" w:lineRule="auto"/>
    </w:pPr>
    <w:tblPr/>
  </w:style>
  <w:style w:type="table" w:styleId="902" w:customStyle="1">
    <w:name w:val="Grid Table 5 Dark"/>
    <w:basedOn w:val="810"/>
    <w:uiPriority w:val="99"/>
    <w:qFormat/>
    <w:pPr>
      <w:spacing w:after="0" w:line="240" w:lineRule="auto"/>
    </w:pPr>
    <w:tblPr/>
  </w:style>
  <w:style w:type="table" w:styleId="903" w:customStyle="1">
    <w:name w:val="Grid Table 6 Colorful"/>
    <w:basedOn w:val="810"/>
    <w:uiPriority w:val="99"/>
    <w:qFormat/>
    <w:pPr>
      <w:spacing w:after="0" w:line="240" w:lineRule="auto"/>
    </w:pPr>
    <w:tblPr/>
  </w:style>
  <w:style w:type="table" w:styleId="904" w:customStyle="1">
    <w:name w:val="Grid Table 7 Colorful"/>
    <w:basedOn w:val="810"/>
    <w:uiPriority w:val="99"/>
    <w:qFormat/>
    <w:pPr>
      <w:spacing w:after="0" w:line="240" w:lineRule="auto"/>
    </w:pPr>
    <w:tblPr/>
  </w:style>
  <w:style w:type="table" w:styleId="905" w:customStyle="1">
    <w:name w:val="List Table 1 Light"/>
    <w:basedOn w:val="810"/>
    <w:uiPriority w:val="99"/>
    <w:qFormat/>
    <w:pPr>
      <w:spacing w:after="0" w:line="240" w:lineRule="auto"/>
    </w:pPr>
    <w:tblPr/>
  </w:style>
  <w:style w:type="table" w:styleId="906" w:customStyle="1">
    <w:name w:val="List Table 2"/>
    <w:basedOn w:val="810"/>
    <w:uiPriority w:val="99"/>
    <w:qFormat/>
    <w:pPr>
      <w:spacing w:after="0" w:line="240" w:lineRule="auto"/>
    </w:pPr>
    <w:tblPr/>
  </w:style>
  <w:style w:type="table" w:styleId="907" w:customStyle="1">
    <w:name w:val="List Table 3"/>
    <w:basedOn w:val="810"/>
    <w:uiPriority w:val="99"/>
    <w:qFormat/>
    <w:pPr>
      <w:spacing w:after="0" w:line="240" w:lineRule="auto"/>
    </w:pPr>
    <w:tblPr/>
  </w:style>
  <w:style w:type="table" w:styleId="908" w:customStyle="1">
    <w:name w:val="List Table 4"/>
    <w:basedOn w:val="810"/>
    <w:uiPriority w:val="99"/>
    <w:qFormat/>
    <w:pPr>
      <w:spacing w:after="0" w:line="240" w:lineRule="auto"/>
    </w:pPr>
    <w:tblPr/>
  </w:style>
  <w:style w:type="table" w:styleId="909" w:customStyle="1">
    <w:name w:val="List Table 5 Dark"/>
    <w:basedOn w:val="810"/>
    <w:uiPriority w:val="99"/>
    <w:qFormat/>
    <w:pPr>
      <w:spacing w:after="0" w:line="240" w:lineRule="auto"/>
    </w:pPr>
    <w:tblPr/>
  </w:style>
  <w:style w:type="table" w:styleId="910" w:customStyle="1">
    <w:name w:val="List Table 6 Colorful"/>
    <w:basedOn w:val="810"/>
    <w:uiPriority w:val="99"/>
    <w:qFormat/>
    <w:pPr>
      <w:spacing w:after="0" w:line="240" w:lineRule="auto"/>
    </w:pPr>
    <w:tblPr/>
  </w:style>
  <w:style w:type="table" w:styleId="911" w:customStyle="1">
    <w:name w:val="List Table 7 Colorful"/>
    <w:basedOn w:val="810"/>
    <w:uiPriority w:val="99"/>
    <w:qFormat/>
    <w:pPr>
      <w:spacing w:after="0" w:line="240" w:lineRule="auto"/>
    </w:pPr>
    <w:tblPr/>
  </w:style>
  <w:style w:type="paragraph" w:styleId="912" w:customStyle="1">
    <w:name w:val="TOC Heading"/>
    <w:uiPriority w:val="39"/>
    <w:unhideWhenUsed/>
    <w:qFormat/>
    <w:rPr>
      <w:rFonts w:hint="default" w:ascii="Times New Roman" w:hAnsi="Times New Roman" w:eastAsia="宋体" w:cs="Times New Roman"/>
      <w:lang w:val="en-US" w:eastAsia="zh-CN" w:bidi="ar-SA"/>
    </w:rPr>
  </w:style>
  <w:style w:type="table" w:styleId="913" w:customStyle="1">
    <w:name w:val="无格式表格 11"/>
    <w:basedOn w:val="810"/>
    <w:uiPriority w:val="59"/>
    <w:qFormat/>
    <w:tblPr/>
  </w:style>
  <w:style w:type="table" w:styleId="914" w:customStyle="1">
    <w:name w:val="无格式表格 21"/>
    <w:basedOn w:val="810"/>
    <w:uiPriority w:val="59"/>
    <w:qFormat/>
    <w:tblPr/>
  </w:style>
  <w:style w:type="table" w:styleId="915" w:customStyle="1">
    <w:name w:val="无格式表格 31"/>
    <w:basedOn w:val="810"/>
    <w:uiPriority w:val="99"/>
    <w:qFormat/>
    <w:tblPr/>
  </w:style>
  <w:style w:type="table" w:styleId="916" w:customStyle="1">
    <w:name w:val="无格式表格 41"/>
    <w:basedOn w:val="810"/>
    <w:uiPriority w:val="99"/>
    <w:qFormat/>
    <w:tblPr/>
  </w:style>
  <w:style w:type="table" w:styleId="917" w:customStyle="1">
    <w:name w:val="无格式表格 51"/>
    <w:basedOn w:val="810"/>
    <w:uiPriority w:val="99"/>
    <w:qFormat/>
    <w:tblPr/>
  </w:style>
  <w:style w:type="table" w:styleId="918" w:customStyle="1">
    <w:name w:val="网格表 1 浅色1"/>
    <w:basedOn w:val="810"/>
    <w:uiPriority w:val="99"/>
    <w:qFormat/>
    <w:tblPr/>
  </w:style>
  <w:style w:type="table" w:styleId="919" w:customStyle="1">
    <w:name w:val="网格表 21"/>
    <w:basedOn w:val="810"/>
    <w:uiPriority w:val="99"/>
    <w:qFormat/>
    <w:tblPr/>
  </w:style>
  <w:style w:type="table" w:styleId="920" w:customStyle="1">
    <w:name w:val="网格表 31"/>
    <w:basedOn w:val="810"/>
    <w:uiPriority w:val="99"/>
    <w:qFormat/>
    <w:tblPr/>
  </w:style>
  <w:style w:type="table" w:styleId="921" w:customStyle="1">
    <w:name w:val="网格表 41"/>
    <w:basedOn w:val="810"/>
    <w:uiPriority w:val="59"/>
    <w:qFormat/>
    <w:tblPr/>
  </w:style>
  <w:style w:type="table" w:styleId="922" w:customStyle="1">
    <w:name w:val="网格表 5 深色1"/>
    <w:basedOn w:val="810"/>
    <w:uiPriority w:val="99"/>
    <w:qFormat/>
    <w:tblPr/>
  </w:style>
  <w:style w:type="table" w:styleId="923" w:customStyle="1">
    <w:name w:val="网格表 6 彩色1"/>
    <w:basedOn w:val="810"/>
    <w:uiPriority w:val="99"/>
    <w:qFormat/>
    <w:tblPr/>
  </w:style>
  <w:style w:type="table" w:styleId="924" w:customStyle="1">
    <w:name w:val="网格表 7 彩色1"/>
    <w:basedOn w:val="810"/>
    <w:uiPriority w:val="99"/>
    <w:qFormat/>
    <w:tblPr/>
  </w:style>
  <w:style w:type="table" w:styleId="925" w:customStyle="1">
    <w:name w:val="清单表 1 浅色1"/>
    <w:basedOn w:val="810"/>
    <w:uiPriority w:val="99"/>
    <w:qFormat/>
    <w:tblPr/>
  </w:style>
  <w:style w:type="table" w:styleId="926" w:customStyle="1">
    <w:name w:val="清单表 21"/>
    <w:basedOn w:val="810"/>
    <w:uiPriority w:val="99"/>
    <w:qFormat/>
    <w:tblPr/>
  </w:style>
  <w:style w:type="table" w:styleId="927" w:customStyle="1">
    <w:name w:val="清单表 31"/>
    <w:basedOn w:val="810"/>
    <w:uiPriority w:val="99"/>
    <w:qFormat/>
    <w:tblPr/>
  </w:style>
  <w:style w:type="table" w:styleId="928" w:customStyle="1">
    <w:name w:val="清单表 41"/>
    <w:basedOn w:val="810"/>
    <w:uiPriority w:val="99"/>
    <w:qFormat/>
    <w:tblPr/>
  </w:style>
  <w:style w:type="table" w:styleId="929" w:customStyle="1">
    <w:name w:val="清单表 5 深色1"/>
    <w:basedOn w:val="810"/>
    <w:uiPriority w:val="99"/>
    <w:qFormat/>
    <w:tblPr/>
  </w:style>
  <w:style w:type="table" w:styleId="930" w:customStyle="1">
    <w:name w:val="清单表 6 彩色1"/>
    <w:basedOn w:val="810"/>
    <w:uiPriority w:val="99"/>
    <w:qFormat/>
    <w:tblPr/>
  </w:style>
  <w:style w:type="table" w:styleId="931" w:customStyle="1">
    <w:name w:val="清单表 7 彩色1"/>
    <w:basedOn w:val="810"/>
    <w:uiPriority w:val="99"/>
    <w:qFormat/>
    <w:tblPr/>
  </w:style>
  <w:style w:type="paragraph" w:styleId="932" w:customStyle="1">
    <w:name w:val="TOC 标题1"/>
    <w:uiPriority w:val="39"/>
    <w:unhideWhenUsed/>
    <w:qFormat/>
    <w:rPr>
      <w:rFonts w:hint="default" w:ascii="Times New Roman" w:hAnsi="Times New Roman" w:eastAsia="宋体" w:cs="Times New Roman"/>
      <w:lang w:val="en-US" w:eastAsia="zh-CN" w:bidi="ar-SA"/>
    </w:rPr>
  </w:style>
  <w:style w:type="paragraph" w:styleId="933" w:customStyle="1">
    <w:name w:val="Normal_21"/>
    <w:basedOn w:val="934"/>
    <w:next w:val="934"/>
    <w:uiPriority w:val="0"/>
    <w:qFormat/>
    <w:pPr>
      <w:jc w:val="both"/>
      <w:widowControl w:val="off"/>
    </w:pPr>
    <w:rPr>
      <w:rFonts w:ascii="Times New Roman" w:hAnsi="Times New Roman" w:eastAsia="宋体" w:cs="Times New Roman"/>
      <w:sz w:val="21"/>
      <w:szCs w:val="24"/>
      <w:lang w:val="en-US" w:eastAsia="zh-CN" w:bidi="ar-SA"/>
    </w:rPr>
  </w:style>
  <w:style w:type="paragraph" w:styleId="934" w:customStyle="1">
    <w:name w:val="正文_16"/>
    <w:next w:val="935"/>
    <w:uiPriority w:val="0"/>
    <w:qFormat/>
    <w:pPr>
      <w:jc w:val="both"/>
      <w:widowControl w:val="off"/>
    </w:pPr>
    <w:rPr>
      <w:rFonts w:hint="default" w:ascii="Calibri" w:hAnsi="Calibri" w:eastAsia="宋体" w:cs="Times New Roman"/>
      <w:sz w:val="21"/>
      <w:szCs w:val="22"/>
      <w:lang w:val="en-US" w:eastAsia="zh-CN" w:bidi="ar-SA"/>
    </w:rPr>
  </w:style>
  <w:style w:type="paragraph" w:styleId="935" w:customStyle="1">
    <w:name w:val="正文文本 2_0"/>
    <w:basedOn w:val="934"/>
    <w:uiPriority w:val="0"/>
    <w:qFormat/>
    <w:rPr>
      <w:rFonts w:ascii="仿宋_GB2312" w:eastAsia="仿宋_GB2312"/>
      <w:sz w:val="28"/>
    </w:rPr>
  </w:style>
  <w:style w:type="paragraph" w:styleId="936" w:customStyle="1">
    <w:name w:val="正文_17"/>
    <w:next w:val="93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7" w:customStyle="1">
    <w:name w:val="标题 4_1"/>
    <w:basedOn w:val="936"/>
    <w:next w:val="93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8" w:customStyle="1">
    <w:name w:val="Heading 1 Char"/>
    <w:link w:val="752"/>
    <w:uiPriority w:val="9"/>
    <w:qFormat/>
    <w:rPr>
      <w:rFonts w:ascii="Arial" w:hAnsi="Arial" w:eastAsia="Arial" w:cs="Arial"/>
      <w:sz w:val="40"/>
      <w:szCs w:val="40"/>
    </w:rPr>
  </w:style>
  <w:style w:type="character" w:styleId="939" w:customStyle="1">
    <w:name w:val="Heading 2 Char"/>
    <w:link w:val="752"/>
    <w:uiPriority w:val="9"/>
    <w:qFormat/>
    <w:rPr>
      <w:rFonts w:ascii="Arial" w:hAnsi="Arial" w:eastAsia="Arial" w:cs="Arial"/>
      <w:sz w:val="34"/>
    </w:rPr>
  </w:style>
  <w:style w:type="character" w:styleId="940" w:customStyle="1">
    <w:name w:val="Heading 3 Char"/>
    <w:link w:val="752"/>
    <w:uiPriority w:val="9"/>
    <w:qFormat/>
    <w:rPr>
      <w:rFonts w:ascii="Arial" w:hAnsi="Arial" w:eastAsia="Arial" w:cs="Arial"/>
      <w:sz w:val="30"/>
      <w:szCs w:val="30"/>
    </w:rPr>
  </w:style>
  <w:style w:type="character" w:styleId="941" w:customStyle="1">
    <w:name w:val="Heading 4 Char"/>
    <w:link w:val="752"/>
    <w:uiPriority w:val="9"/>
    <w:qFormat/>
    <w:rPr>
      <w:rFonts w:ascii="Arial" w:hAnsi="Arial" w:eastAsia="Arial" w:cs="Arial"/>
      <w:b/>
      <w:bCs/>
      <w:sz w:val="26"/>
      <w:szCs w:val="26"/>
    </w:rPr>
  </w:style>
  <w:style w:type="character" w:styleId="942" w:customStyle="1">
    <w:name w:val="Heading 5 Char"/>
    <w:link w:val="752"/>
    <w:uiPriority w:val="9"/>
    <w:qFormat/>
    <w:rPr>
      <w:rFonts w:ascii="Arial" w:hAnsi="Arial" w:eastAsia="Arial" w:cs="Arial"/>
      <w:b/>
      <w:bCs/>
      <w:sz w:val="24"/>
      <w:szCs w:val="24"/>
    </w:rPr>
  </w:style>
  <w:style w:type="character" w:styleId="943" w:customStyle="1">
    <w:name w:val="Heading 6 Char"/>
    <w:link w:val="752"/>
    <w:uiPriority w:val="9"/>
    <w:qFormat/>
    <w:rPr>
      <w:rFonts w:ascii="Arial" w:hAnsi="Arial" w:eastAsia="Arial" w:cs="Arial"/>
      <w:b/>
      <w:bCs/>
      <w:sz w:val="22"/>
      <w:szCs w:val="22"/>
    </w:rPr>
  </w:style>
  <w:style w:type="character" w:styleId="944" w:customStyle="1">
    <w:name w:val="Heading 7 Char"/>
    <w:link w:val="752"/>
    <w:uiPriority w:val="9"/>
    <w:qFormat/>
    <w:rPr>
      <w:rFonts w:ascii="Arial" w:hAnsi="Arial" w:eastAsia="Arial" w:cs="Arial"/>
      <w:b/>
      <w:bCs/>
      <w:i/>
      <w:iCs/>
      <w:sz w:val="22"/>
      <w:szCs w:val="22"/>
    </w:rPr>
  </w:style>
  <w:style w:type="character" w:styleId="945" w:customStyle="1">
    <w:name w:val="Heading 8 Char"/>
    <w:link w:val="752"/>
    <w:uiPriority w:val="9"/>
    <w:qFormat/>
    <w:rPr>
      <w:rFonts w:ascii="Arial" w:hAnsi="Arial" w:eastAsia="Arial" w:cs="Arial"/>
      <w:i/>
      <w:iCs/>
      <w:sz w:val="22"/>
      <w:szCs w:val="22"/>
    </w:rPr>
  </w:style>
  <w:style w:type="character" w:styleId="946" w:customStyle="1">
    <w:name w:val="Heading 9 Char"/>
    <w:link w:val="752"/>
    <w:uiPriority w:val="9"/>
    <w:qFormat/>
    <w:rPr>
      <w:rFonts w:ascii="Arial" w:hAnsi="Arial" w:eastAsia="Arial" w:cs="Arial"/>
      <w:i/>
      <w:iCs/>
      <w:sz w:val="21"/>
      <w:szCs w:val="21"/>
    </w:rPr>
  </w:style>
  <w:style w:type="character" w:styleId="947" w:customStyle="1">
    <w:name w:val="Title Char"/>
    <w:link w:val="752"/>
    <w:uiPriority w:val="10"/>
    <w:qFormat/>
    <w:rPr>
      <w:sz w:val="48"/>
      <w:szCs w:val="48"/>
    </w:rPr>
  </w:style>
  <w:style w:type="character" w:styleId="948" w:customStyle="1">
    <w:name w:val="Subtitle Char"/>
    <w:link w:val="752"/>
    <w:uiPriority w:val="11"/>
    <w:qFormat/>
    <w:rPr>
      <w:sz w:val="24"/>
      <w:szCs w:val="24"/>
    </w:rPr>
  </w:style>
  <w:style w:type="character" w:styleId="949" w:customStyle="1">
    <w:name w:val="Quote Char"/>
    <w:link w:val="752"/>
    <w:uiPriority w:val="29"/>
    <w:qFormat/>
    <w:rPr>
      <w:i/>
    </w:rPr>
  </w:style>
  <w:style w:type="character" w:styleId="950" w:customStyle="1">
    <w:name w:val="Intense Quote Char"/>
    <w:link w:val="752"/>
    <w:uiPriority w:val="30"/>
    <w:qFormat/>
    <w:rPr>
      <w:i/>
    </w:rPr>
  </w:style>
  <w:style w:type="character" w:styleId="951" w:customStyle="1">
    <w:name w:val="Caption Char"/>
    <w:link w:val="752"/>
    <w:uiPriority w:val="99"/>
    <w:qFormat/>
  </w:style>
  <w:style w:type="character" w:styleId="952" w:customStyle="1">
    <w:name w:val="Footnote Text Char"/>
    <w:link w:val="752"/>
    <w:uiPriority w:val="99"/>
    <w:qFormat/>
    <w:rPr>
      <w:sz w:val="18"/>
    </w:rPr>
  </w:style>
  <w:style w:type="character" w:styleId="953" w:customStyle="1">
    <w:name w:val="Endnote Text Char"/>
    <w:link w:val="752"/>
    <w:uiPriority w:val="99"/>
    <w:qFormat/>
    <w:rPr>
      <w:sz w:val="20"/>
    </w:rPr>
  </w:style>
  <w:style w:type="paragraph" w:styleId="954" w:customStyle="1">
    <w:name w:val="列表段落"/>
    <w:basedOn w:val="752"/>
    <w:uiPriority w:val="0"/>
    <w:qFormat/>
    <w:pPr>
      <w:contextualSpacing/>
      <w:ind w:left="720"/>
    </w:pPr>
  </w:style>
  <w:style w:type="paragraph" w:styleId="955" w:customStyle="1">
    <w:name w:val="无间隔"/>
    <w:uiPriority w:val="99"/>
    <w:qFormat/>
    <w:rPr>
      <w:rFonts w:hint="default" w:ascii="Times New Roman" w:hAnsi="Times New Roman" w:eastAsia="宋体" w:cs="Times New Roman"/>
      <w:lang w:val="en-US" w:eastAsia="zh-CN" w:bidi="ar-SA"/>
    </w:rPr>
  </w:style>
  <w:style w:type="paragraph" w:styleId="956" w:customStyle="1">
    <w:name w:val="引用"/>
    <w:basedOn w:val="752"/>
    <w:next w:val="752"/>
    <w:link w:val="957"/>
    <w:uiPriority w:val="29"/>
    <w:qFormat/>
    <w:pPr>
      <w:ind w:left="720" w:right="720"/>
    </w:pPr>
    <w:rPr>
      <w:i/>
    </w:rPr>
  </w:style>
  <w:style w:type="character" w:styleId="957" w:customStyle="1">
    <w:name w:val="引用 字符"/>
    <w:link w:val="956"/>
    <w:uiPriority w:val="29"/>
    <w:qFormat/>
    <w:rPr>
      <w:i/>
    </w:rPr>
  </w:style>
  <w:style w:type="paragraph" w:styleId="958" w:customStyle="1">
    <w:name w:val="明显引用"/>
    <w:basedOn w:val="752"/>
    <w:next w:val="752"/>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明显引用 字符"/>
    <w:link w:val="958"/>
    <w:uiPriority w:val="30"/>
    <w:qFormat/>
    <w:rPr>
      <w:i/>
    </w:rPr>
  </w:style>
  <w:style w:type="character" w:styleId="960" w:customStyle="1">
    <w:name w:val="Header Char"/>
    <w:link w:val="752"/>
    <w:uiPriority w:val="99"/>
    <w:qFormat/>
  </w:style>
  <w:style w:type="character" w:styleId="961" w:customStyle="1">
    <w:name w:val="Footer Char"/>
    <w:link w:val="752"/>
    <w:uiPriority w:val="99"/>
    <w:qFormat/>
  </w:style>
  <w:style w:type="table" w:styleId="962" w:customStyle="1">
    <w:name w:val="Table Grid Light"/>
    <w:basedOn w:val="810"/>
    <w:uiPriority w:val="59"/>
    <w:qFormat/>
    <w:tblPr/>
  </w:style>
  <w:style w:type="table" w:styleId="963" w:customStyle="1">
    <w:name w:val="Grid Table 1 Light - Accent 1"/>
    <w:basedOn w:val="810"/>
    <w:uiPriority w:val="99"/>
    <w:qFormat/>
    <w:tblPr/>
  </w:style>
  <w:style w:type="table" w:styleId="964" w:customStyle="1">
    <w:name w:val="Grid Table 1 Light - Accent 2"/>
    <w:basedOn w:val="810"/>
    <w:uiPriority w:val="99"/>
    <w:qFormat/>
    <w:tblPr/>
  </w:style>
  <w:style w:type="table" w:styleId="965" w:customStyle="1">
    <w:name w:val="Grid Table 1 Light - Accent 3"/>
    <w:basedOn w:val="810"/>
    <w:uiPriority w:val="99"/>
    <w:qFormat/>
    <w:tblPr/>
  </w:style>
  <w:style w:type="table" w:styleId="966" w:customStyle="1">
    <w:name w:val="Grid Table 1 Light - Accent 4"/>
    <w:basedOn w:val="810"/>
    <w:uiPriority w:val="99"/>
    <w:qFormat/>
    <w:tblPr/>
  </w:style>
  <w:style w:type="table" w:styleId="967" w:customStyle="1">
    <w:name w:val="Grid Table 1 Light - Accent 5"/>
    <w:basedOn w:val="810"/>
    <w:uiPriority w:val="99"/>
    <w:qFormat/>
    <w:tblPr/>
  </w:style>
  <w:style w:type="table" w:styleId="968" w:customStyle="1">
    <w:name w:val="Grid Table 1 Light - Accent 6"/>
    <w:basedOn w:val="810"/>
    <w:uiPriority w:val="99"/>
    <w:qFormat/>
    <w:tblPr/>
  </w:style>
  <w:style w:type="table" w:styleId="969" w:customStyle="1">
    <w:name w:val="Grid Table 2 - Accent 1"/>
    <w:basedOn w:val="810"/>
    <w:uiPriority w:val="99"/>
    <w:qFormat/>
    <w:tblPr/>
  </w:style>
  <w:style w:type="table" w:styleId="970" w:customStyle="1">
    <w:name w:val="Grid Table 2 - Accent 2"/>
    <w:basedOn w:val="810"/>
    <w:uiPriority w:val="99"/>
    <w:qFormat/>
    <w:tblPr/>
  </w:style>
  <w:style w:type="table" w:styleId="971" w:customStyle="1">
    <w:name w:val="Grid Table 2 - Accent 3"/>
    <w:basedOn w:val="810"/>
    <w:uiPriority w:val="99"/>
    <w:qFormat/>
    <w:tblPr/>
  </w:style>
  <w:style w:type="table" w:styleId="972" w:customStyle="1">
    <w:name w:val="Grid Table 2 - Accent 4"/>
    <w:basedOn w:val="810"/>
    <w:uiPriority w:val="99"/>
    <w:qFormat/>
    <w:tblPr/>
  </w:style>
  <w:style w:type="table" w:styleId="973" w:customStyle="1">
    <w:name w:val="Grid Table 2 - Accent 5"/>
    <w:basedOn w:val="810"/>
    <w:uiPriority w:val="99"/>
    <w:qFormat/>
    <w:tblPr/>
  </w:style>
  <w:style w:type="table" w:styleId="974" w:customStyle="1">
    <w:name w:val="Grid Table 2 - Accent 6"/>
    <w:basedOn w:val="810"/>
    <w:uiPriority w:val="99"/>
    <w:qFormat/>
    <w:tblPr/>
  </w:style>
  <w:style w:type="table" w:styleId="975" w:customStyle="1">
    <w:name w:val="Grid Table 3 - Accent 1"/>
    <w:basedOn w:val="810"/>
    <w:uiPriority w:val="99"/>
    <w:qFormat/>
    <w:tblPr/>
  </w:style>
  <w:style w:type="table" w:styleId="976" w:customStyle="1">
    <w:name w:val="Grid Table 3 - Accent 2"/>
    <w:basedOn w:val="810"/>
    <w:uiPriority w:val="99"/>
    <w:qFormat/>
    <w:tblPr/>
  </w:style>
  <w:style w:type="table" w:styleId="977" w:customStyle="1">
    <w:name w:val="Grid Table 3 - Accent 3"/>
    <w:basedOn w:val="810"/>
    <w:uiPriority w:val="99"/>
    <w:qFormat/>
    <w:tblPr/>
  </w:style>
  <w:style w:type="table" w:styleId="978" w:customStyle="1">
    <w:name w:val="Grid Table 3 - Accent 4"/>
    <w:basedOn w:val="810"/>
    <w:uiPriority w:val="99"/>
    <w:qFormat/>
    <w:tblPr/>
  </w:style>
  <w:style w:type="table" w:styleId="979" w:customStyle="1">
    <w:name w:val="Grid Table 3 - Accent 5"/>
    <w:basedOn w:val="810"/>
    <w:uiPriority w:val="99"/>
    <w:qFormat/>
    <w:tblPr/>
  </w:style>
  <w:style w:type="table" w:styleId="980" w:customStyle="1">
    <w:name w:val="Grid Table 3 - Accent 6"/>
    <w:basedOn w:val="810"/>
    <w:uiPriority w:val="99"/>
    <w:qFormat/>
    <w:tblPr/>
  </w:style>
  <w:style w:type="table" w:styleId="981" w:customStyle="1">
    <w:name w:val="Grid Table 4 - Accent 1"/>
    <w:basedOn w:val="810"/>
    <w:uiPriority w:val="59"/>
    <w:qFormat/>
    <w:tblPr/>
  </w:style>
  <w:style w:type="table" w:styleId="982" w:customStyle="1">
    <w:name w:val="Grid Table 4 - Accent 2"/>
    <w:basedOn w:val="810"/>
    <w:uiPriority w:val="59"/>
    <w:qFormat/>
    <w:tblPr/>
  </w:style>
  <w:style w:type="table" w:styleId="983" w:customStyle="1">
    <w:name w:val="Grid Table 4 - Accent 3"/>
    <w:basedOn w:val="810"/>
    <w:uiPriority w:val="59"/>
    <w:qFormat/>
    <w:tblPr/>
  </w:style>
  <w:style w:type="table" w:styleId="984" w:customStyle="1">
    <w:name w:val="Grid Table 4 - Accent 4"/>
    <w:basedOn w:val="810"/>
    <w:uiPriority w:val="59"/>
    <w:qFormat/>
    <w:tblPr/>
  </w:style>
  <w:style w:type="table" w:styleId="985" w:customStyle="1">
    <w:name w:val="Grid Table 4 - Accent 5"/>
    <w:basedOn w:val="810"/>
    <w:uiPriority w:val="59"/>
    <w:qFormat/>
    <w:tblPr/>
  </w:style>
  <w:style w:type="table" w:styleId="986" w:customStyle="1">
    <w:name w:val="Grid Table 4 - Accent 6"/>
    <w:basedOn w:val="810"/>
    <w:uiPriority w:val="59"/>
    <w:qFormat/>
    <w:tblPr/>
  </w:style>
  <w:style w:type="table" w:styleId="987" w:customStyle="1">
    <w:name w:val="Grid Table 5 Dark- Accent 1"/>
    <w:basedOn w:val="810"/>
    <w:uiPriority w:val="99"/>
    <w:qFormat/>
    <w:tblPr/>
  </w:style>
  <w:style w:type="table" w:styleId="988" w:customStyle="1">
    <w:name w:val="Grid Table 5 Dark - Accent 2"/>
    <w:basedOn w:val="810"/>
    <w:uiPriority w:val="99"/>
    <w:qFormat/>
    <w:tblPr/>
  </w:style>
  <w:style w:type="table" w:styleId="989" w:customStyle="1">
    <w:name w:val="Grid Table 5 Dark - Accent 3"/>
    <w:basedOn w:val="810"/>
    <w:uiPriority w:val="99"/>
    <w:qFormat/>
    <w:tblPr/>
  </w:style>
  <w:style w:type="table" w:styleId="990" w:customStyle="1">
    <w:name w:val="Grid Table 5 Dark- Accent 4"/>
    <w:basedOn w:val="810"/>
    <w:uiPriority w:val="99"/>
    <w:qFormat/>
    <w:tblPr/>
  </w:style>
  <w:style w:type="table" w:styleId="991" w:customStyle="1">
    <w:name w:val="Grid Table 5 Dark - Accent 5"/>
    <w:basedOn w:val="810"/>
    <w:uiPriority w:val="99"/>
    <w:qFormat/>
    <w:tblPr/>
  </w:style>
  <w:style w:type="table" w:styleId="992" w:customStyle="1">
    <w:name w:val="Grid Table 5 Dark - Accent 6"/>
    <w:basedOn w:val="810"/>
    <w:uiPriority w:val="99"/>
    <w:qFormat/>
    <w:tblPr/>
  </w:style>
  <w:style w:type="table" w:styleId="993" w:customStyle="1">
    <w:name w:val="Grid Table 6 Colorful - Accent 1"/>
    <w:basedOn w:val="810"/>
    <w:uiPriority w:val="99"/>
    <w:qFormat/>
    <w:tblPr/>
  </w:style>
  <w:style w:type="table" w:styleId="994" w:customStyle="1">
    <w:name w:val="Grid Table 6 Colorful - Accent 2"/>
    <w:basedOn w:val="810"/>
    <w:uiPriority w:val="99"/>
    <w:qFormat/>
    <w:tblPr/>
  </w:style>
  <w:style w:type="table" w:styleId="995" w:customStyle="1">
    <w:name w:val="Grid Table 6 Colorful - Accent 3"/>
    <w:basedOn w:val="810"/>
    <w:uiPriority w:val="99"/>
    <w:qFormat/>
    <w:tblPr/>
  </w:style>
  <w:style w:type="table" w:styleId="996" w:customStyle="1">
    <w:name w:val="Grid Table 6 Colorful - Accent 4"/>
    <w:basedOn w:val="810"/>
    <w:uiPriority w:val="99"/>
    <w:qFormat/>
    <w:tblPr/>
  </w:style>
  <w:style w:type="table" w:styleId="997" w:customStyle="1">
    <w:name w:val="Grid Table 6 Colorful - Accent 5"/>
    <w:basedOn w:val="810"/>
    <w:uiPriority w:val="99"/>
    <w:qFormat/>
    <w:tblPr/>
  </w:style>
  <w:style w:type="table" w:styleId="998" w:customStyle="1">
    <w:name w:val="Grid Table 6 Colorful - Accent 6"/>
    <w:basedOn w:val="810"/>
    <w:uiPriority w:val="99"/>
    <w:qFormat/>
    <w:tblPr/>
  </w:style>
  <w:style w:type="table" w:styleId="999" w:customStyle="1">
    <w:name w:val="Grid Table 7 Colorful - Accent 1"/>
    <w:basedOn w:val="810"/>
    <w:uiPriority w:val="99"/>
    <w:qFormat/>
    <w:tblPr/>
  </w:style>
  <w:style w:type="table" w:styleId="1000" w:customStyle="1">
    <w:name w:val="Grid Table 7 Colorful - Accent 2"/>
    <w:basedOn w:val="810"/>
    <w:uiPriority w:val="99"/>
    <w:qFormat/>
    <w:tblPr/>
  </w:style>
  <w:style w:type="table" w:styleId="1001" w:customStyle="1">
    <w:name w:val="Grid Table 7 Colorful - Accent 3"/>
    <w:basedOn w:val="810"/>
    <w:uiPriority w:val="99"/>
    <w:qFormat/>
    <w:tblPr/>
  </w:style>
  <w:style w:type="table" w:styleId="1002" w:customStyle="1">
    <w:name w:val="Grid Table 7 Colorful - Accent 4"/>
    <w:basedOn w:val="810"/>
    <w:uiPriority w:val="99"/>
    <w:qFormat/>
    <w:tblPr/>
  </w:style>
  <w:style w:type="table" w:styleId="1003" w:customStyle="1">
    <w:name w:val="Grid Table 7 Colorful - Accent 5"/>
    <w:basedOn w:val="810"/>
    <w:uiPriority w:val="99"/>
    <w:qFormat/>
    <w:tblPr/>
  </w:style>
  <w:style w:type="table" w:styleId="1004" w:customStyle="1">
    <w:name w:val="Grid Table 7 Colorful - Accent 6"/>
    <w:basedOn w:val="810"/>
    <w:uiPriority w:val="99"/>
    <w:qFormat/>
    <w:tblPr/>
  </w:style>
  <w:style w:type="table" w:styleId="1005" w:customStyle="1">
    <w:name w:val="List Table 1 Light - Accent 1"/>
    <w:basedOn w:val="810"/>
    <w:uiPriority w:val="99"/>
    <w:qFormat/>
    <w:tblPr/>
  </w:style>
  <w:style w:type="table" w:styleId="1006" w:customStyle="1">
    <w:name w:val="List Table 1 Light - Accent 2"/>
    <w:basedOn w:val="810"/>
    <w:uiPriority w:val="99"/>
    <w:qFormat/>
    <w:tblPr/>
  </w:style>
  <w:style w:type="table" w:styleId="1007" w:customStyle="1">
    <w:name w:val="List Table 1 Light - Accent 3"/>
    <w:basedOn w:val="810"/>
    <w:uiPriority w:val="99"/>
    <w:qFormat/>
    <w:tblPr/>
  </w:style>
  <w:style w:type="table" w:styleId="1008" w:customStyle="1">
    <w:name w:val="List Table 1 Light - Accent 4"/>
    <w:basedOn w:val="810"/>
    <w:uiPriority w:val="99"/>
    <w:qFormat/>
    <w:tblPr/>
  </w:style>
  <w:style w:type="table" w:styleId="1009" w:customStyle="1">
    <w:name w:val="List Table 1 Light - Accent 5"/>
    <w:basedOn w:val="810"/>
    <w:uiPriority w:val="99"/>
    <w:qFormat/>
    <w:tblPr/>
  </w:style>
  <w:style w:type="table" w:styleId="1010" w:customStyle="1">
    <w:name w:val="List Table 1 Light - Accent 6"/>
    <w:basedOn w:val="810"/>
    <w:uiPriority w:val="99"/>
    <w:qFormat/>
    <w:tblPr/>
  </w:style>
  <w:style w:type="table" w:styleId="1011" w:customStyle="1">
    <w:name w:val="List Table 2 - Accent 1"/>
    <w:basedOn w:val="810"/>
    <w:uiPriority w:val="99"/>
    <w:qFormat/>
    <w:tblPr/>
  </w:style>
  <w:style w:type="table" w:styleId="1012" w:customStyle="1">
    <w:name w:val="List Table 2 - Accent 2"/>
    <w:basedOn w:val="810"/>
    <w:uiPriority w:val="99"/>
    <w:qFormat/>
    <w:tblPr/>
  </w:style>
  <w:style w:type="table" w:styleId="1013" w:customStyle="1">
    <w:name w:val="List Table 2 - Accent 3"/>
    <w:basedOn w:val="810"/>
    <w:uiPriority w:val="99"/>
    <w:qFormat/>
    <w:tblPr/>
  </w:style>
  <w:style w:type="table" w:styleId="1014" w:customStyle="1">
    <w:name w:val="List Table 2 - Accent 4"/>
    <w:basedOn w:val="810"/>
    <w:uiPriority w:val="99"/>
    <w:qFormat/>
    <w:tblPr/>
  </w:style>
  <w:style w:type="table" w:styleId="1015" w:customStyle="1">
    <w:name w:val="List Table 2 - Accent 5"/>
    <w:basedOn w:val="810"/>
    <w:uiPriority w:val="99"/>
    <w:qFormat/>
    <w:tblPr/>
  </w:style>
  <w:style w:type="table" w:styleId="1016" w:customStyle="1">
    <w:name w:val="List Table 2 - Accent 6"/>
    <w:basedOn w:val="810"/>
    <w:uiPriority w:val="99"/>
    <w:qFormat/>
    <w:tblPr/>
  </w:style>
  <w:style w:type="table" w:styleId="1017" w:customStyle="1">
    <w:name w:val="List Table 3 - Accent 1"/>
    <w:basedOn w:val="810"/>
    <w:uiPriority w:val="99"/>
    <w:qFormat/>
    <w:tblPr/>
  </w:style>
  <w:style w:type="table" w:styleId="1018" w:customStyle="1">
    <w:name w:val="List Table 3 - Accent 2"/>
    <w:basedOn w:val="810"/>
    <w:uiPriority w:val="99"/>
    <w:qFormat/>
    <w:tblPr/>
  </w:style>
  <w:style w:type="table" w:styleId="1019" w:customStyle="1">
    <w:name w:val="List Table 3 - Accent 3"/>
    <w:basedOn w:val="810"/>
    <w:uiPriority w:val="99"/>
    <w:qFormat/>
    <w:tblPr/>
  </w:style>
  <w:style w:type="table" w:styleId="1020" w:customStyle="1">
    <w:name w:val="List Table 3 - Accent 4"/>
    <w:basedOn w:val="810"/>
    <w:uiPriority w:val="99"/>
    <w:qFormat/>
    <w:tblPr/>
  </w:style>
  <w:style w:type="table" w:styleId="1021" w:customStyle="1">
    <w:name w:val="List Table 3 - Accent 5"/>
    <w:basedOn w:val="810"/>
    <w:uiPriority w:val="99"/>
    <w:qFormat/>
    <w:tblPr/>
  </w:style>
  <w:style w:type="table" w:styleId="1022" w:customStyle="1">
    <w:name w:val="List Table 3 - Accent 6"/>
    <w:basedOn w:val="810"/>
    <w:uiPriority w:val="99"/>
    <w:qFormat/>
    <w:tblPr/>
  </w:style>
  <w:style w:type="table" w:styleId="1023" w:customStyle="1">
    <w:name w:val="List Table 4 - Accent 1"/>
    <w:basedOn w:val="810"/>
    <w:uiPriority w:val="99"/>
    <w:qFormat/>
    <w:tblPr/>
  </w:style>
  <w:style w:type="table" w:styleId="1024" w:customStyle="1">
    <w:name w:val="List Table 4 - Accent 2"/>
    <w:basedOn w:val="810"/>
    <w:uiPriority w:val="99"/>
    <w:qFormat/>
    <w:tblPr/>
  </w:style>
  <w:style w:type="table" w:styleId="1025" w:customStyle="1">
    <w:name w:val="List Table 4 - Accent 3"/>
    <w:basedOn w:val="810"/>
    <w:uiPriority w:val="99"/>
    <w:qFormat/>
    <w:tblPr/>
  </w:style>
  <w:style w:type="table" w:styleId="1026" w:customStyle="1">
    <w:name w:val="List Table 4 - Accent 4"/>
    <w:basedOn w:val="810"/>
    <w:uiPriority w:val="99"/>
    <w:qFormat/>
    <w:tblPr/>
  </w:style>
  <w:style w:type="table" w:styleId="1027" w:customStyle="1">
    <w:name w:val="List Table 4 - Accent 5"/>
    <w:basedOn w:val="810"/>
    <w:uiPriority w:val="99"/>
    <w:qFormat/>
    <w:tblPr/>
  </w:style>
  <w:style w:type="table" w:styleId="1028" w:customStyle="1">
    <w:name w:val="List Table 4 - Accent 6"/>
    <w:basedOn w:val="810"/>
    <w:uiPriority w:val="99"/>
    <w:qFormat/>
    <w:tblPr/>
  </w:style>
  <w:style w:type="table" w:styleId="1029" w:customStyle="1">
    <w:name w:val="List Table 5 Dark - Accent 1"/>
    <w:basedOn w:val="810"/>
    <w:uiPriority w:val="99"/>
    <w:qFormat/>
    <w:tblPr/>
  </w:style>
  <w:style w:type="table" w:styleId="1030" w:customStyle="1">
    <w:name w:val="List Table 5 Dark - Accent 2"/>
    <w:basedOn w:val="810"/>
    <w:uiPriority w:val="99"/>
    <w:qFormat/>
    <w:tblPr/>
  </w:style>
  <w:style w:type="table" w:styleId="1031" w:customStyle="1">
    <w:name w:val="List Table 5 Dark - Accent 3"/>
    <w:basedOn w:val="810"/>
    <w:uiPriority w:val="99"/>
    <w:qFormat/>
    <w:tblPr/>
  </w:style>
  <w:style w:type="table" w:styleId="1032" w:customStyle="1">
    <w:name w:val="List Table 5 Dark - Accent 4"/>
    <w:basedOn w:val="810"/>
    <w:uiPriority w:val="99"/>
    <w:qFormat/>
    <w:tblPr/>
  </w:style>
  <w:style w:type="table" w:styleId="1033" w:customStyle="1">
    <w:name w:val="List Table 5 Dark - Accent 5"/>
    <w:basedOn w:val="810"/>
    <w:uiPriority w:val="99"/>
    <w:qFormat/>
    <w:tblPr/>
  </w:style>
  <w:style w:type="table" w:styleId="1034" w:customStyle="1">
    <w:name w:val="List Table 5 Dark - Accent 6"/>
    <w:basedOn w:val="810"/>
    <w:uiPriority w:val="99"/>
    <w:qFormat/>
    <w:tblPr/>
  </w:style>
  <w:style w:type="table" w:styleId="1035" w:customStyle="1">
    <w:name w:val="List Table 6 Colorful - Accent 1"/>
    <w:basedOn w:val="810"/>
    <w:uiPriority w:val="99"/>
    <w:qFormat/>
    <w:tblPr/>
  </w:style>
  <w:style w:type="table" w:styleId="1036" w:customStyle="1">
    <w:name w:val="List Table 6 Colorful - Accent 2"/>
    <w:basedOn w:val="810"/>
    <w:uiPriority w:val="99"/>
    <w:qFormat/>
    <w:tblPr/>
  </w:style>
  <w:style w:type="table" w:styleId="1037" w:customStyle="1">
    <w:name w:val="List Table 6 Colorful - Accent 3"/>
    <w:basedOn w:val="810"/>
    <w:uiPriority w:val="99"/>
    <w:qFormat/>
    <w:tblPr/>
  </w:style>
  <w:style w:type="table" w:styleId="1038" w:customStyle="1">
    <w:name w:val="List Table 6 Colorful - Accent 4"/>
    <w:basedOn w:val="810"/>
    <w:uiPriority w:val="99"/>
    <w:qFormat/>
    <w:tblPr/>
  </w:style>
  <w:style w:type="table" w:styleId="1039" w:customStyle="1">
    <w:name w:val="List Table 6 Colorful - Accent 5"/>
    <w:basedOn w:val="810"/>
    <w:uiPriority w:val="99"/>
    <w:qFormat/>
    <w:tblPr/>
  </w:style>
  <w:style w:type="table" w:styleId="1040" w:customStyle="1">
    <w:name w:val="List Table 6 Colorful - Accent 6"/>
    <w:basedOn w:val="810"/>
    <w:uiPriority w:val="99"/>
    <w:qFormat/>
    <w:tblPr/>
  </w:style>
  <w:style w:type="table" w:styleId="1041" w:customStyle="1">
    <w:name w:val="List Table 7 Colorful - Accent 1"/>
    <w:basedOn w:val="810"/>
    <w:uiPriority w:val="99"/>
    <w:qFormat/>
    <w:tblPr/>
  </w:style>
  <w:style w:type="table" w:styleId="1042" w:customStyle="1">
    <w:name w:val="List Table 7 Colorful - Accent 2"/>
    <w:basedOn w:val="810"/>
    <w:uiPriority w:val="99"/>
    <w:qFormat/>
    <w:tblPr/>
  </w:style>
  <w:style w:type="table" w:styleId="1043" w:customStyle="1">
    <w:name w:val="List Table 7 Colorful - Accent 3"/>
    <w:basedOn w:val="810"/>
    <w:uiPriority w:val="99"/>
    <w:qFormat/>
    <w:tblPr/>
  </w:style>
  <w:style w:type="table" w:styleId="1044" w:customStyle="1">
    <w:name w:val="List Table 7 Colorful - Accent 4"/>
    <w:basedOn w:val="810"/>
    <w:uiPriority w:val="99"/>
    <w:qFormat/>
    <w:tblPr/>
  </w:style>
  <w:style w:type="table" w:styleId="1045" w:customStyle="1">
    <w:name w:val="List Table 7 Colorful - Accent 5"/>
    <w:basedOn w:val="810"/>
    <w:uiPriority w:val="99"/>
    <w:qFormat/>
    <w:tblPr/>
  </w:style>
  <w:style w:type="table" w:styleId="1046" w:customStyle="1">
    <w:name w:val="List Table 7 Colorful - Accent 6"/>
    <w:basedOn w:val="810"/>
    <w:uiPriority w:val="99"/>
    <w:qFormat/>
    <w:tblPr/>
  </w:style>
  <w:style w:type="table" w:styleId="1047" w:customStyle="1">
    <w:name w:val="Lined - Accent"/>
    <w:basedOn w:val="810"/>
    <w:uiPriority w:val="99"/>
    <w:qFormat/>
    <w:rPr>
      <w:color w:val="404040"/>
    </w:rPr>
    <w:tblPr/>
  </w:style>
  <w:style w:type="table" w:styleId="1048" w:customStyle="1">
    <w:name w:val="Lined - Accent 1"/>
    <w:basedOn w:val="810"/>
    <w:uiPriority w:val="99"/>
    <w:qFormat/>
    <w:rPr>
      <w:color w:val="404040"/>
    </w:rPr>
    <w:tblPr/>
  </w:style>
  <w:style w:type="table" w:styleId="1049" w:customStyle="1">
    <w:name w:val="Lined - Accent 2"/>
    <w:basedOn w:val="810"/>
    <w:uiPriority w:val="99"/>
    <w:qFormat/>
    <w:rPr>
      <w:color w:val="404040"/>
    </w:rPr>
    <w:tblPr/>
  </w:style>
  <w:style w:type="table" w:styleId="1050" w:customStyle="1">
    <w:name w:val="Lined - Accent 3"/>
    <w:basedOn w:val="810"/>
    <w:uiPriority w:val="99"/>
    <w:qFormat/>
    <w:rPr>
      <w:color w:val="404040"/>
    </w:rPr>
    <w:tblPr/>
  </w:style>
  <w:style w:type="table" w:styleId="1051" w:customStyle="1">
    <w:name w:val="Lined - Accent 4"/>
    <w:basedOn w:val="810"/>
    <w:uiPriority w:val="99"/>
    <w:qFormat/>
    <w:rPr>
      <w:color w:val="404040"/>
    </w:rPr>
    <w:tblPr/>
  </w:style>
  <w:style w:type="table" w:styleId="1052" w:customStyle="1">
    <w:name w:val="Lined - Accent 5"/>
    <w:basedOn w:val="810"/>
    <w:uiPriority w:val="99"/>
    <w:qFormat/>
    <w:rPr>
      <w:color w:val="404040"/>
    </w:rPr>
    <w:tblPr/>
  </w:style>
  <w:style w:type="table" w:styleId="1053" w:customStyle="1">
    <w:name w:val="Lined - Accent 6"/>
    <w:basedOn w:val="810"/>
    <w:uiPriority w:val="99"/>
    <w:qFormat/>
    <w:rPr>
      <w:color w:val="404040"/>
    </w:rPr>
    <w:tblPr/>
  </w:style>
  <w:style w:type="table" w:styleId="1054" w:customStyle="1">
    <w:name w:val="Bordered &amp; Lined - Accent"/>
    <w:basedOn w:val="810"/>
    <w:uiPriority w:val="99"/>
    <w:qFormat/>
    <w:rPr>
      <w:color w:val="404040"/>
    </w:rPr>
    <w:tblPr/>
  </w:style>
  <w:style w:type="table" w:styleId="1055" w:customStyle="1">
    <w:name w:val="Bordered &amp; Lined - Accent 1"/>
    <w:basedOn w:val="810"/>
    <w:uiPriority w:val="99"/>
    <w:qFormat/>
    <w:rPr>
      <w:color w:val="404040"/>
    </w:rPr>
    <w:tblPr/>
  </w:style>
  <w:style w:type="table" w:styleId="1056" w:customStyle="1">
    <w:name w:val="Bordered &amp; Lined - Accent 2"/>
    <w:basedOn w:val="810"/>
    <w:uiPriority w:val="99"/>
    <w:qFormat/>
    <w:rPr>
      <w:color w:val="404040"/>
    </w:rPr>
    <w:tblPr/>
  </w:style>
  <w:style w:type="table" w:styleId="1057" w:customStyle="1">
    <w:name w:val="Bordered &amp; Lined - Accent 3"/>
    <w:basedOn w:val="810"/>
    <w:uiPriority w:val="99"/>
    <w:qFormat/>
    <w:rPr>
      <w:color w:val="404040"/>
    </w:rPr>
    <w:tblPr/>
  </w:style>
  <w:style w:type="table" w:styleId="1058" w:customStyle="1">
    <w:name w:val="Bordered &amp; Lined - Accent 4"/>
    <w:basedOn w:val="810"/>
    <w:uiPriority w:val="99"/>
    <w:qFormat/>
    <w:rPr>
      <w:color w:val="404040"/>
    </w:rPr>
    <w:tblPr/>
  </w:style>
  <w:style w:type="table" w:styleId="1059" w:customStyle="1">
    <w:name w:val="Bordered &amp; Lined - Accent 5"/>
    <w:basedOn w:val="810"/>
    <w:uiPriority w:val="99"/>
    <w:qFormat/>
    <w:rPr>
      <w:color w:val="404040"/>
    </w:rPr>
    <w:tblPr/>
  </w:style>
  <w:style w:type="table" w:styleId="1060" w:customStyle="1">
    <w:name w:val="Bordered &amp; Lined - Accent 6"/>
    <w:basedOn w:val="810"/>
    <w:uiPriority w:val="99"/>
    <w:qFormat/>
    <w:rPr>
      <w:color w:val="404040"/>
    </w:rPr>
    <w:tblPr/>
  </w:style>
  <w:style w:type="table" w:styleId="1061" w:customStyle="1">
    <w:name w:val="Bordered"/>
    <w:basedOn w:val="810"/>
    <w:uiPriority w:val="99"/>
    <w:qFormat/>
    <w:tblPr/>
  </w:style>
  <w:style w:type="table" w:styleId="1062" w:customStyle="1">
    <w:name w:val="Bordered - Accent 1"/>
    <w:basedOn w:val="810"/>
    <w:uiPriority w:val="99"/>
    <w:qFormat/>
    <w:tblPr/>
  </w:style>
  <w:style w:type="table" w:styleId="1063" w:customStyle="1">
    <w:name w:val="Bordered - Accent 2"/>
    <w:basedOn w:val="810"/>
    <w:uiPriority w:val="99"/>
    <w:qFormat/>
    <w:tblPr/>
  </w:style>
  <w:style w:type="table" w:styleId="1064" w:customStyle="1">
    <w:name w:val="Bordered - Accent 3"/>
    <w:basedOn w:val="810"/>
    <w:uiPriority w:val="99"/>
    <w:qFormat/>
    <w:tblPr/>
  </w:style>
  <w:style w:type="table" w:styleId="1065" w:customStyle="1">
    <w:name w:val="Bordered - Accent 4"/>
    <w:basedOn w:val="810"/>
    <w:uiPriority w:val="99"/>
    <w:qFormat/>
    <w:tblPr/>
  </w:style>
  <w:style w:type="table" w:styleId="1066" w:customStyle="1">
    <w:name w:val="Bordered - Accent 5"/>
    <w:basedOn w:val="810"/>
    <w:uiPriority w:val="99"/>
    <w:qFormat/>
    <w:tblPr/>
  </w:style>
  <w:style w:type="table" w:styleId="1067" w:customStyle="1">
    <w:name w:val="Bordered - Accent 6"/>
    <w:basedOn w:val="810"/>
    <w:uiPriority w:val="99"/>
    <w:qFormat/>
    <w:tblPr/>
  </w:style>
  <w:style w:type="paragraph" w:styleId="1068" w:customStyle="1">
    <w:name w:val="TOC 标题11"/>
    <w:uiPriority w:val="39"/>
    <w:unhideWhenUsed/>
    <w:qFormat/>
    <w:rPr>
      <w:rFonts w:hint="default" w:ascii="Times New Roman" w:hAnsi="Times New Roman" w:eastAsia="宋体" w:cs="Times New Roman"/>
      <w:lang w:val="en-US" w:eastAsia="zh-CN" w:bidi="ar-SA"/>
    </w:rPr>
  </w:style>
  <w:style w:type="paragraph" w:styleId="1069" w:customStyle="1">
    <w:name w:val="Normal_0"/>
    <w:uiPriority w:val="0"/>
    <w:qFormat/>
    <w:rPr>
      <w:rFonts w:hint="default" w:ascii="黑体" w:hAnsi="黑体" w:eastAsia="黑体" w:cs="Times New Roman"/>
      <w:b/>
      <w:sz w:val="32"/>
      <w:szCs w:val="24"/>
      <w:lang w:val="en-US" w:eastAsia="zh-CN" w:bidi="ar-SA"/>
    </w:rPr>
  </w:style>
  <w:style w:type="paragraph" w:styleId="1070" w:customStyle="1">
    <w:name w:val="Normal_0_3"/>
    <w:uiPriority w:val="0"/>
    <w:qFormat/>
    <w:rPr>
      <w:rFonts w:hint="default" w:ascii="黑体" w:hAnsi="黑体" w:eastAsia="黑体" w:cs="黑体"/>
      <w:b/>
      <w:sz w:val="32"/>
      <w:szCs w:val="24"/>
      <w:lang w:val="en-US" w:eastAsia="zh-CN" w:bidi="ar-SA"/>
    </w:rPr>
  </w:style>
  <w:style w:type="paragraph" w:styleId="1071" w:customStyle="1">
    <w:name w:val="正文首行缩进 2_0"/>
    <w:basedOn w:val="1072"/>
    <w:uiPriority w:val="0"/>
    <w:qFormat/>
    <w:pPr>
      <w:ind w:left="200" w:firstLine="200"/>
      <w:spacing w:after="120"/>
    </w:pPr>
    <w:rPr>
      <w:rFonts w:ascii="Times New Roman" w:hAnsi="Times New Roman"/>
      <w:sz w:val="24"/>
      <w:szCs w:val="24"/>
    </w:rPr>
  </w:style>
  <w:style w:type="paragraph" w:styleId="1072" w:customStyle="1">
    <w:name w:val="正文文本缩进_0"/>
    <w:basedOn w:val="1073"/>
    <w:uiPriority w:val="0"/>
    <w:qFormat/>
    <w:pPr>
      <w:ind w:firstLine="225"/>
    </w:pPr>
    <w:rPr>
      <w:rFonts w:ascii="仿宋_GB2312" w:eastAsia="仿宋_GB2312"/>
      <w:sz w:val="32"/>
    </w:rPr>
  </w:style>
  <w:style w:type="paragraph" w:styleId="1073" w:customStyle="1">
    <w:name w:val="正文_2"/>
    <w:next w:val="1072"/>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Normal_0_2"/>
    <w:next w:val="1075"/>
    <w:uiPriority w:val="0"/>
    <w:qFormat/>
    <w:rPr>
      <w:rFonts w:hint="default" w:ascii="黑体" w:hAnsi="黑体" w:eastAsia="黑体" w:cs="黑体"/>
      <w:b/>
      <w:sz w:val="32"/>
      <w:szCs w:val="24"/>
      <w:lang w:val="en-US" w:eastAsia="zh-CN" w:bidi="ar-SA"/>
    </w:rPr>
  </w:style>
  <w:style w:type="paragraph" w:styleId="1075" w:customStyle="1">
    <w:name w:val="Body Text First Indent_1"/>
    <w:basedOn w:val="802"/>
    <w:uiPriority w:val="99"/>
    <w:unhideWhenUsed/>
    <w:qFormat/>
    <w:pPr>
      <w:ind w:firstLine="420"/>
      <w:spacing w:after="120"/>
    </w:pPr>
    <w:rPr>
      <w:rFonts w:eastAsia="Times New Roman"/>
      <w:sz w:val="20"/>
    </w:rPr>
  </w:style>
  <w:style w:type="paragraph" w:styleId="107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7" w:customStyle="1">
    <w:name w:val="Normal_0_1"/>
    <w:next w:val="1078"/>
    <w:uiPriority w:val="0"/>
    <w:qFormat/>
    <w:rPr>
      <w:rFonts w:hint="default" w:ascii="黑体" w:hAnsi="黑体" w:eastAsia="黑体" w:cs="黑体"/>
      <w:b/>
      <w:sz w:val="32"/>
      <w:szCs w:val="24"/>
      <w:lang w:val="en-US" w:eastAsia="zh-CN" w:bidi="ar-SA"/>
    </w:rPr>
  </w:style>
  <w:style w:type="paragraph" w:styleId="1078" w:customStyle="1">
    <w:name w:val="Body Text First Indent_0"/>
    <w:basedOn w:val="1079"/>
    <w:uiPriority w:val="99"/>
    <w:unhideWhenUsed/>
    <w:qFormat/>
    <w:pPr>
      <w:ind w:firstLine="420"/>
      <w:spacing w:after="120"/>
    </w:pPr>
    <w:rPr>
      <w:rFonts w:eastAsia="Times New Roman"/>
    </w:rPr>
  </w:style>
  <w:style w:type="paragraph" w:styleId="1079" w:customStyle="1">
    <w:name w:val="正文3"/>
    <w:next w:val="1080"/>
    <w:uiPriority w:val="0"/>
    <w:qFormat/>
    <w:rPr>
      <w:rFonts w:hint="default" w:ascii="Times New Roman" w:hAnsi="Times New Roman" w:eastAsia="Times New Roman" w:cs="Times New Roman"/>
      <w:sz w:val="24"/>
      <w:szCs w:val="24"/>
      <w:lang w:val="en-US" w:eastAsia="zh-CN" w:bidi="ar-SA"/>
    </w:rPr>
  </w:style>
  <w:style w:type="paragraph" w:styleId="1080" w:customStyle="1">
    <w:name w:val="正文首行缩进3"/>
    <w:basedOn w:val="799"/>
    <w:uiPriority w:val="99"/>
    <w:unhideWhenUsed/>
    <w:qFormat/>
    <w:pPr>
      <w:ind w:firstLine="420"/>
      <w:spacing w:after="120"/>
    </w:pPr>
    <w:rPr>
      <w:sz w:val="20"/>
    </w:rPr>
  </w:style>
  <w:style w:type="paragraph" w:styleId="1081" w:customStyle="1">
    <w:name w:val="Normal_1_1"/>
    <w:uiPriority w:val="0"/>
    <w:qFormat/>
    <w:rPr>
      <w:rFonts w:hint="default" w:ascii="黑体" w:hAnsi="黑体" w:eastAsia="黑体" w:cs="黑体"/>
      <w:b/>
      <w:sz w:val="32"/>
      <w:szCs w:val="24"/>
      <w:lang w:val="en-US" w:eastAsia="zh-CN" w:bidi="ar-SA"/>
    </w:rPr>
  </w:style>
  <w:style w:type="paragraph" w:styleId="1082"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2_0"/>
    <w:uiPriority w:val="0"/>
    <w:qFormat/>
    <w:rPr>
      <w:rFonts w:hint="default" w:ascii="黑体" w:hAnsi="黑体" w:eastAsia="黑体" w:cs="黑体"/>
      <w:b/>
      <w:sz w:val="32"/>
      <w:szCs w:val="24"/>
      <w:lang w:val="en-US" w:eastAsia="zh-CN" w:bidi="ar-SA"/>
    </w:rPr>
  </w:style>
  <w:style w:type="paragraph" w:styleId="1085"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Normal_4_0"/>
    <w:uiPriority w:val="0"/>
    <w:qFormat/>
    <w:rPr>
      <w:rFonts w:hint="default" w:ascii="黑体" w:hAnsi="黑体" w:eastAsia="黑体" w:cs="黑体"/>
      <w:b/>
      <w:sz w:val="32"/>
      <w:szCs w:val="24"/>
      <w:lang w:val="en-US" w:eastAsia="zh-CN" w:bidi="ar-SA"/>
    </w:rPr>
  </w:style>
  <w:style w:type="paragraph" w:styleId="108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6_0"/>
    <w:uiPriority w:val="0"/>
    <w:qFormat/>
    <w:rPr>
      <w:rFonts w:hint="default" w:ascii="黑体" w:hAnsi="黑体" w:eastAsia="黑体" w:cs="黑体"/>
      <w:b/>
      <w:sz w:val="32"/>
      <w:szCs w:val="24"/>
      <w:lang w:val="en-US" w:eastAsia="zh-CN" w:bidi="ar-SA"/>
    </w:rPr>
  </w:style>
  <w:style w:type="paragraph" w:styleId="108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9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92" w:customStyle="1">
    <w:name w:val="Normal_7_0"/>
    <w:uiPriority w:val="0"/>
    <w:qFormat/>
    <w:rPr>
      <w:rFonts w:hint="default" w:ascii="黑体" w:hAnsi="黑体" w:eastAsia="黑体" w:cs="黑体"/>
      <w:b/>
      <w:sz w:val="32"/>
      <w:szCs w:val="24"/>
      <w:lang w:val="en-US" w:eastAsia="zh-CN" w:bidi="ar-SA"/>
    </w:rPr>
  </w:style>
  <w:style w:type="paragraph" w:styleId="109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10_0"/>
    <w:uiPriority w:val="0"/>
    <w:qFormat/>
    <w:rPr>
      <w:rFonts w:hint="default" w:ascii="黑体" w:hAnsi="黑体" w:eastAsia="黑体" w:cs="黑体"/>
      <w:b/>
      <w:sz w:val="32"/>
      <w:szCs w:val="24"/>
      <w:lang w:val="en-US" w:eastAsia="zh-CN" w:bidi="ar-SA"/>
    </w:rPr>
  </w:style>
  <w:style w:type="paragraph" w:styleId="1096" w:customStyle="1">
    <w:name w:val="正文_3"/>
    <w:next w:val="1097"/>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首行缩进 2_1"/>
    <w:basedOn w:val="1098"/>
    <w:next w:val="1100"/>
    <w:uiPriority w:val="0"/>
    <w:qFormat/>
    <w:pPr>
      <w:ind w:left="200" w:firstLine="200"/>
      <w:spacing w:after="120"/>
    </w:pPr>
    <w:rPr>
      <w:rFonts w:ascii="Times New Roman"/>
      <w:szCs w:val="24"/>
    </w:rPr>
  </w:style>
  <w:style w:type="paragraph" w:styleId="1098" w:customStyle="1">
    <w:name w:val="正文文本缩进_1"/>
    <w:basedOn w:val="1099"/>
    <w:next w:val="1097"/>
    <w:uiPriority w:val="0"/>
    <w:qFormat/>
    <w:pPr>
      <w:ind w:firstLine="225"/>
    </w:pPr>
    <w:rPr>
      <w:rFonts w:ascii="仿宋_GB2312" w:eastAsia="仿宋_GB2312"/>
      <w:sz w:val="32"/>
    </w:rPr>
  </w:style>
  <w:style w:type="paragraph" w:styleId="1099" w:customStyle="1">
    <w:name w:val="正文_18"/>
    <w:next w:val="1098"/>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xl53_0"/>
    <w:next w:val="109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0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Normal_11_0"/>
    <w:uiPriority w:val="0"/>
    <w:qFormat/>
    <w:rPr>
      <w:rFonts w:hint="default" w:ascii="黑体" w:hAnsi="黑体" w:eastAsia="黑体" w:cs="黑体"/>
      <w:b/>
      <w:sz w:val="32"/>
      <w:szCs w:val="24"/>
      <w:lang w:val="en-US" w:eastAsia="zh-CN" w:bidi="ar-SA"/>
    </w:rPr>
  </w:style>
  <w:style w:type="paragraph" w:styleId="110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7" w:customStyle="1">
    <w:name w:val="列出段落_2"/>
    <w:basedOn w:val="1105"/>
    <w:uiPriority w:val="34"/>
    <w:qFormat/>
    <w:pPr>
      <w:ind w:firstLine="420"/>
    </w:pPr>
  </w:style>
  <w:style w:type="paragraph" w:styleId="1108" w:customStyle="1">
    <w:name w:val="Normal_13_0"/>
    <w:uiPriority w:val="0"/>
    <w:qFormat/>
    <w:rPr>
      <w:rFonts w:hint="default" w:ascii="黑体" w:hAnsi="黑体" w:eastAsia="黑体" w:cs="黑体"/>
      <w:b/>
      <w:sz w:val="32"/>
      <w:szCs w:val="24"/>
      <w:lang w:val="en-US" w:eastAsia="zh-CN" w:bidi="ar-SA"/>
    </w:rPr>
  </w:style>
  <w:style w:type="paragraph" w:styleId="1109"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纯文本_0_0"/>
    <w:basedOn w:val="1109"/>
    <w:uiPriority w:val="0"/>
    <w:unhideWhenUsed/>
    <w:qFormat/>
    <w:rPr>
      <w:rFonts w:ascii="宋体" w:hAnsi="Courier New"/>
      <w:szCs w:val="21"/>
    </w:rPr>
  </w:style>
  <w:style w:type="paragraph" w:styleId="1111"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Normal_14_0"/>
    <w:uiPriority w:val="0"/>
    <w:qFormat/>
    <w:rPr>
      <w:rFonts w:hint="default" w:ascii="黑体" w:hAnsi="黑体" w:eastAsia="黑体" w:cs="黑体"/>
      <w:b/>
      <w:sz w:val="32"/>
      <w:szCs w:val="24"/>
      <w:lang w:val="en-US" w:eastAsia="zh-CN" w:bidi="ar-SA"/>
    </w:rPr>
  </w:style>
  <w:style w:type="paragraph" w:styleId="111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Normal_15_0"/>
    <w:uiPriority w:val="0"/>
    <w:qFormat/>
    <w:rPr>
      <w:rFonts w:hint="default" w:ascii="黑体" w:hAnsi="黑体" w:eastAsia="黑体" w:cs="黑体"/>
      <w:b/>
      <w:sz w:val="32"/>
      <w:szCs w:val="24"/>
      <w:lang w:val="en-US" w:eastAsia="zh-CN" w:bidi="ar-SA"/>
    </w:rPr>
  </w:style>
  <w:style w:type="paragraph" w:styleId="111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_16_0"/>
    <w:uiPriority w:val="0"/>
    <w:qFormat/>
    <w:rPr>
      <w:rFonts w:hint="default" w:ascii="黑体" w:hAnsi="黑体" w:eastAsia="黑体" w:cs="黑体"/>
      <w:b/>
      <w:sz w:val="32"/>
      <w:szCs w:val="24"/>
      <w:lang w:val="en-US" w:eastAsia="zh-CN" w:bidi="ar-SA"/>
    </w:rPr>
  </w:style>
  <w:style w:type="paragraph" w:styleId="111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Normal_17_0"/>
    <w:uiPriority w:val="0"/>
    <w:qFormat/>
    <w:rPr>
      <w:rFonts w:hint="default" w:ascii="黑体" w:hAnsi="黑体" w:eastAsia="黑体" w:cs="黑体"/>
      <w:b/>
      <w:sz w:val="32"/>
      <w:szCs w:val="24"/>
      <w:lang w:val="en-US" w:eastAsia="zh-CN" w:bidi="ar-SA"/>
    </w:rPr>
  </w:style>
  <w:style w:type="paragraph" w:styleId="1120"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Normal_18_0"/>
    <w:uiPriority w:val="0"/>
    <w:qFormat/>
    <w:rPr>
      <w:rFonts w:hint="default" w:ascii="黑体" w:hAnsi="黑体" w:eastAsia="黑体" w:cs="黑体"/>
      <w:b/>
      <w:sz w:val="32"/>
      <w:szCs w:val="24"/>
      <w:lang w:val="en-US" w:eastAsia="zh-CN" w:bidi="ar-SA"/>
    </w:rPr>
  </w:style>
  <w:style w:type="paragraph" w:styleId="112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Normal_14_0_0"/>
    <w:uiPriority w:val="0"/>
    <w:qFormat/>
    <w:rPr>
      <w:rFonts w:hint="default" w:ascii="黑体" w:hAnsi="黑体" w:eastAsia="黑体" w:cs="Times New Roman"/>
      <w:b/>
      <w:sz w:val="32"/>
      <w:szCs w:val="24"/>
      <w:lang w:val="en-US" w:eastAsia="zh-CN" w:bidi="ar-SA"/>
    </w:rPr>
  </w:style>
  <w:style w:type="paragraph" w:styleId="112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Normal Indent_0"/>
    <w:basedOn w:val="890"/>
    <w:uiPriority w:val="0"/>
    <w:qFormat/>
    <w:pPr>
      <w:ind w:firstLine="420"/>
    </w:pPr>
    <w:rPr>
      <w:rFonts w:ascii="宋体" w:eastAsia="Times New Roman"/>
      <w:color w:val="000000"/>
      <w:sz w:val="24"/>
      <w:szCs w:val="20"/>
    </w:rPr>
  </w:style>
  <w:style w:type="paragraph" w:styleId="1132" w:customStyle="1">
    <w:name w:val="Heading 3_0"/>
    <w:basedOn w:val="890"/>
    <w:next w:val="890"/>
    <w:uiPriority w:val="0"/>
    <w:qFormat/>
    <w:pPr>
      <w:keepLines/>
      <w:keepNext/>
      <w:spacing w:before="260" w:after="260" w:line="413" w:lineRule="auto"/>
      <w:outlineLvl w:val="2"/>
    </w:pPr>
    <w:rPr>
      <w:rFonts w:ascii="Times New Roman" w:hAnsi="Times New Roman" w:eastAsia="Times New Roman"/>
      <w:szCs w:val="20"/>
    </w:rPr>
  </w:style>
  <w:style w:type="paragraph" w:styleId="113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正文2"/>
    <w:basedOn w:val="752"/>
    <w:uiPriority w:val="0"/>
    <w:qFormat/>
    <w:pPr>
      <w:ind w:firstLine="510"/>
      <w:spacing w:before="156" w:line="360" w:lineRule="auto"/>
    </w:pPr>
    <w:rPr>
      <w:sz w:val="24"/>
      <w:szCs w:val="20"/>
    </w:rPr>
  </w:style>
  <w:style w:type="paragraph" w:styleId="113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6"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7" w:customStyle="1">
    <w:name w:val="Normal_19_1_0"/>
    <w:next w:val="1138"/>
    <w:uiPriority w:val="0"/>
    <w:qFormat/>
    <w:pPr>
      <w:jc w:val="both"/>
      <w:widowControl w:val="off"/>
    </w:pPr>
    <w:rPr>
      <w:rFonts w:hint="default" w:ascii="Calibri" w:hAnsi="Calibri" w:eastAsia="宋体" w:cs="Times New Roman"/>
      <w:szCs w:val="24"/>
      <w:lang w:val="en-US" w:eastAsia="zh-CN" w:bidi="ar-SA"/>
    </w:rPr>
  </w:style>
  <w:style w:type="paragraph" w:styleId="1138" w:customStyle="1">
    <w:name w:val="正文_16_0"/>
    <w:basedOn w:val="1099"/>
    <w:next w:val="1097"/>
    <w:uiPriority w:val="0"/>
    <w:qFormat/>
    <w:rPr>
      <w:rFonts w:ascii="Times New Roman" w:hAnsi="Times New Roman"/>
    </w:rPr>
  </w:style>
  <w:style w:type="paragraph" w:styleId="1139" w:customStyle="1">
    <w:name w:val="Normal_19_0"/>
    <w:basedOn w:val="797"/>
    <w:next w:val="1140"/>
    <w:uiPriority w:val="0"/>
    <w:qFormat/>
    <w:rPr>
      <w:szCs w:val="24"/>
    </w:rPr>
  </w:style>
  <w:style w:type="paragraph" w:styleId="1140" w:customStyle="1">
    <w:name w:val="Body Text First Indent_1_0"/>
    <w:basedOn w:val="1139"/>
    <w:uiPriority w:val="0"/>
    <w:qFormat/>
    <w:pPr>
      <w:ind w:firstLine="100"/>
      <w:spacing w:after="120"/>
    </w:pPr>
  </w:style>
  <w:style w:type="paragraph" w:styleId="1141" w:customStyle="1">
    <w:name w:val="Body Text_0"/>
    <w:basedOn w:val="1139"/>
    <w:uiPriority w:val="0"/>
    <w:qFormat/>
    <w:pPr>
      <w:spacing w:line="60" w:lineRule="auto"/>
    </w:pPr>
    <w:rPr>
      <w:rFonts w:ascii="仿宋_GB2312" w:eastAsia="仿宋_GB2312"/>
      <w:sz w:val="32"/>
    </w:rPr>
  </w:style>
  <w:style w:type="paragraph" w:styleId="1142" w:customStyle="1">
    <w:name w:val="Normal_19_1"/>
    <w:next w:val="890"/>
    <w:uiPriority w:val="0"/>
    <w:qFormat/>
    <w:pPr>
      <w:jc w:val="both"/>
      <w:widowControl w:val="off"/>
    </w:pPr>
    <w:rPr>
      <w:rFonts w:hint="default" w:ascii="Calibri" w:hAnsi="Calibri" w:eastAsia="宋体" w:cs="Times New Roman"/>
      <w:szCs w:val="24"/>
      <w:lang w:val="en-US" w:eastAsia="zh-CN" w:bidi="ar-SA"/>
    </w:rPr>
  </w:style>
  <w:style w:type="paragraph" w:styleId="1143"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4"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5" w:customStyle="1">
    <w:name w:val="正文1_1"/>
    <w:basedOn w:val="1093"/>
    <w:uiPriority w:val="0"/>
    <w:qFormat/>
    <w:pPr>
      <w:jc w:val="both"/>
      <w:widowControl w:val="off"/>
    </w:pPr>
    <w:rPr>
      <w:sz w:val="20"/>
      <w:szCs w:val="20"/>
    </w:rPr>
  </w:style>
  <w:style w:type="paragraph" w:styleId="1146"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7"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8" w:customStyle="1">
    <w:name w:val="Normal_16_1"/>
    <w:uiPriority w:val="0"/>
    <w:qFormat/>
    <w:rPr>
      <w:rFonts w:hint="default" w:ascii="黑体" w:hAnsi="黑体" w:eastAsia="黑体" w:cs="Times New Roman"/>
      <w:b/>
      <w:sz w:val="32"/>
      <w:szCs w:val="24"/>
      <w:lang w:val="en-US" w:eastAsia="zh-CN" w:bidi="ar-SA"/>
    </w:rPr>
  </w:style>
  <w:style w:type="paragraph" w:styleId="1149" w:customStyle="1">
    <w:name w:val="Normal_19_0_1"/>
    <w:uiPriority w:val="0"/>
    <w:qFormat/>
    <w:rPr>
      <w:rFonts w:hint="default" w:ascii="Tahoma" w:hAnsi="Tahoma" w:eastAsia="微软雅黑" w:cs="Times New Roman"/>
      <w:lang w:val="en-US" w:eastAsia="zh-CN" w:bidi="ar-SA"/>
    </w:rPr>
  </w:style>
  <w:style w:type="paragraph" w:styleId="1150"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51"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52" w:customStyle="1">
    <w:name w:val="Normal_17_0_0"/>
    <w:uiPriority w:val="0"/>
    <w:qFormat/>
    <w:rPr>
      <w:rFonts w:hint="default" w:ascii="黑体" w:hAnsi="黑体" w:eastAsia="黑体" w:cs="Times New Roman"/>
      <w:b/>
      <w:sz w:val="32"/>
      <w:szCs w:val="24"/>
      <w:lang w:val="en-US" w:eastAsia="zh-CN" w:bidi="ar-SA"/>
    </w:rPr>
  </w:style>
  <w:style w:type="paragraph" w:styleId="1153" w:customStyle="1">
    <w:name w:val="Normal_19_0_1_0"/>
    <w:uiPriority w:val="0"/>
    <w:qFormat/>
    <w:rPr>
      <w:rFonts w:hint="default" w:ascii="Tahoma" w:hAnsi="Tahoma" w:eastAsia="微软雅黑" w:cs="Times New Roman"/>
      <w:lang w:val="en-US" w:eastAsia="zh-CN" w:bidi="ar-SA"/>
    </w:rPr>
  </w:style>
  <w:style w:type="paragraph" w:styleId="1154" w:customStyle="1">
    <w:name w:val="Normal_19_3"/>
    <w:next w:val="1155"/>
    <w:uiPriority w:val="0"/>
    <w:qFormat/>
    <w:pPr>
      <w:jc w:val="both"/>
      <w:widowControl w:val="off"/>
    </w:pPr>
    <w:rPr>
      <w:rFonts w:hint="default" w:ascii="Calibri" w:hAnsi="Calibri" w:eastAsia="Times New Roman" w:cs="Times New Roman"/>
      <w:szCs w:val="24"/>
      <w:lang w:val="en-US" w:eastAsia="zh-CN" w:bidi="ar-SA"/>
    </w:rPr>
  </w:style>
  <w:style w:type="paragraph" w:styleId="1155"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7" w:customStyle="1">
    <w:name w:val="custom-tag-placeholder-class"/>
    <w:link w:val="752"/>
    <w:uiPriority w:val="0"/>
    <w:qFormat/>
  </w:style>
  <w:style w:type="paragraph" w:styleId="1158" w:customStyle="1">
    <w:name w:val="Normal_19_0_0"/>
    <w:basedOn w:val="890"/>
    <w:next w:val="1159"/>
    <w:uiPriority w:val="0"/>
    <w:qFormat/>
    <w:rPr>
      <w:rFonts w:ascii="Calibri" w:hAnsi="Calibri" w:eastAsia="Times New Roman"/>
      <w:sz w:val="24"/>
    </w:rPr>
  </w:style>
  <w:style w:type="paragraph" w:styleId="1159" w:customStyle="1">
    <w:name w:val="Body Text First Indent_1_0_0"/>
    <w:basedOn w:val="1158"/>
    <w:uiPriority w:val="0"/>
    <w:qFormat/>
    <w:pPr>
      <w:ind w:firstLine="100"/>
      <w:spacing w:after="120"/>
    </w:pPr>
    <w:rPr>
      <w:rFonts w:eastAsia="Times New Roman"/>
    </w:rPr>
  </w:style>
  <w:style w:type="paragraph" w:styleId="1160" w:customStyle="1">
    <w:name w:val="正文首行缩进1"/>
    <w:basedOn w:val="1161"/>
    <w:uiPriority w:val="0"/>
    <w:qFormat/>
    <w:pPr>
      <w:ind w:firstLine="100"/>
      <w:spacing w:after="120" w:line="240" w:lineRule="auto"/>
    </w:pPr>
    <w:rPr>
      <w:rFonts w:ascii="Times New Roman" w:hAnsi="Times New Roman" w:eastAsia="宋体"/>
      <w:sz w:val="21"/>
    </w:rPr>
  </w:style>
  <w:style w:type="paragraph" w:styleId="1161" w:customStyle="1">
    <w:name w:val="正文文本1"/>
    <w:basedOn w:val="752"/>
    <w:uiPriority w:val="0"/>
    <w:qFormat/>
    <w:pPr>
      <w:spacing w:line="60" w:lineRule="auto"/>
    </w:pPr>
    <w:rPr>
      <w:rFonts w:ascii="仿宋_GB2312" w:eastAsia="仿宋_GB2312"/>
      <w:sz w:val="32"/>
    </w:rPr>
  </w:style>
  <w:style w:type="paragraph" w:styleId="116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List Paragraph_0"/>
    <w:basedOn w:val="1073"/>
    <w:uiPriority w:val="0"/>
    <w:qFormat/>
    <w:pPr>
      <w:ind w:firstLine="420"/>
    </w:pPr>
  </w:style>
  <w:style w:type="paragraph" w:styleId="1164" w:customStyle="1">
    <w:name w:val="纯文本_1"/>
    <w:basedOn w:val="1162"/>
    <w:uiPriority w:val="0"/>
    <w:qFormat/>
    <w:rPr>
      <w:rFonts w:ascii="宋体" w:hAnsi="Times New Roman"/>
      <w:sz w:val="20"/>
      <w:szCs w:val="21"/>
    </w:rPr>
  </w:style>
  <w:style w:type="paragraph" w:styleId="1165" w:customStyle="1">
    <w:name w:val="正文_16_0_0"/>
    <w:next w:val="936"/>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正文_11_0"/>
    <w:basedOn w:val="936"/>
    <w:uiPriority w:val="0"/>
    <w:qFormat/>
    <w:rPr>
      <w:rFonts w:ascii="Calibri" w:hAnsi="Calibri"/>
      <w:szCs w:val="20"/>
    </w:rPr>
  </w:style>
  <w:style w:type="paragraph" w:styleId="1167" w:customStyle="1">
    <w:name w:val="Normal_19_0_0_0"/>
    <w:basedOn w:val="797"/>
    <w:uiPriority w:val="0"/>
    <w:qFormat/>
    <w:rPr>
      <w:rFonts w:cs="黑体"/>
      <w:szCs w:val="24"/>
    </w:rPr>
  </w:style>
  <w:style w:type="paragraph" w:styleId="1168" w:customStyle="1">
    <w:name w:val="无间隔1"/>
    <w:basedOn w:val="1079"/>
    <w:uiPriority w:val="0"/>
    <w:qFormat/>
    <w:rPr>
      <w:rFonts w:ascii="Calibri" w:hAnsi="Calibri" w:cs="Calibri"/>
    </w:rPr>
  </w:style>
  <w:style w:type="paragraph" w:styleId="1169" w:customStyle="1">
    <w:name w:val="标题 31"/>
    <w:basedOn w:val="1079"/>
    <w:next w:val="1079"/>
    <w:uiPriority w:val="0"/>
    <w:qFormat/>
    <w:pPr>
      <w:keepLines/>
      <w:keepNext/>
      <w:spacing w:before="260" w:after="260" w:line="413" w:lineRule="auto"/>
      <w:outlineLvl w:val="2"/>
    </w:pPr>
    <w:rPr>
      <w:b/>
      <w:sz w:val="32"/>
      <w:szCs w:val="20"/>
    </w:rPr>
  </w:style>
  <w:style w:type="character" w:styleId="1170" w:customStyle="1">
    <w:name w:val="标题 2 Char_0"/>
    <w:link w:val="1171"/>
    <w:uiPriority w:val="0"/>
    <w:qFormat/>
    <w:rPr>
      <w:rFonts w:ascii="Arial" w:hAnsi="Arial" w:eastAsia="黑体"/>
      <w:b/>
      <w:sz w:val="32"/>
      <w:szCs w:val="22"/>
    </w:rPr>
  </w:style>
  <w:style w:type="paragraph" w:styleId="1171" w:customStyle="1">
    <w:name w:val="标题 21"/>
    <w:basedOn w:val="798"/>
    <w:next w:val="798"/>
    <w:link w:val="1170"/>
    <w:uiPriority w:val="0"/>
    <w:unhideWhenUsed/>
    <w:qFormat/>
    <w:pPr>
      <w:keepLines/>
      <w:keepNext/>
      <w:spacing w:before="260" w:after="260" w:line="413" w:lineRule="auto"/>
      <w:outlineLvl w:val="1"/>
    </w:pPr>
    <w:rPr>
      <w:rFonts w:ascii="Arial" w:hAnsi="Arial"/>
      <w:szCs w:val="22"/>
    </w:rPr>
  </w:style>
  <w:style w:type="paragraph" w:styleId="1172" w:customStyle="1">
    <w:name w:val="Normal_19_1_0_0"/>
    <w:next w:val="1173"/>
    <w:uiPriority w:val="0"/>
    <w:qFormat/>
    <w:pPr>
      <w:jc w:val="both"/>
      <w:widowControl w:val="off"/>
    </w:pPr>
    <w:rPr>
      <w:rFonts w:hint="default" w:ascii="Calibri" w:hAnsi="Calibri" w:eastAsia="宋体" w:cs="Times New Roman"/>
      <w:sz w:val="21"/>
      <w:szCs w:val="24"/>
      <w:lang w:val="en-US" w:eastAsia="zh-CN" w:bidi="ar-SA"/>
    </w:rPr>
  </w:style>
  <w:style w:type="paragraph" w:styleId="1173"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4" w:customStyle="1">
    <w:name w:val="正文1_0_0"/>
    <w:basedOn w:val="798"/>
    <w:uiPriority w:val="0"/>
    <w:qFormat/>
    <w:pPr>
      <w:ind w:left="357" w:firstLine="420"/>
      <w:spacing w:line="360" w:lineRule="auto"/>
    </w:pPr>
    <w:rPr>
      <w:rFonts w:eastAsia="Times New Roman" w:cs="Arial"/>
    </w:rPr>
  </w:style>
  <w:style w:type="paragraph" w:styleId="1175"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1176" w:customStyle="1">
    <w:name w:val="正文空2字"/>
    <w:basedOn w:val="1177"/>
    <w:uiPriority w:val="99"/>
    <w:qFormat/>
    <w:pPr>
      <w:ind w:firstLine="640"/>
      <w:spacing w:line="560" w:lineRule="exact"/>
      <w:widowControl w:val="off"/>
    </w:pPr>
    <w:rPr>
      <w:rFonts w:ascii="仿宋_GB2312" w:hAnsi="仿宋_GB2312" w:cs="仿宋_GB2312"/>
      <w:lang w:val="zh-TW"/>
    </w:rPr>
  </w:style>
  <w:style w:type="paragraph" w:styleId="1177" w:customStyle="1">
    <w:name w:val="左对齐正文"/>
    <w:uiPriority w:val="99"/>
    <w:qFormat/>
    <w:rPr>
      <w:rFonts w:hint="default" w:ascii="Calibri" w:hAnsi="Calibri" w:eastAsia="仿宋_GB2312" w:cs="Calibri"/>
      <w:sz w:val="32"/>
      <w:szCs w:val="32"/>
      <w:lang w:val="en-US" w:eastAsia="zh-CN" w:bidi="ar-SA"/>
    </w:rPr>
  </w:style>
  <w:style w:type="paragraph" w:styleId="1178" w:customStyle="1">
    <w:name w:val="普通(网站)1"/>
    <w:basedOn w:val="752"/>
    <w:uiPriority w:val="0"/>
    <w:qFormat/>
    <w:rPr>
      <w:sz w:val="24"/>
    </w:rPr>
  </w:style>
  <w:style w:type="character" w:styleId="1179" w:customStyle="1">
    <w:name w:val="16"/>
    <w:link w:val="752"/>
    <w:uiPriority w:val="0"/>
    <w:qFormat/>
    <w:rPr>
      <w:rFonts w:ascii="Times New Roman" w:hAnsi="Times New Roman"/>
      <w:sz w:val="21"/>
      <w:szCs w:val="21"/>
      <w:lang w:val="en-US" w:eastAsia="zh-CN" w:bidi="ar-SA"/>
    </w:rPr>
  </w:style>
  <w:style w:type="paragraph" w:styleId="1180" w:customStyle="1">
    <w:name w:val="正文文本_0"/>
    <w:basedOn w:val="1073"/>
    <w:next w:val="1181"/>
    <w:uiPriority w:val="0"/>
    <w:qFormat/>
    <w:pPr>
      <w:spacing w:line="60" w:lineRule="auto"/>
    </w:pPr>
    <w:rPr>
      <w:rFonts w:ascii="仿宋_GB2312" w:eastAsia="仿宋_GB2312"/>
      <w:sz w:val="32"/>
    </w:rPr>
  </w:style>
  <w:style w:type="paragraph" w:styleId="1181" w:customStyle="1">
    <w:name w:val="正文缩进_1"/>
    <w:basedOn w:val="1073"/>
    <w:next w:val="1073"/>
    <w:uiPriority w:val="0"/>
    <w:qFormat/>
    <w:pPr>
      <w:ind w:firstLine="420"/>
    </w:pPr>
    <w:rPr>
      <w:rFonts w:ascii="宋体"/>
      <w:color w:val="000000"/>
      <w:sz w:val="24"/>
      <w:szCs w:val="20"/>
    </w:rPr>
  </w:style>
  <w:style w:type="paragraph" w:styleId="1182" w:customStyle="1">
    <w:name w:val="Table Paragraph"/>
    <w:basedOn w:val="890"/>
    <w:uiPriority w:val="1"/>
    <w:qFormat/>
    <w:rPr>
      <w:rFonts w:ascii="宋体" w:hAnsi="宋体" w:cs="宋体"/>
      <w:sz w:val="22"/>
      <w:lang w:val="zh-CN" w:bidi="zh-CN"/>
    </w:rPr>
  </w:style>
  <w:style w:type="paragraph" w:styleId="1183" w:customStyle="1">
    <w:name w:val="Normal_19_2"/>
    <w:basedOn w:val="1184"/>
    <w:uiPriority w:val="0"/>
    <w:qFormat/>
    <w:rPr>
      <w:rFonts w:ascii="Times New Roman" w:hAnsi="Times New Roman"/>
      <w:szCs w:val="21"/>
    </w:rPr>
  </w:style>
  <w:style w:type="paragraph" w:styleId="1184" w:customStyle="1">
    <w:name w:val="正文_3_0"/>
    <w:next w:val="1072"/>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文本2"/>
    <w:basedOn w:val="933"/>
    <w:uiPriority w:val="0"/>
    <w:qFormat/>
    <w:pPr>
      <w:spacing w:line="60" w:lineRule="auto"/>
    </w:pPr>
    <w:rPr>
      <w:rFonts w:ascii="仿宋_GB2312" w:eastAsia="仿宋_GB2312"/>
      <w:sz w:val="32"/>
      <w:szCs w:val="22"/>
    </w:rPr>
  </w:style>
  <w:style w:type="paragraph" w:styleId="1186" w:customStyle="1">
    <w:name w:val="正文1_0"/>
    <w:basedOn w:val="1162"/>
    <w:uiPriority w:val="0"/>
    <w:qFormat/>
    <w:pPr>
      <w:ind w:left="357" w:firstLine="420"/>
      <w:jc w:val="left"/>
      <w:spacing w:line="360" w:lineRule="auto"/>
      <w:widowControl/>
    </w:pPr>
    <w:rPr>
      <w:rFonts w:cs="Arial"/>
      <w:szCs w:val="20"/>
    </w:rPr>
  </w:style>
  <w:style w:type="paragraph" w:styleId="1187" w:customStyle="1">
    <w:name w:val="Normal_19_2_0"/>
    <w:basedOn w:val="1188"/>
    <w:uiPriority w:val="0"/>
    <w:qFormat/>
    <w:rPr>
      <w:rFonts w:ascii="Times New Roman" w:hAnsi="Times New Roman"/>
      <w:szCs w:val="21"/>
    </w:rPr>
  </w:style>
  <w:style w:type="paragraph" w:styleId="1188"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9" w:customStyle="1">
    <w:name w:val="正文缩进1"/>
    <w:basedOn w:val="752"/>
    <w:uiPriority w:val="0"/>
    <w:qFormat/>
    <w:pPr>
      <w:ind w:firstLine="420"/>
      <w:jc w:val="left"/>
    </w:pPr>
    <w:rPr>
      <w:rFonts w:ascii="宋体" w:hAnsi="Calibri" w:eastAsia="宋体" w:cs="Times New Roman"/>
      <w:sz w:val="24"/>
    </w:rPr>
  </w:style>
  <w:style w:type="paragraph" w:styleId="1190" w:customStyle="1">
    <w:name w:val="纯文本1"/>
    <w:basedOn w:val="934"/>
    <w:uiPriority w:val="0"/>
    <w:qFormat/>
    <w:rPr>
      <w:rFonts w:ascii="宋体" w:hAnsi="Courier New" w:eastAsia="宋体" w:cs="Times New Roman"/>
    </w:rPr>
  </w:style>
  <w:style w:type="paragraph" w:styleId="1191" w:customStyle="1">
    <w:name w:val="Normal_21_0"/>
    <w:next w:val="11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Heading 1_0"/>
    <w:basedOn w:val="1191"/>
    <w:next w:val="1191"/>
    <w:uiPriority w:val="0"/>
    <w:qFormat/>
    <w:pPr>
      <w:jc w:val="center"/>
      <w:keepLines/>
      <w:keepNext/>
      <w:spacing w:before="240" w:after="120" w:line="300" w:lineRule="auto"/>
      <w:outlineLvl w:val="0"/>
    </w:pPr>
    <w:rPr>
      <w:rFonts w:ascii="宋体"/>
      <w:b/>
      <w:sz w:val="32"/>
      <w:szCs w:val="20"/>
    </w:rPr>
  </w:style>
  <w:style w:type="paragraph" w:styleId="1193"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4" w:customStyle="1">
    <w:name w:val="正文文本 字符"/>
    <w:link w:val="752"/>
    <w:uiPriority w:val="0"/>
    <w:qFormat/>
    <w:rPr>
      <w:rFonts w:ascii="楷体_GB2312" w:hAnsi="Arial" w:eastAsia="楷体_GB2312" w:cs="Times New Roman"/>
      <w:sz w:val="28"/>
      <w:szCs w:val="28"/>
    </w:rPr>
  </w:style>
  <w:style w:type="character" w:styleId="1195" w:customStyle="1">
    <w:name w:val="正文文本缩进 字符"/>
    <w:link w:val="752"/>
    <w:uiPriority w:val="0"/>
    <w:qFormat/>
    <w:rPr>
      <w:rFonts w:ascii="楷体_GB2312" w:hAnsi="Times New Roman" w:eastAsia="楷体_GB2312" w:cs="Times New Roman"/>
      <w:sz w:val="32"/>
      <w:szCs w:val="32"/>
    </w:rPr>
  </w:style>
  <w:style w:type="character" w:styleId="1196" w:customStyle="1">
    <w:name w:val="正文文本 字符1"/>
    <w:link w:val="752"/>
    <w:uiPriority w:val="0"/>
    <w:qFormat/>
    <w:rPr>
      <w:rFonts w:ascii="Calibri" w:hAnsi="Calibri"/>
      <w:sz w:val="28"/>
      <w:szCs w:val="24"/>
    </w:rPr>
  </w:style>
  <w:style w:type="character" w:styleId="1197" w:customStyle="1">
    <w:name w:val="正文文本首行缩进 字符"/>
    <w:link w:val="752"/>
    <w:uiPriority w:val="0"/>
    <w:qFormat/>
    <w:rPr>
      <w:rFonts w:ascii="仿宋_GB2312" w:hAnsi="Calibri" w:eastAsia="仿宋_GB2312"/>
      <w:sz w:val="30"/>
      <w:szCs w:val="30"/>
    </w:rPr>
  </w:style>
  <w:style w:type="paragraph" w:styleId="1198" w:customStyle="1">
    <w:name w:val="索引 41"/>
    <w:basedOn w:val="752"/>
    <w:next w:val="752"/>
    <w:uiPriority w:val="0"/>
    <w:semiHidden/>
    <w:qFormat/>
    <w:pPr>
      <w:ind w:left="1260"/>
    </w:pPr>
    <w:rPr>
      <w:rFonts w:eastAsia="Calibri" w:cs="宋体"/>
      <w:sz w:val="20"/>
      <w:szCs w:val="21"/>
      <w:lang w:val="zh-CN"/>
    </w:rPr>
  </w:style>
  <w:style w:type="character" w:styleId="1199" w:customStyle="1">
    <w:name w:val="font5 Char"/>
    <w:link w:val="752"/>
    <w:uiPriority w:val="0"/>
    <w:qFormat/>
    <w:rPr>
      <w:rFonts w:ascii="宋体" w:hAnsi="宋体" w:eastAsia="宋体"/>
      <w:sz w:val="28"/>
      <w:szCs w:val="28"/>
      <w:lang w:val="en-US" w:eastAsia="zh-CN" w:bidi="ar-SA"/>
    </w:rPr>
  </w:style>
  <w:style w:type="character" w:styleId="1200" w:customStyle="1">
    <w:name w:val="二级目录 Char"/>
    <w:link w:val="1201"/>
    <w:uiPriority w:val="0"/>
    <w:qFormat/>
    <w:rPr>
      <w:b/>
      <w:sz w:val="30"/>
      <w:szCs w:val="28"/>
    </w:rPr>
  </w:style>
  <w:style w:type="paragraph" w:styleId="1201" w:customStyle="1">
    <w:name w:val="二级目录"/>
    <w:next w:val="752"/>
    <w:link w:val="1200"/>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02" w:customStyle="1">
    <w:name w:val="列出段落 Char"/>
    <w:link w:val="1203"/>
    <w:uiPriority w:val="0"/>
    <w:qFormat/>
    <w:rPr>
      <w:rFonts w:ascii="Calibri" w:hAnsi="Calibri"/>
      <w:sz w:val="24"/>
      <w:szCs w:val="24"/>
      <w:lang w:eastAsia="en-US" w:bidi="en-US"/>
    </w:rPr>
  </w:style>
  <w:style w:type="paragraph" w:styleId="1203" w:customStyle="1">
    <w:name w:val="列出段落1"/>
    <w:basedOn w:val="752"/>
    <w:link w:val="1202"/>
    <w:uiPriority w:val="0"/>
    <w:qFormat/>
    <w:pPr>
      <w:contextualSpacing/>
      <w:ind w:left="720"/>
      <w:jc w:val="left"/>
      <w:widowControl/>
    </w:pPr>
    <w:rPr>
      <w:sz w:val="24"/>
      <w:szCs w:val="24"/>
      <w:lang w:eastAsia="en-US" w:bidi="en-US"/>
    </w:rPr>
  </w:style>
  <w:style w:type="paragraph" w:styleId="1204" w:customStyle="1">
    <w:name w:val="Body Text(ch)"/>
    <w:basedOn w:val="752"/>
    <w:uiPriority w:val="0"/>
    <w:qFormat/>
    <w:pPr>
      <w:spacing w:after="120"/>
    </w:pPr>
    <w:rPr>
      <w:rFonts w:ascii="宋体" w:hAnsi="Arial"/>
      <w:bCs/>
      <w:iCs/>
      <w:szCs w:val="24"/>
    </w:rPr>
  </w:style>
  <w:style w:type="paragraph" w:styleId="1205" w:customStyle="1">
    <w:name w:val="xl2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6" w:customStyle="1">
    <w:name w:val="xl2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7" w:customStyle="1">
    <w:name w:val="Char"/>
    <w:basedOn w:val="752"/>
    <w:uiPriority w:val="0"/>
    <w:qFormat/>
    <w:pPr>
      <w:ind w:firstLine="200"/>
      <w:tabs>
        <w:tab w:val="left" w:pos="360" w:leader="none"/>
      </w:tabs>
    </w:pPr>
    <w:rPr>
      <w:rFonts w:ascii="Times New Roman" w:hAnsi="Times New Roman"/>
      <w:sz w:val="28"/>
      <w:szCs w:val="30"/>
    </w:rPr>
  </w:style>
  <w:style w:type="paragraph" w:styleId="1208" w:customStyle="1">
    <w:name w:val="Char1"/>
    <w:basedOn w:val="825"/>
    <w:uiPriority w:val="0"/>
    <w:qFormat/>
    <w:rPr>
      <w:rFonts w:ascii="Tahoma" w:hAnsi="Tahoma"/>
      <w:sz w:val="24"/>
      <w:szCs w:val="24"/>
    </w:rPr>
  </w:style>
  <w:style w:type="paragraph" w:styleId="1209" w:customStyle="1">
    <w:name w:val="table_lines"/>
    <w:basedOn w:val="752"/>
    <w:uiPriority w:val="0"/>
    <w:qFormat/>
    <w:pPr>
      <w:jc w:val="left"/>
      <w:widowControl/>
    </w:pPr>
    <w:rPr>
      <w:rFonts w:ascii="Times New Roman" w:hAnsi="Times New Roman"/>
      <w:sz w:val="20"/>
      <w:szCs w:val="20"/>
      <w:lang w:val="de-DE" w:eastAsia="de-DE"/>
    </w:rPr>
  </w:style>
  <w:style w:type="paragraph" w:styleId="1210"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11" w:customStyle="1">
    <w:name w:val="font7"/>
    <w:basedOn w:val="752"/>
    <w:uiPriority w:val="0"/>
    <w:qFormat/>
    <w:pPr>
      <w:jc w:val="left"/>
      <w:spacing w:before="100" w:beforeAutospacing="1" w:after="100" w:afterAutospacing="1"/>
      <w:widowControl/>
    </w:pPr>
    <w:rPr>
      <w:rFonts w:hint="eastAsia" w:ascii="宋体" w:hAnsi="宋体"/>
      <w:sz w:val="18"/>
      <w:szCs w:val="18"/>
    </w:rPr>
  </w:style>
  <w:style w:type="paragraph" w:styleId="1212" w:customStyle="1">
    <w:name w:val="Char Char Char Char"/>
    <w:basedOn w:val="825"/>
    <w:uiPriority w:val="0"/>
    <w:qFormat/>
    <w:pPr>
      <w:spacing w:line="360" w:lineRule="auto"/>
    </w:pPr>
    <w:rPr>
      <w:rFonts w:ascii="Tahoma" w:hAnsi="Tahoma"/>
      <w:sz w:val="24"/>
      <w:szCs w:val="24"/>
    </w:rPr>
  </w:style>
  <w:style w:type="paragraph" w:styleId="1213" w:customStyle="1">
    <w:name w:val="4"/>
    <w:basedOn w:val="752"/>
    <w:next w:val="860"/>
    <w:uiPriority w:val="0"/>
    <w:qFormat/>
    <w:pPr>
      <w:ind w:firstLine="420"/>
      <w:spacing w:line="360" w:lineRule="auto"/>
    </w:pPr>
    <w:rPr>
      <w:rFonts w:ascii="Times New Roman" w:hAnsi="Times New Roman"/>
      <w:color w:val="ff0000"/>
      <w:sz w:val="24"/>
      <w:szCs w:val="24"/>
    </w:rPr>
  </w:style>
  <w:style w:type="paragraph" w:styleId="1214" w:customStyle="1">
    <w:name w:val="普通 (Web)"/>
    <w:basedOn w:val="752"/>
    <w:uiPriority w:val="0"/>
    <w:qFormat/>
    <w:pPr>
      <w:jc w:val="left"/>
      <w:spacing w:before="100" w:beforeAutospacing="1" w:after="100" w:afterAutospacing="1"/>
      <w:widowControl/>
    </w:pPr>
    <w:rPr>
      <w:rFonts w:ascii="宋体" w:hAnsi="宋体"/>
      <w:sz w:val="24"/>
      <w:szCs w:val="24"/>
    </w:rPr>
  </w:style>
  <w:style w:type="paragraph" w:styleId="1215" w:customStyle="1">
    <w:name w:val="Char Char Char Char Char Char Char Char Char Char"/>
    <w:basedOn w:val="752"/>
    <w:uiPriority w:val="0"/>
    <w:qFormat/>
    <w:pPr>
      <w:spacing w:line="360" w:lineRule="auto"/>
    </w:pPr>
    <w:rPr>
      <w:rFonts w:ascii="Times New Roman" w:hAnsi="Times New Roman"/>
      <w:sz w:val="24"/>
      <w:szCs w:val="20"/>
    </w:rPr>
  </w:style>
  <w:style w:type="paragraph" w:styleId="1216" w:customStyle="1">
    <w:name w:val="样式1"/>
    <w:basedOn w:val="752"/>
    <w:uiPriority w:val="0"/>
    <w:qFormat/>
    <w:pPr>
      <w:numPr>
        <w:ilvl w:val="0"/>
        <w:numId w:val="2"/>
      </w:numPr>
      <w:tabs>
        <w:tab w:val="left" w:pos="709" w:leader="none"/>
      </w:tabs>
    </w:pPr>
    <w:rPr>
      <w:rFonts w:ascii="宋体" w:hAnsi="宋体"/>
      <w:szCs w:val="21"/>
    </w:rPr>
  </w:style>
  <w:style w:type="paragraph" w:styleId="1217" w:customStyle="1">
    <w:name w:val="font6"/>
    <w:basedOn w:val="752"/>
    <w:uiPriority w:val="0"/>
    <w:qFormat/>
    <w:pPr>
      <w:jc w:val="left"/>
      <w:spacing w:before="100" w:beforeAutospacing="1" w:after="100" w:afterAutospacing="1"/>
      <w:widowControl/>
    </w:pPr>
    <w:rPr>
      <w:rFonts w:hint="eastAsia" w:ascii="宋体" w:hAnsi="宋体"/>
      <w:sz w:val="28"/>
      <w:szCs w:val="28"/>
      <w:u w:val="single"/>
    </w:rPr>
  </w:style>
  <w:style w:type="paragraph" w:styleId="1218" w:customStyle="1">
    <w:name w:val="xl25"/>
    <w:basedOn w:val="7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9" w:customStyle="1">
    <w:name w:val="图标"/>
    <w:basedOn w:val="752"/>
    <w:next w:val="75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0" w:customStyle="1">
    <w:name w:val="标题3"/>
    <w:basedOn w:val="752"/>
    <w:next w:val="752"/>
    <w:uiPriority w:val="0"/>
    <w:qFormat/>
    <w:pPr>
      <w:ind w:firstLine="624"/>
      <w:spacing w:line="590" w:lineRule="atLeast"/>
    </w:pPr>
    <w:rPr>
      <w:rFonts w:ascii="方正黑体_GBK" w:hAnsi="Times New Roman" w:eastAsia="方正黑体_GBK"/>
      <w:sz w:val="32"/>
      <w:szCs w:val="32"/>
    </w:rPr>
  </w:style>
  <w:style w:type="paragraph" w:styleId="1221" w:customStyle="1">
    <w:name w:val="xl24"/>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2" w:customStyle="1">
    <w:name w:val="xl29"/>
    <w:basedOn w:val="7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3" w:customStyle="1">
    <w:name w:val="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1224" w:customStyle="1">
    <w:name w:val="xl2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5" w:customStyle="1">
    <w:name w:val="Char Char Char Char Char Char Char Char1"/>
    <w:basedOn w:val="752"/>
    <w:uiPriority w:val="0"/>
    <w:qFormat/>
    <w:pPr>
      <w:jc w:val="left"/>
      <w:spacing w:after="160" w:line="240" w:lineRule="exact"/>
      <w:widowControl/>
    </w:pPr>
    <w:rPr>
      <w:rFonts w:ascii="Verdana" w:hAnsi="Verdana"/>
      <w:sz w:val="20"/>
      <w:szCs w:val="20"/>
      <w:lang w:eastAsia="en-US"/>
    </w:rPr>
  </w:style>
  <w:style w:type="paragraph" w:styleId="1226" w:customStyle="1">
    <w:name w:val="xl30"/>
    <w:basedOn w:val="752"/>
    <w:uiPriority w:val="0"/>
    <w:qFormat/>
    <w:pPr>
      <w:jc w:val="center"/>
      <w:spacing w:before="100" w:beforeAutospacing="1" w:after="100" w:afterAutospacing="1"/>
      <w:widowControl/>
    </w:pPr>
    <w:rPr>
      <w:rFonts w:ascii="宋体" w:hAnsi="宋体"/>
      <w:b/>
      <w:bCs/>
      <w:sz w:val="36"/>
      <w:szCs w:val="36"/>
    </w:rPr>
  </w:style>
  <w:style w:type="paragraph" w:styleId="1227" w:customStyle="1">
    <w:name w:val="Char Char Char Char1"/>
    <w:basedOn w:val="825"/>
    <w:uiPriority w:val="0"/>
    <w:qFormat/>
    <w:pPr>
      <w:spacing w:line="360" w:lineRule="auto"/>
    </w:pPr>
    <w:rPr>
      <w:rFonts w:ascii="Tahoma" w:hAnsi="Tahoma"/>
      <w:sz w:val="24"/>
      <w:szCs w:val="24"/>
    </w:rPr>
  </w:style>
  <w:style w:type="paragraph" w:styleId="1228" w:customStyle="1">
    <w:name w:val="table_1stline"/>
    <w:basedOn w:val="752"/>
    <w:uiPriority w:val="0"/>
    <w:qFormat/>
    <w:pPr>
      <w:jc w:val="left"/>
      <w:spacing w:before="120"/>
      <w:widowControl/>
    </w:pPr>
    <w:rPr>
      <w:rFonts w:ascii="Times New Roman" w:hAnsi="Times New Roman"/>
      <w:bCs/>
      <w:sz w:val="20"/>
      <w:szCs w:val="20"/>
      <w:lang w:val="de-DE" w:eastAsia="de-DE"/>
    </w:rPr>
  </w:style>
  <w:style w:type="paragraph" w:styleId="1229" w:customStyle="1">
    <w:name w:val="font5"/>
    <w:basedOn w:val="752"/>
    <w:uiPriority w:val="0"/>
    <w:qFormat/>
    <w:pPr>
      <w:jc w:val="left"/>
      <w:spacing w:before="100" w:beforeAutospacing="1" w:after="100" w:afterAutospacing="1"/>
      <w:widowControl/>
    </w:pPr>
    <w:rPr>
      <w:rFonts w:hint="eastAsia" w:ascii="宋体" w:hAnsi="宋体"/>
      <w:sz w:val="28"/>
      <w:szCs w:val="28"/>
    </w:rPr>
  </w:style>
  <w:style w:type="paragraph" w:styleId="1230" w:customStyle="1">
    <w:name w:val="标题1"/>
    <w:basedOn w:val="752"/>
    <w:next w:val="75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31"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32" w:customStyle="1">
    <w:name w:val="Table Normal"/>
    <w:uiPriority w:val="0"/>
    <w:qFormat/>
    <w:rPr>
      <w:lang w:val="en-US" w:eastAsia="zh-CN" w:bidi="ar-SA"/>
    </w:rPr>
    <w:tblPr/>
  </w:style>
  <w:style w:type="paragraph" w:styleId="1233" w:customStyle="1">
    <w:name w:val="正文文本12"/>
    <w:basedOn w:val="752"/>
    <w:uiPriority w:val="1"/>
    <w:qFormat/>
    <w:pPr>
      <w:ind w:left="120"/>
    </w:pPr>
    <w:rPr>
      <w:rFonts w:ascii="宋体" w:hAnsi="宋体" w:cs="宋体"/>
      <w:szCs w:val="21"/>
      <w:lang w:val="zh-CN" w:bidi="zh-CN"/>
    </w:rPr>
  </w:style>
  <w:style w:type="paragraph" w:styleId="1234" w:customStyle="1">
    <w:name w:val="首行缩进"/>
    <w:basedOn w:val="752"/>
    <w:uiPriority w:val="0"/>
    <w:qFormat/>
    <w:pPr>
      <w:ind w:firstLine="480"/>
    </w:pPr>
    <w:rPr>
      <w:rFonts w:ascii="Times New Roman" w:hAnsi="Times New Roman"/>
      <w:szCs w:val="21"/>
      <w:lang w:val="zh-CN"/>
    </w:rPr>
  </w:style>
  <w:style w:type="paragraph" w:styleId="1235" w:customStyle="1">
    <w:name w:val="部分1"/>
    <w:basedOn w:val="75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6" w:customStyle="1">
    <w:name w:val="15"/>
    <w:link w:val="752"/>
    <w:uiPriority w:val="0"/>
    <w:qFormat/>
    <w:rPr>
      <w:rFonts w:ascii="Times New Roman" w:hAnsi="Times New Roman" w:cs="Times New Roman"/>
    </w:rPr>
  </w:style>
  <w:style w:type="paragraph" w:styleId="1237" w:customStyle="1">
    <w:name w:val="正文文本缩进 2_0"/>
    <w:basedOn w:val="1073"/>
    <w:uiPriority w:val="0"/>
    <w:qFormat/>
    <w:pPr>
      <w:ind w:firstLine="720"/>
      <w:jc w:val="left"/>
      <w:spacing w:line="540" w:lineRule="exact"/>
    </w:pPr>
    <w:rPr>
      <w:rFonts w:ascii="仿宋_GB2312" w:hAnsi="仿宋_GB2312" w:cs="宋体"/>
      <w:sz w:val="32"/>
      <w:szCs w:val="32"/>
    </w:rPr>
  </w:style>
  <w:style w:type="character" w:styleId="1238" w:customStyle="1">
    <w:name w:val="10"/>
    <w:link w:val="752"/>
    <w:uiPriority w:val="0"/>
    <w:qFormat/>
    <w:rPr>
      <w:rFonts w:ascii="Times New Roman" w:hAnsi="Times New Roman" w:cs="Times New Roman"/>
    </w:rPr>
  </w:style>
  <w:style w:type="paragraph" w:styleId="1239" w:customStyle="1">
    <w:name w:val="正文_16_1"/>
    <w:basedOn w:val="752"/>
    <w:uiPriority w:val="0"/>
    <w:qFormat/>
    <w:rPr>
      <w:rFonts w:ascii="Times New Roman" w:hAnsi="Times New Roman"/>
      <w:szCs w:val="21"/>
    </w:rPr>
  </w:style>
  <w:style w:type="paragraph" w:styleId="1240" w:customStyle="1">
    <w:name w:val="页脚1"/>
    <w:basedOn w:val="752"/>
    <w:uiPriority w:val="0"/>
    <w:qFormat/>
    <w:pPr>
      <w:jc w:val="left"/>
      <w:tabs>
        <w:tab w:val="center" w:pos="4153" w:leader="none"/>
        <w:tab w:val="right" w:pos="8306" w:leader="none"/>
      </w:tabs>
    </w:pPr>
    <w:rPr>
      <w:sz w:val="18"/>
      <w:szCs w:val="18"/>
    </w:rPr>
  </w:style>
  <w:style w:type="paragraph" w:styleId="1241" w:customStyle="1">
    <w:name w:val="*正文"/>
    <w:basedOn w:val="795"/>
    <w:uiPriority w:val="0"/>
    <w:qFormat/>
    <w:pPr>
      <w:ind w:firstLine="200"/>
    </w:pPr>
    <w:rPr>
      <w:rFonts w:ascii="宋体" w:hAnsi="宋体"/>
      <w:color w:val="000000"/>
      <w:sz w:val="24"/>
      <w:szCs w:val="24"/>
    </w:rPr>
  </w:style>
  <w:style w:type="paragraph" w:styleId="1242" w:customStyle="1">
    <w:name w:val="*正文_0"/>
    <w:basedOn w:val="1243"/>
    <w:uiPriority w:val="0"/>
    <w:qFormat/>
    <w:pPr>
      <w:ind w:firstLine="200"/>
      <w:spacing w:line="360" w:lineRule="auto"/>
    </w:pPr>
    <w:rPr>
      <w:rFonts w:ascii="宋体" w:hAnsi="宋体" w:eastAsia="Arial" w:cs="Arial"/>
      <w:color w:val="000000"/>
      <w:sz w:val="24"/>
    </w:rPr>
  </w:style>
  <w:style w:type="paragraph" w:styleId="1243" w:customStyle="1">
    <w:name w:val="正文缩进_2"/>
    <w:basedOn w:val="1096"/>
    <w:uiPriority w:val="0"/>
    <w:unhideWhenUsed/>
    <w:qFormat/>
    <w:pPr>
      <w:ind w:firstLine="420"/>
      <w:jc w:val="left"/>
      <w:widowControl/>
    </w:pPr>
    <w:rPr>
      <w:rFonts w:ascii="Times New Roman" w:hAnsi="Times New Roman"/>
      <w:sz w:val="20"/>
      <w:szCs w:val="24"/>
    </w:rPr>
  </w:style>
  <w:style w:type="paragraph" w:styleId="1244" w:customStyle="1">
    <w:name w:val="*正文_0_0"/>
    <w:basedOn w:val="1096"/>
    <w:uiPriority w:val="0"/>
    <w:qFormat/>
    <w:pPr>
      <w:ind w:firstLine="200"/>
      <w:jc w:val="left"/>
      <w:spacing w:line="360" w:lineRule="auto"/>
      <w:widowControl/>
    </w:pPr>
    <w:rPr>
      <w:rFonts w:ascii="宋体" w:hAnsi="宋体" w:eastAsia="Arial" w:cs="Arial"/>
      <w:color w:val="000000"/>
      <w:sz w:val="24"/>
      <w:szCs w:val="24"/>
    </w:rPr>
  </w:style>
  <w:style w:type="paragraph" w:styleId="1245" w:customStyle="1">
    <w:name w:val="无间隔1_0_0"/>
    <w:basedOn w:val="1096"/>
    <w:uiPriority w:val="0"/>
    <w:qFormat/>
    <w:rPr>
      <w:rFonts w:ascii="Times New Roman" w:hAnsi="Times New Roman"/>
      <w:szCs w:val="21"/>
    </w:rPr>
  </w:style>
  <w:style w:type="paragraph" w:styleId="124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7" w:customStyle="1">
    <w:name w:val="标题 4_0"/>
    <w:basedOn w:val="1248"/>
    <w:next w:val="1248"/>
    <w:uiPriority w:val="9"/>
    <w:unhideWhenUsed/>
    <w:qFormat/>
    <w:pPr>
      <w:keepLines/>
      <w:keepNext/>
      <w:spacing w:before="280" w:after="290" w:line="372" w:lineRule="auto"/>
      <w:outlineLvl w:val="3"/>
    </w:pPr>
    <w:rPr>
      <w:rFonts w:ascii="Arial" w:hAnsi="Arial" w:eastAsia="黑体"/>
      <w:b/>
      <w:sz w:val="28"/>
    </w:rPr>
  </w:style>
  <w:style w:type="paragraph" w:styleId="1248" w:customStyle="1">
    <w:name w:val="正文4"/>
    <w:uiPriority w:val="0"/>
    <w:qFormat/>
    <w:pPr>
      <w:jc w:val="both"/>
      <w:widowControl w:val="off"/>
    </w:pPr>
    <w:rPr>
      <w:rFonts w:hint="default" w:ascii="Calibri" w:hAnsi="Calibri" w:eastAsia="宋体" w:cs="Times New Roman"/>
      <w:lang w:val="en-US" w:eastAsia="zh-CN" w:bidi="ar-SA"/>
    </w:rPr>
  </w:style>
  <w:style w:type="paragraph" w:styleId="124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50" w:customStyle="1">
    <w:name w:val="p17_0_0"/>
    <w:basedOn w:val="1139"/>
    <w:uiPriority w:val="0"/>
    <w:qFormat/>
    <w:pPr>
      <w:jc w:val="left"/>
      <w:spacing w:before="100" w:beforeAutospacing="1" w:after="100" w:afterAutospacing="1"/>
      <w:widowControl/>
    </w:pPr>
    <w:rPr>
      <w:rFonts w:ascii="宋体" w:hAnsi="宋体" w:eastAsia="Times New Roman" w:cs="宋体"/>
      <w:sz w:val="24"/>
      <w:szCs w:val="24"/>
    </w:rPr>
  </w:style>
  <w:style w:type="paragraph" w:styleId="1251" w:customStyle="1">
    <w:name w:val="p17_0"/>
    <w:basedOn w:val="798"/>
    <w:uiPriority w:val="0"/>
    <w:qFormat/>
    <w:pPr>
      <w:jc w:val="left"/>
      <w:spacing w:before="100" w:beforeAutospacing="1" w:after="100" w:afterAutospacing="1"/>
      <w:widowControl/>
    </w:pPr>
    <w:rPr>
      <w:rFonts w:ascii="宋体" w:hAnsi="宋体" w:eastAsia="Times New Roman" w:cs="宋体"/>
      <w:sz w:val="24"/>
      <w:szCs w:val="24"/>
    </w:rPr>
  </w:style>
  <w:style w:type="paragraph" w:styleId="1252" w:customStyle="1">
    <w:name w:val="普通(网站)11"/>
    <w:basedOn w:val="752"/>
    <w:uiPriority w:val="99"/>
    <w:qFormat/>
    <w:rPr>
      <w:sz w:val="24"/>
    </w:rPr>
  </w:style>
  <w:style w:type="paragraph" w:styleId="12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54" w:customStyle="1">
    <w:name w:val="正文111"/>
    <w:next w:val="12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正文文本缩进11"/>
    <w:basedOn w:val="1256"/>
    <w:next w:val="1261"/>
    <w:uiPriority w:val="99"/>
    <w:qFormat/>
    <w:pPr>
      <w:ind w:left="420"/>
      <w:spacing w:after="120"/>
    </w:pPr>
  </w:style>
  <w:style w:type="paragraph" w:styleId="1256" w:customStyle="1">
    <w:name w:val="正文112"/>
    <w:next w:val="12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正文首行缩进11"/>
    <w:basedOn w:val="1258"/>
    <w:next w:val="1260"/>
    <w:uiPriority w:val="0"/>
    <w:qFormat/>
    <w:pPr>
      <w:ind w:firstLine="420"/>
    </w:pPr>
    <w:rPr>
      <w:rFonts w:ascii="仿宋_GB2312" w:eastAsia="仿宋_GB2312"/>
      <w:sz w:val="30"/>
      <w:szCs w:val="30"/>
    </w:rPr>
  </w:style>
  <w:style w:type="paragraph" w:styleId="1258" w:customStyle="1">
    <w:name w:val="正文文本11"/>
    <w:basedOn w:val="1259"/>
    <w:next w:val="1256"/>
    <w:uiPriority w:val="0"/>
    <w:qFormat/>
    <w:pPr>
      <w:spacing w:after="120"/>
    </w:pPr>
  </w:style>
  <w:style w:type="paragraph" w:styleId="1259" w:customStyle="1">
    <w:name w:val="正文12"/>
    <w:next w:val="125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60" w:customStyle="1">
    <w:name w:val="正文首行缩进 211"/>
    <w:basedOn w:val="1255"/>
    <w:uiPriority w:val="99"/>
    <w:qFormat/>
    <w:pPr>
      <w:ind w:left="0" w:firstLine="420"/>
      <w:spacing w:after="0" w:line="360" w:lineRule="auto"/>
    </w:pPr>
    <w:rPr>
      <w:rFonts w:ascii="宋体" w:hAnsi="宋体"/>
    </w:rPr>
  </w:style>
  <w:style w:type="paragraph" w:styleId="1261" w:customStyle="1">
    <w:name w:val="寄信人地址11"/>
    <w:basedOn w:val="752"/>
    <w:uiPriority w:val="0"/>
    <w:qFormat/>
    <w:rPr>
      <w:rFonts w:ascii="Arial" w:hAnsi="Arial"/>
    </w:rPr>
  </w:style>
  <w:style w:type="paragraph" w:styleId="1262" w:customStyle="1">
    <w:name w:val="正文_25"/>
    <w:uiPriority w:val="0"/>
    <w:qFormat/>
    <w:pPr>
      <w:jc w:val="both"/>
      <w:widowControl w:val="off"/>
    </w:pPr>
    <w:rPr>
      <w:rFonts w:hint="default" w:ascii="Calibri" w:hAnsi="Calibri" w:eastAsia="宋体" w:cs="Times New Roman"/>
      <w:sz w:val="21"/>
      <w:szCs w:val="22"/>
      <w:lang w:val="en-US" w:eastAsia="zh-CN" w:bidi="ar-SA"/>
    </w:rPr>
  </w:style>
  <w:style w:type="paragraph" w:styleId="1263" w:customStyle="1">
    <w:name w:val="Header1"/>
    <w:basedOn w:val="798"/>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264" w:customStyle="1">
    <w:name w:val="默认段落字体1"/>
    <w:link w:val="752"/>
    <w:uiPriority w:val="1"/>
    <w:unhideWhenUsed/>
    <w:qFormat/>
    <w:rPr>
      <w:rFonts w:ascii="Calibri" w:hAnsi="Calibri" w:eastAsia="宋体" w:cs="Times New Roman"/>
      <w:sz w:val="21"/>
      <w:szCs w:val="22"/>
      <w:lang w:val="en-US" w:eastAsia="zh-CN" w:bidi="ar-SA"/>
    </w:rPr>
  </w:style>
  <w:style w:type="paragraph" w:styleId="1265" w:customStyle="1">
    <w:name w:val="页眉1"/>
    <w:basedOn w:val="75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numbering" w:styleId="157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张媛</cp:lastModifiedBy>
  <cp:revision>10</cp:revision>
  <dcterms:created xsi:type="dcterms:W3CDTF">2023-07-23T13:07:00Z</dcterms:created>
  <dcterms:modified xsi:type="dcterms:W3CDTF">2026-07-30T02:28:08Z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eyJoZGlkIjoiNTJhODA5MjQ1MDI2YjdjMWIzOWMzZjExNjdkZjlkZmYiLCJ1c2VySWQiOiIyNTEzNzkyNzMifQ==</vt:lpwstr>
  </property>
  <property fmtid="{D5CDD505-2E9C-101B-9397-08002B2CF9AE}" pid="3" name="KSOProductBuildVer">
    <vt:lpwstr>2052-12.1.0.26895</vt:lpwstr>
  </property>
  <property fmtid="{D5CDD505-2E9C-101B-9397-08002B2CF9AE}" pid="4" name="ICV">
    <vt:lpwstr>2C89D484BE1F433FADBAE05CED1E92BC_13</vt:lpwstr>
  </property>
</Properties>
</file>