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JSZC-320214-ZYGC-G2026-0005</w:t>
      </w:r>
      <w:r/>
    </w:p>
    <w:p>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采购项目名称：太科园（新安街道）河道水生态长效运维养护项目</w:t>
      </w:r>
      <w:r/>
    </w:p>
    <w:p>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采购代理机构：江苏正源工程咨询有限责任公司</w:t>
      </w:r>
      <w:r/>
    </w:p>
    <w:p>
      <w:pPr>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二〇二六年七月</w:t>
      </w:r>
      <w:r/>
    </w:p>
    <w:p>
      <w:pPr>
        <w:jc w:val="center"/>
        <w:rPr>
          <w:rStyle w:val="819"/>
          <w:rFonts w:eastAsia="黑体"/>
          <w:bCs/>
          <w:color w:val="auto"/>
          <w:sz w:val="48"/>
          <w:highlight w:val="none"/>
        </w:rPr>
      </w:pPr>
      <w:r>
        <w:rPr>
          <w:rStyle w:val="819"/>
          <w:rFonts w:eastAsia="黑体"/>
          <w:bCs/>
          <w:color w:val="auto"/>
          <w:sz w:val="48"/>
          <w:highlight w:val="none"/>
        </w:rPr>
        <w:br w:type="page" w:clear="all"/>
      </w:r>
      <w:r>
        <w:rPr>
          <w:rStyle w:val="819"/>
          <w:rFonts w:hint="eastAsia" w:eastAsia="黑体"/>
          <w:bCs/>
          <w:color w:val="auto"/>
          <w:sz w:val="48"/>
          <w:highlight w:val="none"/>
        </w:rPr>
        <w:t xml:space="preserve">目录</w:t>
      </w:r>
      <w:r/>
    </w:p>
    <w:p>
      <w:pPr>
        <w:jc w:val="center"/>
        <w:rPr>
          <w:rFonts w:ascii="黑体" w:eastAsia="黑体"/>
          <w:bCs/>
          <w:color w:val="auto"/>
          <w:sz w:val="30"/>
          <w:highlight w:val="none"/>
        </w:rPr>
      </w:pPr>
      <w:r>
        <w:rPr>
          <w:rFonts w:ascii="黑体" w:eastAsia="黑体"/>
          <w:bCs/>
          <w:color w:val="auto"/>
          <w:sz w:val="30"/>
          <w:highlight w:val="none"/>
        </w:rPr>
      </w:r>
      <w:r/>
    </w:p>
    <w:p>
      <w:pPr>
        <w:pStyle w:val="799"/>
        <w:spacing w:line="480" w:lineRule="auto"/>
        <w:tabs>
          <w:tab w:val="right" w:pos="9746" w:leader="dot"/>
        </w:tabs>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fldChar w:fldCharType="begin"/>
      </w:r>
      <w:r>
        <w:rPr>
          <w:rFonts w:hint="eastAsia" w:asciiTheme="minorEastAsia" w:hAnsiTheme="minorEastAsia" w:eastAsiaTheme="minorEastAsia" w:cstheme="minorEastAsia"/>
          <w:b/>
          <w:color w:val="auto"/>
          <w:sz w:val="28"/>
          <w:szCs w:val="28"/>
          <w:highlight w:val="none"/>
        </w:rPr>
        <w:instrText xml:space="preserve">TOC \o "1-1" \h \u </w:instrText>
      </w:r>
      <w:r>
        <w:rPr>
          <w:rFonts w:hint="eastAsia" w:asciiTheme="minorEastAsia" w:hAnsiTheme="minorEastAsia" w:eastAsiaTheme="minorEastAsia" w:cstheme="minorEastAsia"/>
          <w:b/>
          <w:color w:val="auto"/>
          <w:sz w:val="28"/>
          <w:szCs w:val="28"/>
          <w:highlight w:val="none"/>
        </w:rPr>
        <w:fldChar w:fldCharType="separate"/>
      </w:r>
      <w:r>
        <w:rPr>
          <w:color w:val="auto"/>
          <w:highlight w:val="none"/>
        </w:rPr>
        <w:fldChar w:fldCharType="begin"/>
      </w:r>
      <w:r>
        <w:rPr>
          <w:color w:val="auto"/>
          <w:highlight w:val="none"/>
        </w:rPr>
        <w:instrText xml:space="preserve"> HYPERLINK \l "_Toc9622" </w:instrText>
      </w:r>
      <w:r>
        <w:rPr>
          <w:color w:val="auto"/>
          <w:highlight w:val="none"/>
        </w:rPr>
        <w:fldChar w:fldCharType="separate"/>
      </w:r>
      <w:r>
        <w:rPr>
          <w:rFonts w:hint="eastAsia" w:asciiTheme="minorEastAsia" w:hAnsiTheme="minorEastAsia" w:eastAsiaTheme="minorEastAsia" w:cstheme="minorEastAsia"/>
          <w:b/>
          <w:color w:val="auto"/>
          <w:sz w:val="28"/>
          <w:szCs w:val="28"/>
          <w:highlight w:val="none"/>
        </w:rPr>
        <w:t xml:space="preserve">一、投标邀请函</w:t>
      </w: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b/>
          <w:color w:val="auto"/>
          <w:sz w:val="28"/>
          <w:szCs w:val="28"/>
          <w:highlight w:val="none"/>
        </w:rPr>
        <w:fldChar w:fldCharType="begin"/>
      </w:r>
      <w:r>
        <w:rPr>
          <w:rFonts w:hint="eastAsia" w:asciiTheme="minorEastAsia" w:hAnsiTheme="minorEastAsia" w:eastAsiaTheme="minorEastAsia" w:cstheme="minorEastAsia"/>
          <w:b/>
          <w:color w:val="auto"/>
          <w:sz w:val="28"/>
          <w:szCs w:val="28"/>
          <w:highlight w:val="none"/>
        </w:rPr>
        <w:instrText xml:space="preserve"> PAGEREF _Toc9622 \h </w:instrText>
      </w:r>
      <w:r>
        <w:rPr>
          <w:rFonts w:hint="eastAsia" w:asciiTheme="minorEastAsia" w:hAnsiTheme="minorEastAsia" w:eastAsiaTheme="minorEastAsia" w:cstheme="minorEastAsia"/>
          <w:b/>
          <w:color w:val="auto"/>
          <w:sz w:val="28"/>
          <w:szCs w:val="28"/>
          <w:highlight w:val="none"/>
        </w:rPr>
        <w:fldChar w:fldCharType="separate"/>
      </w:r>
      <w:r>
        <w:rPr>
          <w:rFonts w:hint="eastAsia" w:asciiTheme="minorEastAsia" w:hAnsiTheme="minorEastAsia" w:eastAsiaTheme="minorEastAsia" w:cstheme="minorEastAsia"/>
          <w:b/>
          <w:color w:val="auto"/>
          <w:sz w:val="28"/>
          <w:szCs w:val="28"/>
          <w:highlight w:val="none"/>
        </w:rPr>
        <w:t xml:space="preserve">3</w:t>
      </w:r>
      <w:r>
        <w:rPr>
          <w:rFonts w:hint="eastAsia" w:asciiTheme="minorEastAsia" w:hAnsiTheme="minorEastAsia" w:eastAsiaTheme="minorEastAsia" w:cstheme="minorEastAsia"/>
          <w:b/>
          <w:color w:val="auto"/>
          <w:sz w:val="28"/>
          <w:szCs w:val="28"/>
          <w:highlight w:val="none"/>
        </w:rPr>
        <w:fldChar w:fldCharType="end"/>
      </w:r>
      <w:r>
        <w:rPr>
          <w:rFonts w:hint="eastAsia" w:asciiTheme="minorEastAsia" w:hAnsiTheme="minorEastAsia" w:eastAsiaTheme="minorEastAsia" w:cstheme="minorEastAsia"/>
          <w:b/>
          <w:color w:val="auto"/>
          <w:sz w:val="28"/>
          <w:szCs w:val="28"/>
          <w:highlight w:val="none"/>
        </w:rPr>
        <w:fldChar w:fldCharType="end"/>
      </w:r>
      <w:r/>
    </w:p>
    <w:p>
      <w:pPr>
        <w:pStyle w:val="799"/>
        <w:spacing w:line="480" w:lineRule="auto"/>
        <w:tabs>
          <w:tab w:val="right" w:pos="9746" w:leader="dot"/>
        </w:tabs>
        <w:rPr>
          <w:rFonts w:hint="eastAsia" w:asciiTheme="minorEastAsia" w:hAnsiTheme="minorEastAsia" w:eastAsiaTheme="minorEastAsia" w:cstheme="minorEastAsia"/>
          <w:b/>
          <w:color w:val="auto"/>
          <w:sz w:val="28"/>
          <w:szCs w:val="28"/>
          <w:highlight w:val="none"/>
        </w:rPr>
      </w:pPr>
      <w:r>
        <w:rPr>
          <w:color w:val="auto"/>
          <w:highlight w:val="none"/>
        </w:rPr>
        <w:fldChar w:fldCharType="begin"/>
      </w:r>
      <w:r>
        <w:rPr>
          <w:color w:val="auto"/>
          <w:highlight w:val="none"/>
        </w:rPr>
        <w:instrText xml:space="preserve"> HYPERLINK \l "_Toc6542" </w:instrText>
      </w:r>
      <w:r>
        <w:rPr>
          <w:color w:val="auto"/>
          <w:highlight w:val="none"/>
        </w:rPr>
        <w:fldChar w:fldCharType="separate"/>
      </w:r>
      <w:r>
        <w:rPr>
          <w:rFonts w:hint="eastAsia" w:asciiTheme="minorEastAsia" w:hAnsiTheme="minorEastAsia" w:eastAsiaTheme="minorEastAsia" w:cstheme="minorEastAsia"/>
          <w:b/>
          <w:color w:val="auto"/>
          <w:sz w:val="28"/>
          <w:szCs w:val="28"/>
          <w:highlight w:val="none"/>
        </w:rPr>
        <w:t xml:space="preserve">二、投标供应商须知</w:t>
      </w: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b/>
          <w:color w:val="auto"/>
          <w:sz w:val="28"/>
          <w:szCs w:val="28"/>
          <w:highlight w:val="none"/>
        </w:rPr>
        <w:fldChar w:fldCharType="begin"/>
      </w:r>
      <w:r>
        <w:rPr>
          <w:rFonts w:hint="eastAsia" w:asciiTheme="minorEastAsia" w:hAnsiTheme="minorEastAsia" w:eastAsiaTheme="minorEastAsia" w:cstheme="minorEastAsia"/>
          <w:b/>
          <w:color w:val="auto"/>
          <w:sz w:val="28"/>
          <w:szCs w:val="28"/>
          <w:highlight w:val="none"/>
        </w:rPr>
        <w:instrText xml:space="preserve"> PAGEREF _Toc6542 \h </w:instrText>
      </w:r>
      <w:r>
        <w:rPr>
          <w:rFonts w:hint="eastAsia" w:asciiTheme="minorEastAsia" w:hAnsiTheme="minorEastAsia" w:eastAsiaTheme="minorEastAsia" w:cstheme="minorEastAsia"/>
          <w:b/>
          <w:color w:val="auto"/>
          <w:sz w:val="28"/>
          <w:szCs w:val="28"/>
          <w:highlight w:val="none"/>
        </w:rPr>
        <w:fldChar w:fldCharType="separate"/>
      </w:r>
      <w:r>
        <w:rPr>
          <w:rFonts w:hint="eastAsia" w:asciiTheme="minorEastAsia" w:hAnsiTheme="minorEastAsia" w:eastAsiaTheme="minorEastAsia" w:cstheme="minorEastAsia"/>
          <w:b/>
          <w:color w:val="auto"/>
          <w:sz w:val="28"/>
          <w:szCs w:val="28"/>
          <w:highlight w:val="none"/>
        </w:rPr>
        <w:t xml:space="preserve">7</w:t>
      </w:r>
      <w:r>
        <w:rPr>
          <w:rFonts w:hint="eastAsia" w:asciiTheme="minorEastAsia" w:hAnsiTheme="minorEastAsia" w:eastAsiaTheme="minorEastAsia" w:cstheme="minorEastAsia"/>
          <w:b/>
          <w:color w:val="auto"/>
          <w:sz w:val="28"/>
          <w:szCs w:val="28"/>
          <w:highlight w:val="none"/>
        </w:rPr>
        <w:fldChar w:fldCharType="end"/>
      </w:r>
      <w:r>
        <w:rPr>
          <w:rFonts w:hint="eastAsia" w:asciiTheme="minorEastAsia" w:hAnsiTheme="minorEastAsia" w:eastAsiaTheme="minorEastAsia" w:cstheme="minorEastAsia"/>
          <w:b/>
          <w:color w:val="auto"/>
          <w:sz w:val="28"/>
          <w:szCs w:val="28"/>
          <w:highlight w:val="none"/>
        </w:rPr>
        <w:fldChar w:fldCharType="end"/>
      </w:r>
      <w:r/>
    </w:p>
    <w:p>
      <w:pPr>
        <w:pStyle w:val="799"/>
        <w:spacing w:line="480" w:lineRule="auto"/>
        <w:tabs>
          <w:tab w:val="right" w:pos="9746" w:leader="dot"/>
        </w:tabs>
        <w:rPr>
          <w:rFonts w:hint="eastAsia" w:asciiTheme="minorEastAsia" w:hAnsiTheme="minorEastAsia" w:eastAsiaTheme="minorEastAsia" w:cstheme="minorEastAsia"/>
          <w:b/>
          <w:color w:val="auto"/>
          <w:sz w:val="28"/>
          <w:szCs w:val="28"/>
          <w:highlight w:val="none"/>
        </w:rPr>
      </w:pPr>
      <w:r>
        <w:rPr>
          <w:color w:val="auto"/>
          <w:highlight w:val="none"/>
        </w:rPr>
        <w:fldChar w:fldCharType="begin"/>
      </w:r>
      <w:r>
        <w:rPr>
          <w:color w:val="auto"/>
          <w:highlight w:val="none"/>
        </w:rPr>
        <w:instrText xml:space="preserve"> HYPERLINK \l "_Toc12747" </w:instrText>
      </w:r>
      <w:r>
        <w:rPr>
          <w:color w:val="auto"/>
          <w:highlight w:val="none"/>
        </w:rPr>
        <w:fldChar w:fldCharType="separate"/>
      </w:r>
      <w:r>
        <w:rPr>
          <w:rFonts w:hint="eastAsia" w:asciiTheme="minorEastAsia" w:hAnsiTheme="minorEastAsia" w:eastAsiaTheme="minorEastAsia" w:cstheme="minorEastAsia"/>
          <w:b/>
          <w:color w:val="auto"/>
          <w:sz w:val="28"/>
          <w:szCs w:val="28"/>
          <w:highlight w:val="none"/>
        </w:rPr>
        <w:t xml:space="preserve">三、项目技术要求和有关说明</w:t>
      </w: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b/>
          <w:color w:val="auto"/>
          <w:sz w:val="28"/>
          <w:szCs w:val="28"/>
          <w:highlight w:val="none"/>
        </w:rPr>
        <w:t xml:space="preserve">1</w:t>
      </w:r>
      <w:r>
        <w:rPr>
          <w:rFonts w:hint="eastAsia" w:asciiTheme="minorEastAsia" w:hAnsiTheme="minorEastAsia" w:eastAsiaTheme="minorEastAsia" w:cstheme="minorEastAsia"/>
          <w:b/>
          <w:color w:val="auto"/>
          <w:sz w:val="28"/>
          <w:szCs w:val="28"/>
          <w:highlight w:val="none"/>
        </w:rPr>
        <w:fldChar w:fldCharType="end"/>
      </w:r>
      <w:r>
        <w:rPr>
          <w:rFonts w:hint="eastAsia" w:asciiTheme="minorEastAsia" w:hAnsiTheme="minorEastAsia" w:eastAsiaTheme="minorEastAsia" w:cstheme="minorEastAsia"/>
          <w:b/>
          <w:color w:val="auto"/>
          <w:sz w:val="28"/>
          <w:szCs w:val="28"/>
          <w:highlight w:val="none"/>
        </w:rPr>
        <w:t xml:space="preserve">9</w:t>
      </w:r>
      <w:r/>
    </w:p>
    <w:p>
      <w:pPr>
        <w:pStyle w:val="799"/>
        <w:spacing w:line="480" w:lineRule="auto"/>
        <w:tabs>
          <w:tab w:val="right" w:pos="9746" w:leader="dot"/>
        </w:tabs>
        <w:rPr>
          <w:rFonts w:hint="eastAsia" w:asciiTheme="minorEastAsia" w:hAnsiTheme="minorEastAsia" w:eastAsiaTheme="minorEastAsia" w:cstheme="minorEastAsia"/>
          <w:b/>
          <w:color w:val="auto"/>
          <w:sz w:val="28"/>
          <w:szCs w:val="28"/>
          <w:highlight w:val="none"/>
          <w:lang w:eastAsia="zh-CN"/>
        </w:rPr>
      </w:pPr>
      <w:r>
        <w:rPr>
          <w:color w:val="auto"/>
          <w:highlight w:val="none"/>
        </w:rPr>
        <w:fldChar w:fldCharType="begin"/>
      </w:r>
      <w:r>
        <w:rPr>
          <w:color w:val="auto"/>
          <w:highlight w:val="none"/>
        </w:rPr>
        <w:instrText xml:space="preserve"> HYPERLINK \l "_Toc32088" </w:instrText>
      </w:r>
      <w:r>
        <w:rPr>
          <w:color w:val="auto"/>
          <w:highlight w:val="none"/>
        </w:rPr>
        <w:fldChar w:fldCharType="separate"/>
      </w:r>
      <w:r>
        <w:rPr>
          <w:rFonts w:hint="eastAsia" w:asciiTheme="minorEastAsia" w:hAnsiTheme="minorEastAsia" w:eastAsiaTheme="minorEastAsia" w:cstheme="minorEastAsia"/>
          <w:b/>
          <w:color w:val="auto"/>
          <w:sz w:val="28"/>
          <w:szCs w:val="28"/>
          <w:highlight w:val="none"/>
        </w:rPr>
        <w:t xml:space="preserve">四、合同书（格式文本）</w:t>
      </w: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b/>
          <w:color w:val="auto"/>
          <w:sz w:val="28"/>
          <w:szCs w:val="28"/>
          <w:highlight w:val="none"/>
        </w:rPr>
        <w:t xml:space="preserve">5</w:t>
      </w:r>
      <w:r>
        <w:rPr>
          <w:rFonts w:hint="eastAsia" w:asciiTheme="minorEastAsia" w:hAnsiTheme="minorEastAsia" w:eastAsiaTheme="minorEastAsia" w:cstheme="minorEastAsia"/>
          <w:b/>
          <w:color w:val="auto"/>
          <w:sz w:val="28"/>
          <w:szCs w:val="28"/>
          <w:highlight w:val="none"/>
        </w:rPr>
        <w:fldChar w:fldCharType="end"/>
      </w:r>
      <w:r>
        <w:rPr>
          <w:rFonts w:hint="eastAsia" w:asciiTheme="minorEastAsia" w:hAnsiTheme="minorEastAsia" w:eastAsiaTheme="minorEastAsia" w:cstheme="minorEastAsia"/>
          <w:b/>
          <w:color w:val="auto"/>
          <w:sz w:val="28"/>
          <w:szCs w:val="28"/>
          <w:highlight w:val="none"/>
          <w:lang w:val="en-US" w:eastAsia="zh-CN"/>
        </w:rPr>
        <w:t xml:space="preserve">3</w:t>
      </w:r>
      <w:r/>
    </w:p>
    <w:p>
      <w:pPr>
        <w:pStyle w:val="799"/>
        <w:spacing w:line="480" w:lineRule="auto"/>
        <w:tabs>
          <w:tab w:val="right" w:pos="9746" w:leader="dot"/>
        </w:tabs>
        <w:rPr>
          <w:rFonts w:hint="eastAsia" w:asciiTheme="minorEastAsia" w:hAnsiTheme="minorEastAsia" w:eastAsiaTheme="minorEastAsia" w:cstheme="minorEastAsia"/>
          <w:b/>
          <w:color w:val="auto"/>
          <w:sz w:val="28"/>
          <w:szCs w:val="28"/>
          <w:highlight w:val="none"/>
          <w:lang w:eastAsia="zh-CN"/>
        </w:rPr>
      </w:pPr>
      <w:r>
        <w:rPr>
          <w:color w:val="auto"/>
          <w:highlight w:val="none"/>
        </w:rPr>
        <w:fldChar w:fldCharType="begin"/>
      </w:r>
      <w:r>
        <w:rPr>
          <w:color w:val="auto"/>
          <w:highlight w:val="none"/>
        </w:rPr>
        <w:instrText xml:space="preserve"> HYPERLINK \l "_Toc19415" </w:instrText>
      </w:r>
      <w:r>
        <w:rPr>
          <w:color w:val="auto"/>
          <w:highlight w:val="none"/>
        </w:rPr>
        <w:fldChar w:fldCharType="separate"/>
      </w:r>
      <w:r>
        <w:rPr>
          <w:rFonts w:hint="eastAsia" w:asciiTheme="minorEastAsia" w:hAnsiTheme="minorEastAsia" w:eastAsiaTheme="minorEastAsia" w:cstheme="minorEastAsia"/>
          <w:b/>
          <w:color w:val="auto"/>
          <w:sz w:val="28"/>
          <w:szCs w:val="28"/>
          <w:highlight w:val="none"/>
          <w:lang w:bidi="ar"/>
        </w:rPr>
        <w:t xml:space="preserve">五、合同条款</w:t>
      </w: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b/>
          <w:color w:val="auto"/>
          <w:sz w:val="28"/>
          <w:szCs w:val="28"/>
          <w:highlight w:val="none"/>
        </w:rPr>
        <w:t xml:space="preserve">5</w:t>
      </w:r>
      <w:r>
        <w:rPr>
          <w:rFonts w:hint="eastAsia" w:asciiTheme="minorEastAsia" w:hAnsiTheme="minorEastAsia" w:eastAsiaTheme="minorEastAsia" w:cstheme="minorEastAsia"/>
          <w:b/>
          <w:color w:val="auto"/>
          <w:sz w:val="28"/>
          <w:szCs w:val="28"/>
          <w:highlight w:val="none"/>
        </w:rPr>
        <w:fldChar w:fldCharType="end"/>
      </w:r>
      <w:r>
        <w:rPr>
          <w:rFonts w:hint="eastAsia" w:asciiTheme="minorEastAsia" w:hAnsiTheme="minorEastAsia" w:eastAsiaTheme="minorEastAsia" w:cstheme="minorEastAsia"/>
          <w:b/>
          <w:color w:val="auto"/>
          <w:sz w:val="28"/>
          <w:szCs w:val="28"/>
          <w:highlight w:val="none"/>
          <w:lang w:val="en-US" w:eastAsia="zh-CN"/>
        </w:rPr>
        <w:t xml:space="preserve">5</w:t>
      </w:r>
      <w:r/>
    </w:p>
    <w:p>
      <w:pPr>
        <w:pStyle w:val="799"/>
        <w:spacing w:line="480" w:lineRule="auto"/>
        <w:tabs>
          <w:tab w:val="right" w:pos="9746" w:leader="dot"/>
        </w:tabs>
        <w:rPr>
          <w:rFonts w:hint="eastAsia" w:asciiTheme="minorEastAsia" w:hAnsiTheme="minorEastAsia" w:eastAsiaTheme="minorEastAsia" w:cstheme="minorEastAsia"/>
          <w:b/>
          <w:color w:val="auto"/>
          <w:sz w:val="28"/>
          <w:szCs w:val="28"/>
          <w:highlight w:val="none"/>
        </w:rPr>
      </w:pPr>
      <w:r>
        <w:rPr>
          <w:color w:val="auto"/>
          <w:highlight w:val="none"/>
        </w:rPr>
        <w:fldChar w:fldCharType="begin"/>
      </w:r>
      <w:r>
        <w:rPr>
          <w:color w:val="auto"/>
          <w:highlight w:val="none"/>
        </w:rPr>
        <w:instrText xml:space="preserve"> HYPERLINK \l "_Toc17171" </w:instrText>
      </w:r>
      <w:r>
        <w:rPr>
          <w:color w:val="auto"/>
          <w:highlight w:val="none"/>
        </w:rPr>
        <w:fldChar w:fldCharType="separate"/>
      </w:r>
      <w:r>
        <w:rPr>
          <w:rFonts w:hint="eastAsia" w:asciiTheme="minorEastAsia" w:hAnsiTheme="minorEastAsia" w:eastAsiaTheme="minorEastAsia" w:cstheme="minorEastAsia"/>
          <w:b/>
          <w:color w:val="auto"/>
          <w:sz w:val="28"/>
          <w:szCs w:val="28"/>
          <w:highlight w:val="none"/>
        </w:rPr>
        <w:t xml:space="preserve">六、附件</w:t>
      </w: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b/>
          <w:color w:val="auto"/>
          <w:sz w:val="28"/>
          <w:szCs w:val="28"/>
          <w:highlight w:val="none"/>
          <w:lang w:val="en-US" w:eastAsia="zh-CN"/>
        </w:rPr>
        <w:t xml:space="preserve">59</w:t>
      </w:r>
      <w:r>
        <w:rPr>
          <w:rFonts w:hint="eastAsia" w:asciiTheme="minorEastAsia" w:hAnsiTheme="minorEastAsia" w:eastAsiaTheme="minorEastAsia" w:cstheme="minorEastAsia"/>
          <w:b/>
          <w:color w:val="auto"/>
          <w:sz w:val="28"/>
          <w:szCs w:val="28"/>
          <w:highlight w:val="none"/>
        </w:rPr>
        <w:fldChar w:fldCharType="end"/>
      </w:r>
      <w:r/>
    </w:p>
    <w:p>
      <w:pPr>
        <w:ind w:firstLine="450"/>
        <w:spacing w:line="480" w:lineRule="auto"/>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
          <w:color w:val="auto"/>
          <w:sz w:val="28"/>
          <w:szCs w:val="28"/>
          <w:highlight w:val="none"/>
        </w:rPr>
        <w:fldChar w:fldCharType="end"/>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bookmarkStart w:id="1" w:name="_Toc27207"/>
      <w:r/>
      <w:bookmarkStart w:id="2" w:name="_Toc9622"/>
      <w:r>
        <w:rPr>
          <w:rFonts w:hint="eastAsia" w:ascii="黑体" w:eastAsia="黑体"/>
          <w:bCs/>
          <w:color w:val="auto"/>
          <w:sz w:val="28"/>
          <w:szCs w:val="28"/>
          <w:highlight w:val="none"/>
        </w:rPr>
        <w:t xml:space="preserve">一、投标邀请函</w:t>
      </w:r>
      <w:bookmarkEnd w:id="1"/>
      <w:r/>
      <w:bookmarkEnd w:id="2"/>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江苏正源工程咨询有限责任公司受无锡市新吴区人民政府新安街道办事处委托，对太科园（新安街道）河道水生态长效运维养护项目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1.项目名称：太科园（新安街道）河道水生态长效运维养护项目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JSZC-320214-ZYGC-G2026-0005</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养护内容：对采购范围内的河道进行运维养护，养护内容包括但不限于水质达标维护、水生植物养护、河面保洁养护、外来物种防治、生物多样性维护、突发应急处置、沉水曝气设备维护、生态拦截网设施维护、围隔设施维护、纳米曝气设备维护、活水泵站设备运维、初雨调蓄设施维护、氮磷净化设备养护、水质自动监测站运维、流量监测、水文监测、监控等水质保护相关的设施设备以及智能化设备运维等。</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 xml:space="preserve">项目预算:1493.4522万元，投标最高限价为1493.4522万元</w:t>
      </w:r>
      <w:r>
        <w:rPr>
          <w:rFonts w:hint="eastAsia" w:ascii="宋体" w:hAnsi="宋体" w:cs="宋体"/>
          <w:color w:val="auto"/>
          <w:sz w:val="24"/>
          <w:szCs w:val="24"/>
          <w:highlight w:val="none"/>
        </w:rPr>
        <w:t xml:space="preserve">，投标报价不得超过最高限价，否则作无效投标文件处理。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5.服务期：</w:t>
      </w:r>
      <w:r>
        <w:rPr>
          <w:rFonts w:hint="eastAsia" w:ascii="宋体" w:hAnsi="宋体" w:cs="Arial"/>
          <w:color w:val="auto"/>
          <w:sz w:val="24"/>
          <w:szCs w:val="24"/>
          <w:highlight w:val="none"/>
        </w:rPr>
        <w:t xml:space="preserve">一期河道（7条）24个月，二期河道（18条）20个月</w:t>
      </w:r>
      <w:r>
        <w:rPr>
          <w:rFonts w:hint="eastAsia" w:ascii="宋体" w:hAnsi="宋体" w:cs="宋体"/>
          <w:color w:val="auto"/>
          <w:sz w:val="24"/>
          <w:szCs w:val="24"/>
          <w:highlight w:val="none"/>
        </w:rPr>
        <w:t xml:space="preserve">，具体起始日期以合同签订日期为准。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7.采购人：无锡市新吴区人民政府新安街道办事处</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9.本项目是否专门面向中小企业：否</w:t>
      </w:r>
      <w:r/>
    </w:p>
    <w:p>
      <w:pPr>
        <w:ind w:firstLine="480"/>
        <w:jc w:val="left"/>
        <w:spacing w:line="360" w:lineRule="auto"/>
        <w:widowControl/>
        <w:rPr>
          <w:color w:val="auto"/>
          <w:highlight w:val="none"/>
        </w:rPr>
      </w:pPr>
      <w:r>
        <w:rPr>
          <w:rFonts w:hint="eastAsia" w:ascii="宋体" w:hAnsi="宋体" w:cs="宋体"/>
          <w:color w:val="auto"/>
          <w:sz w:val="24"/>
          <w:szCs w:val="24"/>
          <w:highlight w:val="none"/>
        </w:rPr>
        <w:t xml:space="preserve">10.本项目标的所属行业为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（二）供应商资格要求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4.本项目的特定资格要求：无；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5.本项目</w:t>
      </w:r>
      <w:r>
        <w:rPr>
          <w:rFonts w:hint="eastAsia" w:ascii="宋体" w:hAnsi="宋体"/>
          <w:b/>
          <w:bCs/>
          <w:color w:val="auto"/>
          <w:sz w:val="24"/>
          <w:szCs w:val="24"/>
          <w:highlight w:val="none"/>
          <w:u w:val="single"/>
        </w:rPr>
        <w:t xml:space="preserve">不接受</w:t>
      </w:r>
      <w:r>
        <w:rPr>
          <w:rFonts w:hint="eastAsia" w:ascii="宋体" w:hAnsi="宋体"/>
          <w:color w:val="auto"/>
          <w:sz w:val="24"/>
          <w:szCs w:val="24"/>
          <w:highlight w:val="none"/>
        </w:rPr>
        <w:t xml:space="preserve">联合体投标。</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4.如供应商未按上述要求操作，由此所产生的损失及风险由供应商自行承担。具体操作步骤详见《“苏采云”系统供应商操作手册》（以下简称《操作手册》），下载地址：无锡政府采购网</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资料下载</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苏采云</w:t>
      </w:r>
      <w:r>
        <w:rPr>
          <w:rFonts w:hint="eastAsia" w:ascii="宋体" w:hAnsi="宋体"/>
          <w:bCs/>
          <w:color w:val="auto"/>
          <w:sz w:val="24"/>
          <w:szCs w:val="24"/>
          <w:highlight w:val="none"/>
        </w:rPr>
        <w:t xml:space="preserve">--</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1.潜在投标供应商可在项目招标公告附件中查看公开招标文件，如确定投标，必须在苏采云平台（https://jszfcg.jsczt.cn/jszc/l</w:t>
      </w:r>
      <w:r>
        <w:rPr>
          <w:rFonts w:hint="eastAsia" w:ascii="宋体" w:hAnsi="宋体"/>
          <w:bCs/>
          <w:color w:val="auto"/>
          <w:sz w:val="24"/>
          <w:szCs w:val="24"/>
          <w:highlight w:val="none"/>
        </w:rPr>
        <w:t xml:space="preserve">ogin）中免费下载公开招标文件（在“江苏政府采购网”--“苏采云”或“政府采购客户端（苏采云）”中免费下载文件，具体操作：“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资料下载--“苏采云”栏目下载《“苏采云”系统供应商操作手册》。</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江苏正源工程咨询有限责任公司</w:t>
      </w:r>
      <w:r>
        <w:rPr>
          <w:rFonts w:hint="eastAsia" w:ascii="宋体" w:hAnsi="宋体"/>
          <w:bCs/>
          <w:color w:val="auto"/>
          <w:sz w:val="24"/>
          <w:szCs w:val="24"/>
          <w:highlight w:val="none"/>
        </w:rPr>
        <w:t xml:space="preserve">将以线上不见面、电话咨询、传真等方式开展线上答疑服务。截至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日17:00，</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投标供应商若需对招标文件要求澄清的问题，请以书面形式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JSZC-320214-ZYGC-G2026-0005</w:t>
      </w:r>
      <w:r>
        <w:rPr>
          <w:rFonts w:hint="eastAsia" w:ascii="宋体" w:hAnsi="宋体" w:cs="宋体"/>
          <w:color w:val="auto"/>
          <w:sz w:val="24"/>
          <w:szCs w:val="24"/>
          <w:highlight w:val="none"/>
        </w:rPr>
        <w:t xml:space="preserve">        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。若未在规定时间内提出澄清，由此造成的损失及风险由投标供应商自行承担。</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需准备好制作标书的笔记本电脑、CA锁（政务CA），登录苏采云网上开标大厅，等待开标流程进入“解锁环境”，点击“立即解密”进行标书解密，解锁完成后及时关注开标大厅，并在规定时间内登录网上开标大厅参与采购活动（具体操作流程详见《“苏采云”系统供应商操作手册》）。</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网上投标截止时间：2026年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日9:30（投标</w:t>
      </w:r>
      <w:r>
        <w:rPr>
          <w:rFonts w:hint="eastAsia" w:ascii="宋体" w:hAnsi="宋体"/>
          <w:color w:val="auto"/>
          <w:sz w:val="24"/>
          <w:szCs w:val="24"/>
          <w:highlight w:val="none"/>
        </w:rPr>
        <w:t xml:space="preserve">截止时间之后的投标文件恕不接受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日开启解密后的半小时。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“苏采云”系统（网址：https://jszfcg.jsczt.cn/jszc/login）</w:t>
      </w:r>
      <w:bookmarkEnd w:id="3"/>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hint="eastAsia"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（九）本次采购联系方式</w:t>
      </w:r>
      <w:r/>
    </w:p>
    <w:p>
      <w:pPr>
        <w:pStyle w:val="810"/>
        <w:ind w:firstLine="480"/>
        <w:spacing w:before="0" w:beforeAutospacing="0" w:after="0" w:afterAutospacing="0" w:line="360" w:lineRule="auto"/>
        <w:tabs>
          <w:tab w:val="left" w:pos="0" w:leader="none"/>
        </w:tabs>
        <w:rPr>
          <w:rFonts w:hint="eastAsia"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810"/>
        <w:ind w:firstLine="480"/>
        <w:spacing w:before="0" w:beforeAutospacing="0" w:after="0" w:afterAutospacing="0" w:line="360" w:lineRule="auto"/>
        <w:tabs>
          <w:tab w:val="left" w:pos="0" w:leader="none"/>
        </w:tabs>
        <w:rPr>
          <w:rFonts w:hint="eastAsia" w:cs="宋体"/>
          <w:color w:val="auto"/>
          <w:highlight w:val="none"/>
          <w:lang w:val="zh-CN"/>
        </w:rPr>
      </w:pPr>
      <w:r>
        <w:rPr>
          <w:rFonts w:hint="eastAsia" w:cs="宋体"/>
          <w:color w:val="auto"/>
          <w:highlight w:val="none"/>
          <w:lang w:val="zh-CN"/>
        </w:rPr>
        <w:t xml:space="preserve">采购人：无锡市新吴区人民政府新安街道办事处</w:t>
      </w:r>
      <w:r/>
    </w:p>
    <w:p>
      <w:pPr>
        <w:pStyle w:val="810"/>
        <w:ind w:firstLine="480"/>
        <w:spacing w:before="0" w:beforeAutospacing="0" w:after="0" w:afterAutospacing="0" w:line="360" w:lineRule="auto"/>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采购人地址：无锡市新吴区清晏路28-1</w:t>
      </w:r>
      <w:r/>
    </w:p>
    <w:p>
      <w:pPr>
        <w:pStyle w:val="810"/>
        <w:ind w:firstLine="480"/>
        <w:spacing w:before="0" w:beforeAutospacing="0" w:after="0" w:afterAutospacing="0" w:line="360" w:lineRule="auto"/>
        <w:tabs>
          <w:tab w:val="left" w:pos="0" w:leader="none"/>
        </w:tabs>
        <w:rPr>
          <w:rFonts w:hint="eastAsia" w:cs="宋体"/>
          <w:color w:val="auto"/>
          <w:highlight w:val="none"/>
        </w:rPr>
      </w:pPr>
      <w:r>
        <w:rPr>
          <w:rFonts w:hint="eastAsia" w:cs="宋体"/>
          <w:color w:val="auto"/>
          <w:highlight w:val="none"/>
          <w:lang w:val="zh-CN"/>
        </w:rPr>
        <w:t xml:space="preserve">联系人：</w:t>
      </w:r>
      <w:r>
        <w:rPr>
          <w:rFonts w:hint="eastAsia" w:cs="宋体"/>
          <w:color w:val="auto"/>
          <w:highlight w:val="none"/>
        </w:rPr>
        <w:t xml:space="preserve">鲍工</w:t>
      </w:r>
      <w:r/>
    </w:p>
    <w:p>
      <w:pPr>
        <w:pStyle w:val="810"/>
        <w:ind w:firstLine="480"/>
        <w:spacing w:before="0" w:beforeAutospacing="0" w:after="0" w:afterAutospacing="0" w:line="360" w:lineRule="auto"/>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w:t>
      </w:r>
      <w:r>
        <w:rPr>
          <w:rFonts w:hint="eastAsia" w:cs="宋体"/>
          <w:color w:val="auto"/>
          <w:highlight w:val="none"/>
          <w:lang w:val="en-US" w:eastAsia="zh-CN"/>
        </w:rPr>
        <w:t xml:space="preserve">0510-85383352</w:t>
      </w:r>
      <w:r/>
    </w:p>
    <w:p>
      <w:pPr>
        <w:pStyle w:val="810"/>
        <w:ind w:firstLine="480"/>
        <w:spacing w:before="0" w:beforeAutospacing="0" w:after="0" w:afterAutospacing="0" w:line="360" w:lineRule="auto"/>
        <w:tabs>
          <w:tab w:val="left" w:pos="0" w:leader="none"/>
        </w:tabs>
        <w:rPr>
          <w:rFonts w:hint="eastAsia" w:cs="宋体"/>
          <w:color w:val="auto"/>
          <w:highlight w:val="none"/>
          <w:lang w:val="zh-CN"/>
        </w:rPr>
      </w:pPr>
      <w:r>
        <w:rPr>
          <w:rFonts w:hint="eastAsia" w:cs="宋体"/>
          <w:color w:val="auto"/>
          <w:highlight w:val="none"/>
          <w:lang w:val="zh-CN"/>
        </w:rPr>
        <w:t xml:space="preserve">采购代理机构：江苏正源工程咨询有限责任公司</w:t>
      </w:r>
      <w:r/>
    </w:p>
    <w:p>
      <w:pPr>
        <w:pStyle w:val="810"/>
        <w:ind w:firstLine="480"/>
        <w:spacing w:before="0" w:beforeAutospacing="0" w:after="0" w:afterAutospacing="0" w:line="360" w:lineRule="auto"/>
        <w:tabs>
          <w:tab w:val="left" w:pos="0" w:leader="none"/>
        </w:tabs>
        <w:rPr>
          <w:rFonts w:hint="eastAsia" w:cs="宋体"/>
          <w:color w:val="auto"/>
          <w:highlight w:val="none"/>
          <w:lang w:val="zh-CN"/>
        </w:rPr>
      </w:pPr>
      <w:r>
        <w:rPr>
          <w:rFonts w:hint="eastAsia" w:cs="宋体"/>
          <w:color w:val="auto"/>
          <w:highlight w:val="none"/>
          <w:lang w:val="zh-CN"/>
        </w:rPr>
        <w:t xml:space="preserve">联系人：王洲银</w:t>
      </w:r>
      <w:r/>
    </w:p>
    <w:p>
      <w:pPr>
        <w:pStyle w:val="810"/>
        <w:ind w:firstLine="480"/>
        <w:spacing w:before="0" w:beforeAutospacing="0" w:after="0" w:afterAutospacing="0" w:line="360" w:lineRule="auto"/>
        <w:tabs>
          <w:tab w:val="left" w:pos="0" w:leader="none"/>
        </w:tabs>
        <w:rPr>
          <w:rFonts w:hint="eastAsia" w:cs="宋体"/>
          <w:color w:val="auto"/>
          <w:highlight w:val="none"/>
        </w:rPr>
      </w:pPr>
      <w:r>
        <w:rPr>
          <w:rFonts w:hint="eastAsia" w:cs="宋体"/>
          <w:color w:val="auto"/>
          <w:highlight w:val="none"/>
          <w:lang w:val="zh-CN"/>
        </w:rPr>
        <w:t xml:space="preserve">联系电话：18961820656</w:t>
      </w:r>
      <w:r/>
    </w:p>
    <w:p>
      <w:pPr>
        <w:pStyle w:val="810"/>
        <w:ind w:firstLine="480"/>
        <w:spacing w:before="0" w:beforeAutospacing="0" w:after="0" w:afterAutospacing="0" w:line="360" w:lineRule="auto"/>
        <w:tabs>
          <w:tab w:val="left" w:pos="0" w:leader="none"/>
        </w:tabs>
        <w:rPr>
          <w:rFonts w:hint="eastAsia" w:cs="宋体"/>
          <w:color w:val="auto"/>
          <w:highlight w:val="none"/>
          <w:lang w:val="zh-CN"/>
        </w:rPr>
      </w:pPr>
      <w:r>
        <w:rPr>
          <w:rFonts w:hint="eastAsia" w:cs="宋体"/>
          <w:color w:val="auto"/>
          <w:highlight w:val="none"/>
          <w:lang w:val="zh-CN"/>
        </w:rPr>
        <w:t xml:space="preserve">联系地址：无锡市锡山区浙大网新科技园47-804</w:t>
      </w:r>
      <w:r/>
    </w:p>
    <w:p>
      <w:pPr>
        <w:pStyle w:val="810"/>
        <w:ind w:firstLine="480"/>
        <w:spacing w:before="0" w:beforeAutospacing="0" w:after="0" w:afterAutospacing="0" w:line="360" w:lineRule="auto"/>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810"/>
        <w:ind w:firstLine="560"/>
        <w:jc w:val="center"/>
        <w:spacing w:before="0" w:beforeAutospacing="0" w:after="0" w:afterAutospacing="0" w:line="460" w:lineRule="exact"/>
        <w:tabs>
          <w:tab w:val="left" w:pos="0" w:leader="none"/>
        </w:tabs>
        <w:rPr>
          <w:rFonts w:hint="eastAsia"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4" w:name="_Toc6542"/>
      <w:r/>
      <w:bookmarkStart w:id="5" w:name="_Toc16518"/>
      <w:r>
        <w:rPr>
          <w:rFonts w:hint="eastAsia" w:ascii="黑体" w:eastAsia="黑体"/>
          <w:bCs/>
          <w:color w:val="auto"/>
          <w:sz w:val="28"/>
          <w:szCs w:val="28"/>
          <w:highlight w:val="none"/>
        </w:rPr>
        <w:t xml:space="preserve">二、投标供应商须知</w:t>
      </w:r>
      <w:bookmarkEnd w:id="4"/>
      <w:r/>
      <w:bookmarkEnd w:id="5"/>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招标文件中的“法定代表人”是指投标供应商营业执照上的“法定代表人”或相关部门登记证明文件中的“负责人”。</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投标供应商应在苏采云平台（https://jszfcg.jsczt.cn/jszc/login）下载招标文件及有关资料，按要求制作、上传投标文件，对招标文件各项内容做出实质性响应，否则投标无效。</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1.江苏正源工程咨询有限责任公司可在投标截止时间十五日前对招标文件进行必要的澄清或者修改，不足15日的，将顺延提交投标文件的截止时间。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2.如需对招标文件进行澄清或修正，江苏正源工程咨询有限责任公司将在江苏政府采购网、中国政府采购网发布更正公告，该澄清或修正的内容为招标文件的组成部分。投标供应商应在投标截止时间前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因投标供应商未尽注意义务，未及时更新上传投标文件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正源工程咨询有限责任公司将在收到符合上述要求的书面质疑后七个工作日内，对质疑内容作出答复。投标供应商在法定质疑期限外送达的质疑函或法定质疑期限内送达的质疑函不符合上述要求的均为无效质疑，江苏正源工程咨询有限责任公司对无效质疑不予受理。</w:t>
      </w:r>
      <w:r/>
    </w:p>
    <w:p>
      <w:pPr>
        <w:ind w:left="1200" w:hanging="72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接收单位：江苏正源工程咨询有限责任公司</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地址：无锡市锡山区浙大网新科技园47-804</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联系人：王洲银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电话：18961820656</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41"/>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41"/>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具有独立承担民事责任能力的投标供应商营业执照或相关部门的登记证明文件（投标供应商如</w:t>
      </w:r>
      <w:r>
        <w:rPr>
          <w:rFonts w:hint="eastAsia" w:ascii="宋体" w:hAnsi="宋体" w:cs="宋体"/>
          <w:color w:val="auto"/>
          <w:sz w:val="24"/>
          <w:szCs w:val="24"/>
          <w:highlight w:val="none"/>
        </w:rPr>
        <w:t xml:space="preserve">允许以分支机构身份参加投标的，提供投标供应商分支机构的营业执照</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供应商法定代表人身份证；</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供应商法定代表人授权代表身份证（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供应商近一年中任意一个月份（不含投标当月）的财务状况报告（资产负债表和利润表）或由会计师事务所出具的近两年（2024年或2025年）中任意一年度的审计报告和所附已审财务报告；</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供应商近一年中任意一个月份（不含投标当月）的依法缴纳税收的相关材料（提供相关主管部门证明或银行代扣证明）；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供应商近一年中任意一个月份（不含投标当月）的依法缴纳社会保障资金的相关材料（提供相关主管部门证明或银行代扣证明）；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详见“投标邀请函”-“投标供应商资格要求”之4中要求）</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供应商</w:t>
      </w:r>
      <w:r>
        <w:rPr>
          <w:rFonts w:ascii="宋体" w:hAnsi="宋体"/>
          <w:bCs/>
          <w:color w:val="auto"/>
          <w:sz w:val="24"/>
          <w:szCs w:val="24"/>
          <w:highlight w:val="none"/>
        </w:rPr>
        <w:t xml:space="preserve">如是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rPr>
          <w:rFonts w:hint="eastAsia" w:asci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6.主要人员配置表及拟派项目负责人简历表及设备配备表（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7.投标供应商基本情况声明（</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8.技术文件（暗标，内容参照评标办法）</w:t>
      </w:r>
      <w:r/>
    </w:p>
    <w:p>
      <w:pPr>
        <w:ind w:firstLine="482"/>
        <w:spacing w:line="360" w:lineRule="auto"/>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 xml:space="preserve">特别注意：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r/>
    </w:p>
    <w:p>
      <w:pPr>
        <w:ind w:firstLine="482"/>
        <w:spacing w:line="360" w:lineRule="auto"/>
        <w:rPr>
          <w:rFonts w:hint="eastAsia" w:ascii="宋体" w:hAnsi="宋体"/>
          <w:b/>
          <w:color w:val="auto"/>
          <w:sz w:val="24"/>
          <w:szCs w:val="21"/>
          <w:highlight w:val="none"/>
          <w:u w:val="single"/>
        </w:rPr>
      </w:pPr>
      <w:r>
        <w:rPr>
          <w:rFonts w:hint="eastAsia" w:ascii="宋体" w:hAnsi="宋体"/>
          <w:b/>
          <w:color w:val="auto"/>
          <w:sz w:val="24"/>
          <w:szCs w:val="21"/>
          <w:highlight w:val="none"/>
        </w:rPr>
        <w:t xml:space="preserve">不得有体现投标供应商身份的内容是指：</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①技术部分不得出现能够体现投标供应商身份、名称的相关描述、材料、文件等内容；</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②技术部分不得更改，不得在其中标注或做任何可以辨认投标供应商及所属人员身份的名称、印章、商标等标记；</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③技术部分应当版面整洁、字迹清楚、不许批注或进行底纹、阴影、水印等特殊设置，不得采用任何不符合常规、有别于其他投标供应商的特殊做法；</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④不得有其他体现投标人身份的内容。</w:t>
      </w:r>
      <w:r/>
    </w:p>
    <w:p>
      <w:pPr>
        <w:ind w:firstLine="480"/>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cs="Times New Roman"/>
          <w:b/>
          <w:color w:val="auto"/>
          <w:sz w:val="24"/>
          <w:szCs w:val="21"/>
          <w:highlight w:val="none"/>
          <w:lang w:val="en-US" w:eastAsia="zh-CN"/>
        </w:rPr>
        <w:t xml:space="preserve">⑤</w:t>
      </w:r>
      <w:r>
        <w:rPr>
          <w:rFonts w:hint="eastAsia" w:ascii="宋体" w:hAnsi="宋体" w:eastAsia="宋体" w:cs="Times New Roman"/>
          <w:b/>
          <w:color w:val="auto"/>
          <w:sz w:val="24"/>
          <w:szCs w:val="21"/>
          <w:highlight w:val="none"/>
          <w:lang w:val="en-US" w:eastAsia="zh-CN"/>
        </w:rPr>
        <w:t xml:space="preserve">字体、段落、页面布局的设置：</w:t>
      </w:r>
      <w:r/>
    </w:p>
    <w:p>
      <w:pPr>
        <w:ind w:firstLine="480"/>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字体：一级标题为宋体黑色二号字体，其余正文均采用宋体黑色小四号字体，不得出现手写。</w:t>
      </w:r>
      <w:r/>
    </w:p>
    <w:p>
      <w:pPr>
        <w:ind w:firstLine="480"/>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段落：使用1.5倍行间距、字间距标准。</w:t>
      </w:r>
      <w:r/>
    </w:p>
    <w:p>
      <w:pPr>
        <w:ind w:firstLine="480"/>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页面布局：不得设置页眉、页脚（系统自动生成页码除外），纸张方向纵向、不得有空白页、页面底色白色，分栏为一栏。</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9.评分标准中对应的其他所需证明材料（如有自行添加）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10.要求采购人提供的配合（如有自拟自行添加）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11.其他（报价人认为有必要提供的声明和文件，如有自拟自行添加）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1-7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所有文件、往来函件均应使用简体中文（规格、型号辅助符号除外）。</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投标供应商报价一律以人民币为投标结算货币，结算单位为“元”。</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投标供应商应由其法定代表人或法定代表人授权代表在规定的网上投标时间内，凭CA数字证书登录苏采云平台获取招标文件，在投标客户端制作投标文件（电子数据），并在投标截止时间之前上传投标文件。</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spacing w:line="360" w:lineRule="auto"/>
        <w:tabs>
          <w:tab w:val="left" w:pos="525" w:leader="none"/>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请投标供应商实时关注评标过程，一旦发现有询标函，请按时回复。如项目设置暗标，询标时无法通过系统以外途径通知投标单位，请投标供应商密切关注评标过程，因投标供应商未尽注意义务，而造成的损失及风险（包括但不限于未中标）由投标供应商自行承担。</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numPr>
          <w:ilvl w:val="0"/>
          <w:numId w:val="7"/>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投标供应商未按招标文件要求解密电子投标文件的；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投标供应商的法定代表人授权代表，无法定代表人授权委托书的；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7"/>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7"/>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电子投标文件中技术文件暗标部分有体现投标供应商身份的内容；</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不同投标供应商委托同一单位或者个人办理投标事宜的；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不同投标供应商的单位负责人为同一人或者存在直接控股、管理关系的；</w:t>
      </w:r>
      <w:r/>
    </w:p>
    <w:p>
      <w:pPr>
        <w:numPr>
          <w:ilvl w:val="0"/>
          <w:numId w:val="7"/>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7"/>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7"/>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7"/>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7"/>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（一）采购人应当在采购文件中明确，政府采购评审中出现下列情形之一的，评审委员会应当启动异常低价投标（响应）审查程序：</w:t>
      </w:r>
      <w:r/>
    </w:p>
    <w:p>
      <w:pPr>
        <w:ind w:firstLine="480"/>
        <w:spacing w:line="360" w:lineRule="auto"/>
        <w:tabs>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3.投标（响应）报价低于采购项目最高限价45%的，即投标（响应）报价&lt;采购项目最高限价×45%；</w:t>
      </w:r>
      <w:r/>
    </w:p>
    <w:p>
      <w:pPr>
        <w:ind w:firstLine="480"/>
        <w:spacing w:line="360" w:lineRule="auto"/>
        <w:tabs>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tabs>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b/>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
          <w:color w:val="auto"/>
          <w:sz w:val="24"/>
          <w:szCs w:val="24"/>
          <w:highlight w:val="none"/>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(三）财政部门在投诉处理、监督检查中发现评审委员会未按规定对异常低价开展审查的，依法予以纠正并追究评审专家的法律责任。</w:t>
      </w:r>
      <w:r/>
    </w:p>
    <w:p>
      <w:pPr>
        <w:numPr>
          <w:ilvl w:val="0"/>
          <w:numId w:val="7"/>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7"/>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7"/>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8"/>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确认后产生约束力，</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不确认的，其投标无效</w:t>
      </w:r>
      <w:r>
        <w:rPr>
          <w:rFonts w:hint="eastAsia" w:ascii="宋体" w:hAnsi="宋体"/>
          <w:bCs/>
          <w:color w:val="auto"/>
          <w:sz w:val="24"/>
          <w:szCs w:val="24"/>
          <w:highlight w:val="none"/>
        </w:rPr>
        <w:t xml:space="preserve">。</w:t>
      </w:r>
      <w:r/>
    </w:p>
    <w:p>
      <w:pPr>
        <w:numPr>
          <w:ilvl w:val="1"/>
          <w:numId w:val="8"/>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8"/>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投标供应商未参加开标的，视同认可开标结果。</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评标工作由代理机构负责组织，具体评标事务由依法组建的评标委员会负责。</w:t>
      </w:r>
      <w:r/>
    </w:p>
    <w:p>
      <w:pPr>
        <w:numPr>
          <w:ilvl w:val="0"/>
          <w:numId w:val="9"/>
        </w:numPr>
        <w:ind w:left="0" w:firstLine="523"/>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10"/>
        </w:numPr>
        <w:ind w:left="0" w:firstLine="523"/>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资格性检查</w:t>
      </w:r>
      <w:r>
        <w:rPr>
          <w:rFonts w:hint="eastAsia" w:ascii="宋体" w:hAnsi="宋体" w:cs="宋体"/>
          <w:bCs/>
          <w:color w:val="auto"/>
          <w:sz w:val="24"/>
          <w:szCs w:val="24"/>
          <w:highlight w:val="none"/>
        </w:rPr>
        <w:t xml:space="preserve">。采购人代表依据法律法规和招标文件的规定，对投标文件中的资格证明、投标（报价）承诺函等进行审查；通过“信用中国”网站（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10"/>
        </w:numPr>
        <w:ind w:left="0" w:firstLine="523"/>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符合性检查</w:t>
      </w:r>
      <w:r>
        <w:rPr>
          <w:rFonts w:hint="eastAsia" w:ascii="宋体" w:hAnsi="宋体" w:cs="宋体"/>
          <w:bCs/>
          <w:color w:val="auto"/>
          <w:sz w:val="24"/>
          <w:szCs w:val="24"/>
          <w:highlight w:val="none"/>
        </w:rPr>
        <w:t xml:space="preserve">。评标委员会依据招标文件的规定，从投标文件的有效性、完整性和对招标文件的响应程度进行审查，以确定是否对招标文件的实质性要求作出响应。</w:t>
      </w:r>
      <w:r/>
    </w:p>
    <w:p>
      <w:pPr>
        <w:pStyle w:val="780"/>
        <w:ind w:firstLine="48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注：关于符合本国产品标准的声明函：投标文件模板中关于符合本国产品标准的声明函不做要求，可不用填写具体内容，直接签章上传。</w:t>
      </w:r>
      <w:r/>
    </w:p>
    <w:p>
      <w:pPr>
        <w:numPr>
          <w:ilvl w:val="0"/>
          <w:numId w:val="9"/>
        </w:numPr>
        <w:ind w:left="0"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9"/>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比较与评价采用综合评分法。</w:t>
      </w:r>
      <w:r/>
    </w:p>
    <w:p>
      <w:pPr>
        <w:ind w:firstLine="523"/>
        <w:spacing w:line="360" w:lineRule="auto"/>
        <w:tabs>
          <w:tab w:val="left" w:pos="945" w:leader="none"/>
        </w:tabs>
        <w:rPr>
          <w:color w:val="auto"/>
          <w:highlight w:val="none"/>
        </w:rPr>
      </w:pPr>
      <w:r>
        <w:rPr>
          <w:rFonts w:hint="eastAsia" w:ascii="宋体" w:hAnsi="宋体"/>
          <w:bCs/>
          <w:color w:val="auto"/>
          <w:sz w:val="24"/>
          <w:szCs w:val="24"/>
          <w:highlight w:val="none"/>
        </w:rPr>
        <w:t xml:space="preserve">（2）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供应商。</w:t>
      </w:r>
      <w:r/>
    </w:p>
    <w:p>
      <w:pPr>
        <w:ind w:firstLine="523"/>
        <w:spacing w:line="360" w:lineRule="auto"/>
        <w:tabs>
          <w:tab w:val="left" w:pos="945" w:leader="none"/>
        </w:tabs>
        <w:rPr>
          <w:rFonts w:hint="eastAsia" w:ascii="宋体" w:hAnsi="宋体"/>
          <w:bCs/>
          <w:color w:val="auto"/>
          <w:sz w:val="24"/>
          <w:szCs w:val="24"/>
          <w:highlight w:val="none"/>
        </w:rPr>
      </w:pPr>
      <w:r/>
      <w:bookmarkStart w:id="6" w:name="_Hlk161324277"/>
      <w:r>
        <w:rPr>
          <w:rFonts w:hint="eastAsia" w:ascii="宋体" w:hAnsi="宋体"/>
          <w:bCs/>
          <w:color w:val="auto"/>
          <w:sz w:val="24"/>
          <w:szCs w:val="24"/>
          <w:highlight w:val="none"/>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6"/>
      <w:r/>
      <w:r/>
    </w:p>
    <w:p>
      <w:pPr>
        <w:numPr>
          <w:ilvl w:val="1"/>
          <w:numId w:val="8"/>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1"/>
        </w:numPr>
        <w:ind w:left="0"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代理公司将在江苏政府采购网、中国政府采购网发布中标公告。如有质疑，应在法定质疑期限内，即中标公告期限届满之日起7个工作日内，以书面形式（原件）送达江苏正源工程咨询有限责任公司，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代理公司将在收到符合上述要求的书面质疑后七个工作日内，对质疑内容作出答复。投标供应商在法定质疑期限外送达的质疑函或法定质疑期限内送达的质疑函不符合上述要求的均为无效质疑，江苏正源工程咨询有限责任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1"/>
        </w:numPr>
        <w:ind w:left="0"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江苏正源工程咨询有限责任公司向中标供应商发出中标通知书。</w:t>
      </w:r>
      <w:r/>
    </w:p>
    <w:p>
      <w:pPr>
        <w:numPr>
          <w:ilvl w:val="0"/>
          <w:numId w:val="11"/>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采取不正当手段诋毁、排挤其他供应商的；</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与采购人、其他供应商恶意串通的；</w:t>
      </w:r>
      <w:r/>
    </w:p>
    <w:p>
      <w:pPr>
        <w:numPr>
          <w:ilvl w:val="2"/>
          <w:numId w:val="8"/>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向采购人行贿或者提供其他不正当利益的；</w:t>
      </w:r>
      <w:r/>
    </w:p>
    <w:p>
      <w:pPr>
        <w:numPr>
          <w:ilvl w:val="2"/>
          <w:numId w:val="8"/>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在投标过程中与采购人进行协商谈判、不按照招标文件和中标供应商的投标文件订立合同，或者与采购人另行订立背离合同实质性内容的协议的；</w:t>
      </w:r>
      <w:r/>
    </w:p>
    <w:p>
      <w:pPr>
        <w:numPr>
          <w:ilvl w:val="2"/>
          <w:numId w:val="8"/>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4"/>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江苏正源工程咨询有限责任公司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江苏正源工程咨询有限责任公司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4"/>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江苏正源工程咨询有限责任公司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1.本项目招标代理服务费参照《招标代理服务收费管理暂行办法》(计价格[2002] 1980 号)，以中标金额为计费基础，按差额定率累进法计算：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color w:val="auto"/>
          <w:sz w:val="24"/>
          <w:highlight w:val="none"/>
        </w:rPr>
        <w:t xml:space="preserve">，500万-1000万费率为0.45%，1000万-5000万费率为0.25%</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1.中标、成交供应商可采用合同融资形式，中标人可凭政府采购合同办理融资贷款，详见无锡政府采购网“政采贷”专栏。</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 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也可通过无锡政府采购网、“苏采云”系统链接访问（首次使用需注册）。</w:t>
      </w:r>
      <w:r/>
    </w:p>
    <w:p>
      <w:pPr>
        <w:ind w:firstLine="480"/>
        <w:spacing w:line="360" w:lineRule="auto"/>
        <w:rPr>
          <w:rFonts w:ascii="Calibri" w:hAnsi="Calibri"/>
          <w:color w:val="auto"/>
          <w:sz w:val="24"/>
          <w:szCs w:val="24"/>
          <w:highlight w:val="none"/>
        </w:rPr>
      </w:pPr>
      <w:r>
        <w:rPr>
          <w:rFonts w:hint="eastAsia" w:ascii="宋体" w:hAnsi="宋体" w:cs="宋体"/>
          <w:color w:val="auto"/>
          <w:sz w:val="24"/>
          <w:szCs w:val="24"/>
          <w:highlight w:val="none"/>
        </w:rPr>
        <w:t xml:space="preserve">3.有关中小企业政策，如落实政府采购政策需满足的资格要求以及落实政府采购政策的价格调整的相关内容可详见本文件其他章节。</w:t>
      </w:r>
      <w:r>
        <w:rPr>
          <w:rFonts w:hint="eastAsia" w:ascii="宋体" w:hAnsi="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w:t>
      </w:r>
      <w:r>
        <w:rPr>
          <w:rFonts w:hint="eastAsia" w:ascii="宋体" w:hAnsi="宋体" w:cs="宋体"/>
          <w:color w:val="auto"/>
          <w:sz w:val="24"/>
          <w:szCs w:val="24"/>
          <w:highlight w:val="none"/>
        </w:rPr>
        <w:t xml:space="preserve">的信息除外。</w:t>
      </w:r>
      <w:r/>
    </w:p>
    <w:p>
      <w:pPr>
        <w:numPr>
          <w:ilvl w:val="0"/>
          <w:numId w:val="15"/>
        </w:numPr>
        <w:jc w:val="center"/>
        <w:spacing w:line="360" w:lineRule="auto"/>
        <w:rPr>
          <w:rFonts w:ascii="黑体" w:eastAsia="黑体"/>
          <w:b/>
          <w:color w:val="auto"/>
          <w:sz w:val="30"/>
          <w:szCs w:val="30"/>
          <w:highlight w:val="none"/>
        </w:rPr>
        <w:outlineLvl w:val="0"/>
      </w:pPr>
      <w:r>
        <w:rPr>
          <w:rFonts w:ascii="黑体" w:eastAsia="黑体"/>
          <w:bCs/>
          <w:color w:val="auto"/>
          <w:sz w:val="30"/>
          <w:szCs w:val="30"/>
          <w:highlight w:val="none"/>
        </w:rPr>
        <w:br w:type="page" w:clear="all"/>
      </w:r>
      <w:bookmarkStart w:id="7" w:name="_Toc12747"/>
      <w:r/>
      <w:bookmarkStart w:id="8" w:name="_Toc6851"/>
      <w:r>
        <w:rPr>
          <w:rFonts w:hint="eastAsia" w:ascii="黑体" w:eastAsia="黑体"/>
          <w:b/>
          <w:color w:val="auto"/>
          <w:sz w:val="30"/>
          <w:szCs w:val="30"/>
          <w:highlight w:val="none"/>
        </w:rPr>
        <w:t xml:space="preserve">项目技术要求和有关说明</w:t>
      </w:r>
      <w:bookmarkEnd w:id="7"/>
      <w:r/>
      <w:bookmarkEnd w:id="8"/>
      <w:r/>
      <w:r/>
    </w:p>
    <w:p>
      <w:pPr>
        <w:spacing w:line="440" w:lineRule="exact"/>
        <w:widowControl/>
        <w:rPr>
          <w:rFonts w:hint="eastAsia" w:ascii="宋体" w:hAnsi="宋体" w:cs="Arial"/>
          <w:b/>
          <w:color w:val="auto"/>
          <w:sz w:val="24"/>
          <w:szCs w:val="24"/>
          <w:highlight w:val="none"/>
        </w:rPr>
      </w:pPr>
      <w:r/>
      <w:bookmarkStart w:id="9" w:name="_Toc32088"/>
      <w:r/>
      <w:bookmarkStart w:id="10" w:name="_Toc29141"/>
      <w:r>
        <w:rPr>
          <w:rFonts w:hint="eastAsia" w:ascii="宋体" w:hAnsi="宋体" w:cs="Arial"/>
          <w:b/>
          <w:color w:val="auto"/>
          <w:sz w:val="24"/>
          <w:szCs w:val="24"/>
          <w:highlight w:val="none"/>
        </w:rPr>
        <w:t xml:space="preserve">一、采购标的需实现的功能或者目标，以及为落实政府采购政策需满足的要求：</w:t>
      </w:r>
      <w:r/>
    </w:p>
    <w:p>
      <w:pPr>
        <w:ind w:left="6" w:firstLine="476"/>
        <w:spacing w:before="156" w:line="36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1.采购标的需实现的功能或者目标：本项目为太科园(新安街道)河道水生态长效运维养护项目，为保障太科园片区河道水生态修复项目的建设成果，现需开展对太科园(新安街道)大溪港、翡翠河、孟巷河、兴源河、清水河、谈家桥河、三河港、面杖港、夹洚上河、莫家桥河（夹洚上河西段）、袁塘桥河、大坟头河、车尚桥河、华甲里河、六步港、秀景路河、老人桥浜、汗巾头浜、三房桥河、新库港、具区河、高墩港、新开港、三河港河道进行水生态长效运维养护，涉及水域总面积约81.3万平方米。</w:t>
      </w:r>
      <w:r/>
    </w:p>
    <w:p>
      <w:pPr>
        <w:ind w:left="6" w:firstLine="476"/>
        <w:spacing w:before="156" w:line="36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2.为落实政府采购政策需满足的要求：</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本项目是否专门面向中小企业：否；</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不专门面向中小/小微企业的项目，做价格扣除。</w:t>
      </w:r>
      <w:r/>
    </w:p>
    <w:p>
      <w:pPr>
        <w:ind w:firstLine="480"/>
        <w:jc w:val="left"/>
        <w:spacing w:line="360" w:lineRule="auto"/>
        <w:rPr>
          <w:rFonts w:hint="eastAsia" w:ascii="宋体" w:hAnsi="宋体"/>
          <w:bCs/>
          <w:color w:val="auto"/>
          <w:sz w:val="24"/>
          <w:szCs w:val="24"/>
          <w:highlight w:val="none"/>
        </w:rPr>
      </w:pPr>
      <w:r>
        <w:rPr>
          <w:rFonts w:ascii="Calibri" w:hAnsi="Calibri" w:cs="Calibri"/>
          <w:bCs/>
          <w:color w:val="auto"/>
          <w:sz w:val="24"/>
          <w:szCs w:val="24"/>
          <w:highlight w:val="none"/>
        </w:rPr>
        <w:t xml:space="preserve">①</w:t>
      </w:r>
      <w:r>
        <w:rPr>
          <w:rFonts w:hint="eastAsia" w:ascii="宋体" w:hAnsi="宋体"/>
          <w:bCs/>
          <w:color w:val="auto"/>
          <w:sz w:val="24"/>
          <w:szCs w:val="24"/>
          <w:highlight w:val="none"/>
        </w:rPr>
        <w:t xml:space="preserve">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hint="eastAsia" w:ascii="宋体" w:hAnsi="宋体"/>
          <w:bCs/>
          <w:color w:val="auto"/>
          <w:sz w:val="24"/>
          <w:szCs w:val="24"/>
          <w:highlight w:val="none"/>
        </w:rPr>
      </w:pPr>
      <w:r>
        <w:rPr>
          <w:rFonts w:ascii="Calibri" w:hAnsi="Calibri" w:cs="Calibri"/>
          <w:bCs/>
          <w:color w:val="auto"/>
          <w:sz w:val="24"/>
          <w:szCs w:val="24"/>
          <w:highlight w:val="none"/>
        </w:rPr>
        <w:t xml:space="preserve">②</w:t>
      </w:r>
      <w:r>
        <w:rPr>
          <w:rFonts w:hint="eastAsia" w:ascii="宋体" w:hAnsi="宋体"/>
          <w:bCs/>
          <w:color w:val="auto"/>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hint="eastAsia" w:ascii="宋体" w:hAnsi="宋体"/>
          <w:bCs/>
          <w:color w:val="auto"/>
          <w:sz w:val="24"/>
          <w:szCs w:val="24"/>
          <w:highlight w:val="none"/>
        </w:rPr>
      </w:pPr>
      <w:r>
        <w:rPr>
          <w:rFonts w:ascii="Calibri" w:hAnsi="Calibri" w:cs="Calibri"/>
          <w:bCs/>
          <w:color w:val="auto"/>
          <w:sz w:val="24"/>
          <w:szCs w:val="24"/>
          <w:highlight w:val="none"/>
        </w:rPr>
        <w:t xml:space="preserve">③</w:t>
      </w:r>
      <w:r>
        <w:rPr>
          <w:rFonts w:hint="eastAsia" w:ascii="宋体" w:hAnsi="宋体"/>
          <w:bCs/>
          <w:color w:val="auto"/>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6" w:firstLine="476"/>
        <w:spacing w:before="156" w:line="360" w:lineRule="auto"/>
        <w:rPr>
          <w:rFonts w:hint="eastAsia" w:ascii="宋体" w:hAnsi="宋体" w:cs="Arial"/>
          <w:color w:val="auto"/>
          <w:sz w:val="24"/>
          <w:szCs w:val="24"/>
          <w:highlight w:val="none"/>
        </w:rPr>
      </w:pPr>
      <w:r>
        <w:rPr>
          <w:rFonts w:hint="eastAsia" w:ascii="Calibri" w:hAnsi="Calibri" w:cs="Calibri"/>
          <w:bCs/>
          <w:color w:val="auto"/>
          <w:sz w:val="24"/>
          <w:szCs w:val="24"/>
          <w:highlight w:val="none"/>
        </w:rPr>
        <w:t xml:space="preserve">④残疾人福</w:t>
      </w:r>
      <w:r>
        <w:rPr>
          <w:rFonts w:hint="eastAsia" w:ascii="宋体" w:hAnsi="宋体"/>
          <w:bCs/>
          <w:color w:val="auto"/>
          <w:sz w:val="24"/>
          <w:szCs w:val="24"/>
          <w:highlight w:val="none"/>
        </w:rPr>
        <w:t xml:space="preserve">利单位、监狱企业属于小型、微型企业的，不重复享受政策。</w:t>
      </w:r>
      <w:r/>
    </w:p>
    <w:p>
      <w:pPr>
        <w:spacing w:line="360" w:lineRule="auto"/>
        <w:rPr>
          <w:rFonts w:hint="eastAsia" w:ascii="宋体" w:hAnsi="宋体" w:cs="Arial"/>
          <w:b/>
          <w:color w:val="auto"/>
          <w:sz w:val="24"/>
          <w:szCs w:val="24"/>
          <w:highlight w:val="none"/>
        </w:rPr>
      </w:pPr>
      <w:r>
        <w:rPr>
          <w:rFonts w:hint="eastAsia" w:ascii="宋体" w:hAnsi="宋体" w:cs="宋体"/>
          <w:b/>
          <w:bCs/>
          <w:color w:val="auto"/>
          <w:sz w:val="24"/>
          <w:szCs w:val="24"/>
          <w:highlight w:val="none"/>
        </w:rPr>
        <w:t xml:space="preserve">二、</w:t>
      </w:r>
      <w:r>
        <w:rPr>
          <w:rFonts w:hint="eastAsia" w:ascii="宋体" w:hAnsi="宋体" w:cs="Arial"/>
          <w:b/>
          <w:color w:val="auto"/>
          <w:sz w:val="24"/>
          <w:szCs w:val="24"/>
          <w:highlight w:val="none"/>
        </w:rPr>
        <w:t xml:space="preserve">采购标的概况、采购项目交付或者实施的时间、地点、内容及要求：</w:t>
      </w:r>
      <w:r/>
    </w:p>
    <w:p>
      <w:pPr>
        <w:ind w:firstLine="482"/>
        <w:spacing w:line="360" w:lineRule="auto"/>
        <w:rPr>
          <w:rFonts w:hint="eastAsia" w:ascii="宋体" w:hAnsi="宋体" w:cs="Arial"/>
          <w:color w:val="auto"/>
          <w:sz w:val="24"/>
          <w:szCs w:val="24"/>
          <w:highlight w:val="none"/>
        </w:rPr>
      </w:pPr>
      <w:r>
        <w:rPr>
          <w:rFonts w:hint="eastAsia" w:ascii="宋体" w:hAnsi="宋体" w:cs="Arial"/>
          <w:b/>
          <w:bCs/>
          <w:color w:val="auto"/>
          <w:sz w:val="24"/>
          <w:szCs w:val="24"/>
          <w:highlight w:val="none"/>
        </w:rPr>
        <w:t xml:space="preserve">1.项目名称：</w:t>
      </w:r>
      <w:r>
        <w:rPr>
          <w:rFonts w:hint="eastAsia" w:ascii="宋体" w:hAnsi="宋体" w:cs="Arial"/>
          <w:color w:val="auto"/>
          <w:sz w:val="24"/>
          <w:szCs w:val="24"/>
          <w:highlight w:val="none"/>
        </w:rPr>
        <w:t xml:space="preserve">太科园（新安街道)河道水生态长效运维养护项目</w:t>
      </w:r>
      <w:r/>
    </w:p>
    <w:p>
      <w:pPr>
        <w:ind w:firstLine="482"/>
        <w:spacing w:line="360" w:lineRule="auto"/>
        <w:rPr>
          <w:rFonts w:hint="eastAsia" w:ascii="宋体" w:hAnsi="宋体" w:cs="Arial"/>
          <w:color w:val="auto"/>
          <w:sz w:val="24"/>
          <w:szCs w:val="24"/>
          <w:highlight w:val="none"/>
        </w:rPr>
      </w:pPr>
      <w:r>
        <w:rPr>
          <w:rFonts w:hint="eastAsia" w:ascii="宋体" w:hAnsi="宋体" w:cs="Arial"/>
          <w:b/>
          <w:bCs/>
          <w:color w:val="auto"/>
          <w:sz w:val="24"/>
          <w:szCs w:val="24"/>
          <w:highlight w:val="none"/>
        </w:rPr>
        <w:t xml:space="preserve">2.采购项目概况：</w:t>
      </w:r>
      <w:r>
        <w:rPr>
          <w:rFonts w:hint="eastAsia" w:ascii="宋体" w:hAnsi="宋体" w:cs="Arial"/>
          <w:color w:val="auto"/>
          <w:sz w:val="24"/>
          <w:szCs w:val="24"/>
          <w:highlight w:val="none"/>
        </w:rPr>
        <w:t xml:space="preserve">本项目为太科园(新安街道)河道水生态长效运维养护项目，对大溪港、夹洚上河、清水河、面杖港、袁塘桥河、华甲里河、三河港、具区河、翡翠河、兴源河、谈家河、高墩港、车尚桥河、三房桥河、秀景路河、老人桥浜、六步港、莫家桥河（夹洚上河西段）、新开港、新库港、汗巾头浜、大坟头河等河道进行水生态长效运维养护，涉及水域总面积约81.3万平方米，具体详见河道清单。</w:t>
      </w:r>
      <w:r/>
    </w:p>
    <w:p>
      <w:pPr>
        <w:ind w:firstLine="482"/>
        <w:spacing w:line="360" w:lineRule="auto"/>
        <w:rPr>
          <w:rFonts w:hint="eastAsia" w:ascii="宋体" w:hAnsi="宋体" w:cs="Arial"/>
          <w:color w:val="auto"/>
          <w:sz w:val="24"/>
          <w:szCs w:val="24"/>
          <w:highlight w:val="none"/>
        </w:rPr>
      </w:pPr>
      <w:r>
        <w:rPr>
          <w:rFonts w:hint="eastAsia" w:ascii="宋体" w:hAnsi="宋体" w:cs="Arial"/>
          <w:b/>
          <w:bCs/>
          <w:color w:val="auto"/>
          <w:sz w:val="24"/>
          <w:szCs w:val="24"/>
          <w:highlight w:val="none"/>
        </w:rPr>
        <w:t xml:space="preserve">3.服务期：</w:t>
      </w:r>
      <w:r>
        <w:rPr>
          <w:rFonts w:hint="eastAsia" w:ascii="宋体" w:hAnsi="宋体" w:cs="Arial"/>
          <w:color w:val="auto"/>
          <w:sz w:val="24"/>
          <w:szCs w:val="24"/>
          <w:highlight w:val="none"/>
        </w:rPr>
        <w:t xml:space="preserve">一期河道（7条）24个月，二期河道（18条）20个月，具体起始日期以合同签订日期为准。</w:t>
      </w:r>
      <w:r/>
    </w:p>
    <w:p>
      <w:pPr>
        <w:ind w:firstLine="482"/>
        <w:spacing w:line="360" w:lineRule="auto"/>
        <w:rPr>
          <w:rFonts w:hint="eastAsia" w:ascii="宋体" w:hAnsi="宋体" w:cs="Arial"/>
          <w:b/>
          <w:bCs/>
          <w:color w:val="auto"/>
          <w:sz w:val="24"/>
          <w:szCs w:val="24"/>
          <w:highlight w:val="none"/>
        </w:rPr>
      </w:pPr>
      <w:r>
        <w:rPr>
          <w:rFonts w:hint="eastAsia" w:ascii="宋体" w:hAnsi="宋体" w:cs="Arial"/>
          <w:b/>
          <w:bCs/>
          <w:color w:val="auto"/>
          <w:sz w:val="24"/>
          <w:szCs w:val="24"/>
          <w:highlight w:val="none"/>
        </w:rPr>
        <w:t xml:space="preserve">4.服务质量标准：</w:t>
      </w:r>
      <w:r/>
    </w:p>
    <w:p>
      <w:pPr>
        <w:ind w:firstLine="482"/>
        <w:spacing w:line="36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（1）水质要求：河道年平均水质主要指标(氨氮、总磷、高锰酸盐指数、化学需氧量等)稳定达到地表Ⅲ类水标准，同时满足上级各项要求，透明度不低于80cm。（由环保部门提供相关水质数据）。</w:t>
      </w:r>
      <w:r/>
    </w:p>
    <w:p>
      <w:pPr>
        <w:ind w:firstLine="482"/>
        <w:spacing w:line="36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2）考核断面内的河道，要求河道水体达到或优于国家《地表水环境质量标准》（GB3838-2002）Ⅲ类水质标准；不在考核断面内的河道，以街道抽测河道断面快检指标为依据（仅检测氨氮指标），要求河道水体达到或优于国家《地表水环境质量标准》（GB3838-2002）Ⅲ类水质标准。</w:t>
      </w:r>
      <w:r/>
    </w:p>
    <w:p>
      <w:pPr>
        <w:ind w:firstLine="482"/>
        <w:spacing w:line="36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（3）生态要求：水生态系统结构稳定、功能完善，持续保持无</w:t>
      </w:r>
      <w:r>
        <w:rPr>
          <w:rFonts w:hint="eastAsia" w:ascii="宋体" w:hAnsi="宋体" w:cs="Arial"/>
          <w:color w:val="auto"/>
          <w:sz w:val="24"/>
          <w:szCs w:val="24"/>
          <w:highlight w:val="none"/>
          <w:lang w:eastAsia="zh-CN"/>
        </w:rPr>
        <w:t xml:space="preserve">藻类暴发</w:t>
      </w:r>
      <w:r>
        <w:rPr>
          <w:rFonts w:hint="eastAsia" w:ascii="宋体" w:hAnsi="宋体" w:cs="Arial"/>
          <w:color w:val="auto"/>
          <w:sz w:val="24"/>
          <w:szCs w:val="24"/>
          <w:highlight w:val="none"/>
        </w:rPr>
        <w:t xml:space="preserve">；</w:t>
      </w:r>
      <w:r/>
    </w:p>
    <w:p>
      <w:pPr>
        <w:ind w:firstLine="482"/>
        <w:spacing w:line="36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（4）设备要求：设施设备完整，运行正常，符合行业合格标准；</w:t>
      </w:r>
      <w:r/>
    </w:p>
    <w:p>
      <w:pPr>
        <w:ind w:firstLine="482"/>
        <w:spacing w:line="36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（5）服务质量：达到国家及行业合格标准及采购人考核合格要求；</w:t>
      </w:r>
      <w:r/>
    </w:p>
    <w:p>
      <w:pPr>
        <w:ind w:firstLine="482"/>
        <w:spacing w:line="36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5.</w:t>
      </w:r>
      <w:r>
        <w:rPr>
          <w:rFonts w:hint="eastAsia" w:ascii="宋体" w:hAnsi="宋体" w:cs="Arial"/>
          <w:color w:val="auto"/>
          <w:sz w:val="24"/>
          <w:szCs w:val="24"/>
          <w:highlight w:val="none"/>
          <w:lang w:eastAsia="zh-CN"/>
        </w:rPr>
        <w:t xml:space="preserve">实施</w:t>
      </w:r>
      <w:r>
        <w:rPr>
          <w:rFonts w:hint="eastAsia" w:ascii="宋体" w:hAnsi="宋体" w:cs="Arial"/>
          <w:color w:val="auto"/>
          <w:sz w:val="24"/>
          <w:szCs w:val="24"/>
          <w:highlight w:val="none"/>
        </w:rPr>
        <w:t xml:space="preserve">地点：无锡市新吴区；</w:t>
      </w:r>
      <w:r/>
    </w:p>
    <w:p>
      <w:pPr>
        <w:ind w:firstLine="482"/>
        <w:spacing w:line="36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6.付款方式：</w:t>
      </w:r>
      <w:r/>
    </w:p>
    <w:p>
      <w:pPr>
        <w:ind w:firstLine="482"/>
        <w:spacing w:line="36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费用支付方式：</w:t>
      </w:r>
      <w:r>
        <w:rPr>
          <w:rFonts w:hint="eastAsia" w:ascii="宋体" w:hAnsi="宋体" w:cs="宋体"/>
          <w:color w:val="auto"/>
          <w:sz w:val="24"/>
          <w:highlight w:val="none"/>
        </w:rPr>
        <w:t xml:space="preserve">合同签订后预付合同金额（即中标金额）的10%，</w:t>
      </w:r>
      <w:r>
        <w:rPr>
          <w:rFonts w:hint="eastAsia" w:ascii="宋体" w:hAnsi="宋体" w:cs="Arial"/>
          <w:color w:val="auto"/>
          <w:sz w:val="24"/>
          <w:szCs w:val="24"/>
          <w:highlight w:val="none"/>
        </w:rPr>
        <w:t xml:space="preserve">每月由采购人对项目运维养护情况进行考核，考核标准依据《附件二：太科园（新安街道）河道水生态长效运维养护考核评分标准》。按照考核结果</w:t>
      </w:r>
      <w:r>
        <w:rPr>
          <w:rFonts w:hint="eastAsia" w:ascii="宋体" w:hAnsi="宋体" w:cs="Arial"/>
          <w:color w:val="auto"/>
          <w:sz w:val="24"/>
          <w:szCs w:val="24"/>
          <w:highlight w:val="none"/>
          <w:lang w:val="en-US" w:eastAsia="zh-CN"/>
        </w:rPr>
        <w:t xml:space="preserve">及其他相关要求</w:t>
      </w:r>
      <w:r>
        <w:rPr>
          <w:rFonts w:hint="eastAsia" w:ascii="宋体" w:hAnsi="宋体" w:cs="Arial"/>
          <w:color w:val="auto"/>
          <w:sz w:val="24"/>
          <w:szCs w:val="24"/>
          <w:highlight w:val="none"/>
        </w:rPr>
        <w:t xml:space="preserve">每季度进行支付，其中10%的预付款在第一、第二季度支付款项中分两次扣除。付款时中标供应商向采购人开具符合采购人财务部门要求的发票，采购人应当在收到发票后向中标供应商支付当期服务费。</w:t>
      </w:r>
      <w:r/>
    </w:p>
    <w:p>
      <w:pPr>
        <w:spacing w:line="360" w:lineRule="auto"/>
        <w:rPr>
          <w:rFonts w:hint="eastAsia" w:ascii="宋体" w:hAnsi="宋体" w:cs="Arial"/>
          <w:b/>
          <w:color w:val="auto"/>
          <w:sz w:val="24"/>
          <w:szCs w:val="24"/>
          <w:highlight w:val="none"/>
        </w:rPr>
      </w:pPr>
      <w:r/>
      <w:bookmarkStart w:id="11" w:name="_Toc13024"/>
      <w:r>
        <w:rPr>
          <w:rFonts w:hint="eastAsia" w:ascii="宋体" w:hAnsi="宋体" w:cs="Arial"/>
          <w:b/>
          <w:color w:val="auto"/>
          <w:sz w:val="24"/>
          <w:szCs w:val="24"/>
          <w:highlight w:val="none"/>
        </w:rPr>
        <w:t xml:space="preserve">三、采购标的需满足的内容要求：</w:t>
      </w:r>
      <w:bookmarkEnd w:id="11"/>
      <w:r/>
      <w:r/>
    </w:p>
    <w:p>
      <w:pPr>
        <w:ind w:firstLine="480"/>
        <w:spacing w:line="360" w:lineRule="auto"/>
        <w:tabs>
          <w:tab w:val="left" w:pos="105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（一）养护内容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养护内容包括但不限于水质达标维护、水生植物养护、河面保洁养护、外来物种防治、生物多样性维护、突发应急处置、沉水曝气设备维护、生态拦截网设施维护、围隔设施维护、纳米曝气设备维护、活水泵站设备运维、初雨调蓄设施维护、氮磷净化设备养护、水质自动监测站运维、流量监测、水文监测、监控等水质保护相关的设施设备以及智能化设备运维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设施设备规格参数如下：</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409"/>
        <w:gridCol w:w="7678"/>
      </w:tblGrid>
      <w:tr>
        <w:trPr/>
        <w:tc>
          <w:tcPr>
            <w:tcW w:w="657" w:type="dxa"/>
            <w:vAlign w:val="center"/>
            <w:textDirection w:val="lrTb"/>
            <w:noWrap w:val="false"/>
          </w:tcPr>
          <w:p>
            <w:pPr>
              <w:jc w:val="center"/>
              <w:rPr>
                <w:color w:val="auto"/>
                <w:highlight w:val="none"/>
              </w:rPr>
            </w:pPr>
            <w:r>
              <w:rPr>
                <w:rFonts w:hint="eastAsia"/>
                <w:color w:val="auto"/>
                <w:highlight w:val="none"/>
              </w:rPr>
              <w:t xml:space="preserve">序号</w:t>
            </w:r>
            <w:r/>
          </w:p>
        </w:tc>
        <w:tc>
          <w:tcPr>
            <w:tcW w:w="1436" w:type="dxa"/>
            <w:vAlign w:val="center"/>
            <w:textDirection w:val="lrTb"/>
            <w:noWrap w:val="false"/>
          </w:tcPr>
          <w:p>
            <w:pPr>
              <w:jc w:val="center"/>
              <w:rPr>
                <w:color w:val="auto"/>
                <w:highlight w:val="none"/>
              </w:rPr>
            </w:pPr>
            <w:r>
              <w:rPr>
                <w:rFonts w:hint="eastAsia"/>
                <w:color w:val="auto"/>
                <w:highlight w:val="none"/>
              </w:rPr>
              <w:t xml:space="preserve">设施设备名称</w:t>
            </w:r>
            <w:r/>
          </w:p>
        </w:tc>
        <w:tc>
          <w:tcPr>
            <w:tcW w:w="7869" w:type="dxa"/>
            <w:vAlign w:val="center"/>
            <w:textDirection w:val="lrTb"/>
            <w:noWrap w:val="false"/>
          </w:tcPr>
          <w:p>
            <w:pPr>
              <w:jc w:val="center"/>
              <w:rPr>
                <w:color w:val="auto"/>
                <w:highlight w:val="none"/>
              </w:rPr>
            </w:pPr>
            <w:r>
              <w:rPr>
                <w:rFonts w:hint="eastAsia"/>
                <w:color w:val="auto"/>
                <w:highlight w:val="none"/>
              </w:rPr>
              <w:t xml:space="preserve">规格参数</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生态拦截网设施维护</w:t>
            </w:r>
            <w:r/>
          </w:p>
        </w:tc>
        <w:tc>
          <w:tcPr>
            <w:tcW w:w="7869" w:type="dxa"/>
            <w:vAlign w:val="center"/>
            <w:textDirection w:val="lrTb"/>
            <w:noWrap w:val="false"/>
          </w:tcPr>
          <w:p>
            <w:pPr>
              <w:rPr>
                <w:color w:val="auto"/>
                <w:highlight w:val="none"/>
              </w:rPr>
            </w:pPr>
            <w:r>
              <w:rPr>
                <w:rFonts w:hint="eastAsia"/>
                <w:color w:val="auto"/>
                <w:highlight w:val="none"/>
              </w:rPr>
              <w:t xml:space="preserve">1、浮球，直径Φ100mm，用Φ10mm聚乙烯新绳串穿</w:t>
            </w:r>
            <w:r>
              <w:rPr>
                <w:rFonts w:hint="eastAsia"/>
                <w:color w:val="auto"/>
                <w:highlight w:val="none"/>
              </w:rPr>
              <w:br/>
            </w:r>
            <w:r>
              <w:rPr>
                <w:rFonts w:hint="eastAsia"/>
                <w:color w:val="auto"/>
                <w:highlight w:val="none"/>
              </w:rPr>
              <w:t xml:space="preserve">2、18股网孔10mm密渔网，与浮球用Φ3mm聚乙烯新绳扎紧，间隔300mm</w:t>
            </w:r>
            <w:r>
              <w:rPr>
                <w:rFonts w:hint="eastAsia"/>
                <w:color w:val="auto"/>
                <w:highlight w:val="none"/>
              </w:rPr>
              <w:br/>
            </w:r>
            <w:r>
              <w:rPr>
                <w:rFonts w:hint="eastAsia"/>
                <w:color w:val="auto"/>
                <w:highlight w:val="none"/>
              </w:rPr>
              <w:t xml:space="preserve">3、底部配重沙袋，直径Φ80mm</w:t>
            </w:r>
            <w:r>
              <w:rPr>
                <w:rFonts w:hint="eastAsia"/>
                <w:color w:val="auto"/>
                <w:highlight w:val="none"/>
              </w:rPr>
              <w:br/>
            </w:r>
            <w:r>
              <w:rPr>
                <w:rFonts w:hint="eastAsia"/>
                <w:color w:val="auto"/>
                <w:highlight w:val="none"/>
              </w:rPr>
              <w:t xml:space="preserve">4、间隔3-5m，DN50镀锌钢管桩</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生态围隔设施维护</w:t>
            </w:r>
            <w:r/>
          </w:p>
        </w:tc>
        <w:tc>
          <w:tcPr>
            <w:tcW w:w="7869" w:type="dxa"/>
            <w:vAlign w:val="center"/>
            <w:textDirection w:val="lrTb"/>
            <w:noWrap w:val="false"/>
          </w:tcPr>
          <w:p>
            <w:pPr>
              <w:rPr>
                <w:color w:val="auto"/>
                <w:highlight w:val="none"/>
              </w:rPr>
            </w:pPr>
            <w:r>
              <w:rPr>
                <w:rFonts w:hint="eastAsia"/>
                <w:color w:val="auto"/>
                <w:highlight w:val="none"/>
              </w:rPr>
              <w:t xml:space="preserve">1、浮体采用PVC布，PVC布内分节填充加密泡沫，PVC围隔浮体长度750mm，直径150mm，16个/20m</w:t>
            </w:r>
            <w:r>
              <w:rPr>
                <w:rFonts w:hint="eastAsia"/>
                <w:color w:val="auto"/>
                <w:highlight w:val="none"/>
              </w:rPr>
              <w:br/>
            </w:r>
            <w:r>
              <w:rPr>
                <w:rFonts w:hint="eastAsia"/>
                <w:color w:val="auto"/>
                <w:highlight w:val="none"/>
              </w:rPr>
              <w:t xml:space="preserve">2、DN80热镀锌钢管桩，深绿色PVC布，每隔5.0m固定</w:t>
            </w:r>
            <w:r>
              <w:rPr>
                <w:rFonts w:hint="eastAsia"/>
                <w:color w:val="auto"/>
                <w:highlight w:val="none"/>
              </w:rPr>
              <w:br/>
            </w:r>
            <w:r>
              <w:rPr>
                <w:rFonts w:hint="eastAsia"/>
                <w:color w:val="auto"/>
                <w:highlight w:val="none"/>
              </w:rPr>
              <w:t xml:space="preserve">3、底部配重石笼，直径100mm</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生态过滤带设施维护</w:t>
            </w:r>
            <w:r/>
          </w:p>
        </w:tc>
        <w:tc>
          <w:tcPr>
            <w:tcW w:w="7869" w:type="dxa"/>
            <w:vAlign w:val="center"/>
            <w:textDirection w:val="lrTb"/>
            <w:noWrap w:val="false"/>
          </w:tcPr>
          <w:p>
            <w:pPr>
              <w:rPr>
                <w:color w:val="auto"/>
                <w:highlight w:val="none"/>
              </w:rPr>
            </w:pPr>
            <w:r>
              <w:rPr>
                <w:rFonts w:hint="eastAsia"/>
                <w:color w:val="auto"/>
                <w:highlight w:val="none"/>
              </w:rPr>
              <w:t xml:space="preserve">1、浮球，直径Φ100mm密排，用Φ3mm聚乙烯新绳串穿</w:t>
            </w:r>
            <w:r>
              <w:rPr>
                <w:rFonts w:hint="eastAsia"/>
                <w:color w:val="auto"/>
                <w:highlight w:val="none"/>
              </w:rPr>
              <w:br/>
            </w:r>
            <w:r>
              <w:rPr>
                <w:rFonts w:hint="eastAsia"/>
                <w:color w:val="auto"/>
                <w:highlight w:val="none"/>
              </w:rPr>
              <w:t xml:space="preserve">2、DN50PPR管，与浮球用Φ3mm聚乙烯新绳扎紧，间隔300mm</w:t>
            </w:r>
            <w:r>
              <w:rPr>
                <w:rFonts w:hint="eastAsia"/>
                <w:color w:val="auto"/>
                <w:highlight w:val="none"/>
              </w:rPr>
              <w:br/>
            </w:r>
            <w:r>
              <w:rPr>
                <w:rFonts w:hint="eastAsia"/>
                <w:color w:val="auto"/>
                <w:highlight w:val="none"/>
              </w:rPr>
              <w:t xml:space="preserve">3、腈纶布，布置与水面平齐（高度常水位深+300mm）</w:t>
            </w:r>
            <w:r>
              <w:rPr>
                <w:rFonts w:hint="eastAsia"/>
                <w:color w:val="auto"/>
                <w:highlight w:val="none"/>
              </w:rPr>
              <w:br/>
            </w:r>
            <w:r>
              <w:rPr>
                <w:rFonts w:hint="eastAsia"/>
                <w:color w:val="auto"/>
                <w:highlight w:val="none"/>
              </w:rPr>
              <w:t xml:space="preserve">4、沙袋配重，直径Φ80mm，8kg/m</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原位净化带围隔维护</w:t>
            </w:r>
            <w:r/>
          </w:p>
        </w:tc>
        <w:tc>
          <w:tcPr>
            <w:tcW w:w="7869" w:type="dxa"/>
            <w:vAlign w:val="center"/>
            <w:textDirection w:val="lrTb"/>
            <w:noWrap w:val="false"/>
          </w:tcPr>
          <w:p>
            <w:pPr>
              <w:rPr>
                <w:color w:val="auto"/>
                <w:highlight w:val="none"/>
              </w:rPr>
            </w:pPr>
            <w:r>
              <w:rPr>
                <w:rFonts w:hint="eastAsia"/>
                <w:color w:val="auto"/>
                <w:highlight w:val="none"/>
              </w:rPr>
              <w:t xml:space="preserve">1、浮体采用橡胶布，内分节填充加密泡沫，浮体长度1100mm，直径150mm，12个/20m</w:t>
            </w:r>
            <w:r>
              <w:rPr>
                <w:rFonts w:hint="eastAsia"/>
                <w:color w:val="auto"/>
                <w:highlight w:val="none"/>
              </w:rPr>
              <w:br/>
            </w:r>
            <w:r>
              <w:rPr>
                <w:rFonts w:hint="eastAsia"/>
                <w:color w:val="auto"/>
                <w:highlight w:val="none"/>
              </w:rPr>
              <w:t xml:space="preserve">2、DN80热镀锌钢管桩，深绿色PVC布，每隔5.0m固定</w:t>
            </w:r>
            <w:r>
              <w:rPr>
                <w:rFonts w:hint="eastAsia"/>
                <w:color w:val="auto"/>
                <w:highlight w:val="none"/>
              </w:rPr>
              <w:br/>
            </w:r>
            <w:r>
              <w:rPr>
                <w:rFonts w:hint="eastAsia"/>
                <w:color w:val="auto"/>
                <w:highlight w:val="none"/>
              </w:rPr>
              <w:t xml:space="preserve">3、底部配重石笼，直径100mm</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沉水曝气风机运行养护</w:t>
            </w:r>
            <w:r/>
          </w:p>
        </w:tc>
        <w:tc>
          <w:tcPr>
            <w:tcW w:w="7869" w:type="dxa"/>
            <w:vAlign w:val="center"/>
            <w:textDirection w:val="lrTb"/>
            <w:noWrap w:val="false"/>
          </w:tcPr>
          <w:p>
            <w:pPr>
              <w:rPr>
                <w:color w:val="auto"/>
                <w:highlight w:val="none"/>
              </w:rPr>
            </w:pPr>
            <w:r>
              <w:rPr>
                <w:rFonts w:hint="eastAsia"/>
                <w:color w:val="auto"/>
                <w:highlight w:val="none"/>
              </w:rPr>
              <w:t xml:space="preserve">额定功率：3.7</w:t>
            </w:r>
            <w:r>
              <w:rPr>
                <w:rFonts w:hint="eastAsia"/>
                <w:color w:val="auto"/>
                <w:highlight w:val="none"/>
                <w:lang w:eastAsia="zh-CN"/>
              </w:rPr>
              <w:t xml:space="preserve">kW</w:t>
            </w:r>
            <w:r>
              <w:rPr>
                <w:rFonts w:hint="eastAsia"/>
                <w:color w:val="auto"/>
                <w:highlight w:val="none"/>
              </w:rPr>
              <w:t xml:space="preserve">和5.5KW，包含主风机、消音器、配件等。</w:t>
            </w:r>
            <w:r/>
          </w:p>
        </w:tc>
      </w:tr>
      <w:tr>
        <w:trPr>
          <w:trHeight w:val="90"/>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水质自动监测站运行养护（3参数）</w:t>
            </w:r>
            <w:r/>
          </w:p>
        </w:tc>
        <w:tc>
          <w:tcPr>
            <w:tcW w:w="7869" w:type="dxa"/>
            <w:vAlign w:val="center"/>
            <w:textDirection w:val="lrTb"/>
            <w:noWrap w:val="false"/>
          </w:tcPr>
          <w:p>
            <w:pPr>
              <w:rPr>
                <w:color w:val="auto"/>
                <w:highlight w:val="none"/>
              </w:rPr>
            </w:pPr>
            <w:r>
              <w:rPr>
                <w:rFonts w:hint="eastAsia"/>
                <w:color w:val="auto"/>
                <w:highlight w:val="none"/>
              </w:rPr>
              <w:t xml:space="preserve">1、名称：水质自动监测站（3参），双层隔热不锈钢柜体，规格：1643*900*900mm</w:t>
            </w:r>
            <w:r>
              <w:rPr>
                <w:rFonts w:hint="eastAsia"/>
                <w:color w:val="auto"/>
                <w:highlight w:val="none"/>
              </w:rPr>
              <w:br/>
            </w:r>
            <w:r>
              <w:rPr>
                <w:rFonts w:hint="eastAsia"/>
                <w:color w:val="auto"/>
                <w:highlight w:val="none"/>
              </w:rPr>
              <w:t xml:space="preserve">2、溶解氧分析仪：AM-480；氨氮在线分析仪：AM-4020；化学需氧量在线分析仪：AM-4010</w:t>
            </w:r>
            <w:r>
              <w:rPr>
                <w:rFonts w:hint="eastAsia"/>
                <w:color w:val="auto"/>
                <w:highlight w:val="none"/>
              </w:rPr>
              <w:br/>
            </w:r>
            <w:r>
              <w:rPr>
                <w:rFonts w:hint="eastAsia"/>
                <w:color w:val="auto"/>
                <w:highlight w:val="none"/>
              </w:rPr>
              <w:t xml:space="preserve">3、其他包括监控摄像头、硬盘录像机、工业触摸屏、路由器、防雷模块、断路器、继电器、潜水泵、液位计、电磁阀等</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水质自动监测站运维（5参数）</w:t>
            </w:r>
            <w:r/>
          </w:p>
        </w:tc>
        <w:tc>
          <w:tcPr>
            <w:tcW w:w="7869" w:type="dxa"/>
            <w:vAlign w:val="center"/>
            <w:textDirection w:val="lrTb"/>
            <w:noWrap w:val="false"/>
          </w:tcPr>
          <w:p>
            <w:pPr>
              <w:rPr>
                <w:color w:val="auto"/>
                <w:highlight w:val="none"/>
              </w:rPr>
            </w:pPr>
            <w:r>
              <w:rPr>
                <w:rFonts w:hint="eastAsia"/>
                <w:color w:val="auto"/>
                <w:highlight w:val="none"/>
              </w:rPr>
              <w:t xml:space="preserve">1、名称：水质自动监测站（5参），双层隔热不锈钢柜体，规格：2100*1200*1000mm</w:t>
            </w:r>
            <w:r>
              <w:rPr>
                <w:rFonts w:hint="eastAsia"/>
                <w:color w:val="auto"/>
                <w:highlight w:val="none"/>
              </w:rPr>
              <w:br/>
            </w:r>
            <w:r>
              <w:rPr>
                <w:rFonts w:hint="eastAsia"/>
                <w:color w:val="auto"/>
                <w:highlight w:val="none"/>
              </w:rPr>
              <w:t xml:space="preserve">2、溶解氧分析仪：AM-480；氨氮在线分析仪：AM-4020；总磷在线分析仪：AM-4030；高锰酸盐指数在线分析仪：AM-4012；化学需氧量在线分析仪：AM-4010</w:t>
            </w:r>
            <w:r>
              <w:rPr>
                <w:rFonts w:hint="eastAsia"/>
                <w:color w:val="auto"/>
                <w:highlight w:val="none"/>
              </w:rPr>
              <w:br/>
            </w:r>
            <w:r>
              <w:rPr>
                <w:rFonts w:hint="eastAsia"/>
                <w:color w:val="auto"/>
                <w:highlight w:val="none"/>
              </w:rPr>
              <w:t xml:space="preserve">3、其他包括监控摄像头、硬盘录像机、工业触摸屏、路由器、防雷模块、断路器、继电器、潜水泵、液位计、电磁阀等</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河道彩色喷泉</w:t>
            </w:r>
            <w:r/>
          </w:p>
        </w:tc>
        <w:tc>
          <w:tcPr>
            <w:tcW w:w="7869" w:type="dxa"/>
            <w:vAlign w:val="center"/>
            <w:textDirection w:val="lrTb"/>
            <w:noWrap w:val="false"/>
          </w:tcPr>
          <w:p>
            <w:pPr>
              <w:rPr>
                <w:color w:val="auto"/>
                <w:highlight w:val="none"/>
              </w:rPr>
            </w:pPr>
            <w:r>
              <w:rPr>
                <w:rFonts w:hint="eastAsia"/>
                <w:color w:val="auto"/>
                <w:highlight w:val="none"/>
              </w:rPr>
              <w:t xml:space="preserve">1、DN25可调直流喷泉喷嘴 50只，供水泵（QS65-10-3kW） 2台，LED 水下灯（27W/24V）50盏</w:t>
            </w:r>
            <w:r>
              <w:rPr>
                <w:rFonts w:hint="eastAsia"/>
                <w:color w:val="auto"/>
                <w:highlight w:val="none"/>
              </w:rPr>
              <w:br/>
            </w:r>
            <w:r>
              <w:rPr>
                <w:rFonts w:hint="eastAsia"/>
                <w:color w:val="auto"/>
                <w:highlight w:val="none"/>
              </w:rPr>
              <w:t xml:space="preserve">2、DN80特制直流喷泉喷嘴 1只，供水泵（QS40-40/2-7.5kW） 1台，LED 水下灯（27W/24V）4盏</w:t>
            </w:r>
            <w:r>
              <w:rPr>
                <w:rFonts w:hint="eastAsia"/>
                <w:color w:val="auto"/>
                <w:highlight w:val="none"/>
              </w:rPr>
              <w:br/>
            </w:r>
            <w:r>
              <w:rPr>
                <w:rFonts w:hint="eastAsia"/>
                <w:color w:val="auto"/>
                <w:highlight w:val="none"/>
              </w:rPr>
              <w:t xml:space="preserve">3、DN50特制直流喷泉喷嘴 6只，供水泵（QS65-13-4kW） 2台，LED 水下灯（27W/24V）12盏</w:t>
            </w:r>
            <w:r>
              <w:rPr>
                <w:rFonts w:hint="eastAsia"/>
                <w:color w:val="auto"/>
                <w:highlight w:val="none"/>
              </w:rPr>
              <w:br/>
            </w:r>
            <w:r>
              <w:rPr>
                <w:rFonts w:hint="eastAsia"/>
                <w:color w:val="auto"/>
                <w:highlight w:val="none"/>
              </w:rPr>
              <w:t xml:space="preserve">4、漂浮式平台尺寸：6m*6m</w:t>
            </w:r>
            <w:r>
              <w:rPr>
                <w:rFonts w:hint="eastAsia"/>
                <w:color w:val="auto"/>
                <w:highlight w:val="none"/>
              </w:rPr>
              <w:br/>
            </w:r>
            <w:r>
              <w:rPr>
                <w:rFonts w:hint="eastAsia"/>
                <w:color w:val="auto"/>
                <w:highlight w:val="none"/>
              </w:rPr>
              <w:t xml:space="preserve">5、喷泉浮排整体设备采用煤沥青防腐</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排口原位净化墙维护</w:t>
            </w:r>
            <w:r/>
          </w:p>
        </w:tc>
        <w:tc>
          <w:tcPr>
            <w:tcW w:w="7869" w:type="dxa"/>
            <w:vAlign w:val="center"/>
            <w:textDirection w:val="lrTb"/>
            <w:noWrap w:val="false"/>
          </w:tcPr>
          <w:p>
            <w:pPr>
              <w:rPr>
                <w:color w:val="auto"/>
                <w:highlight w:val="none"/>
              </w:rPr>
            </w:pPr>
            <w:r>
              <w:rPr>
                <w:rFonts w:hint="eastAsia"/>
                <w:color w:val="auto"/>
                <w:highlight w:val="none"/>
              </w:rPr>
              <w:br/>
            </w:r>
            <w:r>
              <w:rPr>
                <w:rFonts w:hint="eastAsia"/>
                <w:color w:val="auto"/>
                <w:highlight w:val="none"/>
              </w:rPr>
              <w:t xml:space="preserve">1、不锈钢网片，网孔尺寸10*10mm</w:t>
            </w:r>
            <w:r>
              <w:rPr>
                <w:rFonts w:hint="eastAsia"/>
                <w:color w:val="auto"/>
                <w:highlight w:val="none"/>
              </w:rPr>
              <w:br/>
            </w:r>
            <w:r>
              <w:rPr>
                <w:rFonts w:hint="eastAsia"/>
                <w:color w:val="auto"/>
                <w:highlight w:val="none"/>
              </w:rPr>
              <w:t xml:space="preserve">2、平面尺寸2600*1700mm</w:t>
            </w:r>
            <w:r>
              <w:rPr>
                <w:rFonts w:hint="eastAsia"/>
                <w:color w:val="auto"/>
                <w:highlight w:val="none"/>
              </w:rPr>
              <w:br/>
            </w:r>
            <w:r>
              <w:rPr>
                <w:rFonts w:hint="eastAsia"/>
                <w:color w:val="auto"/>
                <w:highlight w:val="none"/>
              </w:rPr>
              <w:t xml:space="preserve">3、框架角钢L50*50*5mm，中间镀锌扁钢-5*50mm</w:t>
            </w:r>
            <w:r>
              <w:rPr>
                <w:rFonts w:hint="eastAsia"/>
                <w:color w:val="auto"/>
                <w:highlight w:val="none"/>
              </w:rPr>
              <w:br/>
            </w:r>
            <w:r>
              <w:rPr>
                <w:rFonts w:hint="eastAsia"/>
                <w:color w:val="auto"/>
                <w:highlight w:val="none"/>
              </w:rPr>
              <w:t xml:space="preserve">4、内侧填料（均分三层）：外层沸石，粒径20~30mm；中层火山岩，粒径15~20mm；内层陶粒，粒径10~15mm</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穿孔曝气风机运行养护</w:t>
            </w:r>
            <w:r/>
          </w:p>
        </w:tc>
        <w:tc>
          <w:tcPr>
            <w:tcW w:w="7869" w:type="dxa"/>
            <w:vAlign w:val="center"/>
            <w:textDirection w:val="lrTb"/>
            <w:noWrap w:val="false"/>
          </w:tcPr>
          <w:p>
            <w:pPr>
              <w:rPr>
                <w:color w:val="auto"/>
                <w:highlight w:val="none"/>
              </w:rPr>
            </w:pPr>
            <w:r>
              <w:rPr>
                <w:rFonts w:hint="eastAsia"/>
                <w:color w:val="auto"/>
                <w:highlight w:val="none"/>
              </w:rPr>
              <w:t xml:space="preserve">额定功率（7.5</w:t>
            </w:r>
            <w:r>
              <w:rPr>
                <w:rFonts w:hint="eastAsia"/>
                <w:color w:val="auto"/>
                <w:highlight w:val="none"/>
                <w:lang w:eastAsia="zh-CN"/>
              </w:rPr>
              <w:t xml:space="preserve">kW</w:t>
            </w:r>
            <w:r>
              <w:rPr>
                <w:rFonts w:hint="eastAsia"/>
                <w:color w:val="auto"/>
                <w:highlight w:val="none"/>
              </w:rPr>
              <w:t xml:space="preserve">、5.5</w:t>
            </w:r>
            <w:r>
              <w:rPr>
                <w:rFonts w:hint="eastAsia"/>
                <w:color w:val="auto"/>
                <w:highlight w:val="none"/>
                <w:lang w:eastAsia="zh-CN"/>
              </w:rPr>
              <w:t xml:space="preserve">kW</w:t>
            </w:r>
            <w:r>
              <w:rPr>
                <w:rFonts w:hint="eastAsia"/>
                <w:color w:val="auto"/>
                <w:highlight w:val="none"/>
              </w:rPr>
              <w:t xml:space="preserve">、3.7</w:t>
            </w:r>
            <w:r>
              <w:rPr>
                <w:rFonts w:hint="eastAsia"/>
                <w:color w:val="auto"/>
                <w:highlight w:val="none"/>
                <w:lang w:eastAsia="zh-CN"/>
              </w:rPr>
              <w:t xml:space="preserve">kW</w:t>
            </w:r>
            <w:r>
              <w:rPr>
                <w:rFonts w:hint="eastAsia"/>
                <w:color w:val="auto"/>
                <w:highlight w:val="none"/>
              </w:rPr>
              <w:t xml:space="preserve">）包含主风机、消音器、配件等。</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氮磷净化设备养护</w:t>
            </w:r>
            <w:r/>
          </w:p>
        </w:tc>
        <w:tc>
          <w:tcPr>
            <w:tcW w:w="7869" w:type="dxa"/>
            <w:vAlign w:val="center"/>
            <w:textDirection w:val="lrTb"/>
            <w:noWrap w:val="false"/>
          </w:tcPr>
          <w:p>
            <w:pPr>
              <w:rPr>
                <w:color w:val="auto"/>
                <w:highlight w:val="none"/>
              </w:rPr>
            </w:pPr>
            <w:r>
              <w:rPr>
                <w:rFonts w:hint="eastAsia"/>
                <w:color w:val="auto"/>
                <w:highlight w:val="none"/>
              </w:rPr>
              <w:t xml:space="preserve">1、型号：ECNPP-2000</w:t>
            </w:r>
            <w:r>
              <w:rPr>
                <w:rFonts w:hint="eastAsia"/>
                <w:color w:val="auto"/>
                <w:highlight w:val="none"/>
              </w:rPr>
              <w:br/>
            </w:r>
            <w:r>
              <w:rPr>
                <w:rFonts w:hint="eastAsia"/>
                <w:color w:val="auto"/>
                <w:highlight w:val="none"/>
              </w:rPr>
              <w:t xml:space="preserve">2、单个氮磷净化器尺寸：550*150*700，每套6个</w:t>
            </w:r>
            <w:r>
              <w:rPr>
                <w:rFonts w:hint="eastAsia"/>
                <w:color w:val="auto"/>
                <w:highlight w:val="none"/>
              </w:rPr>
              <w:br/>
            </w:r>
            <w:r>
              <w:rPr>
                <w:rFonts w:hint="eastAsia"/>
                <w:color w:val="auto"/>
                <w:highlight w:val="none"/>
              </w:rPr>
              <w:t xml:space="preserve">3、额定功率：0.9-1.2KW，额定电压：AC220V/50HZ/DC30V</w:t>
            </w:r>
            <w:r>
              <w:rPr>
                <w:rFonts w:hint="eastAsia"/>
                <w:color w:val="auto"/>
                <w:highlight w:val="none"/>
              </w:rPr>
              <w:br/>
            </w:r>
            <w:r>
              <w:rPr>
                <w:rFonts w:hint="eastAsia"/>
                <w:color w:val="auto"/>
                <w:highlight w:val="none"/>
              </w:rPr>
              <w:t xml:space="preserve">4、固定方式：4m长DN50热镀锌钢管，壁厚3.5mm，入老土层不小于2m</w:t>
            </w:r>
            <w:r>
              <w:rPr>
                <w:rFonts w:hint="eastAsia"/>
                <w:color w:val="auto"/>
                <w:highlight w:val="none"/>
              </w:rPr>
              <w:br/>
            </w:r>
            <w:r>
              <w:rPr>
                <w:rFonts w:hint="eastAsia"/>
                <w:color w:val="auto"/>
                <w:highlight w:val="none"/>
              </w:rPr>
              <w:t xml:space="preserve">5、其他含氮磷净化器、控制系统等，采用电能作为清洁外源电子供体，通过电化学-微生物作用的耦合实现水中氮磷的高效脱除，去除氨氮和有机质</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膜曝气排口净化装置维护</w:t>
            </w:r>
            <w:r/>
          </w:p>
        </w:tc>
        <w:tc>
          <w:tcPr>
            <w:tcW w:w="7869" w:type="dxa"/>
            <w:vAlign w:val="center"/>
            <w:textDirection w:val="lrTb"/>
            <w:noWrap w:val="false"/>
          </w:tcPr>
          <w:p>
            <w:pPr>
              <w:rPr>
                <w:color w:val="auto"/>
                <w:highlight w:val="none"/>
              </w:rPr>
            </w:pPr>
            <w:r>
              <w:rPr>
                <w:rFonts w:hint="eastAsia"/>
                <w:color w:val="auto"/>
                <w:highlight w:val="none"/>
              </w:rPr>
              <w:t xml:space="preserve">1、膜曝气排口净化装置（MABR型）</w:t>
            </w:r>
            <w:r>
              <w:rPr>
                <w:rFonts w:hint="eastAsia"/>
                <w:color w:val="auto"/>
                <w:highlight w:val="none"/>
              </w:rPr>
              <w:br/>
            </w:r>
            <w:r>
              <w:rPr>
                <w:rFonts w:hint="eastAsia"/>
                <w:color w:val="auto"/>
                <w:highlight w:val="none"/>
              </w:rPr>
              <w:t xml:space="preserve">2、4根Phi5mm钢丝绳固定</w:t>
            </w:r>
            <w:r>
              <w:rPr>
                <w:rFonts w:hint="eastAsia"/>
                <w:color w:val="auto"/>
                <w:highlight w:val="none"/>
              </w:rPr>
              <w:br/>
            </w:r>
            <w:r>
              <w:rPr>
                <w:rFonts w:hint="eastAsia"/>
                <w:color w:val="auto"/>
                <w:highlight w:val="none"/>
              </w:rPr>
              <w:t xml:space="preserve">3、DN50热镀锌钢管桩</w:t>
            </w:r>
            <w:r>
              <w:rPr>
                <w:rFonts w:hint="eastAsia"/>
                <w:color w:val="auto"/>
                <w:highlight w:val="none"/>
              </w:rPr>
              <w:br/>
            </w:r>
            <w:r>
              <w:rPr>
                <w:rFonts w:hint="eastAsia"/>
                <w:color w:val="auto"/>
                <w:highlight w:val="none"/>
              </w:rPr>
              <w:t xml:space="preserve">4、含浮体、曝气设备柜、曝气管道系统、中空纤维膜生物膜系统等</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太阳能自控微生物活化器维护</w:t>
            </w:r>
            <w:r/>
          </w:p>
        </w:tc>
        <w:tc>
          <w:tcPr>
            <w:tcW w:w="7869" w:type="dxa"/>
            <w:vAlign w:val="center"/>
            <w:textDirection w:val="lrTb"/>
            <w:noWrap w:val="false"/>
          </w:tcPr>
          <w:p>
            <w:pPr>
              <w:rPr>
                <w:color w:val="auto"/>
                <w:highlight w:val="none"/>
              </w:rPr>
            </w:pPr>
            <w:r>
              <w:rPr>
                <w:rFonts w:hint="eastAsia"/>
                <w:color w:val="auto"/>
                <w:highlight w:val="none"/>
              </w:rPr>
              <w:t xml:space="preserve">1、设备尺寸：330*200cm</w:t>
            </w:r>
            <w:r>
              <w:rPr>
                <w:rFonts w:hint="eastAsia"/>
                <w:color w:val="auto"/>
                <w:highlight w:val="none"/>
              </w:rPr>
              <w:br/>
            </w:r>
            <w:r>
              <w:rPr>
                <w:rFonts w:hint="eastAsia"/>
                <w:color w:val="auto"/>
                <w:highlight w:val="none"/>
              </w:rPr>
              <w:t xml:space="preserve">2、设备功率：750W</w:t>
            </w:r>
            <w:r>
              <w:rPr>
                <w:rFonts w:hint="eastAsia"/>
                <w:color w:val="auto"/>
                <w:highlight w:val="none"/>
              </w:rPr>
              <w:br/>
            </w:r>
            <w:r>
              <w:rPr>
                <w:rFonts w:hint="eastAsia"/>
                <w:color w:val="auto"/>
                <w:highlight w:val="none"/>
              </w:rPr>
              <w:t xml:space="preserve">3、电压：18-72V</w:t>
            </w:r>
            <w:r>
              <w:rPr>
                <w:rFonts w:hint="eastAsia"/>
                <w:color w:val="auto"/>
                <w:highlight w:val="none"/>
              </w:rPr>
              <w:br/>
            </w:r>
            <w:r>
              <w:rPr>
                <w:rFonts w:hint="eastAsia"/>
                <w:color w:val="auto"/>
                <w:highlight w:val="none"/>
              </w:rPr>
              <w:t xml:space="preserve">4、单台增氧能力：0.68-0.78kg O2/h</w:t>
            </w:r>
            <w:r>
              <w:rPr>
                <w:rFonts w:hint="eastAsia"/>
                <w:color w:val="auto"/>
                <w:highlight w:val="none"/>
              </w:rPr>
              <w:br/>
            </w:r>
            <w:r>
              <w:rPr>
                <w:rFonts w:hint="eastAsia"/>
                <w:color w:val="auto"/>
                <w:highlight w:val="none"/>
              </w:rPr>
              <w:t xml:space="preserve">5、风口完全敞开：转速＞15000rpm，风量＞25m3/h，风口完全封闭：转速＞11500rpm，风压＞25kPa</w:t>
            </w:r>
            <w:r>
              <w:rPr>
                <w:rFonts w:hint="eastAsia"/>
                <w:color w:val="auto"/>
                <w:highlight w:val="none"/>
              </w:rPr>
              <w:br/>
            </w:r>
            <w:r>
              <w:rPr>
                <w:rFonts w:hint="eastAsia"/>
                <w:color w:val="auto"/>
                <w:highlight w:val="none"/>
              </w:rPr>
              <w:t xml:space="preserve">6、额定工作点：转速＞12500rpm，风压＞18kPa，风量＞10m3/h</w:t>
            </w:r>
            <w:r>
              <w:rPr>
                <w:rFonts w:hint="eastAsia"/>
                <w:color w:val="auto"/>
                <w:highlight w:val="none"/>
              </w:rPr>
              <w:br/>
            </w:r>
            <w:r>
              <w:rPr>
                <w:rFonts w:hint="eastAsia"/>
                <w:color w:val="auto"/>
                <w:highlight w:val="none"/>
              </w:rPr>
              <w:t xml:space="preserve">7、单台微生物发生器内部填充5kg固化微生物载体，共两台，每2个月补充一次载体</w:t>
            </w:r>
            <w:r>
              <w:rPr>
                <w:rFonts w:hint="eastAsia"/>
                <w:color w:val="auto"/>
                <w:highlight w:val="none"/>
              </w:rPr>
              <w:br/>
            </w:r>
            <w:r>
              <w:rPr>
                <w:rFonts w:hint="eastAsia"/>
                <w:color w:val="auto"/>
                <w:highlight w:val="none"/>
              </w:rPr>
              <w:t xml:space="preserve">8、主要包含太阳能板、电池组、控制柜、PE浮体、微生物活化器等</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漂浮式水面垃圾收集器维护</w:t>
            </w:r>
            <w:r/>
          </w:p>
        </w:tc>
        <w:tc>
          <w:tcPr>
            <w:tcW w:w="7869" w:type="dxa"/>
            <w:vAlign w:val="center"/>
            <w:textDirection w:val="lrTb"/>
            <w:noWrap w:val="false"/>
          </w:tcPr>
          <w:p>
            <w:pPr>
              <w:rPr>
                <w:color w:val="auto"/>
                <w:highlight w:val="none"/>
              </w:rPr>
            </w:pPr>
            <w:r>
              <w:rPr>
                <w:rFonts w:hint="eastAsia"/>
                <w:color w:val="auto"/>
                <w:highlight w:val="none"/>
              </w:rPr>
              <w:t xml:space="preserve">1、304不锈钢箱体，设备尺寸：2330*670*1006mm</w:t>
            </w:r>
            <w:r>
              <w:rPr>
                <w:rFonts w:hint="eastAsia"/>
                <w:color w:val="auto"/>
                <w:highlight w:val="none"/>
              </w:rPr>
              <w:br/>
            </w:r>
            <w:r>
              <w:rPr>
                <w:rFonts w:hint="eastAsia"/>
                <w:color w:val="auto"/>
                <w:highlight w:val="none"/>
              </w:rPr>
              <w:t xml:space="preserve">2、包含电机、太阳能电池板、浮体、拉环等</w:t>
            </w:r>
            <w:r>
              <w:rPr>
                <w:rFonts w:hint="eastAsia"/>
                <w:color w:val="auto"/>
                <w:highlight w:val="none"/>
              </w:rPr>
              <w:br/>
            </w:r>
            <w:r>
              <w:rPr>
                <w:rFonts w:hint="eastAsia"/>
                <w:color w:val="auto"/>
                <w:highlight w:val="none"/>
              </w:rPr>
              <w:t xml:space="preserve">3、电机功率：10W，太阳能电池板功率：220W（80W*2+60W*1），锂电池容量：12V，60AH</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生物膜养护</w:t>
            </w:r>
            <w:r/>
          </w:p>
        </w:tc>
        <w:tc>
          <w:tcPr>
            <w:tcW w:w="7869" w:type="dxa"/>
            <w:vAlign w:val="center"/>
            <w:textDirection w:val="lrTb"/>
            <w:noWrap w:val="false"/>
          </w:tcPr>
          <w:p>
            <w:pPr>
              <w:rPr>
                <w:color w:val="auto"/>
                <w:highlight w:val="none"/>
              </w:rPr>
            </w:pPr>
            <w:r>
              <w:rPr>
                <w:rFonts w:hint="eastAsia"/>
                <w:color w:val="auto"/>
                <w:highlight w:val="none"/>
              </w:rPr>
              <w:t xml:space="preserve">1、尺寸：2000*600*800mm</w:t>
            </w:r>
            <w:r>
              <w:rPr>
                <w:rFonts w:hint="eastAsia"/>
                <w:color w:val="auto"/>
                <w:highlight w:val="none"/>
              </w:rPr>
              <w:br/>
            </w:r>
            <w:r>
              <w:rPr>
                <w:rFonts w:hint="eastAsia"/>
                <w:color w:val="auto"/>
                <w:highlight w:val="none"/>
              </w:rPr>
              <w:t xml:space="preserve">2、包含生物膜框架结构，生物膜系统</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超氧纳米曝气设备维护</w:t>
            </w:r>
            <w:r/>
          </w:p>
        </w:tc>
        <w:tc>
          <w:tcPr>
            <w:tcW w:w="7869" w:type="dxa"/>
            <w:vAlign w:val="center"/>
            <w:textDirection w:val="lrTb"/>
            <w:noWrap w:val="false"/>
          </w:tcPr>
          <w:p>
            <w:pPr>
              <w:rPr>
                <w:color w:val="auto"/>
                <w:highlight w:val="none"/>
              </w:rPr>
            </w:pPr>
            <w:r>
              <w:rPr>
                <w:rFonts w:hint="eastAsia"/>
                <w:color w:val="auto"/>
                <w:highlight w:val="none"/>
              </w:rPr>
              <w:t xml:space="preserve">1、超氧纳米气泡机参数：</w:t>
            </w:r>
            <w:r>
              <w:rPr>
                <w:rFonts w:hint="eastAsia"/>
                <w:color w:val="auto"/>
                <w:highlight w:val="none"/>
              </w:rPr>
              <w:br/>
            </w:r>
            <w:r>
              <w:rPr>
                <w:rFonts w:hint="eastAsia"/>
                <w:color w:val="auto"/>
                <w:highlight w:val="none"/>
              </w:rPr>
              <w:t xml:space="preserve">外形尺寸：1500*2000*1500mm，工作电压：380V/50Hz，总功率：10kW，进气量：25L/min</w:t>
            </w:r>
            <w:r>
              <w:rPr>
                <w:rFonts w:hint="eastAsia"/>
                <w:color w:val="auto"/>
                <w:highlight w:val="none"/>
              </w:rPr>
              <w:br/>
            </w:r>
            <w:r>
              <w:rPr>
                <w:rFonts w:hint="eastAsia"/>
                <w:color w:val="auto"/>
                <w:highlight w:val="none"/>
              </w:rPr>
              <w:t xml:space="preserve">臭氧/溶氧输出：100g/h，气水混合液输出量：30m3/h，整机重量：500kg</w:t>
            </w:r>
            <w:r>
              <w:rPr>
                <w:rFonts w:hint="eastAsia"/>
                <w:color w:val="auto"/>
                <w:highlight w:val="none"/>
              </w:rPr>
              <w:br/>
            </w:r>
            <w:r>
              <w:rPr>
                <w:rFonts w:hint="eastAsia"/>
                <w:color w:val="auto"/>
                <w:highlight w:val="none"/>
              </w:rPr>
              <w:t xml:space="preserve">2、配套制氧机参数：</w:t>
            </w:r>
            <w:r>
              <w:rPr>
                <w:rFonts w:hint="eastAsia"/>
                <w:color w:val="auto"/>
                <w:highlight w:val="none"/>
              </w:rPr>
              <w:br/>
            </w:r>
            <w:r>
              <w:rPr>
                <w:rFonts w:hint="eastAsia"/>
                <w:color w:val="auto"/>
                <w:highlight w:val="none"/>
              </w:rPr>
              <w:t xml:space="preserve">外形尺寸：650*550*1500mm，工作电压：220V/50Hz，功率：3kW</w:t>
            </w:r>
            <w:r>
              <w:rPr>
                <w:rFonts w:hint="eastAsia"/>
                <w:color w:val="auto"/>
                <w:highlight w:val="none"/>
              </w:rPr>
              <w:br/>
            </w:r>
            <w:r>
              <w:rPr>
                <w:rFonts w:hint="eastAsia"/>
                <w:color w:val="auto"/>
                <w:highlight w:val="none"/>
              </w:rPr>
              <w:t xml:space="preserve">供氧量：30L/min，氧气浓度：&gt;=90%，重量：70kg</w:t>
            </w:r>
            <w:r>
              <w:rPr>
                <w:rFonts w:hint="eastAsia"/>
                <w:color w:val="auto"/>
                <w:highlight w:val="none"/>
              </w:rPr>
              <w:br/>
            </w:r>
            <w:r>
              <w:rPr>
                <w:rFonts w:hint="eastAsia"/>
                <w:color w:val="auto"/>
                <w:highlight w:val="none"/>
              </w:rPr>
              <w:t xml:space="preserve">3、气源：纯氧或臭氧，可手动切换</w:t>
            </w:r>
            <w:r>
              <w:rPr>
                <w:rFonts w:hint="eastAsia"/>
                <w:color w:val="auto"/>
                <w:highlight w:val="none"/>
              </w:rPr>
              <w:br/>
            </w:r>
            <w:r>
              <w:rPr>
                <w:rFonts w:hint="eastAsia"/>
                <w:color w:val="auto"/>
                <w:highlight w:val="none"/>
              </w:rPr>
              <w:t xml:space="preserve">4、气泡粒径：50~400nm</w:t>
            </w:r>
            <w:r>
              <w:rPr>
                <w:rFonts w:hint="eastAsia"/>
                <w:color w:val="auto"/>
                <w:highlight w:val="none"/>
              </w:rPr>
              <w:br/>
            </w:r>
            <w:r>
              <w:rPr>
                <w:rFonts w:hint="eastAsia"/>
                <w:color w:val="auto"/>
                <w:highlight w:val="none"/>
              </w:rPr>
              <w:t xml:space="preserve">4、气泡粒径：50-400nm</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微纳米曝气设备养护</w:t>
            </w:r>
            <w:r/>
          </w:p>
        </w:tc>
        <w:tc>
          <w:tcPr>
            <w:tcW w:w="7869" w:type="dxa"/>
            <w:vAlign w:val="center"/>
            <w:textDirection w:val="lrTb"/>
            <w:noWrap w:val="false"/>
          </w:tcPr>
          <w:p>
            <w:pPr>
              <w:rPr>
                <w:color w:val="auto"/>
                <w:highlight w:val="none"/>
              </w:rPr>
            </w:pPr>
            <w:r>
              <w:rPr>
                <w:rFonts w:hint="eastAsia"/>
                <w:color w:val="auto"/>
                <w:highlight w:val="none"/>
              </w:rPr>
              <w:t xml:space="preserve">1、外形尺寸：1700*1900*1500mm</w:t>
            </w:r>
            <w:r>
              <w:rPr>
                <w:rFonts w:hint="eastAsia"/>
                <w:color w:val="auto"/>
                <w:highlight w:val="none"/>
              </w:rPr>
              <w:br/>
            </w:r>
            <w:r>
              <w:rPr>
                <w:rFonts w:hint="eastAsia"/>
                <w:color w:val="auto"/>
                <w:highlight w:val="none"/>
              </w:rPr>
              <w:t xml:space="preserve">2、电源：380V  50Hz</w:t>
            </w:r>
            <w:r>
              <w:rPr>
                <w:rFonts w:hint="eastAsia"/>
                <w:color w:val="auto"/>
                <w:highlight w:val="none"/>
              </w:rPr>
              <w:br/>
            </w:r>
            <w:r>
              <w:rPr>
                <w:rFonts w:hint="eastAsia"/>
                <w:color w:val="auto"/>
                <w:highlight w:val="none"/>
              </w:rPr>
              <w:t xml:space="preserve">3、总功率：10.9kW</w:t>
            </w:r>
            <w:r>
              <w:rPr>
                <w:rFonts w:hint="eastAsia"/>
                <w:color w:val="auto"/>
                <w:highlight w:val="none"/>
              </w:rPr>
              <w:br/>
            </w:r>
            <w:r>
              <w:rPr>
                <w:rFonts w:hint="eastAsia"/>
                <w:color w:val="auto"/>
                <w:highlight w:val="none"/>
              </w:rPr>
              <w:t xml:space="preserve">4、主泵流量：30m3/H</w:t>
            </w:r>
            <w:r>
              <w:rPr>
                <w:rFonts w:hint="eastAsia"/>
                <w:color w:val="auto"/>
                <w:highlight w:val="none"/>
              </w:rPr>
              <w:br/>
            </w:r>
            <w:r>
              <w:rPr>
                <w:rFonts w:hint="eastAsia"/>
                <w:color w:val="auto"/>
                <w:highlight w:val="none"/>
              </w:rPr>
              <w:t xml:space="preserve">5、气源：臭氧纯氧混合气体：空气≥3：1</w:t>
            </w:r>
            <w:r>
              <w:rPr>
                <w:rFonts w:hint="eastAsia"/>
                <w:color w:val="auto"/>
                <w:highlight w:val="none"/>
              </w:rPr>
              <w:br/>
            </w:r>
            <w:r>
              <w:rPr>
                <w:rFonts w:hint="eastAsia"/>
                <w:color w:val="auto"/>
                <w:highlight w:val="none"/>
              </w:rPr>
              <w:t xml:space="preserve">6、纯氧机流量：20L/min</w:t>
            </w:r>
            <w:r>
              <w:rPr>
                <w:rFonts w:hint="eastAsia"/>
                <w:color w:val="auto"/>
                <w:highlight w:val="none"/>
              </w:rPr>
              <w:br/>
            </w:r>
            <w:r>
              <w:rPr>
                <w:rFonts w:hint="eastAsia"/>
                <w:color w:val="auto"/>
                <w:highlight w:val="none"/>
              </w:rPr>
              <w:t xml:space="preserve">7、进气方式：负压进气</w:t>
            </w:r>
            <w:r>
              <w:rPr>
                <w:rFonts w:hint="eastAsia"/>
                <w:color w:val="auto"/>
                <w:highlight w:val="none"/>
              </w:rPr>
              <w:br/>
            </w:r>
            <w:r>
              <w:rPr>
                <w:rFonts w:hint="eastAsia"/>
                <w:color w:val="auto"/>
                <w:highlight w:val="none"/>
              </w:rPr>
              <w:t xml:space="preserve">8、进/出水口管径：DN80</w:t>
            </w:r>
            <w:r>
              <w:rPr>
                <w:rFonts w:hint="eastAsia"/>
                <w:color w:val="auto"/>
                <w:highlight w:val="none"/>
              </w:rPr>
              <w:br/>
            </w:r>
            <w:r>
              <w:rPr>
                <w:rFonts w:hint="eastAsia"/>
                <w:color w:val="auto"/>
                <w:highlight w:val="none"/>
              </w:rPr>
              <w:t xml:space="preserve">9、气泡粒径：100nm-10μm</w:t>
            </w:r>
            <w:r>
              <w:rPr>
                <w:rFonts w:hint="eastAsia"/>
                <w:color w:val="auto"/>
                <w:highlight w:val="none"/>
              </w:rPr>
              <w:br/>
            </w:r>
            <w:r>
              <w:rPr>
                <w:rFonts w:hint="eastAsia"/>
                <w:color w:val="auto"/>
                <w:highlight w:val="none"/>
              </w:rPr>
              <w:t xml:space="preserve">10、浮体数量：4个</w:t>
            </w:r>
            <w:r>
              <w:rPr>
                <w:rFonts w:hint="eastAsia"/>
                <w:color w:val="auto"/>
                <w:highlight w:val="none"/>
              </w:rPr>
              <w:br/>
            </w:r>
            <w:r>
              <w:rPr>
                <w:rFonts w:hint="eastAsia"/>
                <w:color w:val="auto"/>
                <w:highlight w:val="none"/>
              </w:rPr>
              <w:t xml:space="preserve">11、DN50热镀锌钢管，壁厚3.5mm，与设备箱体固定</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臭氧纳米曝气设备维护</w:t>
            </w:r>
            <w:r/>
          </w:p>
        </w:tc>
        <w:tc>
          <w:tcPr>
            <w:tcW w:w="7869" w:type="dxa"/>
            <w:vAlign w:val="center"/>
            <w:textDirection w:val="lrTb"/>
            <w:noWrap w:val="false"/>
          </w:tcPr>
          <w:p>
            <w:pPr>
              <w:rPr>
                <w:color w:val="auto"/>
                <w:highlight w:val="none"/>
              </w:rPr>
            </w:pPr>
            <w:r>
              <w:rPr>
                <w:rFonts w:hint="eastAsia"/>
                <w:color w:val="auto"/>
                <w:highlight w:val="none"/>
              </w:rPr>
              <w:t xml:space="preserve">1、外形尺寸：700*500*1500mm</w:t>
            </w:r>
            <w:r>
              <w:rPr>
                <w:rFonts w:hint="eastAsia"/>
                <w:color w:val="auto"/>
                <w:highlight w:val="none"/>
              </w:rPr>
              <w:br/>
            </w:r>
            <w:r>
              <w:rPr>
                <w:rFonts w:hint="eastAsia"/>
                <w:color w:val="auto"/>
                <w:highlight w:val="none"/>
              </w:rPr>
              <w:t xml:space="preserve">2、电压：380V/50Hz</w:t>
            </w:r>
            <w:r>
              <w:rPr>
                <w:rFonts w:hint="eastAsia"/>
                <w:color w:val="auto"/>
                <w:highlight w:val="none"/>
              </w:rPr>
              <w:br/>
            </w:r>
            <w:r>
              <w:rPr>
                <w:rFonts w:hint="eastAsia"/>
                <w:color w:val="auto"/>
                <w:highlight w:val="none"/>
              </w:rPr>
              <w:t xml:space="preserve">3、功率：3.5kW</w:t>
            </w:r>
            <w:r>
              <w:rPr>
                <w:rFonts w:hint="eastAsia"/>
                <w:color w:val="auto"/>
                <w:highlight w:val="none"/>
              </w:rPr>
              <w:br/>
            </w:r>
            <w:r>
              <w:rPr>
                <w:rFonts w:hint="eastAsia"/>
                <w:color w:val="auto"/>
                <w:highlight w:val="none"/>
              </w:rPr>
              <w:t xml:space="preserve">4、处理水量（每天12h计）：72m3/d</w:t>
            </w:r>
            <w:r>
              <w:rPr>
                <w:rFonts w:hint="eastAsia"/>
                <w:color w:val="auto"/>
                <w:highlight w:val="none"/>
              </w:rPr>
              <w:br/>
            </w:r>
            <w:r>
              <w:rPr>
                <w:rFonts w:hint="eastAsia"/>
                <w:color w:val="auto"/>
                <w:highlight w:val="none"/>
              </w:rPr>
              <w:t xml:space="preserve">5、气泡粒径：100nm-10μm</w:t>
            </w:r>
            <w:r>
              <w:rPr>
                <w:rFonts w:hint="eastAsia"/>
                <w:color w:val="auto"/>
                <w:highlight w:val="none"/>
              </w:rPr>
              <w:br/>
            </w:r>
            <w:r>
              <w:rPr>
                <w:rFonts w:hint="eastAsia"/>
                <w:color w:val="auto"/>
                <w:highlight w:val="none"/>
              </w:rPr>
              <w:t xml:space="preserve">6、气体介质：空气/氧气/臭氧</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离子叠加设备养护</w:t>
            </w:r>
            <w:r/>
          </w:p>
        </w:tc>
        <w:tc>
          <w:tcPr>
            <w:tcW w:w="7869" w:type="dxa"/>
            <w:vAlign w:val="center"/>
            <w:textDirection w:val="lrTb"/>
            <w:noWrap w:val="false"/>
          </w:tcPr>
          <w:p>
            <w:pPr>
              <w:rPr>
                <w:color w:val="auto"/>
                <w:highlight w:val="none"/>
              </w:rPr>
            </w:pPr>
            <w:r>
              <w:rPr>
                <w:rFonts w:hint="eastAsia"/>
                <w:color w:val="auto"/>
                <w:highlight w:val="none"/>
              </w:rPr>
              <w:t xml:space="preserve">1、材质规格：1200*700*450mm，304不锈钢柜体</w:t>
            </w:r>
            <w:r>
              <w:rPr>
                <w:rFonts w:hint="eastAsia"/>
                <w:color w:val="auto"/>
                <w:highlight w:val="none"/>
              </w:rPr>
              <w:br/>
            </w:r>
            <w:r>
              <w:rPr>
                <w:rFonts w:hint="eastAsia"/>
                <w:color w:val="auto"/>
                <w:highlight w:val="none"/>
              </w:rPr>
              <w:t xml:space="preserve">2、功率：3kW</w:t>
            </w:r>
            <w:r>
              <w:rPr>
                <w:rFonts w:hint="eastAsia"/>
                <w:color w:val="auto"/>
                <w:highlight w:val="none"/>
              </w:rPr>
              <w:br/>
            </w:r>
            <w:r>
              <w:rPr>
                <w:rFonts w:hint="eastAsia"/>
                <w:color w:val="auto"/>
                <w:highlight w:val="none"/>
              </w:rPr>
              <w:t xml:space="preserve">3、额定处理量：3000-3500m³/d</w:t>
            </w:r>
            <w:r>
              <w:rPr>
                <w:rFonts w:hint="eastAsia"/>
                <w:color w:val="auto"/>
                <w:highlight w:val="none"/>
              </w:rPr>
              <w:br/>
            </w:r>
            <w:r>
              <w:rPr>
                <w:rFonts w:hint="eastAsia"/>
                <w:color w:val="auto"/>
                <w:highlight w:val="none"/>
              </w:rPr>
              <w:t xml:space="preserve">4、总氮去除率：10kg/d</w:t>
            </w:r>
            <w:r>
              <w:rPr>
                <w:rFonts w:hint="eastAsia"/>
                <w:color w:val="auto"/>
                <w:highlight w:val="none"/>
              </w:rPr>
              <w:br/>
            </w:r>
            <w:r>
              <w:rPr>
                <w:rFonts w:hint="eastAsia"/>
                <w:color w:val="auto"/>
                <w:highlight w:val="none"/>
              </w:rPr>
              <w:t xml:space="preserve">5、内置离子加速器电源一套 0.2kW，内置高压放电电源5万伏，内置空气过滤装置一套，内置动力气泵一台 0.8kW，外置动力推流器一套 1.5kW（380V)</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初雨调蓄设施维护</w:t>
            </w:r>
            <w:r/>
          </w:p>
        </w:tc>
        <w:tc>
          <w:tcPr>
            <w:tcW w:w="7869" w:type="dxa"/>
            <w:vAlign w:val="center"/>
            <w:textDirection w:val="lrTb"/>
            <w:noWrap w:val="false"/>
          </w:tcPr>
          <w:p>
            <w:pPr>
              <w:rPr>
                <w:color w:val="auto"/>
                <w:highlight w:val="none"/>
              </w:rPr>
            </w:pPr>
            <w:r>
              <w:rPr>
                <w:rFonts w:hint="eastAsia"/>
                <w:color w:val="auto"/>
                <w:highlight w:val="none"/>
              </w:rPr>
              <w:t xml:space="preserve">1、潜水排污泵：Q=40m3/h，H=9m，N=2.2KW，1用1备，带自动冷却系统；晴天智能闸门处于常闭状态，待达到启泵水位后由潜水泵打出，排入污水井，最终</w:t>
            </w:r>
            <w:r>
              <w:rPr>
                <w:rFonts w:hint="eastAsia"/>
                <w:color w:val="auto"/>
                <w:highlight w:val="none"/>
                <w:lang w:eastAsia="zh-CN"/>
              </w:rPr>
              <w:t xml:space="preserve">进入</w:t>
            </w:r>
            <w:r>
              <w:rPr>
                <w:rFonts w:hint="eastAsia"/>
                <w:color w:val="auto"/>
                <w:highlight w:val="none"/>
              </w:rPr>
              <w:t xml:space="preserve">市政管网</w:t>
            </w:r>
            <w:r>
              <w:rPr>
                <w:rFonts w:hint="eastAsia"/>
                <w:color w:val="auto"/>
                <w:highlight w:val="none"/>
              </w:rPr>
              <w:br/>
            </w:r>
            <w:r>
              <w:rPr>
                <w:rFonts w:hint="eastAsia"/>
                <w:color w:val="auto"/>
                <w:highlight w:val="none"/>
              </w:rPr>
              <w:t xml:space="preserve">2、双导杆及自耦装置，与潜水排污泵配套供给</w:t>
            </w:r>
            <w:r>
              <w:rPr>
                <w:rFonts w:hint="eastAsia"/>
                <w:color w:val="auto"/>
                <w:highlight w:val="none"/>
              </w:rPr>
              <w:br/>
            </w:r>
            <w:r>
              <w:rPr>
                <w:rFonts w:hint="eastAsia"/>
                <w:color w:val="auto"/>
                <w:highlight w:val="none"/>
              </w:rPr>
              <w:t xml:space="preserve">3、DN400智能液压阀门，不锈钢材质</w:t>
            </w:r>
            <w:r>
              <w:rPr>
                <w:rFonts w:hint="eastAsia"/>
                <w:color w:val="auto"/>
                <w:highlight w:val="none"/>
              </w:rPr>
              <w:br/>
            </w:r>
            <w:r>
              <w:rPr>
                <w:rFonts w:hint="eastAsia"/>
                <w:color w:val="auto"/>
                <w:highlight w:val="none"/>
              </w:rPr>
              <w:t xml:space="preserve">4、超声波液位仪、雨量感应器</w:t>
            </w:r>
            <w:r>
              <w:rPr>
                <w:rFonts w:hint="eastAsia"/>
                <w:color w:val="auto"/>
                <w:highlight w:val="none"/>
              </w:rPr>
              <w:br/>
            </w:r>
            <w:r>
              <w:rPr>
                <w:rFonts w:hint="eastAsia"/>
                <w:color w:val="auto"/>
                <w:highlight w:val="none"/>
              </w:rPr>
              <w:t xml:space="preserve">5、其他包含阀门、法兰、控制柜等</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活水泵站设备运维</w:t>
            </w:r>
            <w:r/>
          </w:p>
        </w:tc>
        <w:tc>
          <w:tcPr>
            <w:tcW w:w="7869" w:type="dxa"/>
            <w:vAlign w:val="center"/>
            <w:textDirection w:val="lrTb"/>
            <w:noWrap w:val="false"/>
          </w:tcPr>
          <w:p>
            <w:pPr>
              <w:rPr>
                <w:color w:val="auto"/>
                <w:highlight w:val="none"/>
              </w:rPr>
            </w:pPr>
            <w:r>
              <w:rPr>
                <w:rFonts w:hint="eastAsia"/>
                <w:color w:val="auto"/>
                <w:highlight w:val="none"/>
              </w:rPr>
              <w:t xml:space="preserve">1、泵站筒体（GRP材质）：DN2500*H4000厚度18mm</w:t>
            </w:r>
            <w:r>
              <w:rPr>
                <w:rFonts w:hint="eastAsia"/>
                <w:color w:val="auto"/>
                <w:highlight w:val="none"/>
              </w:rPr>
              <w:br/>
            </w:r>
            <w:r>
              <w:rPr>
                <w:rFonts w:hint="eastAsia"/>
                <w:color w:val="auto"/>
                <w:highlight w:val="none"/>
              </w:rPr>
              <w:t xml:space="preserve">2、潜水泵：150QWP-330，设计流量0.04m3/s，设计扬程9.5m,单泵功率5.5KW，通过超声波液位仪控制，二用一备</w:t>
            </w:r>
            <w:r>
              <w:rPr>
                <w:rFonts w:hint="eastAsia"/>
                <w:color w:val="auto"/>
                <w:highlight w:val="none"/>
              </w:rPr>
              <w:br/>
            </w:r>
            <w:r>
              <w:rPr>
                <w:rFonts w:hint="eastAsia"/>
                <w:color w:val="auto"/>
                <w:highlight w:val="none"/>
              </w:rPr>
              <w:t xml:space="preserve">3、粉碎型格栅，不锈钢材质</w:t>
            </w:r>
            <w:r>
              <w:rPr>
                <w:rFonts w:hint="eastAsia"/>
                <w:color w:val="auto"/>
                <w:highlight w:val="none"/>
              </w:rPr>
              <w:br/>
            </w:r>
            <w:r>
              <w:rPr>
                <w:rFonts w:hint="eastAsia"/>
                <w:color w:val="auto"/>
                <w:highlight w:val="none"/>
              </w:rPr>
              <w:t xml:space="preserve">3、其他包含阀门、法兰、爬梯、扶手、控制柜等</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安全警示牌运维</w:t>
            </w:r>
            <w:r/>
          </w:p>
        </w:tc>
        <w:tc>
          <w:tcPr>
            <w:tcW w:w="7869" w:type="dxa"/>
            <w:vAlign w:val="center"/>
            <w:textDirection w:val="lrTb"/>
            <w:noWrap w:val="false"/>
          </w:tcPr>
          <w:p>
            <w:pPr>
              <w:rPr>
                <w:color w:val="auto"/>
                <w:highlight w:val="none"/>
              </w:rPr>
            </w:pPr>
            <w:r>
              <w:rPr>
                <w:rFonts w:hint="eastAsia"/>
                <w:color w:val="auto"/>
                <w:highlight w:val="none"/>
              </w:rPr>
              <w:br/>
            </w:r>
            <w:r>
              <w:rPr>
                <w:rFonts w:hint="eastAsia"/>
                <w:color w:val="auto"/>
                <w:highlight w:val="none"/>
              </w:rPr>
              <w:t xml:space="preserve">1、规格：40*40*3mm厚镀锌方通，3mm厚铝板折弯成型，氟碳漆饰面</w:t>
            </w:r>
            <w:r>
              <w:rPr>
                <w:rFonts w:hint="eastAsia"/>
                <w:color w:val="auto"/>
                <w:highlight w:val="none"/>
              </w:rPr>
              <w:br/>
            </w:r>
            <w:r>
              <w:rPr>
                <w:rFonts w:hint="eastAsia"/>
                <w:color w:val="auto"/>
                <w:highlight w:val="none"/>
              </w:rPr>
              <w:t xml:space="preserve">2、橘色实心泡沫救生圈</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流量监测系统运维</w:t>
            </w:r>
            <w:r/>
          </w:p>
        </w:tc>
        <w:tc>
          <w:tcPr>
            <w:tcW w:w="7869" w:type="dxa"/>
            <w:vAlign w:val="center"/>
            <w:textDirection w:val="lrTb"/>
            <w:noWrap w:val="false"/>
          </w:tcPr>
          <w:p>
            <w:pPr>
              <w:rPr>
                <w:color w:val="auto"/>
                <w:highlight w:val="none"/>
              </w:rPr>
            </w:pPr>
            <w:r>
              <w:rPr>
                <w:rFonts w:hint="eastAsia"/>
                <w:color w:val="auto"/>
                <w:highlight w:val="none"/>
              </w:rPr>
              <w:br/>
            </w:r>
            <w:r>
              <w:rPr>
                <w:rFonts w:hint="eastAsia"/>
                <w:color w:val="auto"/>
                <w:highlight w:val="none"/>
              </w:rPr>
              <w:t xml:space="preserve">1、河道流量仪：LSH10-1QC超声波多普勒流速流量仪</w:t>
            </w:r>
            <w:r>
              <w:rPr>
                <w:rFonts w:hint="eastAsia"/>
                <w:color w:val="auto"/>
                <w:highlight w:val="none"/>
              </w:rPr>
              <w:br/>
            </w:r>
            <w:r>
              <w:rPr>
                <w:rFonts w:hint="eastAsia"/>
                <w:color w:val="auto"/>
                <w:highlight w:val="none"/>
              </w:rPr>
              <w:t xml:space="preserve">2、排口流量仪：LSH10-1QC超声波多普勒流速流量仪</w:t>
            </w:r>
            <w:r>
              <w:rPr>
                <w:rFonts w:hint="eastAsia"/>
                <w:color w:val="auto"/>
                <w:highlight w:val="none"/>
              </w:rPr>
              <w:br/>
            </w:r>
            <w:r>
              <w:rPr>
                <w:rFonts w:hint="eastAsia"/>
                <w:color w:val="auto"/>
                <w:highlight w:val="none"/>
              </w:rPr>
              <w:t xml:space="preserve">3、配电箱：500*600*300不锈钢材质</w:t>
            </w:r>
            <w:r>
              <w:rPr>
                <w:rFonts w:hint="eastAsia"/>
                <w:color w:val="auto"/>
                <w:highlight w:val="none"/>
              </w:rPr>
              <w:br/>
            </w:r>
            <w:r>
              <w:rPr>
                <w:rFonts w:hint="eastAsia"/>
                <w:color w:val="auto"/>
                <w:highlight w:val="none"/>
              </w:rPr>
              <w:t xml:space="preserve">4、太阳能电池板，高光效单晶硅功率140W</w:t>
            </w:r>
            <w:r>
              <w:rPr>
                <w:rFonts w:hint="eastAsia"/>
                <w:color w:val="auto"/>
                <w:highlight w:val="none"/>
              </w:rPr>
              <w:br/>
            </w:r>
            <w:r>
              <w:rPr>
                <w:rFonts w:hint="eastAsia"/>
                <w:color w:val="auto"/>
                <w:highlight w:val="none"/>
              </w:rPr>
              <w:t xml:space="preserve">5、其他含立杆、数据遥测中段RTU、充电控制器、信号电源防雷器等。</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监控系统运维</w:t>
            </w:r>
            <w:r/>
          </w:p>
        </w:tc>
        <w:tc>
          <w:tcPr>
            <w:tcW w:w="7869" w:type="dxa"/>
            <w:vAlign w:val="center"/>
            <w:textDirection w:val="lrTb"/>
            <w:noWrap w:val="false"/>
          </w:tcPr>
          <w:p>
            <w:pPr>
              <w:rPr>
                <w:color w:val="auto"/>
                <w:highlight w:val="none"/>
              </w:rPr>
            </w:pPr>
            <w:r>
              <w:rPr>
                <w:rFonts w:hint="eastAsia"/>
                <w:color w:val="auto"/>
                <w:highlight w:val="none"/>
              </w:rPr>
              <w:t xml:space="preserve">高清摄像头、立杆、数据遥测终端RTU、充电控制器、信号/电源防雷器、太阳能电池板（240W）、配电箱（500*600*300mm，不锈钢）、硬盘录像机、主板维护等。</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水文监测系统运维</w:t>
            </w:r>
            <w:r/>
          </w:p>
        </w:tc>
        <w:tc>
          <w:tcPr>
            <w:tcW w:w="7869" w:type="dxa"/>
            <w:vAlign w:val="center"/>
            <w:textDirection w:val="lrTb"/>
            <w:noWrap w:val="false"/>
          </w:tcPr>
          <w:p>
            <w:pPr>
              <w:rPr>
                <w:color w:val="auto"/>
                <w:highlight w:val="none"/>
              </w:rPr>
            </w:pPr>
            <w:r>
              <w:rPr>
                <w:rFonts w:hint="eastAsia"/>
                <w:color w:val="auto"/>
                <w:highlight w:val="none"/>
              </w:rPr>
              <w:t xml:space="preserve">1、流速流量计：LCH10-1QC超声波多普勒流速流量计</w:t>
            </w:r>
            <w:r>
              <w:rPr>
                <w:rFonts w:hint="eastAsia"/>
                <w:color w:val="auto"/>
                <w:highlight w:val="none"/>
              </w:rPr>
              <w:br/>
            </w:r>
            <w:r>
              <w:rPr>
                <w:rFonts w:hint="eastAsia"/>
                <w:color w:val="auto"/>
                <w:highlight w:val="none"/>
              </w:rPr>
              <w:t xml:space="preserve">2、气象传感器：风速传感器、风向传感器、翻斗式雨量计</w:t>
            </w:r>
            <w:r>
              <w:rPr>
                <w:rFonts w:hint="eastAsia"/>
                <w:color w:val="auto"/>
                <w:highlight w:val="none"/>
              </w:rPr>
              <w:br/>
            </w:r>
            <w:r>
              <w:rPr>
                <w:rFonts w:hint="eastAsia"/>
                <w:color w:val="auto"/>
                <w:highlight w:val="none"/>
              </w:rPr>
              <w:t xml:space="preserve">3、配电箱：500*600*250mm，304不锈钢材质</w:t>
            </w:r>
            <w:r>
              <w:rPr>
                <w:rFonts w:hint="eastAsia"/>
                <w:color w:val="auto"/>
                <w:highlight w:val="none"/>
              </w:rPr>
              <w:br/>
            </w:r>
            <w:r>
              <w:rPr>
                <w:rFonts w:hint="eastAsia"/>
                <w:color w:val="auto"/>
                <w:highlight w:val="none"/>
              </w:rPr>
              <w:t xml:space="preserve">4、太阳能电池板：高光效单晶硅，功率140W</w:t>
            </w:r>
            <w:r>
              <w:rPr>
                <w:rFonts w:hint="eastAsia"/>
                <w:color w:val="auto"/>
                <w:highlight w:val="none"/>
              </w:rPr>
              <w:br/>
            </w:r>
            <w:r>
              <w:rPr>
                <w:rFonts w:hint="eastAsia"/>
                <w:color w:val="auto"/>
                <w:highlight w:val="none"/>
              </w:rPr>
              <w:t xml:space="preserve">5、其他含立杆、数据遥测终端RTU、充电控制器、信号/电源防雷器、监控摄像头等</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浮标监测设备运维</w:t>
            </w:r>
            <w:r/>
          </w:p>
        </w:tc>
        <w:tc>
          <w:tcPr>
            <w:tcW w:w="7869" w:type="dxa"/>
            <w:vAlign w:val="center"/>
            <w:textDirection w:val="lrTb"/>
            <w:noWrap w:val="false"/>
          </w:tcPr>
          <w:p>
            <w:pPr>
              <w:rPr>
                <w:color w:val="auto"/>
                <w:highlight w:val="none"/>
              </w:rPr>
            </w:pPr>
            <w:r>
              <w:rPr>
                <w:rFonts w:hint="eastAsia"/>
                <w:color w:val="auto"/>
                <w:highlight w:val="none"/>
              </w:rPr>
              <w:t xml:space="preserve">1、浮标规格：直径60mm，高度1000mm，PE外壳，太阳能电池板45W，4G无线传输模块（外置天线）</w:t>
            </w:r>
            <w:r>
              <w:rPr>
                <w:rFonts w:hint="eastAsia"/>
                <w:color w:val="auto"/>
                <w:highlight w:val="none"/>
              </w:rPr>
              <w:br/>
            </w:r>
            <w:r>
              <w:rPr>
                <w:rFonts w:hint="eastAsia"/>
                <w:color w:val="auto"/>
                <w:highlight w:val="none"/>
              </w:rPr>
              <w:t xml:space="preserve">2、传感器：数字式氨氮/pH传感器、数字式溶解氧传感器</w:t>
            </w:r>
            <w:r/>
          </w:p>
        </w:tc>
      </w:tr>
      <w:tr>
        <w:trPr/>
        <w:tc>
          <w:tcPr>
            <w:tcW w:w="6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W w:w="14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水位计设备运维</w:t>
            </w:r>
            <w:r/>
          </w:p>
        </w:tc>
        <w:tc>
          <w:tcPr>
            <w:tcW w:w="7869" w:type="dxa"/>
            <w:vAlign w:val="center"/>
            <w:textDirection w:val="lrTb"/>
            <w:noWrap w:val="false"/>
          </w:tcPr>
          <w:p>
            <w:pPr>
              <w:rPr>
                <w:color w:val="auto"/>
                <w:highlight w:val="none"/>
              </w:rPr>
            </w:pPr>
            <w:r>
              <w:rPr>
                <w:rFonts w:hint="eastAsia"/>
                <w:color w:val="auto"/>
                <w:highlight w:val="none"/>
              </w:rPr>
              <w:t xml:space="preserve">1、太阳能电池板：高光效单晶硅，功率140W</w:t>
            </w:r>
            <w:r>
              <w:rPr>
                <w:rFonts w:hint="eastAsia"/>
                <w:color w:val="auto"/>
                <w:highlight w:val="none"/>
              </w:rPr>
              <w:br/>
            </w:r>
            <w:r>
              <w:rPr>
                <w:rFonts w:hint="eastAsia"/>
                <w:color w:val="auto"/>
                <w:highlight w:val="none"/>
              </w:rPr>
              <w:t xml:space="preserve">2、雷达水位计：HCRZ-LD100型</w:t>
            </w:r>
            <w:r>
              <w:rPr>
                <w:rFonts w:hint="eastAsia"/>
                <w:color w:val="auto"/>
                <w:highlight w:val="none"/>
              </w:rPr>
              <w:br/>
            </w:r>
            <w:r>
              <w:rPr>
                <w:rFonts w:hint="eastAsia"/>
                <w:color w:val="auto"/>
                <w:highlight w:val="none"/>
              </w:rPr>
              <w:t xml:space="preserve">3、其他含数据遥测终端DTU、充电控制器、配电箱（500*600*300mm，不锈钢）、3.5m不锈钢立杆、信号防雷器等</w:t>
            </w:r>
            <w:r/>
          </w:p>
        </w:tc>
      </w:tr>
    </w:tbl>
    <w:p>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numPr>
          <w:ilvl w:val="0"/>
          <w:numId w:val="16"/>
        </w:numPr>
        <w:ind w:firstLine="480"/>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养护明细清单</w:t>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36"/>
          <w:szCs w:val="36"/>
          <w:highlight w:val="none"/>
        </w:rPr>
        <w:t xml:space="preserve">太科园(新安街道)河道水生态长效运维养护项目河道明细</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一期7条河道：</w:t>
      </w:r>
      <w:r/>
    </w:p>
    <w:tbl>
      <w:tblPr>
        <w:tblStyle w:val="779"/>
        <w:tblW w:w="9817" w:type="dxa"/>
        <w:tblInd w:w="42" w:type="dxa"/>
        <w:tblLayout w:type="fixed"/>
        <w:tblCellMar>
          <w:left w:w="108" w:type="dxa"/>
          <w:top w:w="0" w:type="dxa"/>
          <w:right w:w="108" w:type="dxa"/>
          <w:bottom w:w="0" w:type="dxa"/>
        </w:tblCellMar>
        <w:tblLook w:val="04A0" w:firstRow="1" w:lastRow="0" w:firstColumn="1" w:lastColumn="0" w:noHBand="0" w:noVBand="1"/>
      </w:tblPr>
      <w:tblGrid>
        <w:gridCol w:w="731"/>
        <w:gridCol w:w="1514"/>
        <w:gridCol w:w="1898"/>
        <w:gridCol w:w="1264"/>
        <w:gridCol w:w="1699"/>
        <w:gridCol w:w="1114"/>
        <w:gridCol w:w="1597"/>
      </w:tblGrid>
      <w:tr>
        <w:trPr>
          <w:trHeight w:val="1358"/>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河道名称</w:t>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起终点</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河道长度</w:t>
            </w:r>
            <w:r/>
          </w:p>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（千米）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水域面积</w:t>
            </w:r>
            <w:r/>
          </w:p>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（万平方米）</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河道</w:t>
            </w:r>
            <w:r/>
          </w:p>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等级</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合计面积</w:t>
            </w:r>
            <w:r/>
          </w:p>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（万平方米）</w:t>
            </w:r>
            <w:r/>
          </w:p>
        </w:tc>
      </w:tr>
      <w:tr>
        <w:trPr>
          <w:trHeight w:val="696"/>
        </w:trPr>
        <w:tc>
          <w:tcPr>
            <w:tcBorders>
              <w:top w:val="single" w:color="000000" w:sz="4" w:space="0"/>
              <w:left w:val="single" w:color="000000" w:sz="4" w:space="0"/>
              <w:right w:val="single" w:color="000000" w:sz="4" w:space="0"/>
            </w:tcBorders>
            <w:tcW w:w="731" w:type="dxa"/>
            <w:vAlign w:val="center"/>
            <w:vMerge w:val="restart"/>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大溪港南段</w:t>
            </w:r>
            <w:r/>
          </w:p>
        </w:tc>
        <w:tc>
          <w:tcPr>
            <w:tcBorders>
              <w:top w:val="single" w:color="000000" w:sz="4" w:space="0"/>
              <w:left w:val="single" w:color="000000" w:sz="4" w:space="0"/>
              <w:right w:val="single" w:color="000000" w:sz="4" w:space="0"/>
            </w:tcBorders>
            <w:tcW w:w="1898"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具区路-太湖段</w:t>
            </w:r>
            <w:r/>
          </w:p>
        </w:tc>
        <w:tc>
          <w:tcPr>
            <w:tcBorders>
              <w:top w:val="single" w:color="000000" w:sz="4" w:space="0"/>
              <w:left w:val="single" w:color="000000" w:sz="4" w:space="0"/>
              <w:right w:val="single" w:color="000000" w:sz="4" w:space="0"/>
            </w:tcBorders>
            <w:tcW w:w="126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1.114</w:t>
            </w:r>
            <w:r/>
          </w:p>
        </w:tc>
        <w:tc>
          <w:tcPr>
            <w:tcBorders>
              <w:top w:val="single" w:color="000000" w:sz="4" w:space="0"/>
              <w:left w:val="single" w:color="000000" w:sz="4" w:space="0"/>
              <w:right w:val="single" w:color="000000" w:sz="4" w:space="0"/>
            </w:tcBorders>
            <w:tcW w:w="1699" w:type="dxa"/>
            <w:vAlign w:val="center"/>
            <w:vMerge w:val="restart"/>
            <w:textDirection w:val="lrTb"/>
            <w:noWrap/>
          </w:tcPr>
          <w:p>
            <w:pPr>
              <w:jc w:val="left"/>
              <w:tabs>
                <w:tab w:val="left" w:pos="515" w:leader="none"/>
              </w:tabs>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ab/>
            </w:r>
            <w:r>
              <w:rPr>
                <w:rFonts w:hint="eastAsia" w:ascii="宋体" w:hAnsi="宋体" w:cs="宋体"/>
                <w:color w:val="auto"/>
                <w:sz w:val="22"/>
                <w:szCs w:val="22"/>
                <w:highlight w:val="none"/>
                <w:lang w:bidi="ar"/>
              </w:rPr>
              <w:t xml:space="preserve">5.56</w:t>
            </w:r>
            <w:r/>
          </w:p>
        </w:tc>
        <w:tc>
          <w:tcPr>
            <w:tcBorders>
              <w:top w:val="single" w:color="000000" w:sz="4" w:space="0"/>
              <w:left w:val="single" w:color="000000" w:sz="4" w:space="0"/>
              <w:right w:val="single" w:color="000000" w:sz="4" w:space="0"/>
            </w:tcBorders>
            <w:tcW w:w="1114" w:type="dxa"/>
            <w:vAlign w:val="center"/>
            <w:vMerge w:val="restart"/>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二级</w:t>
            </w:r>
            <w:r/>
          </w:p>
        </w:tc>
        <w:tc>
          <w:tcPr>
            <w:tcBorders>
              <w:top w:val="single" w:color="000000" w:sz="4" w:space="0"/>
              <w:left w:val="single" w:color="000000" w:sz="4" w:space="0"/>
              <w:right w:val="single" w:color="000000" w:sz="4" w:space="0"/>
            </w:tcBorders>
            <w:tcW w:w="1597" w:type="dxa"/>
            <w:vAlign w:val="center"/>
            <w:vMerge w:val="restart"/>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27.62</w:t>
            </w:r>
            <w:r/>
          </w:p>
        </w:tc>
      </w:tr>
      <w:tr>
        <w:trPr>
          <w:trHeight w:val="1358"/>
        </w:trPr>
        <w:tc>
          <w:tcPr>
            <w:tcBorders>
              <w:left w:val="single" w:color="000000" w:sz="4" w:space="0"/>
              <w:bottom w:val="single" w:color="000000" w:sz="4" w:space="0"/>
              <w:right w:val="single" w:color="000000" w:sz="4" w:space="0"/>
            </w:tcBorders>
            <w:tcW w:w="731" w:type="dxa"/>
            <w:vAlign w:val="center"/>
            <w:vMerge w:val="continue"/>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大溪港</w:t>
            </w:r>
            <w:r/>
          </w:p>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彩虹桥段</w:t>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彩虹桥段</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0.337</w:t>
            </w:r>
            <w:r/>
          </w:p>
        </w:tc>
        <w:tc>
          <w:tcPr>
            <w:tcBorders>
              <w:left w:val="single" w:color="000000" w:sz="4" w:space="0"/>
              <w:bottom w:val="single" w:color="000000" w:sz="4" w:space="0"/>
              <w:right w:val="single" w:color="000000" w:sz="4" w:space="0"/>
            </w:tcBorders>
            <w:tcW w:w="1699"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1114" w:type="dxa"/>
            <w:vAlign w:val="center"/>
            <w:vMerge w:val="continue"/>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left w:val="single" w:color="000000" w:sz="4" w:space="0"/>
              <w:right w:val="single" w:color="000000" w:sz="4" w:space="0"/>
            </w:tcBorders>
            <w:tcW w:w="1597" w:type="dxa"/>
            <w:vAlign w:val="center"/>
            <w:vMerge w:val="continue"/>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696"/>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清水河</w:t>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大溪港-新开港</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4.094</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19.38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三级</w:t>
            </w:r>
            <w:r/>
          </w:p>
        </w:tc>
        <w:tc>
          <w:tcPr>
            <w:tcBorders>
              <w:left w:val="single" w:color="000000" w:sz="4" w:space="0"/>
              <w:right w:val="single" w:color="000000" w:sz="4" w:space="0"/>
            </w:tcBorders>
            <w:tcW w:w="1597"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1358"/>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孟巷河 </w:t>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华谊路-菱湖大道</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1.115</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2.68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三级</w:t>
            </w:r>
            <w:r/>
          </w:p>
        </w:tc>
        <w:tc>
          <w:tcPr>
            <w:tcBorders>
              <w:left w:val="single" w:color="000000" w:sz="4" w:space="0"/>
              <w:bottom w:val="single" w:color="auto" w:sz="4" w:space="0"/>
              <w:right w:val="single" w:color="000000" w:sz="4" w:space="0"/>
            </w:tcBorders>
            <w:tcW w:w="1597"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1358"/>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翡翠河</w:t>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夹洚上河-大溪港</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2.579</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6.22</w:t>
            </w:r>
            <w:r/>
          </w:p>
        </w:tc>
        <w:tc>
          <w:tcPr>
            <w:tcBorders>
              <w:top w:val="single" w:color="000000" w:sz="4" w:space="0"/>
              <w:left w:val="single" w:color="000000" w:sz="4" w:space="0"/>
              <w:bottom w:val="single" w:color="000000" w:sz="4" w:space="0"/>
              <w:right w:val="single" w:color="auto" w:sz="4" w:space="0"/>
            </w:tcBorders>
            <w:tcW w:w="111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97" w:type="dxa"/>
            <w:vAlign w:val="center"/>
            <w:vMerge w:val="restart"/>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16.02</w:t>
            </w:r>
            <w:r/>
          </w:p>
        </w:tc>
      </w:tr>
      <w:tr>
        <w:trPr>
          <w:trHeight w:val="696"/>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兴源河</w:t>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面杖港-大溪港</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2.954</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8.25</w:t>
            </w:r>
            <w:r/>
          </w:p>
        </w:tc>
        <w:tc>
          <w:tcPr>
            <w:tcBorders>
              <w:top w:val="single" w:color="000000" w:sz="4" w:space="0"/>
              <w:left w:val="single" w:color="000000" w:sz="4" w:space="0"/>
              <w:bottom w:val="single" w:color="000000" w:sz="4" w:space="0"/>
              <w:right w:val="single" w:color="auto" w:sz="4" w:space="0"/>
            </w:tcBorders>
            <w:tcW w:w="111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97"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696"/>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谈家桥河</w:t>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浜头-运河西路</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0.76</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1.18</w:t>
            </w:r>
            <w:r/>
          </w:p>
        </w:tc>
        <w:tc>
          <w:tcPr>
            <w:tcBorders>
              <w:top w:val="single" w:color="000000" w:sz="4" w:space="0"/>
              <w:left w:val="single" w:color="000000" w:sz="4" w:space="0"/>
              <w:bottom w:val="single" w:color="000000" w:sz="4" w:space="0"/>
              <w:right w:val="single" w:color="auto" w:sz="4" w:space="0"/>
            </w:tcBorders>
            <w:tcW w:w="111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97"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1358"/>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三河港</w:t>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现有土坝-新建闸</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0.34</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0.37</w:t>
            </w:r>
            <w:r/>
          </w:p>
        </w:tc>
        <w:tc>
          <w:tcPr>
            <w:tcBorders>
              <w:top w:val="single" w:color="000000" w:sz="4" w:space="0"/>
              <w:left w:val="single" w:color="000000" w:sz="4" w:space="0"/>
              <w:bottom w:val="single" w:color="000000" w:sz="4" w:space="0"/>
              <w:right w:val="single" w:color="auto" w:sz="4" w:space="0"/>
            </w:tcBorders>
            <w:tcW w:w="111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97"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733"/>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汇总</w:t>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auto" w:sz="4" w:space="0"/>
            </w:tcBorders>
            <w:tcW w:w="111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43.64</w:t>
            </w:r>
            <w:r/>
          </w:p>
        </w:tc>
      </w:tr>
    </w:tbl>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二期18条河道：</w:t>
      </w:r>
      <w:r/>
    </w:p>
    <w:tbl>
      <w:tblPr>
        <w:tblStyle w:val="779"/>
        <w:tblW w:w="9697" w:type="dxa"/>
        <w:tblInd w:w="42" w:type="dxa"/>
        <w:tblLayout w:type="fixed"/>
        <w:tblCellMar>
          <w:left w:w="108" w:type="dxa"/>
          <w:top w:w="0" w:type="dxa"/>
          <w:right w:w="108" w:type="dxa"/>
          <w:bottom w:w="0" w:type="dxa"/>
        </w:tblCellMar>
        <w:tblLook w:val="04A0" w:firstRow="1" w:lastRow="0" w:firstColumn="1" w:lastColumn="0" w:noHBand="0" w:noVBand="1"/>
      </w:tblPr>
      <w:tblGrid>
        <w:gridCol w:w="722"/>
        <w:gridCol w:w="1496"/>
        <w:gridCol w:w="1874"/>
        <w:gridCol w:w="1249"/>
        <w:gridCol w:w="1677"/>
        <w:gridCol w:w="1101"/>
        <w:gridCol w:w="1578"/>
      </w:tblGrid>
      <w:tr>
        <w:trPr>
          <w:trHeight w:val="85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河道名称</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起终点</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河道长度</w:t>
            </w:r>
            <w:r/>
          </w:p>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（千米）</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水域面积</w:t>
            </w:r>
            <w:r/>
          </w:p>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（万平方米）</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备注</w:t>
            </w:r>
            <w:r/>
          </w:p>
        </w:tc>
        <w:tc>
          <w:tcPr>
            <w:tcBorders>
              <w:top w:val="single" w:color="000000" w:sz="4" w:space="0"/>
              <w:left w:val="single" w:color="000000" w:sz="4" w:space="0"/>
              <w:bottom w:val="single" w:color="auto" w:sz="4" w:space="0"/>
              <w:right w:val="single" w:color="000000" w:sz="4" w:space="0"/>
            </w:tcBorders>
            <w:tcW w:w="1578"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合计面积</w:t>
            </w:r>
            <w:r/>
          </w:p>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（万平方米）</w:t>
            </w:r>
            <w:r/>
          </w:p>
        </w:tc>
      </w:tr>
      <w:tr>
        <w:trPr>
          <w:trHeight w:val="437"/>
        </w:trPr>
        <w:tc>
          <w:tcPr>
            <w:tcBorders>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大溪港</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清源路-彩虹桥</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3.32</w:t>
            </w:r>
            <w:r/>
          </w:p>
        </w:tc>
        <w:tc>
          <w:tcPr>
            <w:tcBorders>
              <w:left w:val="single" w:color="000000" w:sz="4" w:space="0"/>
              <w:bottom w:val="single" w:color="000000" w:sz="4" w:space="0"/>
              <w:right w:val="single" w:color="auto" w:sz="4" w:space="0"/>
            </w:tcBorders>
            <w:tcW w:w="110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二级</w:t>
            </w:r>
            <w:r/>
          </w:p>
        </w:tc>
        <w:tc>
          <w:tcPr>
            <w:tcBorders>
              <w:top w:val="single" w:color="auto" w:sz="4" w:space="0"/>
              <w:left w:val="single" w:color="auto" w:sz="4" w:space="0"/>
              <w:right w:val="single" w:color="auto" w:sz="4" w:space="0"/>
            </w:tcBorders>
            <w:tcW w:w="1578" w:type="dxa"/>
            <w:vAlign w:val="center"/>
            <w:vMerge w:val="restart"/>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7.19</w:t>
            </w:r>
            <w:r/>
          </w:p>
        </w:tc>
      </w:tr>
      <w:tr>
        <w:trPr>
          <w:trHeight w:val="850"/>
        </w:trPr>
        <w:tc>
          <w:tcPr>
            <w:tcBorders>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车尚桥河</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华甲里河-</w:t>
            </w:r>
            <w:r/>
          </w:p>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大溪港</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3.87</w:t>
            </w:r>
            <w:r/>
          </w:p>
        </w:tc>
        <w:tc>
          <w:tcPr>
            <w:tcBorders>
              <w:left w:val="single" w:color="000000" w:sz="4" w:space="0"/>
              <w:bottom w:val="single" w:color="000000" w:sz="4" w:space="0"/>
              <w:right w:val="single" w:color="auto" w:sz="4" w:space="0"/>
            </w:tcBorders>
            <w:tcW w:w="1101"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三级</w:t>
            </w:r>
            <w:r/>
          </w:p>
        </w:tc>
        <w:tc>
          <w:tcPr>
            <w:tcBorders>
              <w:left w:val="single" w:color="auto" w:sz="4" w:space="0"/>
              <w:bottom w:val="single" w:color="auto" w:sz="4" w:space="0"/>
              <w:right w:val="single" w:color="auto" w:sz="4" w:space="0"/>
            </w:tcBorders>
            <w:tcW w:w="1578" w:type="dxa"/>
            <w:vAlign w:val="center"/>
            <w:vMerge w:val="continue"/>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50"/>
        </w:trPr>
        <w:tc>
          <w:tcPr>
            <w:tcBorders>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面杖港</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华谊路东侧橡胶坝-面杖港闸站</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2.54</w:t>
            </w:r>
            <w:r/>
          </w:p>
        </w:tc>
        <w:tc>
          <w:tcPr>
            <w:tcBorders>
              <w:left w:val="single" w:color="000000" w:sz="4" w:space="0"/>
              <w:bottom w:val="single" w:color="000000" w:sz="4" w:space="0"/>
              <w:right w:val="single" w:color="auto" w:sz="4" w:space="0"/>
            </w:tcBorders>
            <w:tcW w:w="1101"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restart"/>
            <w:textDirection w:val="lrTb"/>
            <w:noWrap w:val="false"/>
          </w:tcPr>
          <w:p>
            <w:pPr>
              <w:jc w:val="center"/>
              <w:widowControl/>
              <w:tabs>
                <w:tab w:val="left" w:pos="297" w:leader="none"/>
              </w:tabs>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30.53</w:t>
            </w:r>
            <w:r/>
          </w:p>
        </w:tc>
      </w:tr>
      <w:tr>
        <w:trPr>
          <w:trHeight w:val="85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夹洚上河</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翡翠河-</w:t>
            </w:r>
            <w:r/>
          </w:p>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夹洚上河闸站</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3.02</w:t>
            </w:r>
            <w:r/>
          </w:p>
        </w:tc>
        <w:tc>
          <w:tcPr>
            <w:tcBorders>
              <w:top w:val="single" w:color="000000" w:sz="4" w:space="0"/>
              <w:left w:val="single" w:color="000000" w:sz="4" w:space="0"/>
              <w:bottom w:val="single" w:color="000000" w:sz="4" w:space="0"/>
              <w:right w:val="single" w:color="auto" w:sz="4" w:space="0"/>
            </w:tcBorders>
            <w:tcW w:w="110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1263"/>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莫家桥河（夹洚上河西段）</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华谊路-翡翠河</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0.73</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1.60</w:t>
            </w:r>
            <w:r/>
          </w:p>
        </w:tc>
        <w:tc>
          <w:tcPr>
            <w:tcBorders>
              <w:top w:val="single" w:color="000000" w:sz="4" w:space="0"/>
              <w:left w:val="single" w:color="000000" w:sz="4" w:space="0"/>
              <w:bottom w:val="single" w:color="000000" w:sz="4" w:space="0"/>
              <w:right w:val="single" w:color="auto" w:sz="4" w:space="0"/>
            </w:tcBorders>
            <w:tcW w:w="110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袁塘桥河</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净慧东道-</w:t>
            </w:r>
            <w:r/>
          </w:p>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佛奥支路</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0.19</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0.26</w:t>
            </w:r>
            <w:r/>
          </w:p>
        </w:tc>
        <w:tc>
          <w:tcPr>
            <w:tcBorders>
              <w:top w:val="single" w:color="000000" w:sz="4" w:space="0"/>
              <w:left w:val="single" w:color="000000" w:sz="4" w:space="0"/>
              <w:bottom w:val="single" w:color="000000" w:sz="4" w:space="0"/>
              <w:right w:val="single" w:color="auto" w:sz="4" w:space="0"/>
            </w:tcBorders>
            <w:tcW w:w="110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437"/>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华甲里河</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和风路-大溪港</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2.52</w:t>
            </w:r>
            <w:r/>
          </w:p>
        </w:tc>
        <w:tc>
          <w:tcPr>
            <w:tcBorders>
              <w:top w:val="single" w:color="000000" w:sz="4" w:space="0"/>
              <w:left w:val="single" w:color="000000" w:sz="4" w:space="0"/>
              <w:bottom w:val="single" w:color="000000" w:sz="4" w:space="0"/>
              <w:right w:val="single" w:color="auto" w:sz="4" w:space="0"/>
            </w:tcBorders>
            <w:tcW w:w="110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437"/>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大坟头河</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浜头-运河</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0.55</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0.61</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437"/>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六步港</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清水河-大溪港</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437"/>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秀景路河</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大溪港-六步港</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0.99</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0.94</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三房桥河</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华新北路-</w:t>
            </w:r>
            <w:r/>
          </w:p>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大溪港</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0.69</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437"/>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新库港</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清水河-具区路</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0.71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0.85</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具区河</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大溪港-秀云路，东段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高墩港</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清水河-</w:t>
            </w:r>
            <w:r/>
          </w:p>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高墩港闸站</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437"/>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新开港</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清水河-运河</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437"/>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三河港</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土坝-横泾巷河</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0.60</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0.85</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437"/>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老人桥浜</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浜头-秀景路河</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0.43</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0.40</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437"/>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汗巾头浜</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浜头-六步港</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0.44</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四级</w:t>
            </w:r>
            <w:r/>
          </w:p>
        </w:tc>
        <w:tc>
          <w:tcPr>
            <w:tcBorders>
              <w:top w:val="single" w:color="auto" w:sz="4" w:space="0"/>
              <w:left w:val="single" w:color="auto" w:sz="4" w:space="0"/>
              <w:bottom w:val="single" w:color="auto" w:sz="4" w:space="0"/>
              <w:right w:val="single" w:color="auto" w:sz="4" w:space="0"/>
            </w:tcBorders>
            <w:tcW w:w="1578"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462"/>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汇总</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37.72</w:t>
            </w:r>
            <w:r/>
          </w:p>
        </w:tc>
      </w:tr>
    </w:tbl>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太科园(新安街道)河道水生态长效运维养护项目清单明细表</w:t>
      </w:r>
      <w:r/>
    </w:p>
    <w:tbl>
      <w:tblPr>
        <w:tblStyle w:val="779"/>
        <w:tblW w:w="9810" w:type="dxa"/>
        <w:tblInd w:w="54" w:type="dxa"/>
        <w:tblLayout w:type="fixed"/>
        <w:tblCellMar>
          <w:left w:w="108" w:type="dxa"/>
          <w:top w:w="0" w:type="dxa"/>
          <w:right w:w="108" w:type="dxa"/>
          <w:bottom w:w="0" w:type="dxa"/>
        </w:tblCellMar>
        <w:tblLook w:val="04A0" w:firstRow="1" w:lastRow="0" w:firstColumn="1" w:lastColumn="0" w:noHBand="0" w:noVBand="1"/>
      </w:tblPr>
      <w:tblGrid>
        <w:gridCol w:w="870"/>
        <w:gridCol w:w="1560"/>
        <w:gridCol w:w="4440"/>
        <w:gridCol w:w="615"/>
        <w:gridCol w:w="795"/>
        <w:gridCol w:w="547"/>
        <w:gridCol w:w="314"/>
        <w:gridCol w:w="310"/>
        <w:gridCol w:w="359"/>
      </w:tblGrid>
      <w:tr>
        <w:trPr>
          <w:gridAfter w:val="2"/>
          <w:trHeight w:val="960"/>
        </w:trPr>
        <w:tc>
          <w:tcPr>
            <w:gridSpan w:val="7"/>
            <w:tcBorders>
              <w:top w:val="none" w:color="000000" w:sz="4" w:space="0"/>
              <w:left w:val="none" w:color="000000" w:sz="4" w:space="0"/>
              <w:bottom w:val="none" w:color="000000" w:sz="4" w:space="0"/>
              <w:right w:val="none" w:color="000000" w:sz="4" w:space="0"/>
            </w:tcBorders>
            <w:tcW w:w="9141" w:type="dxa"/>
            <w:vAlign w:val="center"/>
            <w:textDirection w:val="lrTb"/>
            <w:noWrap w:val="false"/>
          </w:tcPr>
          <w:p>
            <w:pPr>
              <w:widowControl/>
              <w:rPr>
                <w:rFonts w:hint="eastAsia" w:ascii="宋体" w:hAnsi="宋体" w:cs="宋体"/>
                <w:b/>
                <w:bCs/>
                <w:color w:val="auto"/>
                <w:sz w:val="32"/>
                <w:szCs w:val="32"/>
                <w:highlight w:val="none"/>
              </w:rPr>
            </w:pPr>
            <w:r>
              <w:rPr>
                <w:rStyle w:val="1056"/>
                <w:rFonts w:hint="default"/>
                <w:color w:val="auto"/>
                <w:sz w:val="24"/>
                <w:szCs w:val="24"/>
                <w:highlight w:val="none"/>
                <w:lang w:bidi="ar"/>
              </w:rPr>
              <w:t xml:space="preserve">一期河道：太科园（新安街道）河道水生态长效运维养护项目（7条河）</w:t>
            </w:r>
            <w:r/>
          </w:p>
        </w:tc>
      </w:tr>
      <w:tr>
        <w:trPr>
          <w:trHeight w:val="46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运维养护要求</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单价（元/月）</w:t>
            </w:r>
            <w:r/>
          </w:p>
        </w:tc>
        <w:tc>
          <w:tcPr>
            <w:gridSpan w:val="2"/>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合价（元）</w:t>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一</w:t>
            </w:r>
            <w:r/>
          </w:p>
        </w:tc>
        <w:tc>
          <w:tcPr>
            <w:gridSpan w:val="2"/>
            <w:tcBorders>
              <w:top w:val="single" w:color="000000" w:sz="4" w:space="0"/>
              <w:left w:val="single" w:color="000000" w:sz="4" w:space="0"/>
              <w:bottom w:val="single" w:color="000000" w:sz="4" w:space="0"/>
              <w:right w:val="none" w:color="000000" w:sz="4" w:space="0"/>
            </w:tcBorders>
            <w:tcW w:w="6000"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水质达标维护</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79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54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gridSpan w:val="2"/>
            <w:tcBorders>
              <w:top w:val="single" w:color="000000" w:sz="4" w:space="0"/>
              <w:left w:val="none" w:color="000000" w:sz="4" w:space="0"/>
              <w:bottom w:val="single" w:color="000000" w:sz="4" w:space="0"/>
              <w:right w:val="none" w:color="000000" w:sz="4" w:space="0"/>
            </w:tcBorders>
            <w:tcW w:w="624"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水体保洁与维护</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定期巡查，定期清理、打捞水面水草、漂浮物及垃圾；并及时处置，垃圾处置符合环保要求，每条河道至少配备一艘保洁船只；维护标准参照采购需求；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养护期24个月</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436442</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水质、透明度维护</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1、水质、透明度维护；</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2、维护标准参照采购需求；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养护期24个月</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436442</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non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水质自检</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1、每河道依据点位每月一次进行水质自检</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2、监测指标：氨氮、总磷、COD、高锰酸盐指数等指标，出具符合资质要求的实验室正式报告。</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养护期24个月</w:t>
            </w:r>
            <w:r/>
          </w:p>
        </w:tc>
        <w:tc>
          <w:tcPr>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次</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二</w:t>
            </w:r>
            <w:r/>
          </w:p>
        </w:tc>
        <w:tc>
          <w:tcPr>
            <w:gridSpan w:val="2"/>
            <w:tcBorders>
              <w:top w:val="single" w:color="000000" w:sz="4" w:space="0"/>
              <w:left w:val="single" w:color="000000" w:sz="4" w:space="0"/>
              <w:bottom w:val="single" w:color="000000" w:sz="4" w:space="0"/>
              <w:right w:val="none" w:color="000000" w:sz="4" w:space="0"/>
            </w:tcBorders>
            <w:tcW w:w="6000"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水生植物养护</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79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54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gridSpan w:val="2"/>
            <w:tcBorders>
              <w:top w:val="single" w:color="000000" w:sz="4" w:space="0"/>
              <w:left w:val="none" w:color="000000" w:sz="4" w:space="0"/>
              <w:bottom w:val="single" w:color="000000" w:sz="4" w:space="0"/>
              <w:right w:val="none" w:color="000000" w:sz="4" w:space="0"/>
            </w:tcBorders>
            <w:tcW w:w="624"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trHeight w:val="348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沉水植物养护</w:t>
            </w:r>
            <w:r/>
          </w:p>
        </w:tc>
        <w:tc>
          <w:tcPr>
            <w:tcBorders>
              <w:top w:val="none" w:color="000000" w:sz="4" w:space="0"/>
              <w:left w:val="none" w:color="000000" w:sz="4" w:space="0"/>
              <w:bottom w:val="none" w:color="000000" w:sz="4" w:space="0"/>
              <w:right w:val="non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1、及时清除水体表面的植物及非规划性沉水植物。沉水植物长出水面影响景观时，应进行人工打捞或机割。对于死株，应及时清除。</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2、全年集中收割1次，收割范围覆盖全部养护区域内的规划性沉水植物，在沉水植物进入自然枯萎期后 1 周内收割，收割方式为机械收割或人工打捞，收割后的植物残体需及时运离养护区域，严禁随意堆放或二次投入水体。</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3、根据覆盖度要求进行春季补种1次沉水植物，确保植株成活率。</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4、养护要求：沉水植物无大面积枯萎、病虫害，整体生长态势良好。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养护期24个月</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401640</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4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挺水植物养护</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1、定期巡查，松动及时固定，破损及时更换，避免整个浮床连带损伤。</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2、根据长势/覆盖度进行补种。</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3、及时修剪枯黄、枯死和倒伏植株，及时清理滨岸带挺水植物周围的杂物或垃圾。</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4、定期去除杂草，除草时注意不要破坏植被根系。</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5、冬至后至立春萌动前应对枯萎枝叶进行修剪。</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6、对于因病虫害等原因造成某个或某些植被死亡时，应将植被撤出，并进行相应的补种；当植物有严重病虫害时，应撤出后再喷洒杀虫剂处理。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养护期24个月</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5615</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三</w:t>
            </w:r>
            <w:r/>
          </w:p>
        </w:tc>
        <w:tc>
          <w:tcPr>
            <w:gridSpan w:val="2"/>
            <w:tcBorders>
              <w:top w:val="single" w:color="000000" w:sz="4" w:space="0"/>
              <w:left w:val="single" w:color="000000" w:sz="4" w:space="0"/>
              <w:bottom w:val="single" w:color="000000" w:sz="4" w:space="0"/>
              <w:right w:val="none" w:color="000000" w:sz="4" w:space="0"/>
            </w:tcBorders>
            <w:tcW w:w="6000"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生物多样性保障</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79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54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gridSpan w:val="2"/>
            <w:tcBorders>
              <w:top w:val="single" w:color="000000" w:sz="4" w:space="0"/>
              <w:left w:val="none" w:color="000000" w:sz="4" w:space="0"/>
              <w:bottom w:val="single" w:color="000000" w:sz="4" w:space="0"/>
              <w:right w:val="none" w:color="000000" w:sz="4" w:space="0"/>
            </w:tcBorders>
            <w:tcW w:w="624"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生物群落调研及分析</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1、每半年一次，针对品种、生物量等进行数据分析，提供自检报告；</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2、根据考核要求及水质情况，调整微生物，底栖生物数量。根据考核要求增加大溪港、兴源河生物多样性维护要求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养护期24个月</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次</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non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水生态系统健康评估</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numPr>
                <w:ilvl w:val="0"/>
                <w:numId w:val="17"/>
              </w:num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根据当前河道情况、各项检测数据及水生态系统发展规律，形成报告分析，积累经验，科学指导后续维护工作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2、每年度一次</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次</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四</w:t>
            </w:r>
            <w:r/>
          </w:p>
        </w:tc>
        <w:tc>
          <w:tcPr>
            <w:gridSpan w:val="2"/>
            <w:tcBorders>
              <w:top w:val="single" w:color="000000" w:sz="4" w:space="0"/>
              <w:left w:val="single" w:color="000000" w:sz="4" w:space="0"/>
              <w:bottom w:val="single" w:color="000000" w:sz="4" w:space="0"/>
              <w:right w:val="none" w:color="000000" w:sz="4" w:space="0"/>
            </w:tcBorders>
            <w:tcW w:w="6000"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外来物种防治</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79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54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gridSpan w:val="2"/>
            <w:tcBorders>
              <w:top w:val="single" w:color="000000" w:sz="4" w:space="0"/>
              <w:left w:val="none" w:color="000000" w:sz="4" w:space="0"/>
              <w:bottom w:val="single" w:color="000000" w:sz="4" w:space="0"/>
              <w:right w:val="none" w:color="000000" w:sz="4" w:space="0"/>
            </w:tcBorders>
            <w:tcW w:w="624"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trHeight w:val="122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技术性生态治理</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numPr>
                <w:ilvl w:val="0"/>
                <w:numId w:val="18"/>
              </w:num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水体、水面水绵、刚毛藻等丝状藻预防和治理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2、含投加生物藻类控制剂及人工打捞清运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3、采用物理、生态方式防治福寿螺等外来物种</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4、人工配合开展专项清理</w:t>
            </w:r>
            <w:r/>
          </w:p>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养护期24个月</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436442</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五</w:t>
            </w:r>
            <w:r/>
          </w:p>
        </w:tc>
        <w:tc>
          <w:tcPr>
            <w:gridSpan w:val="2"/>
            <w:tcBorders>
              <w:top w:val="single" w:color="000000" w:sz="4" w:space="0"/>
              <w:left w:val="single" w:color="000000" w:sz="4" w:space="0"/>
              <w:bottom w:val="single" w:color="000000" w:sz="4" w:space="0"/>
              <w:right w:val="none" w:color="000000" w:sz="4" w:space="0"/>
            </w:tcBorders>
            <w:tcW w:w="6000"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应急维护</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79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54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gridSpan w:val="2"/>
            <w:tcBorders>
              <w:top w:val="single" w:color="000000" w:sz="4" w:space="0"/>
              <w:left w:val="none" w:color="000000" w:sz="4" w:space="0"/>
              <w:bottom w:val="single" w:color="000000" w:sz="4" w:space="0"/>
              <w:right w:val="none" w:color="000000" w:sz="4" w:space="0"/>
            </w:tcBorders>
            <w:tcW w:w="624"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应急维护</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1、成立应急维护小组，配备人员及应急物资。</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2、现场突发状况后，简单问题现场维护，改善水质，解决问题后形成记录；严重问题如排口排污、蓝藻、暴雨汛期防控等状况，应及时上报，采用临时措施避免问题恶化，同时上报具体措施，处置方案。</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养护期24个月</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  项</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六</w:t>
            </w:r>
            <w:r/>
          </w:p>
        </w:tc>
        <w:tc>
          <w:tcPr>
            <w:gridSpan w:val="2"/>
            <w:tcBorders>
              <w:top w:val="single" w:color="000000" w:sz="4" w:space="0"/>
              <w:left w:val="single" w:color="000000" w:sz="4" w:space="0"/>
              <w:bottom w:val="single" w:color="000000" w:sz="4" w:space="0"/>
              <w:right w:val="none" w:color="000000" w:sz="4" w:space="0"/>
            </w:tcBorders>
            <w:tcW w:w="6000"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水体设施维护</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79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54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gridSpan w:val="2"/>
            <w:tcBorders>
              <w:top w:val="single" w:color="000000" w:sz="4" w:space="0"/>
              <w:left w:val="none" w:color="000000" w:sz="4" w:space="0"/>
              <w:bottom w:val="single" w:color="000000" w:sz="4" w:space="0"/>
              <w:right w:val="none" w:color="000000" w:sz="4" w:space="0"/>
            </w:tcBorders>
            <w:tcW w:w="624"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生态拦截网设施维护</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生态拦截网设施维护，损坏部分修补、更换（已有钢管利用）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养护期24个月</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556</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生态围隔设施维护</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定期巡查，检修设施情况、及时清理、修理破损、脱落等，维护需要满足采购需求要求。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养护期24个月</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1480</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沉水曝气风机运行养护</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沉水曝气风机设备定期维护、检修，若出现故障及时维修，维护需要满足采购需求要求。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养护期24个月</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水质自动监测站运行养护</w:t>
            </w:r>
            <w:r/>
          </w:p>
        </w:tc>
        <w:tc>
          <w:tcPr>
            <w:tcBorders>
              <w:top w:val="none" w:color="000000" w:sz="4" w:space="0"/>
              <w:left w:val="none" w:color="000000" w:sz="4" w:space="0"/>
              <w:bottom w:val="none" w:color="000000" w:sz="4" w:space="0"/>
              <w:right w:val="non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定期检查、维护监测站的运行情况，保持功能正常，定期更换耗材并校准、若出现故障及时维修；维护需要满足采购需求要求。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养护期24个月,</w:t>
            </w:r>
            <w:r/>
          </w:p>
        </w:tc>
        <w:tc>
          <w:tcPr>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座</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non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七</w:t>
            </w:r>
            <w:r/>
          </w:p>
        </w:tc>
        <w:tc>
          <w:tcPr>
            <w:gridSpan w:val="2"/>
            <w:tcBorders>
              <w:top w:val="single" w:color="000000" w:sz="4" w:space="0"/>
              <w:left w:val="single" w:color="000000" w:sz="4" w:space="0"/>
              <w:bottom w:val="single" w:color="000000" w:sz="4" w:space="0"/>
              <w:right w:val="none" w:color="000000" w:sz="4" w:space="0"/>
            </w:tcBorders>
            <w:tcW w:w="6000"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绿化养护</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79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54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gridSpan w:val="2"/>
            <w:tcBorders>
              <w:top w:val="single" w:color="000000" w:sz="4" w:space="0"/>
              <w:left w:val="none" w:color="000000" w:sz="4" w:space="0"/>
              <w:bottom w:val="single" w:color="000000" w:sz="4" w:space="0"/>
              <w:right w:val="none" w:color="000000" w:sz="4" w:space="0"/>
            </w:tcBorders>
            <w:tcW w:w="624"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草皮养护</w:t>
            </w:r>
            <w:r/>
          </w:p>
        </w:tc>
        <w:tc>
          <w:tcPr>
            <w:tcBorders>
              <w:top w:val="none" w:color="000000" w:sz="4" w:space="0"/>
              <w:left w:val="none" w:color="000000" w:sz="4" w:space="0"/>
              <w:bottom w:val="single" w:color="000000" w:sz="4" w:space="0"/>
              <w:right w:val="non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1、草皮种类：矮生百慕大+黑麦草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2、维护内容：对苗木进行修剪、收割及补种；根据季节和绿植特性浇水、杂草清理、病虫害防治等。秋季追播黑麦草草籽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养护期:三级养护24个月</w:t>
            </w:r>
            <w:r/>
          </w:p>
        </w:tc>
        <w:tc>
          <w:tcPr>
            <w:tcBorders>
              <w:top w:val="non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none" w:color="000000" w:sz="4" w:space="0"/>
              <w:left w:val="single" w:color="000000" w:sz="4" w:space="0"/>
              <w:bottom w:val="single" w:color="000000" w:sz="4" w:space="0"/>
              <w:right w:val="non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3492</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色块养护</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1、苗木种类：喷雪花、矮蒲苇、细叶芒等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2、维护内容：定期修剪、根据天气情况浇水、及时清理杂草、病虫害防治</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养护期:三级养护24个月</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八</w:t>
            </w:r>
            <w:r/>
          </w:p>
        </w:tc>
        <w:tc>
          <w:tcPr>
            <w:gridSpan w:val="2"/>
            <w:tcBorders>
              <w:top w:val="single" w:color="000000" w:sz="4" w:space="0"/>
              <w:left w:val="single" w:color="000000" w:sz="4" w:space="0"/>
              <w:bottom w:val="single" w:color="000000" w:sz="4" w:space="0"/>
              <w:right w:val="none" w:color="000000" w:sz="4" w:space="0"/>
            </w:tcBorders>
            <w:tcW w:w="6000"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电费</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79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54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gridSpan w:val="2"/>
            <w:tcBorders>
              <w:top w:val="single" w:color="000000" w:sz="4" w:space="0"/>
              <w:left w:val="none" w:color="000000" w:sz="4" w:space="0"/>
              <w:bottom w:val="single" w:color="000000" w:sz="4" w:space="0"/>
              <w:right w:val="none" w:color="000000" w:sz="4" w:space="0"/>
            </w:tcBorders>
            <w:tcW w:w="624"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运维电费</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24个月运维期电费（投标时不得让利。该项按实结算，根据实际电费支付凭证付款。）</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249308.8</w:t>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九</w:t>
            </w:r>
            <w:r/>
          </w:p>
        </w:tc>
        <w:tc>
          <w:tcPr>
            <w:gridSpan w:val="5"/>
            <w:tcBorders>
              <w:top w:val="single" w:color="000000" w:sz="4" w:space="0"/>
              <w:left w:val="single" w:color="000000" w:sz="4" w:space="0"/>
              <w:bottom w:val="single" w:color="000000" w:sz="4" w:space="0"/>
              <w:right w:val="single" w:color="000000" w:sz="4" w:space="0"/>
            </w:tcBorders>
            <w:tcW w:w="795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b/>
                <w:bCs/>
                <w:color w:val="auto"/>
                <w:sz w:val="18"/>
                <w:szCs w:val="18"/>
                <w:highlight w:val="none"/>
                <w:lang w:bidi="ar"/>
              </w:rPr>
              <w:t xml:space="preserve">7条河-24个月费用合计</w:t>
            </w:r>
            <w:r/>
          </w:p>
        </w:tc>
        <w:tc>
          <w:tcPr>
            <w:gridSpan w:val="2"/>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bl>
    <w:p>
      <w:pPr>
        <w:spacing w:line="440" w:lineRule="exact"/>
        <w:rPr>
          <w:rFonts w:hint="eastAsia" w:ascii="宋体" w:hAnsi="宋体" w:cs="宋体"/>
          <w:b/>
          <w:bCs/>
          <w:color w:val="auto"/>
          <w:sz w:val="24"/>
          <w:szCs w:val="24"/>
          <w:highlight w:val="none"/>
        </w:rPr>
      </w:pPr>
      <w:r>
        <w:rPr>
          <w:rStyle w:val="1056"/>
          <w:rFonts w:hint="default"/>
          <w:color w:val="auto"/>
          <w:sz w:val="24"/>
          <w:szCs w:val="24"/>
          <w:highlight w:val="none"/>
          <w:lang w:bidi="ar"/>
        </w:rPr>
        <w:t xml:space="preserve">二期河道：太科园（新安街道）河道水生态长效运维养护项目（18条河）</w:t>
      </w:r>
      <w:r/>
    </w:p>
    <w:tbl>
      <w:tblPr>
        <w:tblStyle w:val="779"/>
        <w:tblW w:w="9840" w:type="dxa"/>
        <w:tblInd w:w="99" w:type="dxa"/>
        <w:tblLayout w:type="fixed"/>
        <w:tblCellMar>
          <w:left w:w="108" w:type="dxa"/>
          <w:top w:w="0" w:type="dxa"/>
          <w:right w:w="108" w:type="dxa"/>
          <w:bottom w:w="0" w:type="dxa"/>
        </w:tblCellMar>
        <w:tblLook w:val="04A0" w:firstRow="1" w:lastRow="0" w:firstColumn="1" w:lastColumn="0" w:noHBand="0" w:noVBand="1"/>
      </w:tblPr>
      <w:tblGrid>
        <w:gridCol w:w="510"/>
        <w:gridCol w:w="1379"/>
        <w:gridCol w:w="4616"/>
        <w:gridCol w:w="815"/>
        <w:gridCol w:w="860"/>
        <w:gridCol w:w="615"/>
        <w:gridCol w:w="615"/>
        <w:gridCol w:w="430"/>
      </w:tblGrid>
      <w:tr>
        <w:trPr>
          <w:trHeight w:val="5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hint="eastAsia" w:ascii="黑体" w:hAnsi="宋体" w:eastAsia="黑体" w:cs="黑体"/>
                <w:b/>
                <w:bCs/>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hint="eastAsia" w:ascii="黑体" w:hAnsi="宋体" w:eastAsia="黑体" w:cs="黑体"/>
                <w:b/>
                <w:bCs/>
                <w:color w:val="auto"/>
                <w:sz w:val="18"/>
                <w:szCs w:val="18"/>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hint="eastAsia" w:ascii="黑体" w:hAnsi="宋体" w:eastAsia="黑体" w:cs="黑体"/>
                <w:b/>
                <w:bCs/>
                <w:color w:val="auto"/>
                <w:sz w:val="18"/>
                <w:szCs w:val="18"/>
                <w:highlight w:val="none"/>
                <w:lang w:bidi="ar"/>
              </w:rPr>
              <w:t xml:space="preserve">运维养护要求</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hint="eastAsia" w:ascii="黑体" w:hAnsi="宋体" w:eastAsia="黑体" w:cs="黑体"/>
                <w:b/>
                <w:bCs/>
                <w:color w:val="auto"/>
                <w:sz w:val="18"/>
                <w:szCs w:val="18"/>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hint="eastAsia" w:ascii="黑体" w:hAnsi="宋体" w:eastAsia="黑体" w:cs="黑体"/>
                <w:b/>
                <w:bCs/>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hint="eastAsia" w:ascii="黑体" w:hAnsi="宋体" w:eastAsia="黑体" w:cs="黑体"/>
                <w:b/>
                <w:bCs/>
                <w:color w:val="auto"/>
                <w:sz w:val="18"/>
                <w:szCs w:val="18"/>
                <w:highlight w:val="none"/>
                <w:lang w:bidi="ar"/>
              </w:rPr>
              <w:t xml:space="preserve">单价</w:t>
            </w:r>
            <w:r>
              <w:rPr>
                <w:rFonts w:hint="eastAsia" w:ascii="宋体" w:hAnsi="宋体" w:cs="宋体"/>
                <w:b/>
                <w:bCs/>
                <w:color w:val="auto"/>
                <w:sz w:val="20"/>
                <w:highlight w:val="none"/>
                <w:lang w:bidi="ar"/>
              </w:rPr>
              <w:t xml:space="preserve">（元/月）</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hint="eastAsia" w:ascii="黑体" w:hAnsi="宋体" w:eastAsia="黑体" w:cs="黑体"/>
                <w:b/>
                <w:bCs/>
                <w:color w:val="auto"/>
                <w:sz w:val="18"/>
                <w:szCs w:val="18"/>
                <w:highlight w:val="none"/>
                <w:lang w:bidi="ar"/>
              </w:rPr>
              <w:t xml:space="preserve">合价（元）</w:t>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一</w:t>
            </w:r>
            <w:r/>
          </w:p>
        </w:tc>
        <w:tc>
          <w:tcPr>
            <w:gridSpan w:val="2"/>
            <w:tcBorders>
              <w:top w:val="single" w:color="000000" w:sz="4" w:space="0"/>
              <w:left w:val="single" w:color="000000" w:sz="4" w:space="0"/>
              <w:bottom w:val="single" w:color="000000" w:sz="4" w:space="0"/>
              <w:right w:val="none" w:color="000000" w:sz="4" w:space="0"/>
            </w:tcBorders>
            <w:tcW w:w="5995"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水质达标维护</w:t>
            </w:r>
            <w:r/>
          </w:p>
        </w:tc>
        <w:tc>
          <w:tcPr>
            <w:tcBorders>
              <w:top w:val="single" w:color="000000" w:sz="4" w:space="0"/>
              <w:left w:val="none" w:color="000000" w:sz="4" w:space="0"/>
              <w:bottom w:val="single" w:color="000000" w:sz="4" w:space="0"/>
              <w:right w:val="none" w:color="000000" w:sz="4" w:space="0"/>
            </w:tcBorders>
            <w:tcW w:w="8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86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水体保洁与维护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定期巡查，定期清理、打捞水体垃圾；及时处置垃圾，垃圾处置符合环保要求，每条河道至少配备一艘保洁船只；维护标准参照采购需求；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377357</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水质、透明度维护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1、水质、透明度维护；</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2、维护标准参照采购需求；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377357</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水质自检</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1、每河道依据点位每月一次进行水质自检</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2、监测指标：氨氮、总磷、COD、高锰酸盐指数等指标，出具符合资质要求的实验室正式报告。</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次</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二</w:t>
            </w:r>
            <w:r/>
          </w:p>
        </w:tc>
        <w:tc>
          <w:tcPr>
            <w:gridSpan w:val="2"/>
            <w:tcBorders>
              <w:top w:val="single" w:color="000000" w:sz="4" w:space="0"/>
              <w:left w:val="single" w:color="000000" w:sz="4" w:space="0"/>
              <w:bottom w:val="single" w:color="000000" w:sz="4" w:space="0"/>
              <w:right w:val="none" w:color="000000" w:sz="4" w:space="0"/>
            </w:tcBorders>
            <w:tcW w:w="5995"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水生植物养护</w:t>
            </w:r>
            <w:r/>
          </w:p>
        </w:tc>
        <w:tc>
          <w:tcPr>
            <w:tcBorders>
              <w:top w:val="single" w:color="000000" w:sz="4" w:space="0"/>
              <w:left w:val="none" w:color="000000" w:sz="4" w:space="0"/>
              <w:bottom w:val="single" w:color="000000" w:sz="4" w:space="0"/>
              <w:right w:val="none" w:color="000000" w:sz="4" w:space="0"/>
            </w:tcBorders>
            <w:tcW w:w="8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86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7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沉水植物养护</w:t>
            </w:r>
            <w:r/>
          </w:p>
        </w:tc>
        <w:tc>
          <w:tcPr>
            <w:tcBorders>
              <w:top w:val="none" w:color="000000" w:sz="4" w:space="0"/>
              <w:left w:val="none" w:color="000000" w:sz="4" w:space="0"/>
              <w:bottom w:val="none" w:color="000000" w:sz="4" w:space="0"/>
              <w:right w:val="non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1、及时清除水体表面的植物及非规划性沉水植物。沉水植物长出水面影响景观时，应进行人工打捞或机割。对于死株，应及时清除。</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2、全年集中收割1次，收割范围覆盖全部养护区域内的规划性沉水植物，在沉水植物进入自然枯萎期后 1 周内收割，收割方式为机械收割或人工打捞，收割后的植物残体需及时运离养护区域，严禁随意堆放或二次投入水体。</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3、根据覆盖度要求进行春季补种1次沉水植物，确保植株成活率。</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4、养护要求：沉水植物无大面积枯萎、病虫害，整体生长态势良好。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346782</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475"/>
        </w:trPr>
        <w:tc>
          <w:tcPr>
            <w:tcBorders>
              <w:top w:val="none" w:color="000000" w:sz="4" w:space="0"/>
              <w:left w:val="single" w:color="000000" w:sz="4" w:space="0"/>
              <w:bottom w:val="non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挺水植物养护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1、定期巡查，松动及时固定，破损及时更换，避免整个浮床连带损伤。</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2、根据长势/覆盖度进行补种。</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3、及时修剪枯黄、枯死和倒伏植株，及时清理滨岸带挺水植物周围的杂物或垃圾。</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4、定期去除杂草，除草时注意不要破坏植被根系。</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5、冬至后至立春萌动前应对枯萎枝叶进行修剪。</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6、对于因病虫害等原因造成某个或某些植被死亡时，应将植被撤出，并进行相应的补种；当植物有严重病虫害时，应撤出后再喷洒杀虫剂处理。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none" w:color="000000" w:sz="4" w:space="0"/>
              <w:left w:val="single" w:color="000000" w:sz="4" w:space="0"/>
              <w:bottom w:val="non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4427</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三</w:t>
            </w:r>
            <w:r/>
          </w:p>
        </w:tc>
        <w:tc>
          <w:tcPr>
            <w:gridSpan w:val="2"/>
            <w:tcBorders>
              <w:top w:val="single" w:color="000000" w:sz="4" w:space="0"/>
              <w:left w:val="single" w:color="000000" w:sz="4" w:space="0"/>
              <w:bottom w:val="single" w:color="000000" w:sz="4" w:space="0"/>
              <w:right w:val="none" w:color="000000" w:sz="4" w:space="0"/>
            </w:tcBorders>
            <w:tcW w:w="5995"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生物多样性保障</w:t>
            </w:r>
            <w:r/>
          </w:p>
        </w:tc>
        <w:tc>
          <w:tcPr>
            <w:tcBorders>
              <w:top w:val="single" w:color="000000" w:sz="4" w:space="0"/>
              <w:left w:val="none" w:color="000000" w:sz="4" w:space="0"/>
              <w:bottom w:val="single" w:color="000000" w:sz="4" w:space="0"/>
              <w:right w:val="none" w:color="000000" w:sz="4" w:space="0"/>
            </w:tcBorders>
            <w:tcW w:w="8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86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1350"/>
        </w:trPr>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生物群落调研及分析</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1、每半年一次，针对品种、生物量等进行数据分析，提供自检报告；</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2、根据考核要求及水质情况，调整微生物，底栖生物数量。根据考核要求增加大溪港、兴源河生物多样性维护要求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次</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54</w:t>
            </w:r>
            <w:r/>
          </w:p>
        </w:tc>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水生态系统健康评估</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1、根据当前河道情况、各项检测数据及水生态系统发展规律，形成报告分析，积累经验，科学指导后续维护工作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2、每年度一次</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次</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四</w:t>
            </w:r>
            <w:r/>
          </w:p>
        </w:tc>
        <w:tc>
          <w:tcPr>
            <w:gridSpan w:val="2"/>
            <w:tcBorders>
              <w:top w:val="single" w:color="000000" w:sz="4" w:space="0"/>
              <w:left w:val="single" w:color="000000" w:sz="4" w:space="0"/>
              <w:bottom w:val="single" w:color="000000" w:sz="4" w:space="0"/>
              <w:right w:val="none" w:color="000000" w:sz="4" w:space="0"/>
            </w:tcBorders>
            <w:tcW w:w="5995"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外来物种防治</w:t>
            </w:r>
            <w:r/>
          </w:p>
        </w:tc>
        <w:tc>
          <w:tcPr>
            <w:tcBorders>
              <w:top w:val="single" w:color="000000" w:sz="4" w:space="0"/>
              <w:left w:val="none" w:color="000000" w:sz="4" w:space="0"/>
              <w:bottom w:val="single" w:color="000000" w:sz="4" w:space="0"/>
              <w:right w:val="none" w:color="000000" w:sz="4" w:space="0"/>
            </w:tcBorders>
            <w:tcW w:w="8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86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技术性生态治理</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1、水体、水面水绵、刚毛藻等丝状藻预防和治理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2、含投加生物藻类控制剂及人工打捞清运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3、采用物理、生态方式防治福寿螺等外来物种</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4、人工配合定期完成专项清理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none" w:color="000000" w:sz="4" w:space="0"/>
              <w:left w:val="single" w:color="000000" w:sz="4" w:space="0"/>
              <w:bottom w:val="non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none" w:color="000000" w:sz="4" w:space="0"/>
              <w:left w:val="single" w:color="000000" w:sz="4" w:space="0"/>
              <w:bottom w:val="non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377357</w:t>
            </w:r>
            <w:r/>
          </w:p>
        </w:tc>
        <w:tc>
          <w:tcPr>
            <w:tcBorders>
              <w:top w:val="none" w:color="000000" w:sz="4" w:space="0"/>
              <w:left w:val="single" w:color="000000" w:sz="4" w:space="0"/>
              <w:bottom w:val="non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五</w:t>
            </w:r>
            <w:r/>
          </w:p>
        </w:tc>
        <w:tc>
          <w:tcPr>
            <w:gridSpan w:val="2"/>
            <w:tcBorders>
              <w:top w:val="single" w:color="000000" w:sz="4" w:space="0"/>
              <w:left w:val="single" w:color="000000" w:sz="4" w:space="0"/>
              <w:bottom w:val="single" w:color="000000" w:sz="4" w:space="0"/>
              <w:right w:val="none" w:color="000000" w:sz="4" w:space="0"/>
            </w:tcBorders>
            <w:tcW w:w="5995"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应急维护</w:t>
            </w:r>
            <w:r/>
          </w:p>
        </w:tc>
        <w:tc>
          <w:tcPr>
            <w:tcBorders>
              <w:top w:val="single" w:color="000000" w:sz="4" w:space="0"/>
              <w:left w:val="none" w:color="000000" w:sz="4" w:space="0"/>
              <w:bottom w:val="single" w:color="000000" w:sz="4" w:space="0"/>
              <w:right w:val="none" w:color="000000" w:sz="4" w:space="0"/>
            </w:tcBorders>
            <w:tcW w:w="8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86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应急维护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1、成立应急维护小组，配备人员及应急物资。</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2、现场突发状况后，简单问题现场维护，改善水质，解决问题后形成记录；严重问题如排口排污、蓝藻、暴雨汛期防控等状况，应及时上报，采用临时措施避免问题恶化，同时上报具体措施，处置方案。</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六</w:t>
            </w:r>
            <w:r/>
          </w:p>
        </w:tc>
        <w:tc>
          <w:tcPr>
            <w:gridSpan w:val="2"/>
            <w:tcBorders>
              <w:top w:val="single" w:color="000000" w:sz="4" w:space="0"/>
              <w:left w:val="single" w:color="000000" w:sz="4" w:space="0"/>
              <w:bottom w:val="single" w:color="000000" w:sz="4" w:space="0"/>
              <w:right w:val="none" w:color="000000" w:sz="4" w:space="0"/>
            </w:tcBorders>
            <w:tcW w:w="5995"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水体设施维护</w:t>
            </w:r>
            <w:r/>
          </w:p>
        </w:tc>
        <w:tc>
          <w:tcPr>
            <w:tcBorders>
              <w:top w:val="single" w:color="000000" w:sz="4" w:space="0"/>
              <w:left w:val="none" w:color="000000" w:sz="4" w:space="0"/>
              <w:bottom w:val="single" w:color="000000" w:sz="4" w:space="0"/>
              <w:right w:val="none" w:color="000000" w:sz="4" w:space="0"/>
            </w:tcBorders>
            <w:tcW w:w="8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86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4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生态拦截网设施维护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生态拦截网设施维护，损坏部分修补、更换（已有钢管利用）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774</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106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生态围隔设施维护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定期巡查，检修设施情况、及时清理、修理破损、脱落等，维护需要满足采购需求要求。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3828</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75"/>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生态过滤带设施维护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定期巡查，检修设施情况、及时清理、修理破损、脱落等，维护需要满足采购需求要求。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75"/>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原位净化带围隔维护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定期巡查，检修设施情况、及时清理、修理破损、脱落等，维护需要满足采购需求要求。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0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河道彩色喷泉</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定期巡查，检查管道、水泵运行情况，定期清洗网格栅、打捞井底垃圾、检查电路。若出现故障及时维修，维护需要满足采购需求要求。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0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排口原位净化墙维护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定期检查、维护排口原位净化墙运行情况、及时清理垃圾防止封堵情况发生、补充调料，保持排口原位净化墙功能正常运行，维护需要满足采购需求要求。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45"/>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穿孔曝气风机运行养护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1、人工定期巡查，设备日常清理、维护，每天检查管道是否被异物封堵、检查风机运行状态是否正常，每月对设备进行清洗，每年对水泵保养、电路是否异常等检查。</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2、密封圈每年定期更换（拆卸、修理、安装等），每年对风机进行清理。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3、系统维护升级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0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氮磷净化设备养护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定期检查、维护设备运行情况、及时清理垃圾防止封堵情况发生、补充调料，保持功能正常运行，维护需要满足采购需求要求。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non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0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膜曝气排口净化装置维护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定期检查、维护设备运行情况、及时清理垃圾防止封堵情况发生、补充调料，保持功能正常运行，维护需要满足采购需求要求。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non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0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太阳能自控微生物活化器维护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定期检查、维护设备、电路运行情况，保持功能正常运行，定期补充固化微生物载体，维护需要满足采购需求要求。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non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75"/>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漂浮式水面垃圾收集器维护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定期检查、维护设备、电路运行情况，保持功能正常运行，定期清理，维护需要满足采购需求要求。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non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5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生物膜养护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定期检查维护生物膜运行情况，出现异常情况及时维护，保持</w:t>
            </w:r>
            <w:r>
              <w:rPr>
                <w:rFonts w:hint="eastAsia" w:ascii="宋体" w:hAnsi="宋体" w:cs="宋体"/>
                <w:color w:val="auto"/>
                <w:sz w:val="18"/>
                <w:szCs w:val="18"/>
                <w:highlight w:val="none"/>
                <w:lang w:eastAsia="zh-CN" w:bidi="ar"/>
              </w:rPr>
              <w:t xml:space="preserve">功能</w:t>
            </w:r>
            <w:r>
              <w:rPr>
                <w:rFonts w:hint="eastAsia" w:ascii="宋体" w:hAnsi="宋体" w:cs="宋体"/>
                <w:color w:val="auto"/>
                <w:sz w:val="18"/>
                <w:szCs w:val="18"/>
                <w:highlight w:val="none"/>
                <w:lang w:bidi="ar"/>
              </w:rPr>
              <w:t xml:space="preserve">正常运行。</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1110</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0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p>
        </w:tc>
        <w:tc>
          <w:tcPr>
            <w:tcBorders>
              <w:top w:val="single" w:color="000000" w:sz="4" w:space="0"/>
              <w:left w:val="single" w:color="000000" w:sz="4" w:space="0"/>
              <w:bottom w:val="non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超氧纳米曝气设备维护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定期检查、维护设备运行情况，保持功能正常运行，定期清理，若出现故障及时维修；维护需要满足采购需求要求。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non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0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tcBorders>
              <w:top w:val="single" w:color="000000" w:sz="4" w:space="0"/>
              <w:left w:val="single" w:color="000000" w:sz="4" w:space="0"/>
              <w:bottom w:val="non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微纳米曝气设备养护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定期检查、维护设备运行情况，保持功能正常运行，定期清理，若出现故障及时维修；维护需要满足采购需求要求。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non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0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臭氧纳米曝气设备维护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定期检查、维护设备运行情况，保持功能正常运行，定期清理，若出现故障及时维修；维护需要满足采购需求要求。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0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16</w:t>
            </w:r>
            <w:r/>
          </w:p>
        </w:tc>
        <w:tc>
          <w:tcPr>
            <w:tcBorders>
              <w:top w:val="single" w:color="000000" w:sz="4" w:space="0"/>
              <w:left w:val="single" w:color="000000" w:sz="4" w:space="0"/>
              <w:bottom w:val="non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离子叠加设备养护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定期检查、维护设备运行情况，保持功能正常运行，定期清理，若出现故障及时维修；维护需要满足采购需求要求。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non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1125"/>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tcBorders>
              <w:top w:val="single" w:color="000000" w:sz="4" w:space="0"/>
              <w:left w:val="single" w:color="000000" w:sz="4" w:space="0"/>
              <w:bottom w:val="non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初雨调蓄设施维护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定期检查维护设施运行，保持闸门、阀门功能正常；定期清理截流井和截流井溢流口；配合汛期防控要求，定期检查供电系统、传输系统运行情况，若出现故障及时维修；维护需要满足采购需求要求。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non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75"/>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活水泵站设备运维</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定期巡查，维护设备，保持设备运行正常，若出现故障及时维修；维护需要满足采购需求要求。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75"/>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安全警示牌运维</w:t>
            </w:r>
            <w:r/>
          </w:p>
        </w:tc>
        <w:tc>
          <w:tcPr>
            <w:tcBorders>
              <w:top w:val="none" w:color="000000" w:sz="4" w:space="0"/>
              <w:left w:val="none" w:color="000000" w:sz="4" w:space="0"/>
              <w:bottom w:val="none" w:color="000000" w:sz="4" w:space="0"/>
              <w:right w:val="non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定期维护、保持警示牌干净整洁，字迹清晰完整，缺失补充、信息更新更换等，满足采购需求要求及河道/水利/安全管理要求。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36</w:t>
            </w:r>
            <w:r/>
          </w:p>
        </w:tc>
        <w:tc>
          <w:tcPr>
            <w:tcBorders>
              <w:top w:val="single" w:color="000000" w:sz="4" w:space="0"/>
              <w:left w:val="single" w:color="000000" w:sz="4" w:space="0"/>
              <w:bottom w:val="non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1575"/>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流量监测系统运维</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1、定期检查维护硬件设施设备，确保正常使用，发生损坏、缺失等情况由中标单位负责维修和采购更换；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2、后台程序正常运行，数据记录无遗漏、差错，发现异常及时校准。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3、开放权限给采购人相关人员，保持正常管理平台登录，查看后台实时数据。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1575"/>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21</w:t>
            </w:r>
            <w:r/>
          </w:p>
        </w:tc>
        <w:tc>
          <w:tcPr>
            <w:tcBorders>
              <w:top w:val="single" w:color="000000" w:sz="4" w:space="0"/>
              <w:left w:val="single" w:color="000000" w:sz="4" w:space="0"/>
              <w:bottom w:val="single" w:color="auto"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监控系统运维</w:t>
            </w:r>
            <w:r/>
          </w:p>
        </w:tc>
        <w:tc>
          <w:tcPr>
            <w:tcBorders>
              <w:top w:val="single" w:color="000000" w:sz="4" w:space="0"/>
              <w:left w:val="single" w:color="000000" w:sz="4" w:space="0"/>
              <w:bottom w:val="single" w:color="auto"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1、定期检查维护硬件设施设备，确保正常使用，发生损坏、缺失等情况由中标单位负责维修和采购更换；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2、后台程序正常运行，数据记录无遗漏、差错，发现异常及时校准。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3、开放权限给采购人相关人员，保持正常管理平台登录，查看后台实时数据。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auto"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auto"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59</w:t>
            </w:r>
            <w:r/>
          </w:p>
        </w:tc>
        <w:tc>
          <w:tcPr>
            <w:tcBorders>
              <w:top w:val="single" w:color="000000" w:sz="4" w:space="0"/>
              <w:left w:val="single" w:color="000000" w:sz="4" w:space="0"/>
              <w:bottom w:val="single" w:color="auto"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auto"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auto"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1575"/>
        </w:trPr>
        <w:tc>
          <w:tcPr>
            <w:tcBorders>
              <w:top w:val="single" w:color="000000" w:sz="4" w:space="0"/>
              <w:left w:val="single" w:color="000000" w:sz="8" w:space="0"/>
              <w:bottom w:val="single" w:color="000000" w:sz="4" w:space="0"/>
              <w:right w:val="single" w:color="auto"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水文监测系统运维</w:t>
            </w:r>
            <w:r/>
          </w:p>
        </w:tc>
        <w:tc>
          <w:tcPr>
            <w:tcBorders>
              <w:top w:val="single" w:color="auto" w:sz="4" w:space="0"/>
              <w:left w:val="single" w:color="auto" w:sz="4" w:space="0"/>
              <w:bottom w:val="single" w:color="auto"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1、定期检查维护硬件设施设备，确保正常使用，发生损坏、缺失等情况由中标单位负责维修和采购更换；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2、后台程序正常运行，数据记录无遗漏、差错，发现异常及时校准。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3、开放权限给采购人相关人员，保持正常管理平台登录，查看后台实时数据。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auto" w:sz="4" w:space="0"/>
              <w:left w:val="single" w:color="000000" w:sz="4" w:space="0"/>
              <w:bottom w:val="single" w:color="auto"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auto" w:sz="4" w:space="0"/>
              <w:left w:val="single" w:color="000000" w:sz="4" w:space="0"/>
              <w:bottom w:val="single" w:color="auto"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auto" w:sz="4" w:space="0"/>
              <w:left w:val="single" w:color="000000" w:sz="4" w:space="0"/>
              <w:bottom w:val="single" w:color="auto"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auto" w:sz="4" w:space="0"/>
              <w:left w:val="single" w:color="000000" w:sz="4" w:space="0"/>
              <w:bottom w:val="single" w:color="auto"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auto" w:sz="4" w:space="0"/>
              <w:left w:val="single" w:color="000000" w:sz="4" w:space="0"/>
              <w:bottom w:val="single" w:color="auto" w:sz="4" w:space="0"/>
              <w:right w:val="single" w:color="auto"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1575"/>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23</w:t>
            </w:r>
            <w:r/>
          </w:p>
        </w:tc>
        <w:tc>
          <w:tcPr>
            <w:tcBorders>
              <w:top w:val="single" w:color="auto"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浮标监测设备运维</w:t>
            </w:r>
            <w:r/>
          </w:p>
        </w:tc>
        <w:tc>
          <w:tcPr>
            <w:tcBorders>
              <w:top w:val="single" w:color="auto"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1、定期检查维护硬件设施设备，确保正常使用，发生损坏、缺失等情况由中标单位负责维修和采购更换；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2、后台程序正常运行，数据记录无遗漏、差错，发现异常及时校准。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3、开放权限给采购人相关人员，保持正常管理平台登录，查看后台实时数据。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auto"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auto"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p>
        </w:tc>
        <w:tc>
          <w:tcPr>
            <w:tcBorders>
              <w:top w:val="single" w:color="auto"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auto"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auto"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1575"/>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水位计设备运维</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1、定期检查维护硬件设施设备，确保正常使用，发生损坏、缺失等情况由中标单位负责维修和采购更换；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2、后台程序正常运行，数据记录无遗漏、差错，发现异常及时校准。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3、开放权限给采购人相关人员，保持正常管理平台登录，查看后台实时数据。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90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25</w:t>
            </w:r>
            <w:r/>
          </w:p>
        </w:tc>
        <w:tc>
          <w:tcPr>
            <w:tcBorders>
              <w:top w:val="none" w:color="000000" w:sz="4" w:space="0"/>
              <w:left w:val="single" w:color="000000" w:sz="4" w:space="0"/>
              <w:bottom w:val="non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水质自动监测站运维</w:t>
            </w:r>
            <w:r/>
          </w:p>
        </w:tc>
        <w:tc>
          <w:tcPr>
            <w:tcBorders>
              <w:top w:val="none" w:color="000000" w:sz="4" w:space="0"/>
              <w:left w:val="none" w:color="000000" w:sz="4" w:space="0"/>
              <w:bottom w:val="none" w:color="000000" w:sz="4" w:space="0"/>
              <w:right w:val="non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定期检查、维护监测站的运行情况，保持功能正常，定期更换耗材并校准、若出现故障及时维修；维护需要满足采购需求要求。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none" w:color="000000" w:sz="4" w:space="0"/>
              <w:left w:val="single" w:color="000000" w:sz="4" w:space="0"/>
              <w:bottom w:val="non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1800"/>
        </w:trPr>
        <w:tc>
          <w:tcPr>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26</w:t>
            </w:r>
            <w:r/>
          </w:p>
        </w:tc>
        <w:tc>
          <w:tcPr>
            <w:tcBorders>
              <w:top w:val="single" w:color="000000" w:sz="4" w:space="0"/>
              <w:left w:val="single" w:color="000000" w:sz="4" w:space="0"/>
              <w:bottom w:val="single" w:color="000000" w:sz="4" w:space="0"/>
              <w:right w:val="non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运维设备运管系统维护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1、定期检查维护水质监测平台，确保正常使用，若发生故障及时维修；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2、保持后台程序正常运行，数据记录无遗漏、差错，发现异常及时校准。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3、开放权限给采购人相关人员，保持正常管理平台登录，查看后台实时数据。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七</w:t>
            </w:r>
            <w:r/>
          </w:p>
        </w:tc>
        <w:tc>
          <w:tcPr>
            <w:gridSpan w:val="2"/>
            <w:tcBorders>
              <w:top w:val="single" w:color="000000" w:sz="4" w:space="0"/>
              <w:left w:val="single" w:color="000000" w:sz="4" w:space="0"/>
              <w:bottom w:val="single" w:color="000000" w:sz="4" w:space="0"/>
              <w:right w:val="none" w:color="000000" w:sz="4" w:space="0"/>
            </w:tcBorders>
            <w:tcW w:w="5995"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绿化养护</w:t>
            </w:r>
            <w:r/>
          </w:p>
        </w:tc>
        <w:tc>
          <w:tcPr>
            <w:tcBorders>
              <w:top w:val="single" w:color="000000" w:sz="4" w:space="0"/>
              <w:left w:val="none" w:color="000000" w:sz="4" w:space="0"/>
              <w:bottom w:val="single" w:color="000000" w:sz="4" w:space="0"/>
              <w:right w:val="none" w:color="000000" w:sz="4" w:space="0"/>
            </w:tcBorders>
            <w:tcW w:w="8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86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11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草皮养护</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1、草皮种类：矮生百慕大+黑麦草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2、对苗木进行修剪、收割及补种；根据季节和绿植特性浇水、杂草清理、病虫害防治等。秋季追播黑麦草草籽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养护期:三级养护20个月</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14668</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八</w:t>
            </w:r>
            <w:r/>
          </w:p>
        </w:tc>
        <w:tc>
          <w:tcPr>
            <w:gridSpan w:val="2"/>
            <w:tcBorders>
              <w:top w:val="single" w:color="000000" w:sz="4" w:space="0"/>
              <w:left w:val="single" w:color="000000" w:sz="4" w:space="0"/>
              <w:bottom w:val="single" w:color="000000" w:sz="4" w:space="0"/>
              <w:right w:val="none" w:color="000000" w:sz="4" w:space="0"/>
            </w:tcBorders>
            <w:tcW w:w="5995"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电费</w:t>
            </w:r>
            <w:r/>
          </w:p>
        </w:tc>
        <w:tc>
          <w:tcPr>
            <w:tcBorders>
              <w:top w:val="single" w:color="000000" w:sz="4" w:space="0"/>
              <w:left w:val="none" w:color="000000" w:sz="4" w:space="0"/>
              <w:bottom w:val="single" w:color="000000" w:sz="4" w:space="0"/>
              <w:right w:val="none" w:color="000000" w:sz="4" w:space="0"/>
            </w:tcBorders>
            <w:tcW w:w="8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86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运维电费</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20个月运维期电费（投标时不得让利。该项按实结算，根据实际电费支付凭证付款。）</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375576</w:t>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eastAsia"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九</w:t>
            </w:r>
            <w:r/>
          </w:p>
        </w:tc>
        <w:tc>
          <w:tcPr>
            <w:gridSpan w:val="5"/>
            <w:tcBorders>
              <w:top w:val="single" w:color="000000" w:sz="4" w:space="0"/>
              <w:left w:val="single" w:color="000000" w:sz="4" w:space="0"/>
              <w:bottom w:val="single" w:color="000000" w:sz="4" w:space="0"/>
              <w:right w:val="single" w:color="000000" w:sz="4" w:space="0"/>
            </w:tcBorders>
            <w:tcW w:w="8285"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18条河-20个月合计</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bl>
    <w:p>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440" w:lineRule="exact"/>
        <w:rPr>
          <w:rFonts w:hint="eastAsia" w:ascii="宋体" w:hAnsi="宋体" w:cs="宋体"/>
          <w:b/>
          <w:bCs/>
          <w:color w:val="auto"/>
          <w:sz w:val="24"/>
          <w:szCs w:val="24"/>
          <w:highlight w:val="none"/>
        </w:rPr>
      </w:pPr>
      <w:r/>
      <w:bookmarkStart w:id="12" w:name="_Toc22266"/>
      <w:r/>
      <w:r/>
    </w:p>
    <w:p>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numPr>
          <w:ilvl w:val="0"/>
          <w:numId w:val="16"/>
        </w:num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管理要求：</w:t>
      </w:r>
      <w:r/>
    </w:p>
    <w:p>
      <w:pPr>
        <w:numPr>
          <w:ilvl w:val="0"/>
          <w:numId w:val="19"/>
        </w:num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队伍管理：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1.1供应商要求落实一名项目管理负责人进行管理，并按管理实施方案落实河道管理人员及相应设施，并每天实行全方位管理，人员、船只严格按照要求配备齐全，做到专岗专人，不得兼职。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1.2所有管理服务人员必须身体健康。应按时上、下岗，上岗期间应统一着装，下河工作人员上岗必须穿着救生衣，所有人员严禁酒后上岗。</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1.3供应商应制定、实施河道管理人员日常考勤考核制度，并建立相关工作台账。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1.4所有管理服务人员必须保护各类河道设施（包括各类河道公示牌、河道设施设备等）。</w:t>
      </w:r>
      <w:r/>
    </w:p>
    <w:p>
      <w:pPr>
        <w:numPr>
          <w:ilvl w:val="0"/>
          <w:numId w:val="19"/>
        </w:num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服务人员配置、船只配备要求：</w:t>
      </w:r>
      <w:r/>
    </w:p>
    <w:p>
      <w:pPr>
        <w:ind w:left="420"/>
        <w:spacing w:line="360" w:lineRule="auto"/>
        <w:rPr>
          <w:color w:val="auto"/>
          <w:highlight w:val="none"/>
        </w:rPr>
      </w:pPr>
      <w:r>
        <w:rPr>
          <w:rFonts w:hint="eastAsia"/>
          <w:color w:val="auto"/>
          <w:sz w:val="24"/>
          <w:szCs w:val="24"/>
          <w:highlight w:val="none"/>
        </w:rPr>
        <w:t xml:space="preserve">2.1服务人员</w:t>
      </w:r>
      <w:r>
        <w:rPr>
          <w:rFonts w:hint="eastAsia" w:ascii="宋体" w:hAnsi="宋体" w:cs="宋体"/>
          <w:color w:val="auto"/>
          <w:sz w:val="24"/>
          <w:szCs w:val="24"/>
          <w:highlight w:val="none"/>
        </w:rPr>
        <w:t xml:space="preserve">最低</w:t>
      </w:r>
      <w:r>
        <w:rPr>
          <w:rFonts w:hint="eastAsia"/>
          <w:color w:val="auto"/>
          <w:sz w:val="24"/>
          <w:szCs w:val="24"/>
          <w:highlight w:val="none"/>
        </w:rPr>
        <w:t xml:space="preserve">配置</w:t>
      </w:r>
      <w:r>
        <w:rPr>
          <w:rFonts w:hint="eastAsia" w:ascii="宋体" w:hAnsi="宋体" w:cs="宋体"/>
          <w:color w:val="auto"/>
          <w:sz w:val="24"/>
          <w:szCs w:val="24"/>
          <w:highlight w:val="none"/>
        </w:rPr>
        <w:t xml:space="preserve">、船只最低配备要求</w:t>
      </w:r>
      <w:r>
        <w:rPr>
          <w:rFonts w:hint="eastAsia"/>
          <w:color w:val="auto"/>
          <w:sz w:val="24"/>
          <w:szCs w:val="24"/>
          <w:highlight w:val="none"/>
        </w:rPr>
        <w:t xml:space="preserve">：</w:t>
      </w:r>
      <w:r/>
    </w:p>
    <w:tbl>
      <w:tblPr>
        <w:tblStyle w:val="779"/>
        <w:tblW w:w="11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1"/>
        <w:gridCol w:w="1425"/>
        <w:gridCol w:w="720"/>
        <w:gridCol w:w="5340"/>
        <w:gridCol w:w="3031"/>
      </w:tblGrid>
      <w:tr>
        <w:trPr>
          <w:jc w:val="center"/>
          <w:trHeight w:val="400"/>
        </w:trPr>
        <w:tc>
          <w:tcPr>
            <w:tcW w:w="501" w:type="dxa"/>
            <w:vMerge w:val="restart"/>
            <w:textDirection w:val="tbRlV"/>
            <w:noWrap w:val="false"/>
          </w:tcPr>
          <w:p>
            <w:pPr>
              <w:pStyle w:val="1051"/>
              <w:rPr>
                <w:rFonts w:hint="default"/>
                <w:color w:val="auto"/>
                <w:highlight w:val="none"/>
              </w:rPr>
            </w:pPr>
            <w:r>
              <w:rPr>
                <w:color w:val="auto"/>
                <w:highlight w:val="none"/>
              </w:rPr>
              <w:t xml:space="preserve">人 员 配 备</w:t>
            </w:r>
            <w:r/>
          </w:p>
        </w:tc>
        <w:tc>
          <w:tcPr>
            <w:tcW w:w="1425" w:type="dxa"/>
            <w:vAlign w:val="center"/>
            <w:textDirection w:val="lrTb"/>
            <w:noWrap w:val="false"/>
          </w:tcPr>
          <w:p>
            <w:pPr>
              <w:pStyle w:val="1051"/>
              <w:rPr>
                <w:rFonts w:hint="default"/>
                <w:color w:val="auto"/>
                <w:highlight w:val="none"/>
              </w:rPr>
            </w:pPr>
            <w:r>
              <w:rPr>
                <w:color w:val="auto"/>
                <w:highlight w:val="none"/>
              </w:rPr>
              <w:t xml:space="preserve">名称</w:t>
            </w:r>
            <w:r/>
          </w:p>
        </w:tc>
        <w:tc>
          <w:tcPr>
            <w:tcW w:w="720" w:type="dxa"/>
            <w:vAlign w:val="center"/>
            <w:textDirection w:val="lrTb"/>
            <w:noWrap w:val="false"/>
          </w:tcPr>
          <w:p>
            <w:pPr>
              <w:pStyle w:val="1051"/>
              <w:rPr>
                <w:rFonts w:hint="default"/>
                <w:color w:val="auto"/>
                <w:highlight w:val="none"/>
              </w:rPr>
            </w:pPr>
            <w:r>
              <w:rPr>
                <w:color w:val="auto"/>
                <w:highlight w:val="none"/>
              </w:rPr>
              <w:t xml:space="preserve">数量</w:t>
            </w:r>
            <w:r/>
          </w:p>
        </w:tc>
        <w:tc>
          <w:tcPr>
            <w:tcW w:w="5340" w:type="dxa"/>
            <w:vAlign w:val="center"/>
            <w:textDirection w:val="lrTb"/>
            <w:noWrap w:val="false"/>
          </w:tcPr>
          <w:p>
            <w:pPr>
              <w:pStyle w:val="1051"/>
              <w:rPr>
                <w:rFonts w:hint="default"/>
                <w:color w:val="auto"/>
                <w:highlight w:val="none"/>
              </w:rPr>
            </w:pPr>
            <w:r>
              <w:rPr>
                <w:color w:val="auto"/>
                <w:highlight w:val="none"/>
              </w:rPr>
              <w:t xml:space="preserve">要求</w:t>
            </w:r>
            <w:r/>
          </w:p>
        </w:tc>
        <w:tc>
          <w:tcPr>
            <w:tcW w:w="3031" w:type="dxa"/>
            <w:vAlign w:val="center"/>
            <w:textDirection w:val="lrTb"/>
            <w:noWrap w:val="false"/>
          </w:tcPr>
          <w:p>
            <w:pPr>
              <w:pStyle w:val="1051"/>
              <w:rPr>
                <w:rFonts w:hint="default"/>
                <w:color w:val="auto"/>
                <w:highlight w:val="none"/>
              </w:rPr>
            </w:pPr>
            <w:r>
              <w:rPr>
                <w:color w:val="auto"/>
                <w:highlight w:val="none"/>
              </w:rPr>
              <w:t xml:space="preserve">备注</w:t>
            </w:r>
            <w:r/>
          </w:p>
        </w:tc>
      </w:tr>
      <w:tr>
        <w:trPr>
          <w:jc w:val="center"/>
          <w:trHeight w:val="195"/>
        </w:trPr>
        <w:tc>
          <w:tcPr>
            <w:tcW w:w="501" w:type="dxa"/>
            <w:vMerge w:val="continue"/>
            <w:textDirection w:val="lrTb"/>
            <w:noWrap w:val="false"/>
          </w:tcPr>
          <w:p>
            <w:pPr>
              <w:pStyle w:val="1051"/>
              <w:rPr>
                <w:rFonts w:hint="default"/>
                <w:color w:val="auto"/>
                <w:highlight w:val="none"/>
              </w:rPr>
            </w:pPr>
            <w:r>
              <w:rPr>
                <w:rFonts w:hint="default"/>
                <w:color w:val="auto"/>
                <w:highlight w:val="none"/>
              </w:rPr>
            </w:r>
            <w:r/>
          </w:p>
        </w:tc>
        <w:tc>
          <w:tcPr>
            <w:tcW w:w="1425" w:type="dxa"/>
            <w:vAlign w:val="center"/>
            <w:textDirection w:val="lrTb"/>
            <w:noWrap w:val="false"/>
          </w:tcPr>
          <w:p>
            <w:pPr>
              <w:pStyle w:val="1051"/>
              <w:rPr>
                <w:rFonts w:hint="default"/>
                <w:color w:val="auto"/>
                <w:highlight w:val="none"/>
              </w:rPr>
            </w:pPr>
            <w:r>
              <w:rPr>
                <w:color w:val="auto"/>
                <w:highlight w:val="none"/>
              </w:rPr>
              <w:t xml:space="preserve">项目负责人</w:t>
            </w:r>
            <w:r/>
          </w:p>
        </w:tc>
        <w:tc>
          <w:tcPr>
            <w:tcW w:w="720" w:type="dxa"/>
            <w:vAlign w:val="center"/>
            <w:textDirection w:val="lrTb"/>
            <w:noWrap w:val="false"/>
          </w:tcPr>
          <w:p>
            <w:pPr>
              <w:pStyle w:val="1051"/>
              <w:rPr>
                <w:rFonts w:hint="default"/>
                <w:color w:val="auto"/>
                <w:highlight w:val="none"/>
              </w:rPr>
            </w:pPr>
            <w:r>
              <w:rPr>
                <w:color w:val="auto"/>
                <w:highlight w:val="none"/>
              </w:rPr>
              <w:t xml:space="preserve">1</w:t>
            </w:r>
            <w:r/>
          </w:p>
        </w:tc>
        <w:tc>
          <w:tcPr>
            <w:tcW w:w="5340" w:type="dxa"/>
            <w:vAlign w:val="center"/>
            <w:textDirection w:val="lrTb"/>
            <w:noWrap w:val="false"/>
          </w:tcPr>
          <w:p>
            <w:pPr>
              <w:pStyle w:val="1051"/>
              <w:jc w:val="left"/>
              <w:rPr>
                <w:rFonts w:hint="default"/>
                <w:color w:val="auto"/>
                <w:highlight w:val="none"/>
              </w:rPr>
            </w:pPr>
            <w:r>
              <w:rPr>
                <w:color w:val="auto"/>
                <w:highlight w:val="none"/>
              </w:rPr>
              <w:t xml:space="preserve">男性，年龄50周岁（含）以下，有水生态治理相关具有一定管理经验、法律知识和善于沟通、处事应变的能力；具有相应的公关意识，能协调部门之间关系，调动一切积极因素，完成下达的目标和任务。</w:t>
            </w:r>
            <w:r/>
          </w:p>
        </w:tc>
        <w:tc>
          <w:tcPr>
            <w:tcW w:w="3031" w:type="dxa"/>
            <w:vAlign w:val="center"/>
            <w:textDirection w:val="lrTb"/>
            <w:noWrap w:val="false"/>
          </w:tcPr>
          <w:p>
            <w:pPr>
              <w:pStyle w:val="1051"/>
              <w:jc w:val="left"/>
              <w:rPr>
                <w:rFonts w:hint="default"/>
                <w:color w:val="auto"/>
                <w:highlight w:val="none"/>
              </w:rPr>
            </w:pPr>
            <w:r>
              <w:rPr>
                <w:color w:val="auto"/>
                <w:highlight w:val="none"/>
              </w:rPr>
              <w:t xml:space="preserve">投标时提供由区级及以上社保部门出具的</w:t>
            </w:r>
            <w:r>
              <w:rPr>
                <w:rFonts w:hint="eastAsia"/>
                <w:color w:val="auto"/>
                <w:highlight w:val="none"/>
              </w:rPr>
              <w:t xml:space="preserve">一年中任意一个月份</w:t>
            </w:r>
            <w:r>
              <w:rPr>
                <w:color w:val="auto"/>
                <w:highlight w:val="none"/>
              </w:rPr>
              <w:t xml:space="preserve">（不含投标当月）</w:t>
            </w:r>
            <w:r>
              <w:rPr>
                <w:color w:val="auto"/>
                <w:highlight w:val="none"/>
              </w:rPr>
              <w:t xml:space="preserve">的投标供应商依法为其缴纳社会保险证明。</w:t>
            </w:r>
            <w:r/>
          </w:p>
        </w:tc>
      </w:tr>
      <w:tr>
        <w:trPr>
          <w:jc w:val="center"/>
          <w:trHeight w:val="834"/>
        </w:trPr>
        <w:tc>
          <w:tcPr>
            <w:tcW w:w="501" w:type="dxa"/>
            <w:vMerge w:val="continue"/>
            <w:textDirection w:val="lrTb"/>
            <w:noWrap w:val="false"/>
          </w:tcPr>
          <w:p>
            <w:pPr>
              <w:pStyle w:val="1051"/>
              <w:rPr>
                <w:rFonts w:hint="default"/>
                <w:color w:val="auto"/>
                <w:highlight w:val="none"/>
              </w:rPr>
            </w:pPr>
            <w:r>
              <w:rPr>
                <w:rFonts w:hint="default"/>
                <w:color w:val="auto"/>
                <w:highlight w:val="none"/>
              </w:rPr>
            </w:r>
            <w:r/>
          </w:p>
        </w:tc>
        <w:tc>
          <w:tcPr>
            <w:tcW w:w="1425" w:type="dxa"/>
            <w:vAlign w:val="center"/>
            <w:textDirection w:val="lrTb"/>
            <w:noWrap w:val="false"/>
          </w:tcPr>
          <w:p>
            <w:pPr>
              <w:pStyle w:val="1051"/>
              <w:rPr>
                <w:rFonts w:hint="default"/>
                <w:color w:val="auto"/>
                <w:highlight w:val="none"/>
              </w:rPr>
            </w:pPr>
            <w:r>
              <w:rPr>
                <w:color w:val="auto"/>
                <w:highlight w:val="none"/>
              </w:rPr>
              <w:t xml:space="preserve">设备维护人员</w:t>
            </w:r>
            <w:r/>
          </w:p>
        </w:tc>
        <w:tc>
          <w:tcPr>
            <w:tcW w:w="720" w:type="dxa"/>
            <w:vAlign w:val="center"/>
            <w:textDirection w:val="lrTb"/>
            <w:noWrap w:val="false"/>
          </w:tcPr>
          <w:p>
            <w:pPr>
              <w:pStyle w:val="1051"/>
              <w:rPr>
                <w:rFonts w:hint="default"/>
                <w:color w:val="auto"/>
                <w:highlight w:val="none"/>
              </w:rPr>
            </w:pPr>
            <w:r>
              <w:rPr>
                <w:color w:val="auto"/>
                <w:highlight w:val="none"/>
              </w:rPr>
              <w:t xml:space="preserve">2</w:t>
            </w:r>
            <w:r/>
          </w:p>
        </w:tc>
        <w:tc>
          <w:tcPr>
            <w:tcW w:w="5340" w:type="dxa"/>
            <w:vAlign w:val="center"/>
            <w:textDirection w:val="lrTb"/>
            <w:noWrap w:val="false"/>
          </w:tcPr>
          <w:p>
            <w:pPr>
              <w:pStyle w:val="1051"/>
              <w:jc w:val="left"/>
              <w:rPr>
                <w:rFonts w:hint="default"/>
                <w:color w:val="auto"/>
                <w:highlight w:val="none"/>
              </w:rPr>
            </w:pPr>
            <w:r>
              <w:rPr>
                <w:color w:val="auto"/>
                <w:highlight w:val="none"/>
              </w:rPr>
              <w:t xml:space="preserve">负责水质保护的相关设施设备以及智能化设备的日常维护及突发应急情况设备运维。</w:t>
            </w:r>
            <w:r/>
          </w:p>
        </w:tc>
        <w:tc>
          <w:tcPr>
            <w:tcW w:w="3031" w:type="dxa"/>
            <w:vAlign w:val="center"/>
            <w:vMerge w:val="restart"/>
            <w:textDirection w:val="lrTb"/>
            <w:noWrap w:val="false"/>
          </w:tcPr>
          <w:p>
            <w:pPr>
              <w:pStyle w:val="1051"/>
              <w:jc w:val="left"/>
              <w:rPr>
                <w:rFonts w:hint="default"/>
                <w:color w:val="auto"/>
                <w:highlight w:val="none"/>
              </w:rPr>
            </w:pPr>
            <w:r>
              <w:rPr>
                <w:color w:val="auto"/>
                <w:highlight w:val="none"/>
              </w:rPr>
              <w:t xml:space="preserve">投标供应商可自主调整岗位人员配置，但人员配备不得低于招标文件规定的服务人员最低配置标准。</w:t>
            </w:r>
            <w:r/>
          </w:p>
          <w:p>
            <w:pPr>
              <w:pStyle w:val="1051"/>
              <w:jc w:val="left"/>
              <w:rPr>
                <w:rFonts w:hint="default"/>
                <w:color w:val="auto"/>
                <w:highlight w:val="none"/>
              </w:rPr>
            </w:pPr>
            <w:r>
              <w:rPr>
                <w:color w:val="auto"/>
                <w:highlight w:val="none"/>
              </w:rPr>
              <w:t xml:space="preserve">投标供应商须承诺：中标后，项目全服务周期内，为本项目所有养护工作人员统一投保人身意外伤害保险；相关保险办理产生的全部费用由中标供应商自行承担，该费用已综合包含于投标报价内，承诺函格式详见附件。</w:t>
            </w:r>
            <w:r/>
          </w:p>
        </w:tc>
      </w:tr>
      <w:tr>
        <w:trPr>
          <w:jc w:val="center"/>
          <w:trHeight w:val="1741"/>
        </w:trPr>
        <w:tc>
          <w:tcPr>
            <w:tcW w:w="501" w:type="dxa"/>
            <w:vMerge w:val="continue"/>
            <w:textDirection w:val="lrTb"/>
            <w:noWrap w:val="false"/>
          </w:tcPr>
          <w:p>
            <w:pPr>
              <w:pStyle w:val="1051"/>
              <w:rPr>
                <w:rFonts w:hint="default"/>
                <w:color w:val="auto"/>
                <w:highlight w:val="none"/>
              </w:rPr>
            </w:pPr>
            <w:r>
              <w:rPr>
                <w:rFonts w:hint="default"/>
                <w:color w:val="auto"/>
                <w:highlight w:val="none"/>
              </w:rPr>
            </w:r>
            <w:r/>
          </w:p>
        </w:tc>
        <w:tc>
          <w:tcPr>
            <w:tcW w:w="1425" w:type="dxa"/>
            <w:vAlign w:val="center"/>
            <w:textDirection w:val="lrTb"/>
            <w:noWrap w:val="false"/>
          </w:tcPr>
          <w:p>
            <w:pPr>
              <w:pStyle w:val="1051"/>
              <w:rPr>
                <w:rFonts w:hint="default"/>
                <w:color w:val="auto"/>
                <w:highlight w:val="none"/>
              </w:rPr>
            </w:pPr>
            <w:r>
              <w:rPr>
                <w:color w:val="auto"/>
                <w:highlight w:val="none"/>
              </w:rPr>
              <w:t xml:space="preserve">养护人员</w:t>
            </w:r>
            <w:r/>
          </w:p>
        </w:tc>
        <w:tc>
          <w:tcPr>
            <w:tcW w:w="720" w:type="dxa"/>
            <w:vAlign w:val="center"/>
            <w:textDirection w:val="lrTb"/>
            <w:noWrap w:val="false"/>
          </w:tcPr>
          <w:p>
            <w:pPr>
              <w:pStyle w:val="1051"/>
              <w:rPr>
                <w:rFonts w:hint="default"/>
                <w:color w:val="auto"/>
                <w:highlight w:val="none"/>
              </w:rPr>
            </w:pPr>
            <w:r>
              <w:rPr>
                <w:color w:val="auto"/>
                <w:highlight w:val="none"/>
              </w:rPr>
              <w:t xml:space="preserve">30</w:t>
            </w:r>
            <w:r/>
          </w:p>
        </w:tc>
        <w:tc>
          <w:tcPr>
            <w:tcW w:w="5340" w:type="dxa"/>
            <w:vAlign w:val="center"/>
            <w:textDirection w:val="lrTb"/>
            <w:noWrap w:val="false"/>
          </w:tcPr>
          <w:p>
            <w:pPr>
              <w:pStyle w:val="1051"/>
              <w:jc w:val="left"/>
              <w:rPr>
                <w:rFonts w:hint="default"/>
                <w:color w:val="auto"/>
                <w:highlight w:val="none"/>
              </w:rPr>
            </w:pPr>
            <w:r/>
            <w:bookmarkStart w:id="13" w:name="OLE_LINK1"/>
            <w:r>
              <w:rPr>
                <w:color w:val="auto"/>
                <w:highlight w:val="none"/>
              </w:rPr>
              <w:t xml:space="preserve">要求身心健康，能胜任岗位需要，品行良好，遵守采购人各项规章制度和行为规范。禁止使用70周岁（不含）以上人员</w:t>
            </w:r>
            <w:bookmarkEnd w:id="13"/>
            <w:r>
              <w:rPr>
                <w:color w:val="auto"/>
                <w:highlight w:val="none"/>
              </w:rPr>
              <w:t xml:space="preserve">，特殊时期人数需满足作业要求。</w:t>
            </w:r>
            <w:r/>
          </w:p>
        </w:tc>
        <w:tc>
          <w:tcPr>
            <w:tcW w:w="3031" w:type="dxa"/>
            <w:vAlign w:val="center"/>
            <w:vMerge w:val="continue"/>
            <w:textDirection w:val="lrTb"/>
            <w:noWrap w:val="false"/>
          </w:tcPr>
          <w:p>
            <w:pPr>
              <w:pStyle w:val="1051"/>
              <w:jc w:val="left"/>
              <w:rPr>
                <w:rFonts w:hint="default"/>
                <w:color w:val="auto"/>
                <w:highlight w:val="none"/>
              </w:rPr>
            </w:pPr>
            <w:r>
              <w:rPr>
                <w:rFonts w:hint="default"/>
                <w:color w:val="auto"/>
                <w:highlight w:val="none"/>
              </w:rPr>
            </w:r>
            <w:r/>
          </w:p>
        </w:tc>
      </w:tr>
      <w:tr>
        <w:trPr>
          <w:jc w:val="center"/>
          <w:trHeight w:val="834"/>
        </w:trPr>
        <w:tc>
          <w:tcPr>
            <w:tcW w:w="501" w:type="dxa"/>
            <w:vMerge w:val="restart"/>
            <w:textDirection w:val="lrTb"/>
            <w:noWrap w:val="false"/>
          </w:tcPr>
          <w:p>
            <w:pPr>
              <w:pStyle w:val="1051"/>
              <w:rPr>
                <w:rFonts w:hint="default"/>
                <w:color w:val="auto"/>
                <w:highlight w:val="none"/>
              </w:rPr>
            </w:pPr>
            <w:r>
              <w:rPr>
                <w:color w:val="auto"/>
                <w:highlight w:val="none"/>
              </w:rPr>
              <w:t xml:space="preserve">船只配备</w:t>
            </w:r>
            <w:r/>
          </w:p>
        </w:tc>
        <w:tc>
          <w:tcPr>
            <w:tcW w:w="1425" w:type="dxa"/>
            <w:vAlign w:val="center"/>
            <w:textDirection w:val="lrTb"/>
            <w:noWrap w:val="false"/>
          </w:tcPr>
          <w:p>
            <w:pPr>
              <w:pStyle w:val="1051"/>
              <w:rPr>
                <w:rFonts w:hint="default"/>
                <w:color w:val="auto"/>
                <w:highlight w:val="none"/>
              </w:rPr>
            </w:pPr>
            <w:r>
              <w:rPr>
                <w:color w:val="auto"/>
                <w:highlight w:val="none"/>
              </w:rPr>
              <w:t xml:space="preserve">日常养护作业船</w:t>
            </w:r>
            <w:r/>
          </w:p>
        </w:tc>
        <w:tc>
          <w:tcPr>
            <w:tcW w:w="720" w:type="dxa"/>
            <w:vAlign w:val="center"/>
            <w:textDirection w:val="lrTb"/>
            <w:noWrap w:val="false"/>
          </w:tcPr>
          <w:p>
            <w:pPr>
              <w:pStyle w:val="1051"/>
              <w:rPr>
                <w:rFonts w:hint="default"/>
                <w:color w:val="auto"/>
                <w:highlight w:val="none"/>
              </w:rPr>
            </w:pPr>
            <w:r>
              <w:rPr>
                <w:color w:val="auto"/>
                <w:highlight w:val="none"/>
              </w:rPr>
              <w:t xml:space="preserve">25</w:t>
            </w:r>
            <w:r/>
          </w:p>
        </w:tc>
        <w:tc>
          <w:tcPr>
            <w:gridSpan w:val="2"/>
            <w:tcW w:w="8371" w:type="dxa"/>
            <w:vAlign w:val="center"/>
            <w:textDirection w:val="lrTb"/>
            <w:noWrap w:val="false"/>
          </w:tcPr>
          <w:p>
            <w:pPr>
              <w:pStyle w:val="1051"/>
              <w:jc w:val="left"/>
              <w:rPr>
                <w:rFonts w:hint="default"/>
                <w:color w:val="auto"/>
                <w:highlight w:val="none"/>
              </w:rPr>
            </w:pPr>
            <w:r>
              <w:rPr>
                <w:color w:val="auto"/>
                <w:highlight w:val="none"/>
              </w:rPr>
              <w:t xml:space="preserve">自有或租赁，中标后提供：①自有提供设备发票、船只实景图片（正面、两侧、尾部照片）复印件并加盖公章；②租赁提供设备发票、租赁协议（租赁期≥服务期）、船只实景图片（正面、两侧、尾部照片）复印件并加盖公章。</w:t>
            </w:r>
            <w:r/>
          </w:p>
        </w:tc>
      </w:tr>
      <w:tr>
        <w:trPr>
          <w:jc w:val="center"/>
          <w:trHeight w:val="834"/>
        </w:trPr>
        <w:tc>
          <w:tcPr>
            <w:tcW w:w="501" w:type="dxa"/>
            <w:vMerge w:val="continue"/>
            <w:textDirection w:val="lrTb"/>
            <w:noWrap w:val="false"/>
          </w:tcPr>
          <w:p>
            <w:pPr>
              <w:pStyle w:val="1051"/>
              <w:rPr>
                <w:rFonts w:hint="default"/>
                <w:color w:val="auto"/>
                <w:highlight w:val="none"/>
              </w:rPr>
            </w:pPr>
            <w:r>
              <w:rPr>
                <w:rFonts w:hint="default"/>
                <w:color w:val="auto"/>
                <w:highlight w:val="none"/>
              </w:rPr>
            </w:r>
            <w:r/>
          </w:p>
        </w:tc>
        <w:tc>
          <w:tcPr>
            <w:tcW w:w="1425" w:type="dxa"/>
            <w:vAlign w:val="center"/>
            <w:textDirection w:val="lrTb"/>
            <w:noWrap w:val="false"/>
          </w:tcPr>
          <w:p>
            <w:pPr>
              <w:pStyle w:val="1051"/>
              <w:rPr>
                <w:rFonts w:hint="default"/>
                <w:color w:val="auto"/>
                <w:highlight w:val="none"/>
              </w:rPr>
            </w:pPr>
            <w:r>
              <w:rPr>
                <w:color w:val="auto"/>
                <w:highlight w:val="none"/>
              </w:rPr>
              <w:t xml:space="preserve">割草船</w:t>
            </w:r>
            <w:r/>
          </w:p>
        </w:tc>
        <w:tc>
          <w:tcPr>
            <w:tcW w:w="720" w:type="dxa"/>
            <w:vAlign w:val="center"/>
            <w:textDirection w:val="lrTb"/>
            <w:noWrap w:val="false"/>
          </w:tcPr>
          <w:p>
            <w:pPr>
              <w:pStyle w:val="1051"/>
              <w:rPr>
                <w:rFonts w:hint="default"/>
                <w:color w:val="auto"/>
                <w:highlight w:val="none"/>
              </w:rPr>
            </w:pPr>
            <w:r>
              <w:rPr>
                <w:color w:val="auto"/>
                <w:highlight w:val="none"/>
              </w:rPr>
              <w:t xml:space="preserve">3</w:t>
            </w:r>
            <w:r/>
          </w:p>
        </w:tc>
        <w:tc>
          <w:tcPr>
            <w:gridSpan w:val="2"/>
            <w:tcW w:w="8371" w:type="dxa"/>
            <w:vAlign w:val="center"/>
            <w:textDirection w:val="lrTb"/>
            <w:noWrap w:val="false"/>
          </w:tcPr>
          <w:p>
            <w:pPr>
              <w:pStyle w:val="1051"/>
              <w:jc w:val="left"/>
              <w:rPr>
                <w:rFonts w:hint="default"/>
                <w:color w:val="auto"/>
                <w:highlight w:val="none"/>
              </w:rPr>
            </w:pPr>
            <w:r>
              <w:rPr>
                <w:color w:val="auto"/>
                <w:highlight w:val="none"/>
              </w:rPr>
              <w:t xml:space="preserve">自有或租赁，中标后提供：①自有提供设备发票、船只实景图片（正面、两侧、尾部照片）复印件并加盖公章；②租赁提供设备发票、租赁协议（租赁期≥服务期）、船只实景图片（正面、两侧、尾部照片）复印件并加盖公章。</w:t>
            </w:r>
            <w:r/>
          </w:p>
        </w:tc>
      </w:tr>
      <w:tr>
        <w:trPr>
          <w:jc w:val="center"/>
          <w:trHeight w:val="304"/>
        </w:trPr>
        <w:tc>
          <w:tcPr>
            <w:gridSpan w:val="5"/>
            <w:tcW w:w="11017" w:type="dxa"/>
            <w:textDirection w:val="lrTb"/>
            <w:noWrap w:val="false"/>
          </w:tcPr>
          <w:p>
            <w:pPr>
              <w:pStyle w:val="1051"/>
              <w:jc w:val="left"/>
              <w:rPr>
                <w:rFonts w:hint="default"/>
                <w:color w:val="auto"/>
                <w:highlight w:val="none"/>
              </w:rPr>
            </w:pPr>
            <w:r>
              <w:rPr>
                <w:color w:val="auto"/>
                <w:highlight w:val="none"/>
              </w:rPr>
              <w:t xml:space="preserve">注：1）本项目人员、船只配置为工作岗位所需人员、船只的最低配置且未含轮休，须全年365天满足在岗数量要求，且只能用于本项目，不得用于其他项目。中标供应商必须在取得中标资格后10日内，按上述最低配置要求，全部配置至采购人指定现场核查，签订《船只项目专用承诺书》，并经采购人确认后，方可签订合同；如未能按期配置齐全，视为中标供应商放弃中标资格，采购人有权取消其中标资格，并由第二中标候选供应商顺序替补为中标供应商，并与采购人签订合同。采购人也可以重新招标。给采购人造成的损失，原中标供应商还应当予以赔偿。</w:t>
            </w:r>
            <w:r/>
          </w:p>
        </w:tc>
      </w:tr>
    </w:tbl>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lang w:val="zh-CN"/>
        </w:rPr>
        <w:t xml:space="preserve">其他要求：</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zh-CN"/>
        </w:rPr>
        <w:t xml:space="preserve">不得聘请有任何犯罪记录、有可能对</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zh-CN"/>
        </w:rPr>
        <w:t xml:space="preserve">存在某些安全隐患的人员，到本项目工作。</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zh-CN"/>
        </w:rPr>
        <w:t xml:space="preserve">须派遣有类似服务主管经验、管理能力强、政治合格、业绩优秀、责任心强的人员担任本项目负责人。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对于</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zh-CN"/>
        </w:rPr>
        <w:t xml:space="preserve">派遣的本项目的工作人员的能力、体检、资格等方面要求不符合</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zh-CN"/>
        </w:rPr>
        <w:t xml:space="preserve">规定的，</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zh-CN"/>
        </w:rPr>
        <w:t xml:space="preserve">将其视为缺岗缺勤情况处理。</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zh-CN"/>
        </w:rPr>
        <w:t xml:space="preserve">派遣的所有本项目工作人员须遵守并服从</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zh-CN"/>
        </w:rPr>
        <w:t xml:space="preserve">所制定的各项规章制度，接受</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zh-CN"/>
        </w:rPr>
        <w:t xml:space="preserve">的工作考核，并将其纳入考核记录。</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合同期内，若遇临时性检查，需进行服务范围外的保洁工作，则另行支付服务费用，具体金额由</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zh-CN"/>
        </w:rPr>
        <w:t xml:space="preserve">与</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zh-CN"/>
        </w:rPr>
        <w:t xml:space="preserve">协商后确定。</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作业时注意节约易耗工具，作业后工具要放在规定的地方，每天清洗清运设备，保持垃圾清运设备外观完好、整洁，并</w:t>
      </w:r>
      <w:r>
        <w:rPr>
          <w:rFonts w:hint="eastAsia" w:ascii="宋体" w:hAnsi="宋体" w:cs="宋体"/>
          <w:color w:val="auto"/>
          <w:sz w:val="24"/>
          <w:szCs w:val="24"/>
          <w:highlight w:val="none"/>
        </w:rPr>
        <w:t xml:space="preserve">保持设备</w:t>
      </w:r>
      <w:r>
        <w:rPr>
          <w:rFonts w:hint="eastAsia" w:ascii="宋体" w:hAnsi="宋体" w:cs="宋体"/>
          <w:color w:val="auto"/>
          <w:sz w:val="24"/>
          <w:szCs w:val="24"/>
          <w:highlight w:val="none"/>
          <w:lang w:val="zh-CN"/>
        </w:rPr>
        <w:t xml:space="preserve">干净、整洁。</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3、河道长效管理标准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3.1日常性巡查管养注意点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（1）日常水面保洁做到水面无白色垃圾、落叶等漂浮物，杂物、垃圾滞留时间不超过5小时。主要桥梁、通道视野范围内无漂浮物，河面整体感官良好。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（2）每周不少于三次巡查，观察水体感观及水生植物、鱼类、浮游藻类有无异常情况，若有异常情况，及时采取应急措施。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（3）检查各类排污口是否排入河道，是否存在影响水生态的其他措施。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（4）查看现场围隔有无破损。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（5）巡查设施设备运行情况，及时报备检修。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根据巡查结果，如实填写巡查结果（附件一：河道水质巡查表），养护过程中发现突发情况应及时向工作群拍照、汇报，并视其严重程度决定是否及时采取应急措施。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3.2挺水植物养护要求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（1）及时修剪枯黄、枯死和倒伏植株，及时清理滨岸带挺水植物周围的杂物或垃圾。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（2）定期去除杂草，除草时注意不要破坏植被根系。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（3）冬至后至立春萌动前应对枯萎枝叶进行修剪。</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（4）对于滨岸带种植的挺水植物，在春、夏季每月修剪一次，去除扩张性植物和死株，并适当修剪、挖除过密植株，以维持系统的景观效果。修剪下的植株要及时清除，防止蚊蝇滋生和影响景观。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（5）对于因病虫害等原因造成某个或某些植被死亡时，应将植被撤出，并进行相应的补种；当植物有严重病虫害时，应撤出后再喷洒杀虫剂处理。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3.3沉水植物养护要求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（1）及时清除水体表面的植物及非目的性沉水植物。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（2）沉水植物长出水面影响景观时，应进行人工打捞或机割。对于浮出水面的死株，应及时清除。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（3）一年收割1次，收割时间为枯萎1周内开始收割，收割方式为机械收割或人工打捞。</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（4）台风、大风大雨天气及强泄洪后2～3天，检查沉水植物的冲毁情况，如有冲毁，及时补植。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3.4设备、设施运营维护要求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所有设备每周巡查不少于一次，保证设备正常运行，无缺损。</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530"/>
        <w:gridCol w:w="7557"/>
      </w:tblGrid>
      <w:tr>
        <w:trPr/>
        <w:tc>
          <w:tcPr>
            <w:tcW w:w="65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序号</w:t>
            </w:r>
            <w:r/>
          </w:p>
        </w:tc>
        <w:tc>
          <w:tcPr>
            <w:tcW w:w="155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设备设施名称</w:t>
            </w:r>
            <w:r/>
          </w:p>
        </w:tc>
        <w:tc>
          <w:tcPr>
            <w:tcW w:w="774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维护具体要求</w:t>
            </w:r>
            <w:r/>
          </w:p>
        </w:tc>
      </w:tr>
      <w:tr>
        <w:trPr/>
        <w:tc>
          <w:tcPr>
            <w:tcW w:w="65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W w:w="155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生态拦截网设施维护</w:t>
            </w:r>
            <w:r/>
          </w:p>
        </w:tc>
        <w:tc>
          <w:tcPr>
            <w:tcW w:w="7748" w:type="dxa"/>
            <w:vAlign w:val="center"/>
            <w:textDirection w:val="lrTb"/>
            <w:noWrap w:val="false"/>
          </w:tcPr>
          <w:p>
            <w:pPr>
              <w:rPr>
                <w:color w:val="auto"/>
                <w:highlight w:val="none"/>
              </w:rPr>
            </w:pPr>
            <w:r>
              <w:rPr>
                <w:rFonts w:hint="eastAsia"/>
                <w:color w:val="auto"/>
                <w:highlight w:val="none"/>
              </w:rPr>
              <w:t xml:space="preserve">1、生态拦截网设施维护，损坏部分修补、更换（已有钢管可利用）</w:t>
            </w:r>
            <w:r/>
          </w:p>
        </w:tc>
      </w:tr>
      <w:tr>
        <w:trPr/>
        <w:tc>
          <w:tcPr>
            <w:tcW w:w="65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W w:w="155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生态围隔设施维护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日常巡检：定期开展现场巡查，检查围隔是否完好、结构是否稳定，功能性是否正常，有无破损、脱落、变形，周边有无杂物堆积，每月开展1次全面深度排查。</w:t>
            </w:r>
            <w:r>
              <w:rPr>
                <w:rFonts w:hint="eastAsia"/>
                <w:color w:val="auto"/>
                <w:highlight w:val="none"/>
              </w:rPr>
              <w:br/>
            </w:r>
            <w:r>
              <w:rPr>
                <w:rFonts w:hint="eastAsia"/>
                <w:color w:val="auto"/>
                <w:highlight w:val="none"/>
              </w:rPr>
              <w:t xml:space="preserve">2. 清洁维护：每月对围隔进行全面清理，清除附着的垃圾、漂浮物、淤泥，防止堵塞、异味，确保围隔通透性良好。</w:t>
            </w:r>
            <w:r>
              <w:rPr>
                <w:rFonts w:hint="eastAsia"/>
                <w:color w:val="auto"/>
                <w:highlight w:val="none"/>
              </w:rPr>
              <w:br/>
            </w:r>
            <w:r>
              <w:rPr>
                <w:rFonts w:hint="eastAsia"/>
                <w:color w:val="auto"/>
                <w:highlight w:val="none"/>
              </w:rPr>
              <w:t xml:space="preserve">3. 故障维修：发现围隔破损、脱落、变形等问题，48小时内完成维修、更换，确保围隔功能正常，无渗漏、无移位。</w:t>
            </w:r>
            <w:r>
              <w:rPr>
                <w:rFonts w:hint="eastAsia"/>
                <w:color w:val="auto"/>
                <w:highlight w:val="none"/>
              </w:rPr>
              <w:br/>
            </w:r>
            <w:r>
              <w:rPr>
                <w:rFonts w:hint="eastAsia"/>
                <w:color w:val="auto"/>
                <w:highlight w:val="none"/>
              </w:rPr>
              <w:t xml:space="preserve">4. 台账管理：每次巡检、维修、维护工作均需做好记录，建立完整的工作台账，留存现场照片，实现闭环管理。</w:t>
            </w:r>
            <w:r/>
          </w:p>
        </w:tc>
      </w:tr>
      <w:tr>
        <w:trPr/>
        <w:tc>
          <w:tcPr>
            <w:tcW w:w="65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w:t>
            </w:r>
            <w:r/>
          </w:p>
        </w:tc>
        <w:tc>
          <w:tcPr>
            <w:tcW w:w="155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生态过滤带设施维护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日常巡检：定期开展现场巡查，检查生态过滤带围隔是否完好、结构是否稳定，功能性是否正常，有无破损、脱落、变形，周边有无杂物堆积，每月开展1次全面深度排查。</w:t>
            </w:r>
            <w:r>
              <w:rPr>
                <w:rFonts w:hint="eastAsia"/>
                <w:color w:val="auto"/>
                <w:highlight w:val="none"/>
              </w:rPr>
              <w:br/>
            </w:r>
            <w:r>
              <w:rPr>
                <w:rFonts w:hint="eastAsia"/>
                <w:color w:val="auto"/>
                <w:highlight w:val="none"/>
              </w:rPr>
              <w:t xml:space="preserve">2. 清洁维护：每月对生态过滤带进行全面清理，清除拦截的垃圾、漂浮物、悬浮物，清理格栅、导流槽的堵塞物，防止淤积，确保过滤效果。</w:t>
            </w:r>
            <w:r>
              <w:rPr>
                <w:rFonts w:hint="eastAsia"/>
                <w:color w:val="auto"/>
                <w:highlight w:val="none"/>
              </w:rPr>
              <w:br/>
            </w:r>
            <w:r>
              <w:rPr>
                <w:rFonts w:hint="eastAsia"/>
                <w:color w:val="auto"/>
                <w:highlight w:val="none"/>
              </w:rPr>
              <w:t xml:space="preserve">3. 故障维修：发现围隔破损、脱落、变形等问题，48小时内完成维修、更换，确保过滤带功能正常，水流顺畅。</w:t>
            </w:r>
            <w:r>
              <w:rPr>
                <w:rFonts w:hint="eastAsia"/>
                <w:color w:val="auto"/>
                <w:highlight w:val="none"/>
              </w:rPr>
              <w:br/>
            </w:r>
            <w:r>
              <w:rPr>
                <w:rFonts w:hint="eastAsia"/>
                <w:color w:val="auto"/>
                <w:highlight w:val="none"/>
              </w:rPr>
              <w:t xml:space="preserve">4. 台账管理：每次巡检、维修、维护工作均需做好记录，建立完整的工作台账，留存现场照片，实现闭环管理。</w:t>
            </w:r>
            <w:r/>
          </w:p>
        </w:tc>
      </w:tr>
      <w:tr>
        <w:trPr/>
        <w:tc>
          <w:tcPr>
            <w:tcW w:w="65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w:t>
            </w:r>
            <w:r/>
          </w:p>
        </w:tc>
        <w:tc>
          <w:tcPr>
            <w:tcW w:w="155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原位净化带围隔维护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日常巡检：定期开展现场巡查，检查原位净化带围隔是否完好、结构是否稳定，功能性是否正常，有无破损、脱落、变形，周边有无杂物堆积，每月开展1次全面深度排查。</w:t>
            </w:r>
            <w:r>
              <w:rPr>
                <w:rFonts w:hint="eastAsia"/>
                <w:color w:val="auto"/>
                <w:highlight w:val="none"/>
              </w:rPr>
              <w:br/>
            </w:r>
            <w:r>
              <w:rPr>
                <w:rFonts w:hint="eastAsia"/>
                <w:color w:val="auto"/>
                <w:highlight w:val="none"/>
              </w:rPr>
              <w:t xml:space="preserve">2. 清洁维护：每月对围隔进行全面清理，清除附着的垃圾、漂浮物、淤泥，防止堵塞、异味，确保围隔通透性良好，净化功能正常。</w:t>
            </w:r>
            <w:r>
              <w:rPr>
                <w:rFonts w:hint="eastAsia"/>
                <w:color w:val="auto"/>
                <w:highlight w:val="none"/>
              </w:rPr>
              <w:br/>
            </w:r>
            <w:r>
              <w:rPr>
                <w:rFonts w:hint="eastAsia"/>
                <w:color w:val="auto"/>
                <w:highlight w:val="none"/>
              </w:rPr>
              <w:t xml:space="preserve">3. 故障维修：发现围隔破损、脱落、变形等问题，48小时内完成维修、更换，确保围隔无渗漏、无移位，功能稳定。</w:t>
            </w:r>
            <w:r>
              <w:rPr>
                <w:rFonts w:hint="eastAsia"/>
                <w:color w:val="auto"/>
                <w:highlight w:val="none"/>
              </w:rPr>
              <w:br/>
            </w:r>
            <w:r>
              <w:rPr>
                <w:rFonts w:hint="eastAsia"/>
                <w:color w:val="auto"/>
                <w:highlight w:val="none"/>
              </w:rPr>
              <w:t xml:space="preserve">4. 台账管理：每次巡检、维修、维护工作均需做好记录，建立完整的工作台账，留存现场照片，实现闭环管理。</w:t>
            </w:r>
            <w:r/>
          </w:p>
        </w:tc>
      </w:tr>
      <w:tr>
        <w:trPr/>
        <w:tc>
          <w:tcPr>
            <w:tcW w:w="65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c>
          <w:tcPr>
            <w:tcW w:w="155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沉水曝气风机运行养护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日常巡检：定期开展设备巡查，检查风机运行状态是否正常，有无异响、过热，检查管道是否被异物封堵、有无破损渗漏，检查电路、控制系统是否正常，每月开展1次全面设备排查。</w:t>
            </w:r>
            <w:r>
              <w:rPr>
                <w:rFonts w:hint="eastAsia"/>
                <w:color w:val="auto"/>
                <w:highlight w:val="none"/>
              </w:rPr>
              <w:br/>
            </w:r>
            <w:r>
              <w:rPr>
                <w:rFonts w:hint="eastAsia"/>
                <w:color w:val="auto"/>
                <w:highlight w:val="none"/>
              </w:rPr>
              <w:t xml:space="preserve">2. 清洁维护：定期清理设备表面的杂物、污垢，每月对设备内部、管道、曝气头进行全面清洗，每年对设备进行1次全面拆解清洗、保养。</w:t>
            </w:r>
            <w:r>
              <w:rPr>
                <w:rFonts w:hint="eastAsia"/>
                <w:color w:val="auto"/>
                <w:highlight w:val="none"/>
              </w:rPr>
              <w:br/>
            </w:r>
            <w:r>
              <w:rPr>
                <w:rFonts w:hint="eastAsia"/>
                <w:color w:val="auto"/>
                <w:highlight w:val="none"/>
              </w:rPr>
              <w:t xml:space="preserve">3. 故障维修：发现设备运行异常、管道堵塞、电路故障、渗漏等问题，2小时内响应，48小时内完成维修；对损坏的部件、设备及时维修、更换，确保设备正常运行。</w:t>
            </w:r>
            <w:r>
              <w:rPr>
                <w:rFonts w:hint="eastAsia"/>
                <w:color w:val="auto"/>
                <w:highlight w:val="none"/>
              </w:rPr>
              <w:br/>
            </w:r>
            <w:r>
              <w:rPr>
                <w:rFonts w:hint="eastAsia"/>
                <w:color w:val="auto"/>
                <w:highlight w:val="none"/>
              </w:rPr>
              <w:t xml:space="preserve">4. 定期保养：每年对风机、电机进行全面保养，检查轴承、密封圈、皮圈、润滑油等耗材，根据损耗程度及时更换；密封圈每年定期更换，做好拆卸、修理、安装全流程工作；每年对风机进行全面清理。</w:t>
            </w:r>
            <w:r>
              <w:rPr>
                <w:rFonts w:hint="eastAsia"/>
                <w:color w:val="auto"/>
                <w:highlight w:val="none"/>
              </w:rPr>
              <w:br/>
            </w:r>
            <w:r>
              <w:rPr>
                <w:rFonts w:hint="eastAsia"/>
                <w:color w:val="auto"/>
                <w:highlight w:val="none"/>
              </w:rPr>
              <w:t xml:space="preserve">5. 系统维护：定期对设备控制系统进行维护升级，检查系统参数、运行逻辑，确保系统稳定运行；检查防雷接地、线路完好，做好防潮、防盗、防冲刷措施。</w:t>
            </w:r>
            <w:r>
              <w:rPr>
                <w:rFonts w:hint="eastAsia"/>
                <w:color w:val="auto"/>
                <w:highlight w:val="none"/>
              </w:rPr>
              <w:br/>
            </w:r>
            <w:r>
              <w:rPr>
                <w:rFonts w:hint="eastAsia"/>
                <w:color w:val="auto"/>
                <w:highlight w:val="none"/>
              </w:rPr>
              <w:t xml:space="preserve">6. 台账管理：每次巡检、维修、保养、系统升级工作均需做好记录，建立完整的设备运维台账，留存现场照片、维修记录，实现闭环管理。</w:t>
            </w:r>
            <w:r/>
          </w:p>
        </w:tc>
      </w:tr>
      <w:tr>
        <w:trPr/>
        <w:tc>
          <w:tcPr>
            <w:tcW w:w="65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c>
          <w:tcPr>
            <w:tcW w:w="155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水质自动监测站运行养护（3参数）</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水站巡查，检查采样点周围有无特殊污染、异味、水色异常等情况，检查水站柜体、防护箱有无损坏、漏水、掉漆、锈蚀、变形，检查机柜内部是否清洁，有无脏污、异物，每月开展1次全面深度排查。</w:t>
            </w:r>
            <w:r>
              <w:rPr>
                <w:rFonts w:hint="eastAsia"/>
                <w:color w:val="auto"/>
                <w:highlight w:val="none"/>
              </w:rPr>
              <w:br/>
            </w:r>
            <w:r>
              <w:rPr>
                <w:rFonts w:hint="eastAsia"/>
                <w:color w:val="auto"/>
                <w:highlight w:val="none"/>
              </w:rPr>
              <w:t xml:space="preserve">2. 设备维护：定期检查分析仪器、辅助设备、工控机的运行状态，判断运行是否正常，异常情况及时处理；每周清洗电极头，清除电机脏污、结晶，清洗取水管路、采水泵、样水杯，检查各泵阀、接头，及时疏通、更换；每月对溶解氧、pH电极等进行校正，更换氨氮、化学需氧量等仪器分析试剂并完成校正；每月2次对监测参数进行标液核查，确保数据准确。</w:t>
            </w:r>
            <w:r>
              <w:rPr>
                <w:rFonts w:hint="eastAsia"/>
                <w:color w:val="auto"/>
                <w:highlight w:val="none"/>
              </w:rPr>
              <w:br/>
            </w:r>
            <w:r>
              <w:rPr>
                <w:rFonts w:hint="eastAsia"/>
                <w:color w:val="auto"/>
                <w:highlight w:val="none"/>
              </w:rPr>
              <w:t xml:space="preserve">3. 数据管理：每日通过数据平台进行数据监测，发现数据异常立即安排人员现场处理，48小时内完成异常排查、修复；检查工控机、系统软件、数据传输情况，确保数据上传、补传正常，历史数据备份、导出正常，平台数据显示、告警功能正常。</w:t>
            </w:r>
            <w:r>
              <w:rPr>
                <w:rFonts w:hint="eastAsia"/>
                <w:color w:val="auto"/>
                <w:highlight w:val="none"/>
              </w:rPr>
              <w:br/>
            </w:r>
            <w:r>
              <w:rPr>
                <w:rFonts w:hint="eastAsia"/>
                <w:color w:val="auto"/>
                <w:highlight w:val="none"/>
              </w:rPr>
              <w:t xml:space="preserve">4. 故障维修：发现仪器故障、管路堵塞、电路异常、数据传输中断等问题，2小时内响应，48小时内完成维修、校准，无法现场修复的及时更换备用设备，确保监测不中断。</w:t>
            </w:r>
            <w:r>
              <w:rPr>
                <w:rFonts w:hint="eastAsia"/>
                <w:color w:val="auto"/>
                <w:highlight w:val="none"/>
              </w:rPr>
              <w:br/>
            </w:r>
            <w:r>
              <w:rPr>
                <w:rFonts w:hint="eastAsia"/>
                <w:color w:val="auto"/>
                <w:highlight w:val="none"/>
              </w:rPr>
              <w:t xml:space="preserve">5. 安全防护：检查水站防雷接地、线路完好，做好防潮、防盗、防破坏措施，确保水站设备、人员安全。</w:t>
            </w:r>
            <w:r>
              <w:rPr>
                <w:rFonts w:hint="eastAsia"/>
                <w:color w:val="auto"/>
                <w:highlight w:val="none"/>
              </w:rPr>
              <w:br/>
            </w:r>
            <w:r>
              <w:rPr>
                <w:rFonts w:hint="eastAsia"/>
                <w:color w:val="auto"/>
                <w:highlight w:val="none"/>
              </w:rPr>
              <w:t xml:space="preserve">6. 台账管理：每次巡检、维护、校准、维修、数据异常处理工作均需做好详细记录，建立完整的运维台账，留存现场照片、校准报告、维修记录，实现闭环管理。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水质自动监测站运维（5参数）</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水站巡查，检查采样点周围有无特殊污染、异味、水色异常等情况，检查水站柜体、防护箱有无损坏、漏水、掉漆、锈蚀、变形，检查机柜内部是否清洁，有无脏污、异物，每月开展1次全面深度排查。</w:t>
            </w:r>
            <w:r>
              <w:rPr>
                <w:rFonts w:hint="eastAsia"/>
                <w:color w:val="auto"/>
                <w:highlight w:val="none"/>
              </w:rPr>
              <w:br/>
            </w:r>
            <w:r>
              <w:rPr>
                <w:rFonts w:hint="eastAsia"/>
                <w:color w:val="auto"/>
                <w:highlight w:val="none"/>
              </w:rPr>
              <w:t xml:space="preserve">2. 设备维护：定期检查分析仪器、辅助设备、工控机的运行状态，判断运行是否正常，异常情况及时处理；每周清洗电极头，清除电机脏污、结晶，清洗取水管路、采水泵、样水杯，检查各泵阀、接头，及时疏通、更换；每月对溶解氧、pH电极等进行校正，更换氨氮、总磷、高锰酸盐指数、化学需氧量等仪器分析试剂并完成校正；每月2次对监测参数进行标液核查，确保数据准确。</w:t>
            </w:r>
            <w:r>
              <w:rPr>
                <w:rFonts w:hint="eastAsia"/>
                <w:color w:val="auto"/>
                <w:highlight w:val="none"/>
              </w:rPr>
              <w:br/>
            </w:r>
            <w:r>
              <w:rPr>
                <w:rFonts w:hint="eastAsia"/>
                <w:color w:val="auto"/>
                <w:highlight w:val="none"/>
              </w:rPr>
              <w:t xml:space="preserve">3. 数据管理：每日通过数据平台进行数据监测，发现数据异常立即安排人员现场处理，48小时内完成异常排查、修复；检查工控机、系统软件、数据传输情况，确保数据上传、补传正常，历史数据备份、导出正常，平台数据显示、告警功能正常。</w:t>
            </w:r>
            <w:r>
              <w:rPr>
                <w:rFonts w:hint="eastAsia"/>
                <w:color w:val="auto"/>
                <w:highlight w:val="none"/>
              </w:rPr>
              <w:br/>
            </w:r>
            <w:r>
              <w:rPr>
                <w:rFonts w:hint="eastAsia"/>
                <w:color w:val="auto"/>
                <w:highlight w:val="none"/>
              </w:rPr>
              <w:t xml:space="preserve">4. 故障维修：发现仪器故障、管路堵塞、电路异常、数据传输中断等问题，2小时内响应，48小时内完成维修、校准，无法现场修复的及时更换备用设备，确保监测不中断。</w:t>
            </w:r>
            <w:r>
              <w:rPr>
                <w:rFonts w:hint="eastAsia"/>
                <w:color w:val="auto"/>
                <w:highlight w:val="none"/>
              </w:rPr>
              <w:br/>
            </w:r>
            <w:r>
              <w:rPr>
                <w:rFonts w:hint="eastAsia"/>
                <w:color w:val="auto"/>
                <w:highlight w:val="none"/>
              </w:rPr>
              <w:t xml:space="preserve">5. 安全防护：检查水站防雷接地、线路完好，做好防潮、防盗、防破坏措施，确保水站设备、人员安全。</w:t>
            </w:r>
            <w:r>
              <w:rPr>
                <w:rFonts w:hint="eastAsia"/>
                <w:color w:val="auto"/>
                <w:highlight w:val="none"/>
              </w:rPr>
              <w:br/>
            </w:r>
            <w:r>
              <w:rPr>
                <w:rFonts w:hint="eastAsia"/>
                <w:color w:val="auto"/>
                <w:highlight w:val="none"/>
              </w:rPr>
              <w:t xml:space="preserve">6. 台账管理：每次巡检、维护、校准、维修、数据异常处理工作均需做好详细记录，建立完整的运维台账，留存现场照片、校准报告、维修记录，实现闭环管理。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河道彩色喷泉</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日常巡检：定期开展喷泉设施巡查，检查水泵、喷头、管道、阀门、控制系统、灯光系统是否完好，运行是否正常，检查管道是否被异物封堵，井底有无垃圾、淤泥堆积，每月开展1次全面深度排查。</w:t>
            </w:r>
            <w:r>
              <w:rPr>
                <w:rFonts w:hint="eastAsia"/>
                <w:color w:val="auto"/>
                <w:highlight w:val="none"/>
              </w:rPr>
              <w:br/>
            </w:r>
            <w:r>
              <w:rPr>
                <w:rFonts w:hint="eastAsia"/>
                <w:color w:val="auto"/>
                <w:highlight w:val="none"/>
              </w:rPr>
              <w:t xml:space="preserve">2. 清洁维护：定期清理喷泉池内的垃圾、漂浮物，每月对网格栅、喷头、管道进行全面清洗，打捞井底垃圾、淤泥，防止堵塞；每季度对喷头进行专项清理、校准，确保喷水效果、灯光效果正常。</w:t>
            </w:r>
            <w:r>
              <w:rPr>
                <w:rFonts w:hint="eastAsia"/>
                <w:color w:val="auto"/>
                <w:highlight w:val="none"/>
              </w:rPr>
              <w:br/>
            </w:r>
            <w:r>
              <w:rPr>
                <w:rFonts w:hint="eastAsia"/>
                <w:color w:val="auto"/>
                <w:highlight w:val="none"/>
              </w:rPr>
              <w:t xml:space="preserve">3. 故障维修：发现水泵运行异常、管道堵塞、喷头故障、灯光异常、控制系统故障等问题，2小时内响应，48小时内完成维修、更换，确保喷泉设施正常运行，景观效果达标。</w:t>
            </w:r>
            <w:r>
              <w:rPr>
                <w:rFonts w:hint="eastAsia"/>
                <w:color w:val="auto"/>
                <w:highlight w:val="none"/>
              </w:rPr>
              <w:br/>
            </w:r>
            <w:r>
              <w:rPr>
                <w:rFonts w:hint="eastAsia"/>
                <w:color w:val="auto"/>
                <w:highlight w:val="none"/>
              </w:rPr>
              <w:t xml:space="preserve">4. 定期保养：每年对水泵、电机进行全面保养，检查轴承、密封圈、皮圈、润滑油等耗材，根据损耗程度及时更换；密封圈每年定期更换，做好拆卸、修理、安装全流程工作；定期对控制系统、灯光系统进行维护升级，确保系统稳定运行。</w:t>
            </w:r>
            <w:r>
              <w:rPr>
                <w:rFonts w:hint="eastAsia"/>
                <w:color w:val="auto"/>
                <w:highlight w:val="none"/>
              </w:rPr>
              <w:br/>
            </w:r>
            <w:r>
              <w:rPr>
                <w:rFonts w:hint="eastAsia"/>
                <w:color w:val="auto"/>
                <w:highlight w:val="none"/>
              </w:rPr>
              <w:t xml:space="preserve">5. 台账管理：每次巡检、维修、保养、系统升级工作均需做好记录，建立完整的运维台账，留存现场照片、维修记录，实现闭环管理。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排口原位净化墙维护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日常巡检：定期开展现场巡查，检查净化墙墙体、框架、填料支架是否完好，有无坍塌、松动、变形、冲刷破损、渗漏、移位，周边有无建筑垃圾、杂物堆积，每月开展1次全面深度排查。</w:t>
            </w:r>
            <w:r>
              <w:rPr>
                <w:rFonts w:hint="eastAsia"/>
                <w:color w:val="auto"/>
                <w:highlight w:val="none"/>
              </w:rPr>
              <w:br/>
            </w:r>
            <w:r>
              <w:rPr>
                <w:rFonts w:hint="eastAsia"/>
                <w:color w:val="auto"/>
                <w:highlight w:val="none"/>
              </w:rPr>
              <w:t xml:space="preserve">2. 填料维护：检查填料有无大面积流失、塌陷、板结，有无严重堵塞、积泥、发黑发臭，按需补充、更换失效填料，确保净化效果。</w:t>
            </w:r>
            <w:r>
              <w:rPr>
                <w:rFonts w:hint="eastAsia"/>
                <w:color w:val="auto"/>
                <w:highlight w:val="none"/>
              </w:rPr>
              <w:br/>
            </w:r>
            <w:r>
              <w:rPr>
                <w:rFonts w:hint="eastAsia"/>
                <w:color w:val="auto"/>
                <w:highlight w:val="none"/>
              </w:rPr>
              <w:t xml:space="preserve">3. 清洁维护：定期清捞进水口、格栅、导流槽的垃圾、落叶、漂浮物、悬浮物，适度清淤底部积泥，防止淤积过厚，确保进出口水流顺畅，出水观感清澈，无明显异味、浮油、泡沫。</w:t>
            </w:r>
            <w:r>
              <w:rPr>
                <w:rFonts w:hint="eastAsia"/>
                <w:color w:val="auto"/>
                <w:highlight w:val="none"/>
              </w:rPr>
              <w:br/>
            </w:r>
            <w:r>
              <w:rPr>
                <w:rFonts w:hint="eastAsia"/>
                <w:color w:val="auto"/>
                <w:highlight w:val="none"/>
              </w:rPr>
              <w:t xml:space="preserve">4. 故障维修：发现墙体破损、渗漏、支架变形等问题，48小时内完成维修、加固，确保净化墙结构稳定，功能正常。</w:t>
            </w:r>
            <w:r>
              <w:rPr>
                <w:rFonts w:hint="eastAsia"/>
                <w:color w:val="auto"/>
                <w:highlight w:val="none"/>
              </w:rPr>
              <w:br/>
            </w:r>
            <w:r>
              <w:rPr>
                <w:rFonts w:hint="eastAsia"/>
                <w:color w:val="auto"/>
                <w:highlight w:val="none"/>
              </w:rPr>
              <w:t xml:space="preserve">5. 台账管理：每次巡检、维修、维护工作均需做好记录，建立完整的工作台账，留存现场照片，实现闭环管理。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穿孔曝气风机运行养护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日常巡检：定期开展设备巡查，检查穿孔曝气风机运行状态是否正常，有无异响、过热，检查穿孔管道是否被异物封堵、有无破损渗漏，检查电路、控制系统是否正常，每月开展1次全面设备排查。</w:t>
            </w:r>
            <w:r>
              <w:rPr>
                <w:rFonts w:hint="eastAsia"/>
                <w:color w:val="auto"/>
                <w:highlight w:val="none"/>
              </w:rPr>
              <w:br/>
            </w:r>
            <w:r>
              <w:rPr>
                <w:rFonts w:hint="eastAsia"/>
                <w:color w:val="auto"/>
                <w:highlight w:val="none"/>
              </w:rPr>
              <w:t xml:space="preserve">2. 清洁维护：定期清理设备表面的杂物、污垢，每月对设备内部、穿孔管道、曝气头进行全面清洗，疏通堵塞的穿孔，每年对设备进行1次全面拆解清洗、保养。</w:t>
            </w:r>
            <w:r>
              <w:rPr>
                <w:rFonts w:hint="eastAsia"/>
                <w:color w:val="auto"/>
                <w:highlight w:val="none"/>
              </w:rPr>
              <w:br/>
            </w:r>
            <w:r>
              <w:rPr>
                <w:rFonts w:hint="eastAsia"/>
                <w:color w:val="auto"/>
                <w:highlight w:val="none"/>
              </w:rPr>
              <w:t xml:space="preserve">3. 故障维修：发现设备运行异常、管道堵塞、电路故障、渗漏等问题，2小时内响应，48小时内完成维修；对损坏的部件、设备及时维修、更换，确保设备正常运行。</w:t>
            </w:r>
            <w:r>
              <w:rPr>
                <w:rFonts w:hint="eastAsia"/>
                <w:color w:val="auto"/>
                <w:highlight w:val="none"/>
              </w:rPr>
              <w:br/>
            </w:r>
            <w:r>
              <w:rPr>
                <w:rFonts w:hint="eastAsia"/>
                <w:color w:val="auto"/>
                <w:highlight w:val="none"/>
              </w:rPr>
              <w:t xml:space="preserve">4. 定期保养：每年对风机、电机进行全面保养，检查轴承、密封圈、皮圈、润滑油等耗材，根据损耗程度及时更换；密封圈每年定期更换，做好拆卸、修理、安装全流程工作。</w:t>
            </w:r>
            <w:r>
              <w:rPr>
                <w:rFonts w:hint="eastAsia"/>
                <w:color w:val="auto"/>
                <w:highlight w:val="none"/>
              </w:rPr>
              <w:br/>
            </w:r>
            <w:r>
              <w:rPr>
                <w:rFonts w:hint="eastAsia"/>
                <w:color w:val="auto"/>
                <w:highlight w:val="none"/>
              </w:rPr>
              <w:t xml:space="preserve">5. 系统维护：定期对设备控制系统进行维护升级，检查系统参数、运行逻辑，确保系统稳定运行；检查防雷接地、线路完好，做好防潮、防盗、防冲刷措施。</w:t>
            </w:r>
            <w:r>
              <w:rPr>
                <w:rFonts w:hint="eastAsia"/>
                <w:color w:val="auto"/>
                <w:highlight w:val="none"/>
              </w:rPr>
              <w:br/>
            </w:r>
            <w:r>
              <w:rPr>
                <w:rFonts w:hint="eastAsia"/>
                <w:color w:val="auto"/>
                <w:highlight w:val="none"/>
              </w:rPr>
              <w:t xml:space="preserve">6. 台账管理：每次巡检、维修、保养、系统升级工作均需做好记录，建立完整的设备运维台账，留存现场照片、维修记录，实现闭环管理。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氮磷净化设备养护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日常巡检：定期开展设备巡查，检查氮磷净化设备运行状态是否正常，有无异响、故障，检查管道、阀门是否正常，有无堵塞、渗漏，检查电路、控制系统是否正常，每月开展1次全面设备排查。</w:t>
            </w:r>
            <w:r>
              <w:rPr>
                <w:rFonts w:hint="eastAsia"/>
                <w:color w:val="auto"/>
                <w:highlight w:val="none"/>
              </w:rPr>
              <w:br/>
            </w:r>
            <w:r>
              <w:rPr>
                <w:rFonts w:hint="eastAsia"/>
                <w:color w:val="auto"/>
                <w:highlight w:val="none"/>
              </w:rPr>
              <w:t xml:space="preserve">2. 清洁维护：定期清理设备表面的杂物、污垢，每月对设备内部、滤料、管道进行全面清洗，清除堵塞的杂物、淤泥，每年对设备进行1次全面拆解清洗、保养。</w:t>
            </w:r>
            <w:r>
              <w:rPr>
                <w:rFonts w:hint="eastAsia"/>
                <w:color w:val="auto"/>
                <w:highlight w:val="none"/>
              </w:rPr>
              <w:br/>
            </w:r>
            <w:r>
              <w:rPr>
                <w:rFonts w:hint="eastAsia"/>
                <w:color w:val="auto"/>
                <w:highlight w:val="none"/>
              </w:rPr>
              <w:t xml:space="preserve">3. 故障维修：发现设备运行异常、管道堵塞、电路故障、渗漏等问题，2小时内响应，48小时内完成维修；对损坏的部件、设备及时维修、更换，确保设备正常运行。</w:t>
            </w:r>
            <w:r>
              <w:rPr>
                <w:rFonts w:hint="eastAsia"/>
                <w:color w:val="auto"/>
                <w:highlight w:val="none"/>
              </w:rPr>
              <w:br/>
            </w:r>
            <w:r>
              <w:rPr>
                <w:rFonts w:hint="eastAsia"/>
                <w:color w:val="auto"/>
                <w:highlight w:val="none"/>
              </w:rPr>
              <w:t xml:space="preserve">4. 定期保养：每年对设备进行全面保养，检查滤料、填料、密封圈、皮圈、润滑油等耗材，根据损耗程度及时更换、补充；定期对设备进行校准，确保氮磷净化效果达标。</w:t>
            </w:r>
            <w:r>
              <w:rPr>
                <w:rFonts w:hint="eastAsia"/>
                <w:color w:val="auto"/>
                <w:highlight w:val="none"/>
              </w:rPr>
              <w:br/>
            </w:r>
            <w:r>
              <w:rPr>
                <w:rFonts w:hint="eastAsia"/>
                <w:color w:val="auto"/>
                <w:highlight w:val="none"/>
              </w:rPr>
              <w:t xml:space="preserve">5. 系统维护：定期对设备控制系统进行维护升级，检查系统参数、运行逻辑，确保系统稳定运行；检查防雷接地、线路完好，做好防潮、防盗、防冲刷措施。</w:t>
            </w:r>
            <w:r>
              <w:rPr>
                <w:rFonts w:hint="eastAsia"/>
                <w:color w:val="auto"/>
                <w:highlight w:val="none"/>
              </w:rPr>
              <w:br/>
            </w:r>
            <w:r>
              <w:rPr>
                <w:rFonts w:hint="eastAsia"/>
                <w:color w:val="auto"/>
                <w:highlight w:val="none"/>
              </w:rPr>
              <w:t xml:space="preserve">6. 台账管理：每次巡检、维修、保养、系统升级工作均需做好记录，建立完整的设备运维台账，留存现场照片、维修记录，实现闭环管理。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膜曝气排口净化装置维护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设备巡查，检查膜曝气排口净化装置运行状态是否正常，有无异响、故障，检查膜组件、曝气系统、管道阀门是否正常，有无堵塞、渗漏，检查电路、控制系统是否正常，每月开展1次全面设备排查。</w:t>
            </w:r>
            <w:r>
              <w:rPr>
                <w:rFonts w:hint="eastAsia"/>
                <w:color w:val="auto"/>
                <w:highlight w:val="none"/>
              </w:rPr>
              <w:br/>
            </w:r>
            <w:r>
              <w:rPr>
                <w:rFonts w:hint="eastAsia"/>
                <w:color w:val="auto"/>
                <w:highlight w:val="none"/>
              </w:rPr>
              <w:t xml:space="preserve">2. 清洁维护：定期清理设备表面的杂物、污垢，每月对膜组件、曝气头、管道进行全面清洗，清除堵塞的杂物、淤泥，防止膜孔堵塞，每年对设备进行1次全面拆解清洗、保养。</w:t>
            </w:r>
            <w:r>
              <w:rPr>
                <w:rFonts w:hint="eastAsia"/>
                <w:color w:val="auto"/>
                <w:highlight w:val="none"/>
              </w:rPr>
              <w:br/>
            </w:r>
            <w:r>
              <w:rPr>
                <w:rFonts w:hint="eastAsia"/>
                <w:color w:val="auto"/>
                <w:highlight w:val="none"/>
              </w:rPr>
              <w:t xml:space="preserve">3. 故障维修：发现设备运行异常、膜组件堵塞、管道渗漏、电路故障等问题，2小时内响应，48小时内完成维修；对损坏的部件、膜组件及时维修、更换，确保设备正常运行。</w:t>
            </w:r>
            <w:r>
              <w:rPr>
                <w:rFonts w:hint="eastAsia"/>
                <w:color w:val="auto"/>
                <w:highlight w:val="none"/>
              </w:rPr>
              <w:br/>
            </w:r>
            <w:r>
              <w:rPr>
                <w:rFonts w:hint="eastAsia"/>
                <w:color w:val="auto"/>
                <w:highlight w:val="none"/>
              </w:rPr>
              <w:t xml:space="preserve">4. 定期保养：每年对设备进行全面保养，检查膜组件、密封圈、皮圈、润滑油等耗材，根据损耗程度及时更换；定期对膜组件进行活化、校准，确保净化效果达标。</w:t>
            </w:r>
            <w:r>
              <w:rPr>
                <w:rFonts w:hint="eastAsia"/>
                <w:color w:val="auto"/>
                <w:highlight w:val="none"/>
              </w:rPr>
              <w:br/>
            </w:r>
            <w:r>
              <w:rPr>
                <w:rFonts w:hint="eastAsia"/>
                <w:color w:val="auto"/>
                <w:highlight w:val="none"/>
              </w:rPr>
              <w:t xml:space="preserve">5. 系统维护：定期对设备控制系统进行维护升级，检查系统参数、运行逻辑，确保系统稳定运行；检查防雷接地、线路完好，做好防潮、防盗、防冲刷措施。</w:t>
            </w:r>
            <w:r>
              <w:rPr>
                <w:rFonts w:hint="eastAsia"/>
                <w:color w:val="auto"/>
                <w:highlight w:val="none"/>
              </w:rPr>
              <w:br/>
            </w:r>
            <w:r>
              <w:rPr>
                <w:rFonts w:hint="eastAsia"/>
                <w:color w:val="auto"/>
                <w:highlight w:val="none"/>
              </w:rPr>
              <w:t xml:space="preserve">6. 台账管理：每次巡检、维修、保养、系统升级工作均需做好记录，建立完整的设备运维台账，留存现场照片、维修记录，实现闭环管理。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太阳能自控微生物活化器维护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日常巡检：定期开展设备巡查，检查太阳能自控微生物活化器运行状态是否正常，有无异响、故障，检查太阳能板、蓄电池、控制系统是否正常，检查管道、阀门有无堵塞、渗漏，每月开展1次全面设备排查。</w:t>
            </w:r>
            <w:r>
              <w:rPr>
                <w:rFonts w:hint="eastAsia"/>
                <w:color w:val="auto"/>
                <w:highlight w:val="none"/>
              </w:rPr>
              <w:br/>
            </w:r>
            <w:r>
              <w:rPr>
                <w:rFonts w:hint="eastAsia"/>
                <w:color w:val="auto"/>
                <w:highlight w:val="none"/>
              </w:rPr>
              <w:t xml:space="preserve">2. 清洁维护：定期清理太阳能板表面的灰尘、杂物，确保采光效率；每月对设备内部、管道、活化组件进行全面清洗，清除堵塞的杂物、淤泥，每年对设备进行1次全面拆解清洗、保养。</w:t>
            </w:r>
            <w:r>
              <w:rPr>
                <w:rFonts w:hint="eastAsia"/>
                <w:color w:val="auto"/>
                <w:highlight w:val="none"/>
              </w:rPr>
              <w:br/>
            </w:r>
            <w:r>
              <w:rPr>
                <w:rFonts w:hint="eastAsia"/>
                <w:color w:val="auto"/>
                <w:highlight w:val="none"/>
              </w:rPr>
              <w:t xml:space="preserve">3. 故障维修：发现设备运行异常、太阳能板故障、蓄电池异常、管道堵塞、电路故障等问题，2小时内响应，48小时内完成维修；对损坏的部件、设备及时维修、更换，确保设备正常运行。</w:t>
            </w:r>
            <w:r>
              <w:rPr>
                <w:rFonts w:hint="eastAsia"/>
                <w:color w:val="auto"/>
                <w:highlight w:val="none"/>
              </w:rPr>
              <w:br/>
            </w:r>
            <w:r>
              <w:rPr>
                <w:rFonts w:hint="eastAsia"/>
                <w:color w:val="auto"/>
                <w:highlight w:val="none"/>
              </w:rPr>
              <w:t xml:space="preserve">4. 定期保养：每年对设备进行全面保养，检查太阳能板、蓄电池、控制器、密封圈、皮圈、润滑油等耗材，根据损耗程度及时更换；定期对蓄电池进行充放电维护，延长使用寿命。</w:t>
            </w:r>
            <w:r>
              <w:rPr>
                <w:rFonts w:hint="eastAsia"/>
                <w:color w:val="auto"/>
                <w:highlight w:val="none"/>
              </w:rPr>
              <w:br/>
            </w:r>
            <w:r>
              <w:rPr>
                <w:rFonts w:hint="eastAsia"/>
                <w:color w:val="auto"/>
                <w:highlight w:val="none"/>
              </w:rPr>
              <w:t xml:space="preserve">5. 系统维护：定期对设备自控系统进行维护升级，检查系统参数、运行逻辑，确保系统稳定运行；检查防雷接地、线路完好，做好防潮、防盗、防冲刷措施。</w:t>
            </w:r>
            <w:r>
              <w:rPr>
                <w:rFonts w:hint="eastAsia"/>
                <w:color w:val="auto"/>
                <w:highlight w:val="none"/>
              </w:rPr>
              <w:br/>
            </w:r>
            <w:r>
              <w:rPr>
                <w:rFonts w:hint="eastAsia"/>
                <w:color w:val="auto"/>
                <w:highlight w:val="none"/>
              </w:rPr>
              <w:t xml:space="preserve">6. 台账管理：每次巡检、维修、保养、系统升级工作均需做好记录，建立完整的设备运维台账，留存现场照片、维修记录，实现闭环管理。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漂浮式水面垃圾收集器维护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日常巡检：定期开展现场巡查，检查漂浮式水面垃圾收集器是否完好、运行正常，有无破损、变形、移位，检查收集器内垃圾堆积情况，水面有无大量垃圾、漂浮物堆积，每月开展1次全面深度排查。</w:t>
            </w:r>
            <w:r>
              <w:rPr>
                <w:rFonts w:hint="eastAsia"/>
                <w:color w:val="auto"/>
                <w:highlight w:val="none"/>
              </w:rPr>
              <w:br/>
            </w:r>
            <w:r>
              <w:rPr>
                <w:rFonts w:hint="eastAsia"/>
                <w:color w:val="auto"/>
                <w:highlight w:val="none"/>
              </w:rPr>
              <w:t xml:space="preserve">2. 清洁维护：定期清理收集器内的垃圾、漂浮物，每周对收集器进行全面清洗，清除附着的杂物、淤泥，防止堵塞、异味，确保收集器功能正常。</w:t>
            </w:r>
            <w:r>
              <w:rPr>
                <w:rFonts w:hint="eastAsia"/>
                <w:color w:val="auto"/>
                <w:highlight w:val="none"/>
              </w:rPr>
              <w:br/>
            </w:r>
            <w:r>
              <w:rPr>
                <w:rFonts w:hint="eastAsia"/>
                <w:color w:val="auto"/>
                <w:highlight w:val="none"/>
              </w:rPr>
              <w:t xml:space="preserve">3. 维修更换：发现收集器破损、变形、故障、移位等问题，48小时内完成维修、复位、更换，确保收集器稳定运行，垃圾收集效率达标。</w:t>
            </w:r>
            <w:r>
              <w:rPr>
                <w:rFonts w:hint="eastAsia"/>
                <w:color w:val="auto"/>
                <w:highlight w:val="none"/>
              </w:rPr>
              <w:br/>
            </w:r>
            <w:r>
              <w:rPr>
                <w:rFonts w:hint="eastAsia"/>
                <w:color w:val="auto"/>
                <w:highlight w:val="none"/>
              </w:rPr>
              <w:t xml:space="preserve">4. 台账管理：每次巡检、维修、维护工作均需做好记录，建立完整的工作台账，留存现场照片，实现闭环管理。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生物膜养护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日常巡检：定期开展现场巡查，检查生物膜有无破损、脱落、堵塞、板结，检查生物膜附着的载体是否完好，有无松动、变形，检查水面有无大量杂物、漂浮物堆积，每月开展1次全面深度排查。</w:t>
            </w:r>
            <w:r>
              <w:rPr>
                <w:rFonts w:hint="eastAsia"/>
                <w:color w:val="auto"/>
                <w:highlight w:val="none"/>
              </w:rPr>
              <w:br/>
            </w:r>
            <w:r>
              <w:rPr>
                <w:rFonts w:hint="eastAsia"/>
                <w:color w:val="auto"/>
                <w:highlight w:val="none"/>
              </w:rPr>
              <w:t xml:space="preserve">2. 清洁维护：每月对生物膜进行全面清理，清除附着的杂物、淤泥、藻类，防止生物膜堵塞、板结，确保生物膜通透性良好，微生物活性正常；每年对生物膜进行1次全面活化、养护。</w:t>
            </w:r>
            <w:r>
              <w:rPr>
                <w:rFonts w:hint="eastAsia"/>
                <w:color w:val="auto"/>
                <w:highlight w:val="none"/>
              </w:rPr>
              <w:br/>
            </w:r>
            <w:r>
              <w:rPr>
                <w:rFonts w:hint="eastAsia"/>
                <w:color w:val="auto"/>
                <w:highlight w:val="none"/>
              </w:rPr>
              <w:t xml:space="preserve">3. 维修更换：发现生物膜破损、脱落、载体松动变形等问题，48小时内完成维修、更换、复位，确保生物膜结构完整，功能正常。</w:t>
            </w:r>
            <w:r>
              <w:rPr>
                <w:rFonts w:hint="eastAsia"/>
                <w:color w:val="auto"/>
                <w:highlight w:val="none"/>
              </w:rPr>
              <w:br/>
            </w:r>
            <w:r>
              <w:rPr>
                <w:rFonts w:hint="eastAsia"/>
                <w:color w:val="auto"/>
                <w:highlight w:val="none"/>
              </w:rPr>
              <w:t xml:space="preserve">4. 功能保障：定期监测生物膜处理效果，确保水质净化效果达标，水面无大面积垃圾、漂浮物堆积，无明显异味。</w:t>
            </w:r>
            <w:r>
              <w:rPr>
                <w:rFonts w:hint="eastAsia"/>
                <w:color w:val="auto"/>
                <w:highlight w:val="none"/>
              </w:rPr>
              <w:br/>
            </w:r>
            <w:r>
              <w:rPr>
                <w:rFonts w:hint="eastAsia"/>
                <w:color w:val="auto"/>
                <w:highlight w:val="none"/>
              </w:rPr>
              <w:t xml:space="preserve">5. 台账管理：每次巡检、维修、养护工作均需做好记录，建立完整的工作台账，留存现场照片、监测数据，实现闭环管理。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超氧纳米曝气设备维护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设备巡查，检查超氧纳米曝气设备运行状态是否正常，有无异响、过热，检查纳米曝气头、管道、阀门是否正常，有无堵塞、渗漏，检查电路、控制系统是否正常，每月开展1次全面设备排查。</w:t>
            </w:r>
            <w:r>
              <w:rPr>
                <w:rFonts w:hint="eastAsia"/>
                <w:color w:val="auto"/>
                <w:highlight w:val="none"/>
              </w:rPr>
              <w:br/>
            </w:r>
            <w:r>
              <w:rPr>
                <w:rFonts w:hint="eastAsia"/>
                <w:color w:val="auto"/>
                <w:highlight w:val="none"/>
              </w:rPr>
              <w:t xml:space="preserve">2. 清洁维护：定期清理设备表面的杂物、污垢，每月对设备内部、纳米曝气头、管道进行全面清洗，清除堵塞的杂物、淤泥，防止曝气头堵塞，每年对设备进行1次全面拆解清洗、保养。</w:t>
            </w:r>
            <w:r>
              <w:rPr>
                <w:rFonts w:hint="eastAsia"/>
                <w:color w:val="auto"/>
                <w:highlight w:val="none"/>
              </w:rPr>
              <w:br/>
            </w:r>
            <w:r>
              <w:rPr>
                <w:rFonts w:hint="eastAsia"/>
                <w:color w:val="auto"/>
                <w:highlight w:val="none"/>
              </w:rPr>
              <w:t xml:space="preserve">3. 故障维修：发现设备运行异常、曝气头堵塞、管道渗漏、电路故障等问题，2小时内响应，48小时内完成维修；对损坏的部件、设备及时维修、更换，确保设备正常运行。</w:t>
            </w:r>
            <w:r>
              <w:rPr>
                <w:rFonts w:hint="eastAsia"/>
                <w:color w:val="auto"/>
                <w:highlight w:val="none"/>
              </w:rPr>
              <w:br/>
            </w:r>
            <w:r>
              <w:rPr>
                <w:rFonts w:hint="eastAsia"/>
                <w:color w:val="auto"/>
                <w:highlight w:val="none"/>
              </w:rPr>
              <w:t xml:space="preserve">4. 定期保养：每年对设备进行全面保养，检查曝气头、密封圈、皮圈、润滑油等耗材，根据损耗程度及时更换；定期对设备进行校准，确保纳米曝气效果达标。</w:t>
            </w:r>
            <w:r>
              <w:rPr>
                <w:rFonts w:hint="eastAsia"/>
                <w:color w:val="auto"/>
                <w:highlight w:val="none"/>
              </w:rPr>
              <w:br/>
            </w:r>
            <w:r>
              <w:rPr>
                <w:rFonts w:hint="eastAsia"/>
                <w:color w:val="auto"/>
                <w:highlight w:val="none"/>
              </w:rPr>
              <w:t xml:space="preserve">5. 系统维护：定期对设备控制系统进行维护升级，检查系统参数、运行逻辑，确保系统稳定运行；检查防雷接地、线路完好，做好防潮、防盗、防冲刷措施。</w:t>
            </w:r>
            <w:r>
              <w:rPr>
                <w:rFonts w:hint="eastAsia"/>
                <w:color w:val="auto"/>
                <w:highlight w:val="none"/>
              </w:rPr>
              <w:br/>
            </w:r>
            <w:r>
              <w:rPr>
                <w:rFonts w:hint="eastAsia"/>
                <w:color w:val="auto"/>
                <w:highlight w:val="none"/>
              </w:rPr>
              <w:t xml:space="preserve">6. 台账管理：每次巡检、维修、保养、系统升级工作均需做好记录，建立完整的设备运维台账，留存现场照片、维修记录，实现闭环管理。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微纳米曝气设备养护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设备巡查，检查微纳米曝气设备运行状态是否正常，有无异响、过热，检查微纳米曝气头、管道、阀门是否正常，有无堵塞、渗漏，检查电路、控制系统是否正常，每月开展1次全面设备排查。</w:t>
            </w:r>
            <w:r>
              <w:rPr>
                <w:rFonts w:hint="eastAsia"/>
                <w:color w:val="auto"/>
                <w:highlight w:val="none"/>
              </w:rPr>
              <w:br/>
            </w:r>
            <w:r>
              <w:rPr>
                <w:rFonts w:hint="eastAsia"/>
                <w:color w:val="auto"/>
                <w:highlight w:val="none"/>
              </w:rPr>
              <w:t xml:space="preserve">2. 清洁维护：定期清理设备表面的杂物、污垢，每月对设备内部、微纳米曝气头、管道进行全面清洗，清除堵塞的杂物、淤泥，防止曝气头堵塞，每年对设备进行1次全面拆解清洗、保养。</w:t>
            </w:r>
            <w:r>
              <w:rPr>
                <w:rFonts w:hint="eastAsia"/>
                <w:color w:val="auto"/>
                <w:highlight w:val="none"/>
              </w:rPr>
              <w:br/>
            </w:r>
            <w:r>
              <w:rPr>
                <w:rFonts w:hint="eastAsia"/>
                <w:color w:val="auto"/>
                <w:highlight w:val="none"/>
              </w:rPr>
              <w:t xml:space="preserve">3. 故障维修：发现设备运行异常、曝气头堵塞、管道渗漏、电路故障等问题，2小时内响应，48小时内完成维修；对损坏的部件、设备及时维修、更换，确保设备正常运行。</w:t>
            </w:r>
            <w:r>
              <w:rPr>
                <w:rFonts w:hint="eastAsia"/>
                <w:color w:val="auto"/>
                <w:highlight w:val="none"/>
              </w:rPr>
              <w:br/>
            </w:r>
            <w:r>
              <w:rPr>
                <w:rFonts w:hint="eastAsia"/>
                <w:color w:val="auto"/>
                <w:highlight w:val="none"/>
              </w:rPr>
              <w:t xml:space="preserve">4. 定期保养：每年对设备进行全面保养，检查曝气头、密封圈、皮圈、润滑油等耗材，根据损耗程度及时更换；定期对设备进行校准，确保微纳米曝气效果达标。</w:t>
            </w:r>
            <w:r>
              <w:rPr>
                <w:rFonts w:hint="eastAsia"/>
                <w:color w:val="auto"/>
                <w:highlight w:val="none"/>
              </w:rPr>
              <w:br/>
            </w:r>
            <w:r>
              <w:rPr>
                <w:rFonts w:hint="eastAsia"/>
                <w:color w:val="auto"/>
                <w:highlight w:val="none"/>
              </w:rPr>
              <w:t xml:space="preserve">5. 系统维护：定期对设备控制系统进行维护升级，检查系统参数、运行逻辑，确保系统稳定运行；检查防雷接地、线路完好，做好防潮、防盗、防冲刷措施。</w:t>
            </w:r>
            <w:r>
              <w:rPr>
                <w:rFonts w:hint="eastAsia"/>
                <w:color w:val="auto"/>
                <w:highlight w:val="none"/>
              </w:rPr>
              <w:br/>
            </w:r>
            <w:r>
              <w:rPr>
                <w:rFonts w:hint="eastAsia"/>
                <w:color w:val="auto"/>
                <w:highlight w:val="none"/>
              </w:rPr>
              <w:t xml:space="preserve">6. 台账管理：每次巡检、维修、保养、系统升级工作均需做好记录，建立完整的设备运维台账，留存现场照片、维修记录，实现闭环管理。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臭氧纳米曝气设备维护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设备巡查，检查臭氧纳米曝气设备运行状态是否正常，有无异响、过热，检查臭氧发生装置、纳米曝气头、管道、阀门是否正常，有无堵塞、渗漏，检查电路、控制系统是否正常，每月开展1次全面设备排查。</w:t>
            </w:r>
            <w:r>
              <w:rPr>
                <w:rFonts w:hint="eastAsia"/>
                <w:color w:val="auto"/>
                <w:highlight w:val="none"/>
              </w:rPr>
              <w:br/>
            </w:r>
            <w:r>
              <w:rPr>
                <w:rFonts w:hint="eastAsia"/>
                <w:color w:val="auto"/>
                <w:highlight w:val="none"/>
              </w:rPr>
              <w:t xml:space="preserve">2. 清洁维护：定期清理设备表面的杂物、污垢，每月对臭氧发生装置、纳米曝气头、管道进行全面清洗，清除堵塞的杂物、淤泥，防止曝气头堵塞，每年对设备进行1次全面拆解清洗、保养。</w:t>
            </w:r>
            <w:r>
              <w:rPr>
                <w:rFonts w:hint="eastAsia"/>
                <w:color w:val="auto"/>
                <w:highlight w:val="none"/>
              </w:rPr>
              <w:br/>
            </w:r>
            <w:r>
              <w:rPr>
                <w:rFonts w:hint="eastAsia"/>
                <w:color w:val="auto"/>
                <w:highlight w:val="none"/>
              </w:rPr>
              <w:t xml:space="preserve">3. 故障维修：发现设备运行异常、臭氧发生装置故障、曝气头堵塞、管道渗漏、电路故障等问题，2小时内响应，48小时内完成维修；对损坏的部件、设备及时维修、更换，确保设备正常运行。</w:t>
            </w:r>
            <w:r>
              <w:rPr>
                <w:rFonts w:hint="eastAsia"/>
                <w:color w:val="auto"/>
                <w:highlight w:val="none"/>
              </w:rPr>
              <w:br/>
            </w:r>
            <w:r>
              <w:rPr>
                <w:rFonts w:hint="eastAsia"/>
                <w:color w:val="auto"/>
                <w:highlight w:val="none"/>
              </w:rPr>
              <w:t xml:space="preserve">4. 定期保养：每年对设备进行全面保养，检查臭氧发生组件、曝气头、密封圈、皮圈、润滑油等耗材，根据损耗程度及时更换；定期对设备进行校准、检漏，确保臭氧发生效率和曝气效果达标。</w:t>
            </w:r>
            <w:r>
              <w:rPr>
                <w:rFonts w:hint="eastAsia"/>
                <w:color w:val="auto"/>
                <w:highlight w:val="none"/>
              </w:rPr>
              <w:br/>
            </w:r>
            <w:r>
              <w:rPr>
                <w:rFonts w:hint="eastAsia"/>
                <w:color w:val="auto"/>
                <w:highlight w:val="none"/>
              </w:rPr>
              <w:t xml:space="preserve">5. 系统维护：定期对设备控制系统进行维护升级，检查系统参数、运行逻辑，确保系统稳定运行；检查防雷接地、线路完好，做好防潮、防盗、防冲刷措施。</w:t>
            </w:r>
            <w:r>
              <w:rPr>
                <w:rFonts w:hint="eastAsia"/>
                <w:color w:val="auto"/>
                <w:highlight w:val="none"/>
              </w:rPr>
              <w:br/>
            </w:r>
            <w:r>
              <w:rPr>
                <w:rFonts w:hint="eastAsia"/>
                <w:color w:val="auto"/>
                <w:highlight w:val="none"/>
              </w:rPr>
              <w:t xml:space="preserve">6. 台账管理：每次巡检、维修、保养、系统升级工作均需做好记录，建立完整的设备运维台账，留存现场照片、维修记录，实现闭环管理。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离子叠加设备养护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日常巡检：定期开展设备巡查，检查离子叠加设备运行状态是否正常，有无异响、故障，检查离子发生装置、管道、阀门是否正常，有无堵塞、渗漏，检查电路、控制系统是否正常，每月开展1次全面设备排查。</w:t>
            </w:r>
            <w:r>
              <w:rPr>
                <w:rFonts w:hint="eastAsia"/>
                <w:color w:val="auto"/>
                <w:highlight w:val="none"/>
              </w:rPr>
              <w:br/>
            </w:r>
            <w:r>
              <w:rPr>
                <w:rFonts w:hint="eastAsia"/>
                <w:color w:val="auto"/>
                <w:highlight w:val="none"/>
              </w:rPr>
              <w:t xml:space="preserve">2. 清洁维护：定期清理设备表面的杂物、污垢，每月对离子发生装置、管道、电极进行全面清洗，清除附着的杂物、淤泥、结晶，每年对设备进行1次全面拆解清洗、保养。</w:t>
            </w:r>
            <w:r>
              <w:rPr>
                <w:rFonts w:hint="eastAsia"/>
                <w:color w:val="auto"/>
                <w:highlight w:val="none"/>
              </w:rPr>
              <w:br/>
            </w:r>
            <w:r>
              <w:rPr>
                <w:rFonts w:hint="eastAsia"/>
                <w:color w:val="auto"/>
                <w:highlight w:val="none"/>
              </w:rPr>
              <w:t xml:space="preserve">3. 故障维修：发现设备运行异常、离子发生装置故障、电极损坏、管道堵塞、电路故障等问题，2小时内响应，48小时内完成维修；对损坏的部件、电极、设备及时维修、更换，确保设备正常运行。</w:t>
            </w:r>
            <w:r>
              <w:rPr>
                <w:rFonts w:hint="eastAsia"/>
                <w:color w:val="auto"/>
                <w:highlight w:val="none"/>
              </w:rPr>
              <w:br/>
            </w:r>
            <w:r>
              <w:rPr>
                <w:rFonts w:hint="eastAsia"/>
                <w:color w:val="auto"/>
                <w:highlight w:val="none"/>
              </w:rPr>
              <w:t xml:space="preserve">4. 定期保养：每年对设备进行全面保养，检查离子发生组件、电极、密封圈、皮圈、润滑油等耗材，根据损耗程度及时更换；定期对设备进行校准，确保离子叠加效果达标。</w:t>
            </w:r>
            <w:r>
              <w:rPr>
                <w:rFonts w:hint="eastAsia"/>
                <w:color w:val="auto"/>
                <w:highlight w:val="none"/>
              </w:rPr>
              <w:br/>
            </w:r>
            <w:r>
              <w:rPr>
                <w:rFonts w:hint="eastAsia"/>
                <w:color w:val="auto"/>
                <w:highlight w:val="none"/>
              </w:rPr>
              <w:t xml:space="preserve">5. 系统维护：定期对设备控制系统进行维护升级，检查系统参数、运行逻辑，确保系统稳定运行；检查防雷接地、线路完好，做好防潮、防盗、防冲刷措施。</w:t>
            </w:r>
            <w:r>
              <w:rPr>
                <w:rFonts w:hint="eastAsia"/>
                <w:color w:val="auto"/>
                <w:highlight w:val="none"/>
              </w:rPr>
              <w:br/>
            </w:r>
            <w:r>
              <w:rPr>
                <w:rFonts w:hint="eastAsia"/>
                <w:color w:val="auto"/>
                <w:highlight w:val="none"/>
              </w:rPr>
              <w:t xml:space="preserve">6. 台账管理：每次巡检、维修、保养、系统升级工作均需做好记录，建立完整的设备运维台账，留存现场照片、维修记录，实现闭环管理。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初雨调蓄设施维护</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日常巡检：定期开展现场巡查，检查调蓄设施结构是否完好，有无渗漏、破损、变形，周边有无杂物堆积，检查进水、出水阀门是否正常，每月开展1次全面深度排查。</w:t>
            </w:r>
            <w:r>
              <w:rPr>
                <w:rFonts w:hint="eastAsia"/>
                <w:color w:val="auto"/>
                <w:highlight w:val="none"/>
              </w:rPr>
              <w:br/>
            </w:r>
            <w:r>
              <w:rPr>
                <w:rFonts w:hint="eastAsia"/>
                <w:color w:val="auto"/>
                <w:highlight w:val="none"/>
              </w:rPr>
              <w:t xml:space="preserve">2. 清洁维护：每年对调蓄设施内的污泥、垃圾进行1次全面清理，定期清捞进水口、出水口的漂浮物、杂物，防止堵塞，确保调蓄功能正常。</w:t>
            </w:r>
            <w:r>
              <w:rPr>
                <w:rFonts w:hint="eastAsia"/>
                <w:color w:val="auto"/>
                <w:highlight w:val="none"/>
              </w:rPr>
              <w:br/>
            </w:r>
            <w:r>
              <w:rPr>
                <w:rFonts w:hint="eastAsia"/>
                <w:color w:val="auto"/>
                <w:highlight w:val="none"/>
              </w:rPr>
              <w:t xml:space="preserve">3. 故障维修：发现设施渗漏、破损、阀门故障等问题，48小时内完成维修、更换，确保调蓄设施无渗漏、无堵塞，功能稳定。</w:t>
            </w:r>
            <w:r>
              <w:rPr>
                <w:rFonts w:hint="eastAsia"/>
                <w:color w:val="auto"/>
                <w:highlight w:val="none"/>
              </w:rPr>
              <w:br/>
            </w:r>
            <w:r>
              <w:rPr>
                <w:rFonts w:hint="eastAsia"/>
                <w:color w:val="auto"/>
                <w:highlight w:val="none"/>
              </w:rPr>
              <w:t xml:space="preserve">4. 台账管理：每次巡检、维修、维护工作均需做好记录，建立完整的工作台账，留存现场照片，实现闭环管理。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活水泵站设备运维</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日常巡检：定期开展泵站设备巡查，检查水泵、电机、阀门、管道运行状态是否正常，有无异响、过热、渗漏，检查电路、控制系统、安防系统是否正常，每月开展1次全面设备排查。</w:t>
            </w:r>
            <w:r>
              <w:rPr>
                <w:rFonts w:hint="eastAsia"/>
                <w:color w:val="auto"/>
                <w:highlight w:val="none"/>
              </w:rPr>
              <w:br/>
            </w:r>
            <w:r>
              <w:rPr>
                <w:rFonts w:hint="eastAsia"/>
                <w:color w:val="auto"/>
                <w:highlight w:val="none"/>
              </w:rPr>
              <w:t xml:space="preserve">2. 清洁维护：定期清理泵站内、设备表面的杂物、污垢，每月对水泵、管道、阀门进行全面清洗，清除堵塞的杂物、淤泥，每年对设备进行1次全面拆解清洗、保养。</w:t>
            </w:r>
            <w:r>
              <w:rPr>
                <w:rFonts w:hint="eastAsia"/>
                <w:color w:val="auto"/>
                <w:highlight w:val="none"/>
              </w:rPr>
              <w:br/>
            </w:r>
            <w:r>
              <w:rPr>
                <w:rFonts w:hint="eastAsia"/>
                <w:color w:val="auto"/>
                <w:highlight w:val="none"/>
              </w:rPr>
              <w:t xml:space="preserve">3. 故障维修：发现水泵运行异常、管道渗漏、阀门故障、电路故障等问题，2小时内响应，48小时内完成维修；对损坏的部件、设备及时维修、更换，确保泵站设备正常运行，供水稳定。</w:t>
            </w:r>
            <w:r>
              <w:rPr>
                <w:rFonts w:hint="eastAsia"/>
                <w:color w:val="auto"/>
                <w:highlight w:val="none"/>
              </w:rPr>
              <w:br/>
            </w:r>
            <w:r>
              <w:rPr>
                <w:rFonts w:hint="eastAsia"/>
                <w:color w:val="auto"/>
                <w:highlight w:val="none"/>
              </w:rPr>
              <w:t xml:space="preserve">4. 定期保养：每年对水泵、电机进行全面保养，检查轴承、密封圈、皮圈、润滑油等耗材，根据损耗程度及时更换；定期对电机进行绝缘检测，对水泵进行性能测试，确保设备运行稳定。</w:t>
            </w:r>
            <w:r>
              <w:rPr>
                <w:rFonts w:hint="eastAsia"/>
                <w:color w:val="auto"/>
                <w:highlight w:val="none"/>
              </w:rPr>
              <w:br/>
            </w:r>
            <w:r>
              <w:rPr>
                <w:rFonts w:hint="eastAsia"/>
                <w:color w:val="auto"/>
                <w:highlight w:val="none"/>
              </w:rPr>
              <w:t xml:space="preserve">5. 系统维护：定期对泵站控制系统、安防系统进行维护升级，检查系统参数、运行逻辑，确保系统稳定运行；检查防雷接地、线路完好，做好防潮、防盗、防冲刷、防汛措施。</w:t>
            </w:r>
            <w:r>
              <w:rPr>
                <w:rFonts w:hint="eastAsia"/>
                <w:color w:val="auto"/>
                <w:highlight w:val="none"/>
              </w:rPr>
              <w:br/>
            </w:r>
            <w:r>
              <w:rPr>
                <w:rFonts w:hint="eastAsia"/>
                <w:color w:val="auto"/>
                <w:highlight w:val="none"/>
              </w:rPr>
              <w:t xml:space="preserve">6. 台账管理：每次巡检、维修、保养、系统升级工作均需做好记录，建立完整的泵站运维台账，留存现场照片、维修记录、检测报告，实现闭环管理。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安全警示牌运维</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日常巡检：定期开展警示牌巡查，检查警示牌面板、立柱、紧固件是否完好，有无破损、变形、褪色、字迹模糊、污渍、涂鸦、覆盖、遮挡，有无锈蚀、松动、倾斜、缺失，每月开展1次全面深度排查。</w:t>
            </w:r>
            <w:r>
              <w:rPr>
                <w:rFonts w:hint="eastAsia"/>
                <w:color w:val="auto"/>
                <w:highlight w:val="none"/>
              </w:rPr>
              <w:br/>
            </w:r>
            <w:r>
              <w:rPr>
                <w:rFonts w:hint="eastAsia"/>
                <w:color w:val="auto"/>
                <w:highlight w:val="none"/>
              </w:rPr>
              <w:t xml:space="preserve">2. 清洁维护：每周对警示牌进行全面清洁，清除污渍、涂鸦、杂物，确保面板干净、字迹清晰；及时清理遮挡警示牌的树木、杂物，确保警示牌设在醒目位置，高度、角度合理，夜间可视正常。</w:t>
            </w:r>
            <w:r>
              <w:rPr>
                <w:rFonts w:hint="eastAsia"/>
                <w:color w:val="auto"/>
                <w:highlight w:val="none"/>
              </w:rPr>
              <w:br/>
            </w:r>
            <w:r>
              <w:rPr>
                <w:rFonts w:hint="eastAsia"/>
                <w:color w:val="auto"/>
                <w:highlight w:val="none"/>
              </w:rPr>
              <w:t xml:space="preserve">3. 维修更换：发现警示牌破损、变形、褪色、字迹模糊、安装松动、倾斜等问题，48小时内完成清洁、扶正、加固、更换，确保警示内容准确、规范、无错误，符合河道/水利/安全管理要求。</w:t>
            </w:r>
            <w:r>
              <w:rPr>
                <w:rFonts w:hint="eastAsia"/>
                <w:color w:val="auto"/>
                <w:highlight w:val="none"/>
              </w:rPr>
              <w:br/>
            </w:r>
            <w:r>
              <w:rPr>
                <w:rFonts w:hint="eastAsia"/>
                <w:color w:val="auto"/>
                <w:highlight w:val="none"/>
              </w:rPr>
              <w:t xml:space="preserve">4. 安全保障：检查警示牌基础是否稳固，有无冲刷、松动、倾倒风险，反光膜、夜光标识是否完好有效，确保警示牌安全、醒目、警示功能正常。</w:t>
            </w:r>
            <w:r>
              <w:rPr>
                <w:rFonts w:hint="eastAsia"/>
                <w:color w:val="auto"/>
                <w:highlight w:val="none"/>
              </w:rPr>
              <w:br/>
            </w:r>
            <w:r>
              <w:rPr>
                <w:rFonts w:hint="eastAsia"/>
                <w:color w:val="auto"/>
                <w:highlight w:val="none"/>
              </w:rPr>
              <w:t xml:space="preserve">5. 台账管理：每次巡检、清洁、维修、更换工作均需做好记录，建立完整的运维台账，留存现场照片，实现闭环管理。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流量监测系统运维</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日常巡检：定期开展系统巡查，检查监测站房、立杆、防护箱是否完好，有无倾斜、破损、漏水，检查监测断面有无淤积、漂浮物、冲刷坍塌，检查标识、警示标牌是否清晰完整，每月开展1次全面深度排查。</w:t>
            </w:r>
            <w:r>
              <w:rPr>
                <w:rFonts w:hint="eastAsia"/>
                <w:color w:val="auto"/>
                <w:highlight w:val="none"/>
              </w:rPr>
              <w:br/>
            </w:r>
            <w:r>
              <w:rPr>
                <w:rFonts w:hint="eastAsia"/>
                <w:color w:val="auto"/>
                <w:highlight w:val="none"/>
              </w:rPr>
              <w:t xml:space="preserve">2. 设备维护：定期检查流量监测传感器、探头运行状态是否正常，数据有无跳变，异常情况及时处理；每周清洗设备探头、感应面，清除藻类、泥沙、杂物覆盖，确保探头清洁无遮挡；每月对设备进行全面校准、调试，确保流量数据准确；每半年对设备进行全面拆解保养，更换损坏的部件、耗材。</w:t>
            </w:r>
            <w:r>
              <w:rPr>
                <w:rFonts w:hint="eastAsia"/>
                <w:color w:val="auto"/>
                <w:highlight w:val="none"/>
              </w:rPr>
              <w:br/>
            </w:r>
            <w:r>
              <w:rPr>
                <w:rFonts w:hint="eastAsia"/>
                <w:color w:val="auto"/>
                <w:highlight w:val="none"/>
              </w:rPr>
              <w:t xml:space="preserve">3. 数据管理：每日通过数据平台进行数据监测，发现数据异常、设备离线等情况，立即安排人员现场处理，48小时内完成异常排查、修复；检查RTU/DTU、工控机、系统软件运行情况，确保4G/NB信号稳定，数据上传、补传正常，采集参数、系统时间校准准确，历史数据备份、导出正常，平台数据显示、告警功能正常。</w:t>
            </w:r>
            <w:r>
              <w:rPr>
                <w:rFonts w:hint="eastAsia"/>
                <w:color w:val="auto"/>
                <w:highlight w:val="none"/>
              </w:rPr>
              <w:br/>
            </w:r>
            <w:r>
              <w:rPr>
                <w:rFonts w:hint="eastAsia"/>
                <w:color w:val="auto"/>
                <w:highlight w:val="none"/>
              </w:rPr>
              <w:t xml:space="preserve">4. 供电与线路维护：检查太阳能板、蓄电池、控制器、供电线路、信号线是否完好，接线牢固，无破损、老化、鼠咬，防水密封良好；确保蓄电池电压正常，无鼓包漏液，控制器充放电正常，防雷接地、线路完好，做好防潮、防盗、防冲刷措施。</w:t>
            </w:r>
            <w:r>
              <w:rPr>
                <w:rFonts w:hint="eastAsia"/>
                <w:color w:val="auto"/>
                <w:highlight w:val="none"/>
              </w:rPr>
              <w:br/>
            </w:r>
            <w:r>
              <w:rPr>
                <w:rFonts w:hint="eastAsia"/>
                <w:color w:val="auto"/>
                <w:highlight w:val="none"/>
              </w:rPr>
              <w:t xml:space="preserve">5. 故障维修：发现设备故障、线路破损、数据传输中断等问题，2小时内响应，48小时内完成维修、更换，无法现场修复的及时更换备用设备，确保监测不中断。</w:t>
            </w:r>
            <w:r>
              <w:rPr>
                <w:rFonts w:hint="eastAsia"/>
                <w:color w:val="auto"/>
                <w:highlight w:val="none"/>
              </w:rPr>
              <w:br/>
            </w:r>
            <w:r>
              <w:rPr>
                <w:rFonts w:hint="eastAsia"/>
                <w:color w:val="auto"/>
                <w:highlight w:val="none"/>
              </w:rPr>
              <w:t xml:space="preserve">6. 台账管理：每次巡检、维护、校准、维修、数据异常处理工作均需做好详细记录，建立完整的运维台账，留存现场照片、校准报告、维修记录，实现闭环管理。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监控系统运维</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日常巡检：定期开展监控系统巡查，检查水下摄像头、立杆、防护箱、线路是否完好，有无破损、变形、移位，检查摄像头水密舱、密封结构是否完整，有无渗水、短路风险，每月开展1次全面深度排查。</w:t>
            </w:r>
            <w:r>
              <w:rPr>
                <w:rFonts w:hint="eastAsia"/>
                <w:color w:val="auto"/>
                <w:highlight w:val="none"/>
              </w:rPr>
              <w:br/>
            </w:r>
            <w:r>
              <w:rPr>
                <w:rFonts w:hint="eastAsia"/>
                <w:color w:val="auto"/>
                <w:highlight w:val="none"/>
              </w:rPr>
              <w:t xml:space="preserve">2. 设备维护：定期检查摄像头运行状态、画面传输是否正常，异常情况及时处理；每周用湿软抹布清洗水下摄像头镜面，清除附着的杂物、藻类、泥沙，确保画面清晰；每半年对摄像头进行全面拆解保养，检查密封结构、O型圈，更换损坏的部件、耗材，对漏水、画面传输故障、破损的设备进行维修、更换。</w:t>
            </w:r>
            <w:r>
              <w:rPr>
                <w:rFonts w:hint="eastAsia"/>
                <w:color w:val="auto"/>
                <w:highlight w:val="none"/>
              </w:rPr>
              <w:br/>
            </w:r>
            <w:r>
              <w:rPr>
                <w:rFonts w:hint="eastAsia"/>
                <w:color w:val="auto"/>
                <w:highlight w:val="none"/>
              </w:rPr>
              <w:t xml:space="preserve">3. 数据管理：每日通过监控平台进行画面监测，发现画面异常、信号中断、设备离线等情况，立即安排人员现场处理，48小时内完成异常排查、修复；检查监控软件平台、数据传输、存储情况，确保录像完整、回放正常，平台告警功能正常。</w:t>
            </w:r>
            <w:r>
              <w:rPr>
                <w:rFonts w:hint="eastAsia"/>
                <w:color w:val="auto"/>
                <w:highlight w:val="none"/>
              </w:rPr>
              <w:br/>
            </w:r>
            <w:r>
              <w:rPr>
                <w:rFonts w:hint="eastAsia"/>
                <w:color w:val="auto"/>
                <w:highlight w:val="none"/>
              </w:rPr>
              <w:t xml:space="preserve">4. 线路与安全维护：加固电源线、数据传输线的接口，检查线缆外皮是否破损，避免因外力拉扯或生物啃噬造成信号中断；检查防雷接地、线路完好，做好防潮、防盗、防冲刷、防水密封措施。</w:t>
            </w:r>
            <w:r>
              <w:rPr>
                <w:rFonts w:hint="eastAsia"/>
                <w:color w:val="auto"/>
                <w:highlight w:val="none"/>
              </w:rPr>
              <w:br/>
            </w:r>
            <w:r>
              <w:rPr>
                <w:rFonts w:hint="eastAsia"/>
                <w:color w:val="auto"/>
                <w:highlight w:val="none"/>
              </w:rPr>
              <w:t xml:space="preserve">5. 故障维修：发现摄像头故障、画面异常、信号中断、线路破损等问题，2小时内响应，48小时内完成维修、更换，无法现场修复的及时更换备用设备，确保监控不中断。</w:t>
            </w:r>
            <w:r>
              <w:rPr>
                <w:rFonts w:hint="eastAsia"/>
                <w:color w:val="auto"/>
                <w:highlight w:val="none"/>
              </w:rPr>
              <w:br/>
            </w:r>
            <w:r>
              <w:rPr>
                <w:rFonts w:hint="eastAsia"/>
                <w:color w:val="auto"/>
                <w:highlight w:val="none"/>
              </w:rPr>
              <w:t xml:space="preserve">6. 台账管理：每次巡检、维护、维修、异常处理工作均需做好详细记录，建立完整的运维台账，留存现场照片、维修记录，实现闭环管理。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水文监测系统运维</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水文监测系统巡查，清理设备立杆周围场地，检查立杆与地基确保无滑移塌陷，检查监测流量计、水位计、水温计、风速风向传感器、雨量传感器周围有无异物缠绕或遮挡，检查站房、防护箱是否完好，有无破损、漏水，每月开展1次全面深度排查。</w:t>
            </w:r>
            <w:r>
              <w:rPr>
                <w:rFonts w:hint="eastAsia"/>
                <w:color w:val="auto"/>
                <w:highlight w:val="none"/>
              </w:rPr>
              <w:br/>
            </w:r>
            <w:r>
              <w:rPr>
                <w:rFonts w:hint="eastAsia"/>
                <w:color w:val="auto"/>
                <w:highlight w:val="none"/>
              </w:rPr>
              <w:t xml:space="preserve">2. 设备维护：定期查看传感器及辅助设备运行状态，判断运行是否正常，异常情况及时处理；每周清洗水下监测传感器、探头，清除附着的杂物、藻类、泥沙，确保监测准确；每月对设备进行全面校准、调试，确保水文数据准确；每半年对设备进行全面拆解保养，对损坏的设备、传感器进行更换处理。</w:t>
            </w:r>
            <w:r>
              <w:rPr>
                <w:rFonts w:hint="eastAsia"/>
                <w:color w:val="auto"/>
                <w:highlight w:val="none"/>
              </w:rPr>
              <w:br/>
            </w:r>
            <w:r>
              <w:rPr>
                <w:rFonts w:hint="eastAsia"/>
                <w:color w:val="auto"/>
                <w:highlight w:val="none"/>
              </w:rPr>
              <w:t xml:space="preserve">3. 数据管理：每日通过数据平台进行数据监测，发现数据异常、设备离线等情况，立即安排人员现场处理，48小时内完成异常排查、修复；检查工控机、系统软件、数据传输情况，确保数据上传、补传正常，历史数据备份、导出正常，平台数据显示、告警功能正常。</w:t>
            </w:r>
            <w:r>
              <w:rPr>
                <w:rFonts w:hint="eastAsia"/>
                <w:color w:val="auto"/>
                <w:highlight w:val="none"/>
              </w:rPr>
              <w:br/>
            </w:r>
            <w:r>
              <w:rPr>
                <w:rFonts w:hint="eastAsia"/>
                <w:color w:val="auto"/>
                <w:highlight w:val="none"/>
              </w:rPr>
              <w:t xml:space="preserve">4. 供电与线路维护：检查太阳能板、蓄电池、控制器、供电线路、信号线是否完好，接线牢固，无破损、老化、鼠咬，防水密封良好；确保蓄电池电压正常，无鼓包漏液，控制器充放电正常，防雷接地、线路完好，做好防潮、防盗、防冲刷措施。</w:t>
            </w:r>
            <w:r>
              <w:rPr>
                <w:rFonts w:hint="eastAsia"/>
                <w:color w:val="auto"/>
                <w:highlight w:val="none"/>
              </w:rPr>
              <w:br/>
            </w:r>
            <w:r>
              <w:rPr>
                <w:rFonts w:hint="eastAsia"/>
                <w:color w:val="auto"/>
                <w:highlight w:val="none"/>
              </w:rPr>
              <w:t xml:space="preserve">5. 故障维修：发现设备故障、传感器损坏、数据传输中断等问题，2小时内响应，48小时内完成维修、更换，无法现场修复的及时更换备用设备，确保监测不中断。</w:t>
            </w:r>
            <w:r>
              <w:rPr>
                <w:rFonts w:hint="eastAsia"/>
                <w:color w:val="auto"/>
                <w:highlight w:val="none"/>
              </w:rPr>
              <w:br/>
            </w:r>
            <w:r>
              <w:rPr>
                <w:rFonts w:hint="eastAsia"/>
                <w:color w:val="auto"/>
                <w:highlight w:val="none"/>
              </w:rPr>
              <w:t xml:space="preserve">6. 台账管理：每次巡检、维护、校准、维修、数据异常处理工作均需做好详细记录，建立完整的运维台账，留存现场照片、校准报告、维修记录，实现闭环管理。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浮标监测设备运维</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浮标监测设备巡查，检查浮标站有无脱离固定、周围漂浮物干扰等情况，检查采样点周围有无特殊污染、异味、水色异常等情况，检查浮标站立杆及地基地笼等有无破坏、塌陷等情况，每月开展1次全面深度排查。</w:t>
            </w:r>
            <w:r>
              <w:rPr>
                <w:rFonts w:hint="eastAsia"/>
                <w:color w:val="auto"/>
                <w:highlight w:val="none"/>
              </w:rPr>
              <w:br/>
            </w:r>
            <w:r>
              <w:rPr>
                <w:rFonts w:hint="eastAsia"/>
                <w:color w:val="auto"/>
                <w:highlight w:val="none"/>
              </w:rPr>
              <w:t xml:space="preserve">2. 设备维护：定期查看传感器及辅助设备运行状态，判断运行是否正常，异常情况及时处理；每周清洗监测传感器、探头，清除附着的杂物、藻类、泥沙，确保监测准确；每月对溶解氧膜头、pH电极、氨氮传感器进行维护、校准，每半年更换一次pH电极校正液；每半年对设备进行全面拆解保养，更换损坏的部件、耗材。</w:t>
            </w:r>
            <w:r>
              <w:rPr>
                <w:rFonts w:hint="eastAsia"/>
                <w:color w:val="auto"/>
                <w:highlight w:val="none"/>
              </w:rPr>
              <w:br/>
            </w:r>
            <w:r>
              <w:rPr>
                <w:rFonts w:hint="eastAsia"/>
                <w:color w:val="auto"/>
                <w:highlight w:val="none"/>
              </w:rPr>
              <w:t xml:space="preserve">3. 数据管理：每日通过数据平台进行数据监测，发现数据异常、设备离线等情况，立即安排人员现场处理，48小时内完成异常排查、修复；检查工控机、系统软件、数据传输情况，确保数据上传、补传正常，历史数据备份、导出正常，平台数据显示、告警功能正常。</w:t>
            </w:r>
            <w:r>
              <w:rPr>
                <w:rFonts w:hint="eastAsia"/>
                <w:color w:val="auto"/>
                <w:highlight w:val="none"/>
              </w:rPr>
              <w:br/>
            </w:r>
            <w:r>
              <w:rPr>
                <w:rFonts w:hint="eastAsia"/>
                <w:color w:val="auto"/>
                <w:highlight w:val="none"/>
              </w:rPr>
              <w:t xml:space="preserve">4. 供电与线路维护：检查太阳能板、蓄电池、控制器、供电线路、信号线是否完好，接线牢固，无破损、老化、鼠咬，防水密封良好；确保蓄电池电压正常，无鼓包漏液，控制器充放电正常，防雷接地、线路完好，做好防潮、防盗、防冲刷、防碰撞措施。</w:t>
            </w:r>
            <w:r>
              <w:rPr>
                <w:rFonts w:hint="eastAsia"/>
                <w:color w:val="auto"/>
                <w:highlight w:val="none"/>
              </w:rPr>
              <w:br/>
            </w:r>
            <w:r>
              <w:rPr>
                <w:rFonts w:hint="eastAsia"/>
                <w:color w:val="auto"/>
                <w:highlight w:val="none"/>
              </w:rPr>
              <w:t xml:space="preserve">5. 故障维修：发现设备故障、传感器损坏、数据传输中断、浮标移位等问题，2小时内响应，48小时内完成维修、复位、更换，无法现场修复的及时更换备用设备，确保监测不中断。</w:t>
            </w:r>
            <w:r>
              <w:rPr>
                <w:rFonts w:hint="eastAsia"/>
                <w:color w:val="auto"/>
                <w:highlight w:val="none"/>
              </w:rPr>
              <w:br/>
            </w:r>
            <w:r>
              <w:rPr>
                <w:rFonts w:hint="eastAsia"/>
                <w:color w:val="auto"/>
                <w:highlight w:val="none"/>
              </w:rPr>
              <w:t xml:space="preserve">6. 台账管理：每次巡检、维护、校准、维修、数据异常处理工作均需做好详细记录，建立完整的运维台账，留存现场照片、校准报告、维修记录，实现闭环管理。</w:t>
            </w:r>
            <w:r/>
          </w:p>
        </w:tc>
      </w:tr>
      <w:tr>
        <w:trPr/>
        <w:tc>
          <w:tcPr>
            <w:tcW w:w="6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p>
        </w:tc>
        <w:tc>
          <w:tcPr>
            <w:tcW w:w="155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水位计设备运维</w:t>
            </w:r>
            <w:r/>
          </w:p>
        </w:tc>
        <w:tc>
          <w:tcPr>
            <w:tcW w:w="7748" w:type="dxa"/>
            <w:vAlign w:val="center"/>
            <w:textDirection w:val="lrTb"/>
            <w:noWrap w:val="false"/>
          </w:tcPr>
          <w:p>
            <w:pPr>
              <w:rPr>
                <w:color w:val="auto"/>
                <w:highlight w:val="none"/>
              </w:rPr>
            </w:pPr>
            <w:r>
              <w:rPr>
                <w:rFonts w:hint="eastAsia"/>
                <w:color w:val="auto"/>
                <w:highlight w:val="none"/>
              </w:rPr>
              <w:t xml:space="preserve">1. 日常巡检：定期开展水位计设备巡查，检查设备安装是否牢固，有无松动、倾斜、损坏，检查探头/测杆有无变形、无淤泥、杂物缠绕，检查安装井/护管是否通畅，有无堵塞，检查周边有无冲刷、坍塌、淤积等情况，每月开展1次全面深度排查。</w:t>
            </w:r>
            <w:r>
              <w:rPr>
                <w:rFonts w:hint="eastAsia"/>
                <w:color w:val="auto"/>
                <w:highlight w:val="none"/>
              </w:rPr>
              <w:br/>
            </w:r>
            <w:r>
              <w:rPr>
                <w:rFonts w:hint="eastAsia"/>
                <w:color w:val="auto"/>
                <w:highlight w:val="none"/>
              </w:rPr>
              <w:t xml:space="preserve">2. 设备维护：定期检查水位计运行状态、数据是否正常，异常情况及时处理；每周清洗探头、感应面，清除藻类、泥沙覆盖，确保感应面清洁，安装井/护管通畅；每月对设备进行全面校准、调试，现场人工水位比对，确保误差在允许范围，数据稳定、无跳变、无漂移；每半年对设备进行全面拆解保养，更换损坏的部件、耗材。</w:t>
            </w:r>
            <w:r>
              <w:rPr>
                <w:rFonts w:hint="eastAsia"/>
                <w:color w:val="auto"/>
                <w:highlight w:val="none"/>
              </w:rPr>
              <w:br/>
            </w:r>
            <w:r>
              <w:rPr>
                <w:rFonts w:hint="eastAsia"/>
                <w:color w:val="auto"/>
                <w:highlight w:val="none"/>
              </w:rPr>
              <w:t xml:space="preserve">3. 数据管理：每日通过数据平台进行水位数据监测，发现数据异常、跳变、满量程、设备离线等情况，立即安排人员现场处理，48小时内完成异常排查、修复；检查系统软件、数据传输情况，确保数据上传、补传正常，历史数据备份、导出正常，平台数据显示、告警功能正常。</w:t>
            </w:r>
            <w:r>
              <w:rPr>
                <w:rFonts w:hint="eastAsia"/>
                <w:color w:val="auto"/>
                <w:highlight w:val="none"/>
              </w:rPr>
              <w:br/>
            </w:r>
            <w:r>
              <w:rPr>
                <w:rFonts w:hint="eastAsia"/>
                <w:color w:val="auto"/>
                <w:highlight w:val="none"/>
              </w:rPr>
              <w:t xml:space="preserve">4. 供电与线路维护：检查供电线路、信号线是否完好，接线紧固、无氧化、无受潮进水、防水接头完好；确保供电正常，防雷接地、线路完好，做好防潮、防盗、防冲刷措施。</w:t>
            </w:r>
            <w:r>
              <w:rPr>
                <w:rFonts w:hint="eastAsia"/>
                <w:color w:val="auto"/>
                <w:highlight w:val="none"/>
              </w:rPr>
              <w:br/>
            </w:r>
            <w:r>
              <w:rPr>
                <w:rFonts w:hint="eastAsia"/>
                <w:color w:val="auto"/>
                <w:highlight w:val="none"/>
              </w:rPr>
              <w:t xml:space="preserve">5. 故障维修：发现设备故障、探头损坏、数据异常、线路破损等问题，2小时内响应，48小时内完成维修、更换，无法现场修复的及时更换备用设备，确保水位监测不中断。</w:t>
            </w:r>
            <w:r>
              <w:rPr>
                <w:rFonts w:hint="eastAsia"/>
                <w:color w:val="auto"/>
                <w:highlight w:val="none"/>
              </w:rPr>
              <w:br/>
            </w:r>
            <w:r>
              <w:rPr>
                <w:rFonts w:hint="eastAsia"/>
                <w:color w:val="auto"/>
                <w:highlight w:val="none"/>
              </w:rPr>
              <w:t xml:space="preserve">6. 台账管理：每次巡检、维护、校准、维修、数据异常处理工作均需做好详细记录，建立完整的运维台账，留存现场照片、校准报告、维修记录，实现闭环管理。</w:t>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3.5水质检测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（1）每月进行1-2次的采样检测并出具检测报告，及时跟进水质变化：氨氮、总磷、高锰酸盐指数、化学需氧量等指标。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（2）出现排污问题时（点污染），由采购人协同相关部门排查原因，解决问题，消除影响后再进行检测工作。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（3）如遇水体突然恶化，应及时处理并上报。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3.6水质达标要求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（1）水质标准：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总目标：按照高锰酸盐指数、氨氮、总磷、化学需氧量等指标对服务期内每个月的水质情况进行监测，服务器内指标全年平均值达到考核要求。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特别说明：如服务期内水质不能达到总目标水质要求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1）按照考核细则进行扣款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2）根据未达标月份数量顺延养护期，且顺延养护期内需达到或优于Ⅲ类水质标准。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3.7养护资料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建立好项目养护台账，每月考核前提供养护台账，每年结算养护费用时将养护台账装订成册并提交予采购人，经采购人确认无误后付款。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3.8安全生产要求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（1）在养护日常工作中中标供应商应遵守安全生产规定，一旦发生安全事故，由中标供应商负全责。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（2）严禁不会游泳者、患有高血压病、癫痫病或其他不适合从事水生态养护工作者上船作业，且不得隐瞒实际情况，瞒报者后果自负。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（3）上船作业时，应穿戴发放的统一保护着装（救生衣、黄</w:t>
      </w:r>
      <w:r>
        <w:rPr>
          <w:rFonts w:hint="eastAsia" w:ascii="宋体" w:hAnsi="宋体" w:cs="宋体"/>
          <w:color w:val="auto"/>
          <w:sz w:val="24"/>
          <w:szCs w:val="24"/>
          <w:highlight w:val="none"/>
          <w:lang w:eastAsia="zh-CN"/>
        </w:rPr>
        <w:t xml:space="preserve">马甲</w:t>
      </w:r>
      <w:r>
        <w:rPr>
          <w:rFonts w:hint="eastAsia" w:ascii="宋体" w:hAnsi="宋体" w:cs="宋体"/>
          <w:color w:val="auto"/>
          <w:sz w:val="24"/>
          <w:szCs w:val="24"/>
          <w:highlight w:val="none"/>
        </w:rPr>
        <w:t xml:space="preserve">、黄帽），要求2人为一组，违者按协议规定处罚。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（4）严禁在作业期间饮酒、赌博，一经发现，立即终止与其（养护人员）所签养护协议。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（5）遇到恶劣天气时，应停止水上作业，并检查船只安全。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（6）严格遵守水上航行交通规则，在作业出发时，应检查各种设施的安全性能，做到万无一失。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（7）严禁带病上船作业。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（8）在雨雪天气或在垃圾上岸时，应注意跳板等辅助设施的安全性，防止滑跌。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3.9其他要求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（1）禁止使用化学药剂，避免化学药剂对环境造成污染。不得引入外来物种，避免外来物种对本地生态平衡的破坏。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（2）中标供应商在项目实施过程中需文明工作，安全责任由中标供应商负全责，给他人造成伤害的，由中标供应商承担一切后果。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（3）项目养护过程中，遇外来污染情况（如排放口突发性出污水），由中标供应商对突发情况采取应急处置措施，并对进入河道的污水及时送检，同时做好现场影像资料的保存。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防汛期间，中标供应商必须服从当地水利三防部门对防汛工作的统一要求及安排，采取的施工方案和措施必须符合水利部门的要求，所产生费用应包含在投标报价内。如因中标供应商的原因影响防汛工作的，须承担相关责任，因此所造成的损失全部由中标供应商负担。</w:t>
      </w:r>
      <w:r/>
    </w:p>
    <w:p>
      <w:pPr>
        <w:ind w:firstLine="482"/>
        <w:spacing w:line="360" w:lineRule="auto"/>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w:t>
      </w:r>
      <w:r>
        <w:rPr>
          <w:rFonts w:hint="eastAsia" w:cs="宋体"/>
          <w:b/>
          <w:bCs/>
          <w:color w:val="auto"/>
          <w:sz w:val="24"/>
          <w:szCs w:val="24"/>
          <w:highlight w:val="none"/>
        </w:rPr>
        <w:t xml:space="preserve">四</w:t>
      </w:r>
      <w:r>
        <w:rPr>
          <w:rFonts w:hint="eastAsia" w:ascii="宋体" w:cs="宋体"/>
          <w:b/>
          <w:bCs/>
          <w:color w:val="auto"/>
          <w:sz w:val="24"/>
          <w:szCs w:val="24"/>
          <w:highlight w:val="none"/>
          <w:lang w:val="zh-CN"/>
        </w:rPr>
        <w:t xml:space="preserve">）考核要求：</w:t>
      </w:r>
      <w:bookmarkStart w:id="14" w:name="_Toc36414916"/>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zh-CN" w:bidi="ar"/>
        </w:rPr>
        <w:t xml:space="preserve">考核内容：</w:t>
      </w:r>
      <w:r>
        <w:rPr>
          <w:rFonts w:hint="eastAsia" w:ascii="宋体" w:hAnsi="宋体" w:cs="宋体"/>
          <w:color w:val="auto"/>
          <w:sz w:val="24"/>
          <w:szCs w:val="24"/>
          <w:highlight w:val="none"/>
        </w:rPr>
        <w:t xml:space="preserve">考核内容依据《附件二：太科园（新安街道）河道水生态长效运维养护考核评分标准》，附件三《太科园（新安街道）河道水生态长效运维养护考核评分标准考核办法》。</w:t>
      </w:r>
      <w:r/>
    </w:p>
    <w:p>
      <w:pPr>
        <w:ind w:firstLine="480"/>
        <w:spacing w:line="360" w:lineRule="auto"/>
        <w:rPr>
          <w:rFonts w:hint="eastAsia" w:ascii="宋体" w:hAnsi="宋体" w:cs="宋体"/>
          <w:color w:val="auto"/>
          <w:sz w:val="24"/>
          <w:szCs w:val="24"/>
          <w:highlight w:val="none"/>
          <w:lang w:val="zh-CN" w:bidi="ar"/>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zh-CN" w:bidi="ar"/>
        </w:rPr>
        <w:t xml:space="preserve">考核方式：</w:t>
      </w:r>
      <w:bookmarkEnd w:id="14"/>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月度考核，依据《附件二：太科园（新安街道）河道水生态长效运维养护考核评分标准》，附件三《太科园（新安街道）河道水生态长效运维养护考核评分标准考核办法》内容，每发现一次当即扣除相应款项并限期整改。整改期限及标准由考核小组根据考核内容及实际情况拟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bidi="ar"/>
        </w:rPr>
        <w:t xml:space="preserve">月度考评以百分制计分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bidi="ar"/>
        </w:rPr>
        <w:t xml:space="preserve">单位月考核得分在95-100分（含95分），不扣当月运维养护费用；得分在90-94分（含90分），区间5分，每扣1分，扣除当月运维养护经费的0.5%；得分在80-89分（含80分），区间10分，每扣1分，扣除当月运维养护经费的1%；得分＜80分，扣除当月运维养护费用的30％；连续3个月得分＜80分，扣除第三个月运维养护费用的100%并在2个月内达到标准，否则招标人有权终止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（3）根据水质专项考评结果，全年总体合格率低于95%（不含）（总体合格率=每个月得分之和/30*12），在当年第四季度考评中额外扣除养护经费100000元。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因水质养护、运维管理不当等，导致水质指标未达标准，被市级通报批评的，除正常考评后额外扣除养护经费30000元/次；被省级通报批评的，除正常考评后额外扣除养护经费50000元/次；被新闻媒体曝光，通报（市、省级）结果影响恶劣的，额外扣除80000元/次。</w:t>
      </w:r>
      <w:r/>
    </w:p>
    <w:p>
      <w:pP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四、报价要求：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1.投标供应商的投标报价应是投标供应商在报价文件中提出的各项支付金额的总和，也应是完成招标文件所列采购需求的全部费用。</w:t>
      </w:r>
      <w:r/>
    </w:p>
    <w:p>
      <w:pPr>
        <w:ind w:firstLine="480"/>
        <w:spacing w:line="360" w:lineRule="auto"/>
        <w:widowControl/>
        <w:tabs>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供应商的投标报价应包括但不限于所有人员的工资、国家规定的所有人员的社会保险、人身意外险、福利费、加班费、培训费，以及服务所用设备、工具购置及维修费用、服务所用材料消耗费用、垃圾外运费用、高温期间高温岗位高温费、管理费用、利润、税金、政策性文件规定及合同包含的所有风险（包括但不限于遇最低工资调整、物价上涨、重大活动、检查、突发情况、加班费、高温费、税费调整等），以及合同责任范围内的所有一般风险责任和义务等的一切费用，后期单价不作调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3.供应商应自备专业工具及易耗品。供应商应根据现场实际情况配备维护作业工具、耗材等，所有费用包含在投标报价中，不另行结算。</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4.投标供应商应自行踏勘现场，充分考虑企业管理情况、市场风险等因素，认真测算成本，同时自行承担投标费用，凡未列费用，视为已包含在投标报价中。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5.若服务未达到采购人要求的，采购人有权单方解除合同，采购人有权解除合同，若给采购人造成损失的，中标供应商还应当进行赔偿。</w:t>
      </w:r>
      <w:r/>
    </w:p>
    <w:p>
      <w:pP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五、综合说明及其他要求：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1、中标供应商成交后有下列情形之一</w:t>
      </w:r>
      <w:r>
        <w:rPr>
          <w:rFonts w:hint="eastAsia" w:ascii="宋体" w:hAnsi="宋体" w:cs="宋体"/>
          <w:bCs/>
          <w:color w:val="auto"/>
          <w:sz w:val="24"/>
          <w:highlight w:val="none"/>
        </w:rPr>
        <w:t xml:space="preserve">的，采购人有权取消其中标资格，并由第二中标候选人顺序替补为中标供应商，并与采购人签订合同。采购人也可以重新招标。给采购人造成的损失，原中标供应商还应当予以赔偿：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（1）放弃</w:t>
      </w:r>
      <w:r>
        <w:rPr>
          <w:rFonts w:hint="eastAsia" w:ascii="宋体" w:hAnsi="宋体" w:cs="宋体"/>
          <w:bCs/>
          <w:color w:val="auto"/>
          <w:sz w:val="24"/>
          <w:highlight w:val="none"/>
        </w:rPr>
        <w:t xml:space="preserve">中标</w:t>
      </w:r>
      <w:r>
        <w:rPr>
          <w:rFonts w:hint="eastAsia" w:ascii="宋体" w:hAnsi="宋体" w:cs="宋体"/>
          <w:color w:val="auto"/>
          <w:sz w:val="24"/>
          <w:highlight w:val="none"/>
        </w:rPr>
        <w:t xml:space="preserve">项目；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（2）无正当理由不与采购人签订合同；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（3）在签订合同时向采购人提出附加条件或者更改合同实质性内容的。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3.中标供应商不得将本项目转让和转包第三方。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4.中标供应商必须无条件地接受采购人的考核监督，考核情况作为支付服务费用的依据。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5.如遇国家和省、市级迎检、重大活动保障及自然灾害时，中标供应商必须服从采购人统一安排，增加管理服务人员，所需费用由中标供应商综合考虑，中标后不作增加。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中标供应商应在整个服务期间对其为本项目工作的人员投保意外伤害险；还应为其为完成本项目的设备、车辆购买财产保险，其投保金额应足以现场重置。办理保险的一切费用均由中标供应商承担，并已包括在报价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本项目服务期满前2个月，采购人将采用招标或其他方式确定下一期项目服务供应商。如本次中标供应商未能中标，其必须积极配合采购人和新中标供应商无条件做好交接手续，不得出现服务真空，否则采购人保留追究中标供应商因其未能及时完成交接手续所带来损失的权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8.中标供应商服务人员在服务期间因正常服务或采购人派遣的委托项目任务内造成的任何人员伤亡事故，均由中标供应商全权承担一切责任及经济赔偿、损失，采购人不承担任何责任及经济赔偿、损失。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中标供应商应遵守安全生产的有关管理规定，严格按照安全标准开展服务工作，采取必要的安全防护措施，消除隐患。由于中标供应商管理或安全措施不力造成周边环境破坏或事故的责任和因此发生的费用，由中标供应商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中标供应商负责处理，由中标供应商承担一切责任及经济赔偿、损失，采购人不承担任何责任及经济赔偿、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13.验收标准：采购人根据国家有关规定、招标文件、中标供应商的响应文件以及合同约定的内容和考核标准进行验收，验收情况作为支付服务费用的依据。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14.根据国家扶持中小企业的有关政策，本项目中标供应商，如需要政府采购合同融资，请按</w:t>
      </w:r>
      <w:r>
        <w:rPr>
          <w:rFonts w:hint="eastAsia" w:ascii="宋体" w:hAnsi="宋体" w:cs="宋体"/>
          <w:bCs/>
          <w:color w:val="auto"/>
          <w:sz w:val="24"/>
          <w:highlight w:val="none"/>
        </w:rPr>
        <w:t xml:space="preserve">《关于开展政府采购合同融资工作的通知》（锡财购 〔2020〕17号）、《关于进一步推进政府采购合同融资工作的通知》（ 锡财购〔2022〕7号）文件执行</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15.中标供应商为</w:t>
      </w:r>
      <w:r>
        <w:rPr>
          <w:rFonts w:hint="eastAsia" w:ascii="宋体" w:hAnsi="宋体" w:cs="宋体"/>
          <w:bCs/>
          <w:color w:val="auto"/>
          <w:sz w:val="24"/>
          <w:highlight w:val="none"/>
        </w:rPr>
        <w:t xml:space="preserve">中小微企业或监狱企业或残疾人福</w:t>
      </w:r>
      <w:r>
        <w:rPr>
          <w:rFonts w:hint="eastAsia" w:ascii="宋体" w:hAnsi="宋体" w:cs="宋体"/>
          <w:color w:val="auto"/>
          <w:sz w:val="24"/>
          <w:highlight w:val="none"/>
        </w:rPr>
        <w:t xml:space="preserve">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中华人民共和国政府采购法》第七十七条第一款的规定追究法律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 </w:t>
      </w:r>
      <w:r/>
    </w:p>
    <w:p>
      <w:pPr>
        <w:spacing w:line="360" w:lineRule="auto"/>
        <w:rPr>
          <w:rFonts w:hint="eastAsia" w:ascii="宋体" w:hAnsi="宋体" w:cs="宋体"/>
          <w:b/>
          <w:bCs/>
          <w:color w:val="auto"/>
          <w:sz w:val="24"/>
          <w:szCs w:val="24"/>
          <w:highlight w:val="none"/>
          <w:lang w:val="zh-CN"/>
        </w:rPr>
        <w:sectPr>
          <w:headerReference w:type="default" r:id="rId9"/>
          <w:headerReference w:type="first" r:id="rId10"/>
          <w:footerReference w:type="default" r:id="rId12"/>
          <w:footnotePr/>
          <w:endnotePr/>
          <w:type w:val="nextPage"/>
          <w:pgSz w:w="11906" w:h="16838" w:orient="portrait"/>
          <w:pgMar w:top="1440" w:right="1080" w:bottom="1440" w:left="1080" w:header="624" w:footer="907" w:gutter="0"/>
          <w:cols w:num="1" w:sep="0" w:space="1701" w:equalWidth="1"/>
          <w:docGrid w:linePitch="360"/>
        </w:sectPr>
      </w:pPr>
      <w:r>
        <w:rPr>
          <w:rFonts w:hint="eastAsia" w:ascii="宋体" w:hAnsi="宋体" w:cs="宋体"/>
          <w:b/>
          <w:bCs/>
          <w:color w:val="auto"/>
          <w:sz w:val="24"/>
          <w:szCs w:val="24"/>
          <w:highlight w:val="none"/>
          <w:lang w:val="zh-CN"/>
        </w:rPr>
      </w:r>
      <w:r/>
    </w:p>
    <w:p>
      <w:pP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附件一：河道水质巡查表</w:t>
      </w:r>
      <w:r/>
    </w:p>
    <w:p>
      <w:pPr>
        <w:ind w:firstLine="11400"/>
        <w:spacing w:line="360" w:lineRule="auto"/>
        <w:rPr>
          <w:rFonts w:hint="eastAsia" w:ascii="宋体" w:hAnsi="宋体" w:cs="宋体"/>
          <w:b/>
          <w:bCs/>
          <w:color w:val="auto"/>
          <w:sz w:val="24"/>
          <w:szCs w:val="24"/>
          <w:highlight w:val="none"/>
          <w:lang w:val="zh-CN"/>
        </w:rPr>
      </w:pPr>
      <w:r>
        <w:rPr>
          <w:rFonts w:hint="eastAsia" w:ascii="仿宋_GB2312" w:eastAsia="仿宋_GB2312"/>
          <w:color w:val="auto"/>
          <w:sz w:val="30"/>
          <w:szCs w:val="30"/>
          <w:highlight w:val="none"/>
        </w:rPr>
        <w:t xml:space="preserve"> 年     月     日</w:t>
      </w:r>
      <w:r/>
    </w:p>
    <w:tbl>
      <w:tblPr>
        <w:tblStyle w:val="779"/>
        <w:tblW w:w="14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8"/>
        <w:gridCol w:w="2482"/>
        <w:gridCol w:w="2872"/>
        <w:gridCol w:w="1333"/>
        <w:gridCol w:w="1333"/>
        <w:gridCol w:w="1335"/>
        <w:gridCol w:w="2030"/>
        <w:gridCol w:w="1933"/>
      </w:tblGrid>
      <w:tr>
        <w:trPr>
          <w:jc w:val="center"/>
          <w:trHeight w:val="575"/>
        </w:trPr>
        <w:tc>
          <w:tcPr>
            <w:tcW w:w="1058" w:type="dxa"/>
            <w:vAlign w:val="center"/>
            <w:vMerge w:val="restart"/>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序号</w:t>
            </w:r>
            <w:r/>
          </w:p>
        </w:tc>
        <w:tc>
          <w:tcPr>
            <w:tcW w:w="2482" w:type="dxa"/>
            <w:vAlign w:val="center"/>
            <w:vMerge w:val="restart"/>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河道名称</w:t>
            </w:r>
            <w:r/>
          </w:p>
        </w:tc>
        <w:tc>
          <w:tcPr>
            <w:tcW w:w="2872" w:type="dxa"/>
            <w:vAlign w:val="center"/>
            <w:vMerge w:val="restart"/>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异常地点位置</w:t>
            </w:r>
            <w:r/>
          </w:p>
        </w:tc>
        <w:tc>
          <w:tcPr>
            <w:gridSpan w:val="3"/>
            <w:tcW w:w="4001" w:type="dxa"/>
            <w:vAlign w:val="center"/>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异常类别</w:t>
            </w:r>
            <w:r/>
          </w:p>
        </w:tc>
        <w:tc>
          <w:tcPr>
            <w:tcW w:w="2030" w:type="dxa"/>
            <w:vAlign w:val="center"/>
            <w:vMerge w:val="restart"/>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备注</w:t>
            </w:r>
            <w:r/>
          </w:p>
        </w:tc>
        <w:tc>
          <w:tcPr>
            <w:tcW w:w="1933" w:type="dxa"/>
            <w:vAlign w:val="center"/>
            <w:vMerge w:val="restart"/>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发现人姓名</w:t>
            </w:r>
            <w:r/>
          </w:p>
        </w:tc>
      </w:tr>
      <w:tr>
        <w:trPr>
          <w:jc w:val="center"/>
          <w:trHeight w:val="801"/>
        </w:trPr>
        <w:tc>
          <w:tcPr>
            <w:tcW w:w="1058" w:type="dxa"/>
            <w:vMerge w:val="continue"/>
            <w:textDirection w:val="lrTb"/>
            <w:noWrap w:val="false"/>
          </w:tcPr>
          <w:p>
            <w:pPr>
              <w:jc w:val="center"/>
              <w:widowControl/>
              <w:rPr>
                <w:rFonts w:ascii="仿宋_GB2312" w:eastAsia="仿宋_GB2312"/>
                <w:color w:val="auto"/>
                <w:szCs w:val="21"/>
                <w:highlight w:val="none"/>
              </w:rPr>
            </w:pPr>
            <w:r>
              <w:rPr>
                <w:rFonts w:ascii="仿宋_GB2312" w:eastAsia="仿宋_GB2312"/>
                <w:color w:val="auto"/>
                <w:szCs w:val="21"/>
                <w:highlight w:val="none"/>
              </w:rPr>
            </w:r>
            <w:r/>
          </w:p>
        </w:tc>
        <w:tc>
          <w:tcPr>
            <w:tcW w:w="2482" w:type="dxa"/>
            <w:vMerge w:val="continue"/>
            <w:textDirection w:val="lrTb"/>
            <w:noWrap w:val="false"/>
          </w:tcPr>
          <w:p>
            <w:pPr>
              <w:jc w:val="center"/>
              <w:widowControl/>
              <w:rPr>
                <w:rFonts w:ascii="仿宋_GB2312" w:eastAsia="仿宋_GB2312"/>
                <w:color w:val="auto"/>
                <w:szCs w:val="21"/>
                <w:highlight w:val="none"/>
              </w:rPr>
            </w:pPr>
            <w:r>
              <w:rPr>
                <w:rFonts w:ascii="仿宋_GB2312" w:eastAsia="仿宋_GB2312"/>
                <w:color w:val="auto"/>
                <w:szCs w:val="21"/>
                <w:highlight w:val="none"/>
              </w:rPr>
            </w:r>
            <w:r/>
          </w:p>
        </w:tc>
        <w:tc>
          <w:tcPr>
            <w:tcW w:w="2872" w:type="dxa"/>
            <w:vMerge w:val="continue"/>
            <w:textDirection w:val="lrTb"/>
            <w:noWrap w:val="false"/>
          </w:tcPr>
          <w:p>
            <w:pPr>
              <w:jc w:val="cente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企业</w:t>
            </w:r>
            <w:r/>
          </w:p>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排污</w:t>
            </w:r>
            <w:r/>
          </w:p>
        </w:tc>
        <w:tc>
          <w:tcPr>
            <w:tcW w:w="1333" w:type="dxa"/>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雨水管非正常排水</w:t>
            </w:r>
            <w:r/>
          </w:p>
        </w:tc>
        <w:tc>
          <w:tcPr>
            <w:tcW w:w="1335" w:type="dxa"/>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污水管</w:t>
            </w:r>
            <w:r/>
          </w:p>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渗漏</w:t>
            </w:r>
            <w:r/>
          </w:p>
        </w:tc>
        <w:tc>
          <w:tcPr>
            <w:tcW w:w="2030" w:type="dxa"/>
            <w:vMerge w:val="continue"/>
            <w:textDirection w:val="lrTb"/>
            <w:noWrap w:val="false"/>
          </w:tcPr>
          <w:p>
            <w:pPr>
              <w:jc w:val="center"/>
              <w:widowControl/>
              <w:rPr>
                <w:rFonts w:ascii="仿宋_GB2312" w:eastAsia="仿宋_GB2312"/>
                <w:color w:val="auto"/>
                <w:szCs w:val="21"/>
                <w:highlight w:val="none"/>
              </w:rPr>
            </w:pPr>
            <w:r>
              <w:rPr>
                <w:rFonts w:ascii="仿宋_GB2312" w:eastAsia="仿宋_GB2312"/>
                <w:color w:val="auto"/>
                <w:szCs w:val="21"/>
                <w:highlight w:val="none"/>
              </w:rPr>
            </w:r>
            <w:r/>
          </w:p>
        </w:tc>
        <w:tc>
          <w:tcPr>
            <w:tcW w:w="1933" w:type="dxa"/>
            <w:vMerge w:val="continue"/>
            <w:textDirection w:val="lrTb"/>
            <w:noWrap w:val="false"/>
          </w:tcPr>
          <w:p>
            <w:pPr>
              <w:jc w:val="center"/>
              <w:widowControl/>
              <w:rPr>
                <w:rFonts w:ascii="仿宋_GB2312" w:eastAsia="仿宋_GB2312"/>
                <w:color w:val="auto"/>
                <w:szCs w:val="21"/>
                <w:highlight w:val="none"/>
              </w:rPr>
            </w:pPr>
            <w:r>
              <w:rPr>
                <w:rFonts w:ascii="仿宋_GB2312" w:eastAsia="仿宋_GB2312"/>
                <w:color w:val="auto"/>
                <w:szCs w:val="21"/>
                <w:highlight w:val="none"/>
              </w:rPr>
            </w:r>
            <w:r/>
          </w:p>
        </w:tc>
      </w:tr>
      <w:tr>
        <w:trPr>
          <w:jc w:val="center"/>
          <w:trHeight w:val="834"/>
        </w:trPr>
        <w:tc>
          <w:tcPr>
            <w:tcW w:w="1058" w:type="dxa"/>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1</w:t>
            </w:r>
            <w:r/>
          </w:p>
        </w:tc>
        <w:tc>
          <w:tcPr>
            <w:tcW w:w="2482"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2872"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5"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2030"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9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r>
      <w:tr>
        <w:trPr>
          <w:jc w:val="center"/>
          <w:trHeight w:val="834"/>
        </w:trPr>
        <w:tc>
          <w:tcPr>
            <w:tcW w:w="1058" w:type="dxa"/>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2</w:t>
            </w:r>
            <w:r/>
          </w:p>
        </w:tc>
        <w:tc>
          <w:tcPr>
            <w:tcW w:w="2482"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2872"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5"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2030"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9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r>
      <w:tr>
        <w:trPr>
          <w:jc w:val="center"/>
          <w:trHeight w:val="834"/>
        </w:trPr>
        <w:tc>
          <w:tcPr>
            <w:tcW w:w="1058" w:type="dxa"/>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3</w:t>
            </w:r>
            <w:r/>
          </w:p>
        </w:tc>
        <w:tc>
          <w:tcPr>
            <w:tcW w:w="2482"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2872"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5"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2030"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9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r>
      <w:tr>
        <w:trPr>
          <w:jc w:val="center"/>
          <w:trHeight w:val="834"/>
        </w:trPr>
        <w:tc>
          <w:tcPr>
            <w:tcW w:w="1058" w:type="dxa"/>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4</w:t>
            </w:r>
            <w:r/>
          </w:p>
        </w:tc>
        <w:tc>
          <w:tcPr>
            <w:tcW w:w="2482"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2872"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5"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2030"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9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r>
      <w:tr>
        <w:trPr>
          <w:jc w:val="center"/>
          <w:trHeight w:val="834"/>
        </w:trPr>
        <w:tc>
          <w:tcPr>
            <w:tcW w:w="1058" w:type="dxa"/>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6</w:t>
            </w:r>
            <w:r/>
          </w:p>
        </w:tc>
        <w:tc>
          <w:tcPr>
            <w:tcW w:w="2482"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2872"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5"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2030"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9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r>
      <w:tr>
        <w:trPr>
          <w:jc w:val="center"/>
          <w:trHeight w:val="849"/>
        </w:trPr>
        <w:tc>
          <w:tcPr>
            <w:tcW w:w="1058" w:type="dxa"/>
            <w:textDirection w:val="lrTb"/>
            <w:noWrap w:val="false"/>
          </w:tcPr>
          <w:p>
            <w:pPr>
              <w:jc w:val="center"/>
              <w:widowControl/>
              <w:rPr>
                <w:rFonts w:ascii="仿宋_GB2312" w:eastAsia="仿宋_GB2312"/>
                <w:color w:val="auto"/>
                <w:szCs w:val="21"/>
                <w:highlight w:val="none"/>
              </w:rPr>
            </w:pPr>
            <w:r>
              <w:rPr>
                <w:rFonts w:hint="eastAsia" w:ascii="仿宋_GB2312" w:eastAsia="仿宋_GB2312"/>
                <w:color w:val="auto"/>
                <w:szCs w:val="21"/>
                <w:highlight w:val="none"/>
              </w:rPr>
              <w:t xml:space="preserve">7</w:t>
            </w:r>
            <w:r/>
          </w:p>
        </w:tc>
        <w:tc>
          <w:tcPr>
            <w:tcW w:w="2482"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2872"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335"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2030"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c>
          <w:tcPr>
            <w:tcW w:w="1933" w:type="dxa"/>
            <w:textDirection w:val="lrTb"/>
            <w:noWrap w:val="false"/>
          </w:tcPr>
          <w:p>
            <w:pPr>
              <w:widowControl/>
              <w:rPr>
                <w:rFonts w:ascii="仿宋_GB2312" w:eastAsia="仿宋_GB2312"/>
                <w:color w:val="auto"/>
                <w:szCs w:val="21"/>
                <w:highlight w:val="none"/>
              </w:rPr>
            </w:pPr>
            <w:r>
              <w:rPr>
                <w:rFonts w:ascii="仿宋_GB2312" w:eastAsia="仿宋_GB2312"/>
                <w:color w:val="auto"/>
                <w:szCs w:val="21"/>
                <w:highlight w:val="none"/>
              </w:rPr>
            </w:r>
            <w:r/>
          </w:p>
        </w:tc>
      </w:tr>
    </w:tbl>
    <w:p>
      <w:pPr>
        <w:spacing w:line="360" w:lineRule="auto"/>
        <w:rPr>
          <w:rFonts w:ascii="仿宋_GB2312" w:eastAsia="仿宋_GB2312"/>
          <w:color w:val="auto"/>
          <w:sz w:val="24"/>
          <w:highlight w:val="none"/>
        </w:rPr>
        <w:sectPr>
          <w:footnotePr/>
          <w:endnotePr/>
          <w:type w:val="nextPage"/>
          <w:pgSz w:w="16838" w:h="11906" w:orient="landscape"/>
          <w:pgMar w:top="1080" w:right="1440" w:bottom="1080" w:left="1440" w:header="624" w:footer="907" w:gutter="0"/>
          <w:cols w:num="1" w:sep="0" w:space="1701" w:equalWidth="1"/>
          <w:docGrid w:linePitch="360"/>
        </w:sectPr>
      </w:pPr>
      <w:r>
        <w:rPr>
          <w:rFonts w:hint="eastAsia" w:ascii="仿宋_GB2312" w:eastAsia="仿宋_GB2312"/>
          <w:color w:val="auto"/>
          <w:sz w:val="24"/>
          <w:highlight w:val="none"/>
        </w:rPr>
        <w:t xml:space="preserve">发现问题在异常类别中打√此表要求每日上报街道，联系人：     ，联系QQ：      , 联系电话：   </w:t>
      </w:r>
      <w:r/>
    </w:p>
    <w:p>
      <w:pPr>
        <w:jc w:val="center"/>
        <w:rPr>
          <w:rFonts w:hint="eastAsia" w:ascii="宋体" w:hAnsi="宋体" w:cs="宋体"/>
          <w:b/>
          <w:bCs/>
          <w:color w:val="auto"/>
          <w:sz w:val="24"/>
          <w:szCs w:val="24"/>
          <w:highlight w:val="none"/>
        </w:rPr>
      </w:pPr>
      <w:r>
        <w:rPr>
          <w:rFonts w:hint="eastAsia" w:ascii="宋体" w:hAnsi="宋体" w:cs="宋体"/>
          <w:b/>
          <w:bCs/>
          <w:color w:val="auto"/>
          <w:sz w:val="30"/>
          <w:szCs w:val="30"/>
          <w:highlight w:val="none"/>
        </w:rPr>
        <w:t xml:space="preserve">附件二：太科园（新安街道）河道水生态长效运维养护考核评分标准</w:t>
      </w:r>
      <w:r/>
    </w:p>
    <w:tbl>
      <w:tblPr>
        <w:tblStyle w:val="815"/>
        <w:tblpPr w:horzAnchor="page" w:tblpX="627" w:vertAnchor="text" w:tblpY="156" w:leftFromText="180" w:topFromText="0" w:rightFromText="180" w:bottomFromText="0"/>
        <w:tblW w:w="15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5563"/>
        <w:gridCol w:w="628"/>
        <w:gridCol w:w="8441"/>
        <w:gridCol w:w="726"/>
      </w:tblGrid>
      <w:tr>
        <w:trPr>
          <w:trHeight w:val="430"/>
        </w:trPr>
        <w:tc>
          <w:tcPr>
            <w:tcW w:w="600" w:type="dxa"/>
            <w:vAlign w:val="center"/>
            <w:textDirection w:val="lrTb"/>
            <w:noWrap w:val="false"/>
          </w:tcPr>
          <w:p>
            <w:pPr>
              <w:jc w:val="center"/>
              <w:spacing w:line="24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序号</w:t>
            </w:r>
            <w:r/>
          </w:p>
        </w:tc>
        <w:tc>
          <w:tcPr>
            <w:tcW w:w="5563" w:type="dxa"/>
            <w:vAlign w:val="center"/>
            <w:textDirection w:val="lrTb"/>
            <w:noWrap w:val="false"/>
          </w:tcPr>
          <w:p>
            <w:pPr>
              <w:jc w:val="center"/>
              <w:spacing w:line="24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考核内容</w:t>
            </w:r>
            <w:r/>
          </w:p>
        </w:tc>
        <w:tc>
          <w:tcPr>
            <w:tcW w:w="628" w:type="dxa"/>
            <w:vAlign w:val="center"/>
            <w:textDirection w:val="lrTb"/>
            <w:noWrap w:val="false"/>
          </w:tcPr>
          <w:p>
            <w:pPr>
              <w:jc w:val="center"/>
              <w:spacing w:line="24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标准分</w:t>
            </w:r>
            <w:r/>
          </w:p>
        </w:tc>
        <w:tc>
          <w:tcPr>
            <w:tcW w:w="8441" w:type="dxa"/>
            <w:vAlign w:val="center"/>
            <w:textDirection w:val="lrTb"/>
            <w:noWrap w:val="false"/>
          </w:tcPr>
          <w:p>
            <w:pPr>
              <w:jc w:val="center"/>
              <w:spacing w:line="24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扣分标准</w:t>
            </w:r>
            <w:r/>
          </w:p>
        </w:tc>
        <w:tc>
          <w:tcPr>
            <w:tcW w:w="726" w:type="dxa"/>
            <w:vAlign w:val="center"/>
            <w:textDirection w:val="lrTb"/>
            <w:noWrap w:val="false"/>
          </w:tcPr>
          <w:p>
            <w:pPr>
              <w:jc w:val="center"/>
              <w:spacing w:line="24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考核得分</w:t>
            </w:r>
            <w:r/>
          </w:p>
        </w:tc>
      </w:tr>
      <w:tr>
        <w:trPr>
          <w:trHeight w:val="1746"/>
        </w:trPr>
        <w:tc>
          <w:tcPr>
            <w:tcW w:w="600"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1</w:t>
            </w:r>
            <w:r/>
          </w:p>
        </w:tc>
        <w:tc>
          <w:tcPr>
            <w:tcW w:w="5563" w:type="dxa"/>
            <w:vAlign w:val="center"/>
            <w:textDirection w:val="lrTb"/>
            <w:noWrap w:val="false"/>
          </w:tcPr>
          <w:p>
            <w:pPr>
              <w:jc w:val="left"/>
              <w:spacing w:line="240" w:lineRule="exact"/>
              <w:rPr>
                <w:rFonts w:hint="eastAsia" w:ascii="宋体" w:hAnsi="宋体" w:cs="宋体"/>
                <w:bCs/>
                <w:color w:val="auto"/>
                <w:sz w:val="18"/>
                <w:szCs w:val="18"/>
                <w:highlight w:val="none"/>
              </w:rPr>
            </w:pPr>
            <w:r>
              <w:rPr>
                <w:rFonts w:hint="eastAsia" w:ascii="宋体" w:hAnsi="宋体" w:cs="宋体"/>
                <w:b/>
                <w:color w:val="auto"/>
                <w:sz w:val="18"/>
                <w:szCs w:val="18"/>
                <w:highlight w:val="none"/>
              </w:rPr>
              <w:t xml:space="preserve">水质：</w:t>
            </w:r>
            <w:r>
              <w:rPr>
                <w:rFonts w:hint="eastAsia" w:ascii="宋体" w:hAnsi="宋体" w:cs="宋体"/>
                <w:bCs/>
                <w:color w:val="auto"/>
                <w:sz w:val="18"/>
                <w:szCs w:val="18"/>
                <w:highlight w:val="none"/>
              </w:rPr>
              <w:t xml:space="preserve">河道年平均水质主要指标(氨氮、总磷、高锰酸盐指数、化学需氧量等)稳定达到地表</w:t>
            </w:r>
            <w:r>
              <w:rPr>
                <w:rFonts w:hint="eastAsia" w:ascii="微软雅黑" w:hAnsi="微软雅黑" w:eastAsia="微软雅黑" w:cs="微软雅黑"/>
                <w:bCs/>
                <w:color w:val="auto"/>
                <w:sz w:val="18"/>
                <w:szCs w:val="18"/>
                <w:highlight w:val="none"/>
              </w:rPr>
              <w:t xml:space="preserve">Ⅲ</w:t>
            </w:r>
            <w:r>
              <w:rPr>
                <w:rFonts w:hint="eastAsia" w:ascii="宋体" w:hAnsi="宋体" w:cs="宋体"/>
                <w:bCs/>
                <w:color w:val="auto"/>
                <w:sz w:val="18"/>
                <w:szCs w:val="18"/>
                <w:highlight w:val="none"/>
              </w:rPr>
              <w:t xml:space="preserve">类水标准，同时满足上级各项要求，透明度不低于80cm。（由环保部门提供相关水质数据）</w:t>
            </w:r>
            <w:r/>
          </w:p>
        </w:tc>
        <w:tc>
          <w:tcPr>
            <w:tcW w:w="628"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30</w:t>
            </w:r>
            <w:r/>
          </w:p>
        </w:tc>
        <w:tc>
          <w:tcPr>
            <w:tcW w:w="8441" w:type="dxa"/>
            <w:vAlign w:val="center"/>
            <w:textDirection w:val="lrTb"/>
            <w:noWrap w:val="false"/>
          </w:tcPr>
          <w:p>
            <w:pPr>
              <w:jc w:val="left"/>
              <w:spacing w:line="240" w:lineRule="exact"/>
              <w:rPr>
                <w:rFonts w:hint="eastAsia" w:ascii="宋体" w:hAnsi="宋体" w:cs="宋体"/>
                <w:color w:val="auto"/>
                <w:sz w:val="18"/>
                <w:szCs w:val="18"/>
                <w:highlight w:val="none"/>
              </w:rPr>
            </w:pPr>
            <w:r>
              <w:rPr>
                <w:rFonts w:ascii="宋体" w:hAnsi="宋体" w:cs="宋体"/>
                <w:color w:val="auto"/>
                <w:sz w:val="18"/>
                <w:szCs w:val="18"/>
                <w:highlight w:val="none"/>
              </w:rPr>
              <w:t xml:space="preserve">（1）大溪港、兴源河断面水质满足上级考核要求，水质单月四类水一次扣5分，五类及劣五类一次扣10分；</w:t>
            </w:r>
            <w:r/>
          </w:p>
          <w:p>
            <w:pPr>
              <w:jc w:val="left"/>
              <w:spacing w:line="240" w:lineRule="exact"/>
              <w:rPr>
                <w:rFonts w:hint="eastAsia" w:ascii="宋体" w:hAnsi="宋体" w:cs="宋体"/>
                <w:color w:val="auto"/>
                <w:sz w:val="18"/>
                <w:szCs w:val="18"/>
                <w:highlight w:val="none"/>
              </w:rPr>
            </w:pPr>
            <w:r>
              <w:rPr>
                <w:rFonts w:ascii="宋体" w:hAnsi="宋体" w:cs="宋体"/>
                <w:color w:val="auto"/>
                <w:sz w:val="18"/>
                <w:szCs w:val="18"/>
                <w:highlight w:val="none"/>
              </w:rPr>
              <w:t xml:space="preserve">（2）省、市各项检查、通报（大溪港、兴源河除外），水质单月四类水一次扣2分，五类水一次扣3分，劣五类一次扣5分；</w:t>
            </w:r>
            <w:r/>
          </w:p>
          <w:p>
            <w:pPr>
              <w:jc w:val="left"/>
              <w:spacing w:line="240" w:lineRule="exact"/>
              <w:rPr>
                <w:rFonts w:hint="eastAsia" w:ascii="宋体" w:hAnsi="宋体" w:cs="宋体"/>
                <w:color w:val="auto"/>
                <w:sz w:val="18"/>
                <w:szCs w:val="18"/>
                <w:highlight w:val="none"/>
              </w:rPr>
            </w:pPr>
            <w:r>
              <w:rPr>
                <w:rFonts w:ascii="宋体" w:hAnsi="宋体" w:cs="宋体"/>
                <w:color w:val="auto"/>
                <w:sz w:val="18"/>
                <w:szCs w:val="18"/>
                <w:highlight w:val="none"/>
              </w:rPr>
              <w:t xml:space="preserve">（3）区级抽查水质，四类水一次扣1分，五类水一次扣2分，劣五类一次扣3分；</w:t>
            </w:r>
            <w:r/>
          </w:p>
          <w:p>
            <w:pPr>
              <w:jc w:val="left"/>
              <w:spacing w:line="240" w:lineRule="exact"/>
              <w:rPr>
                <w:rFonts w:hint="eastAsia" w:ascii="宋体" w:hAnsi="宋体" w:cs="宋体"/>
                <w:color w:val="auto"/>
                <w:sz w:val="18"/>
                <w:szCs w:val="18"/>
                <w:highlight w:val="none"/>
              </w:rPr>
            </w:pPr>
            <w:r>
              <w:rPr>
                <w:rFonts w:ascii="宋体" w:hAnsi="宋体" w:cs="宋体"/>
                <w:color w:val="auto"/>
                <w:sz w:val="18"/>
                <w:szCs w:val="18"/>
                <w:highlight w:val="none"/>
              </w:rPr>
              <w:t xml:space="preserve">（4）街道对河道进行抽测氨氮指标，四类水一次扣0.5分，五类水一次扣1分，劣五类一次扣2分；</w:t>
            </w:r>
            <w:r/>
          </w:p>
          <w:p>
            <w:pPr>
              <w:jc w:val="left"/>
              <w:spacing w:line="240" w:lineRule="exact"/>
              <w:rPr>
                <w:rFonts w:hint="eastAsia" w:ascii="宋体" w:hAnsi="宋体" w:cs="宋体"/>
                <w:color w:val="auto"/>
                <w:sz w:val="18"/>
                <w:szCs w:val="18"/>
                <w:highlight w:val="none"/>
              </w:rPr>
            </w:pPr>
            <w:r>
              <w:rPr>
                <w:rFonts w:ascii="宋体" w:hAnsi="宋体" w:cs="宋体"/>
                <w:color w:val="auto"/>
                <w:sz w:val="18"/>
                <w:szCs w:val="18"/>
                <w:highlight w:val="none"/>
              </w:rPr>
              <w:t xml:space="preserve">（5）中、大、暴雨天气，三天后透明度低于80cm，一次扣2分。</w:t>
            </w:r>
            <w:r/>
          </w:p>
        </w:tc>
        <w:tc>
          <w:tcPr>
            <w:tcW w:w="726" w:type="dxa"/>
            <w:vAlign w:val="center"/>
            <w:textDirection w:val="lrTb"/>
            <w:noWrap w:val="false"/>
          </w:tcPr>
          <w:p>
            <w:p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1018"/>
        </w:trPr>
        <w:tc>
          <w:tcPr>
            <w:tcW w:w="600"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2</w:t>
            </w:r>
            <w:r/>
          </w:p>
        </w:tc>
        <w:tc>
          <w:tcPr>
            <w:tcW w:w="5563" w:type="dxa"/>
            <w:vAlign w:val="center"/>
            <w:textDirection w:val="lrTb"/>
            <w:noWrap w:val="false"/>
          </w:tcPr>
          <w:p>
            <w:pPr>
              <w:jc w:val="left"/>
              <w:spacing w:line="240" w:lineRule="exact"/>
              <w:rPr>
                <w:rFonts w:hint="eastAsia" w:ascii="宋体" w:hAnsi="宋体" w:cs="宋体"/>
                <w:bCs/>
                <w:color w:val="auto"/>
                <w:sz w:val="18"/>
                <w:szCs w:val="18"/>
                <w:highlight w:val="none"/>
              </w:rPr>
            </w:pPr>
            <w:r>
              <w:rPr>
                <w:rFonts w:hint="eastAsia" w:ascii="宋体" w:hAnsi="宋体" w:cs="宋体"/>
                <w:b/>
                <w:color w:val="auto"/>
                <w:sz w:val="18"/>
                <w:szCs w:val="18"/>
                <w:highlight w:val="none"/>
              </w:rPr>
              <w:t xml:space="preserve">水生植物养护：</w:t>
            </w:r>
            <w:r>
              <w:rPr>
                <w:rFonts w:hint="eastAsia" w:ascii="宋体" w:hAnsi="宋体" w:cs="宋体"/>
                <w:bCs/>
                <w:color w:val="auto"/>
                <w:sz w:val="18"/>
                <w:szCs w:val="18"/>
                <w:highlight w:val="none"/>
              </w:rPr>
              <w:t xml:space="preserve">根据水生植物生长实际情况及时进行收割、补种，确保河道内水草覆盖率、成活率达到90%以上，且水草低于水面20厘米，不泛滥。</w:t>
            </w:r>
            <w:r/>
          </w:p>
          <w:p>
            <w:pPr>
              <w:jc w:val="left"/>
              <w:spacing w:line="240" w:lineRule="exact"/>
              <w:rPr>
                <w:rFonts w:hint="eastAsia" w:ascii="宋体" w:hAnsi="宋体" w:cs="宋体"/>
                <w:bCs/>
                <w:color w:val="auto"/>
                <w:sz w:val="18"/>
                <w:szCs w:val="18"/>
                <w:highlight w:val="none"/>
              </w:rPr>
            </w:pPr>
            <w:r>
              <w:rPr>
                <w:rFonts w:hint="eastAsia" w:ascii="宋体" w:hAnsi="宋体" w:cs="宋体"/>
                <w:b/>
                <w:color w:val="auto"/>
                <w:sz w:val="18"/>
                <w:szCs w:val="18"/>
                <w:highlight w:val="none"/>
              </w:rPr>
              <w:t xml:space="preserve">水面保洁：</w:t>
            </w:r>
            <w:r>
              <w:rPr>
                <w:rFonts w:hint="eastAsia" w:ascii="宋体" w:hAnsi="宋体" w:cs="宋体"/>
                <w:bCs/>
                <w:color w:val="auto"/>
                <w:sz w:val="18"/>
                <w:szCs w:val="18"/>
                <w:highlight w:val="none"/>
              </w:rPr>
              <w:t xml:space="preserve">水面无白色垃圾、落叶等漂浮物，杂物、垃圾滞留时间不超过5小时。主要桥梁、通道视野范围内无漂浮物，河面整体感官良好。</w:t>
            </w:r>
            <w:r/>
          </w:p>
        </w:tc>
        <w:tc>
          <w:tcPr>
            <w:tcW w:w="628"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20</w:t>
            </w:r>
            <w:r/>
          </w:p>
        </w:tc>
        <w:tc>
          <w:tcPr>
            <w:tcW w:w="8441" w:type="dxa"/>
            <w:vAlign w:val="center"/>
            <w:textDirection w:val="lrTb"/>
            <w:noWrap w:val="false"/>
          </w:tcPr>
          <w:p>
            <w:pPr>
              <w:numPr>
                <w:ilvl w:val="0"/>
                <w:numId w:val="20"/>
              </w:num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未对水生植物进行及时收割导致水草泛滥（大于50平方米）的一次扣2分；</w:t>
            </w:r>
            <w:r/>
          </w:p>
          <w:p>
            <w:pPr>
              <w:numPr>
                <w:ilvl w:val="0"/>
                <w:numId w:val="20"/>
              </w:num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水生植物收割后未及时清运，造成二次污染或投诉工单的，一次扣1分；</w:t>
            </w:r>
            <w:r/>
          </w:p>
          <w:p>
            <w:pPr>
              <w:numPr>
                <w:ilvl w:val="0"/>
                <w:numId w:val="20"/>
              </w:num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以河道为单位，覆盖率、成活率未达到90%以上的，一次扣2分；</w:t>
            </w:r>
            <w:r/>
          </w:p>
          <w:p>
            <w:pPr>
              <w:numPr>
                <w:ilvl w:val="0"/>
                <w:numId w:val="20"/>
              </w:num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每发现3点或者1平</w:t>
            </w:r>
            <w:r>
              <w:rPr>
                <w:rFonts w:hint="eastAsia" w:ascii="宋体" w:hAnsi="宋体" w:cs="宋体"/>
                <w:bCs/>
                <w:color w:val="auto"/>
                <w:sz w:val="18"/>
                <w:szCs w:val="18"/>
                <w:highlight w:val="none"/>
                <w:lang w:eastAsia="zh-CN"/>
              </w:rPr>
              <w:t xml:space="preserve">方米</w:t>
            </w:r>
            <w:r>
              <w:rPr>
                <w:rFonts w:hint="eastAsia" w:ascii="宋体" w:hAnsi="宋体" w:cs="宋体"/>
                <w:bCs/>
                <w:color w:val="auto"/>
                <w:sz w:val="18"/>
                <w:szCs w:val="18"/>
                <w:highlight w:val="none"/>
              </w:rPr>
              <w:t xml:space="preserve">的漂浮垃圾计为1处，每处扣1分。</w:t>
            </w:r>
            <w:r/>
          </w:p>
        </w:tc>
        <w:tc>
          <w:tcPr>
            <w:tcW w:w="726" w:type="dxa"/>
            <w:vAlign w:val="center"/>
            <w:textDirection w:val="lrTb"/>
            <w:noWrap w:val="false"/>
          </w:tcPr>
          <w:p>
            <w:p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813"/>
        </w:trPr>
        <w:tc>
          <w:tcPr>
            <w:tcW w:w="600"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3</w:t>
            </w:r>
            <w:r/>
          </w:p>
        </w:tc>
        <w:tc>
          <w:tcPr>
            <w:tcW w:w="5563" w:type="dxa"/>
            <w:vAlign w:val="center"/>
            <w:textDirection w:val="lrTb"/>
            <w:noWrap w:val="false"/>
          </w:tcPr>
          <w:p>
            <w:pPr>
              <w:jc w:val="left"/>
              <w:spacing w:line="24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t xml:space="preserve">水质保护的相关设施设备正常运行：</w:t>
            </w:r>
            <w:r>
              <w:rPr>
                <w:rFonts w:hint="eastAsia" w:ascii="宋体" w:hAnsi="宋体" w:cs="宋体"/>
                <w:bCs/>
                <w:color w:val="auto"/>
                <w:sz w:val="18"/>
                <w:szCs w:val="18"/>
                <w:highlight w:val="none"/>
              </w:rPr>
              <w:t xml:space="preserve">对河道内的截流井、曝气、增氧、围隔等各类设施设备开展日常检查、养护，及时维修，确保正常使用。</w:t>
            </w:r>
            <w:r/>
          </w:p>
        </w:tc>
        <w:tc>
          <w:tcPr>
            <w:tcW w:w="628"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15</w:t>
            </w:r>
            <w:r/>
          </w:p>
        </w:tc>
        <w:tc>
          <w:tcPr>
            <w:tcW w:w="8441" w:type="dxa"/>
            <w:vAlign w:val="center"/>
            <w:textDirection w:val="lrTb"/>
            <w:noWrap w:val="false"/>
          </w:tcPr>
          <w:p>
            <w:pPr>
              <w:numPr>
                <w:ilvl w:val="0"/>
                <w:numId w:val="21"/>
              </w:numPr>
              <w:jc w:val="left"/>
              <w:spacing w:line="240" w:lineRule="exact"/>
              <w:rPr>
                <w:color w:val="auto"/>
                <w:sz w:val="18"/>
                <w:szCs w:val="21"/>
                <w:highlight w:val="none"/>
              </w:rPr>
            </w:pPr>
            <w:r>
              <w:rPr>
                <w:rFonts w:hint="eastAsia" w:ascii="宋体" w:hAnsi="宋体" w:cs="宋体"/>
                <w:bCs/>
                <w:color w:val="auto"/>
                <w:sz w:val="18"/>
                <w:szCs w:val="18"/>
                <w:highlight w:val="none"/>
              </w:rPr>
              <w:t xml:space="preserve">设备保养不到位导致不能正常使用的，发现一次，扣1分；</w:t>
            </w:r>
            <w:r/>
          </w:p>
          <w:p>
            <w:pPr>
              <w:numPr>
                <w:ilvl w:val="0"/>
                <w:numId w:val="21"/>
              </w:numPr>
              <w:jc w:val="left"/>
              <w:spacing w:line="240" w:lineRule="exact"/>
              <w:rPr>
                <w:color w:val="auto"/>
                <w:sz w:val="18"/>
                <w:szCs w:val="21"/>
                <w:highlight w:val="none"/>
              </w:rPr>
            </w:pPr>
            <w:r>
              <w:rPr>
                <w:rFonts w:hint="eastAsia" w:ascii="宋体" w:hAnsi="宋体" w:cs="宋体"/>
                <w:bCs/>
                <w:color w:val="auto"/>
                <w:sz w:val="18"/>
                <w:szCs w:val="18"/>
                <w:highlight w:val="none"/>
              </w:rPr>
              <w:t xml:space="preserve">设备应启用运行而未正常启用运行，发现一次，扣1分；</w:t>
            </w:r>
            <w:r/>
          </w:p>
          <w:p>
            <w:p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（3）设备不能正常运行，导致污水入河、水质（污染扩散至20米外）低于三类标准的，一次扣3分。</w:t>
            </w:r>
            <w:r/>
          </w:p>
        </w:tc>
        <w:tc>
          <w:tcPr>
            <w:tcW w:w="726" w:type="dxa"/>
            <w:vAlign w:val="center"/>
            <w:textDirection w:val="lrTb"/>
            <w:noWrap w:val="false"/>
          </w:tcPr>
          <w:p>
            <w:p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895"/>
        </w:trPr>
        <w:tc>
          <w:tcPr>
            <w:tcW w:w="600"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4</w:t>
            </w:r>
            <w:r/>
          </w:p>
        </w:tc>
        <w:tc>
          <w:tcPr>
            <w:tcW w:w="5563" w:type="dxa"/>
            <w:vAlign w:val="center"/>
            <w:textDirection w:val="lrTb"/>
            <w:noWrap w:val="false"/>
          </w:tcPr>
          <w:p>
            <w:pPr>
              <w:jc w:val="left"/>
              <w:spacing w:line="24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t xml:space="preserve">突发应急处置：</w:t>
            </w:r>
            <w:r>
              <w:rPr>
                <w:rFonts w:hint="eastAsia" w:ascii="宋体" w:hAnsi="宋体" w:cs="宋体"/>
                <w:bCs/>
                <w:color w:val="auto"/>
                <w:sz w:val="18"/>
                <w:szCs w:val="18"/>
                <w:highlight w:val="none"/>
              </w:rPr>
              <w:t xml:space="preserve">日常巡查中，发现有排污、油污或受到其他突发情况导致水体受到污染，及时上报街道环保、水利部门，采取有关措施，防止污染进一步扩散，保障河道水质安全。</w:t>
            </w:r>
            <w:r/>
          </w:p>
        </w:tc>
        <w:tc>
          <w:tcPr>
            <w:tcW w:w="628"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15</w:t>
            </w:r>
            <w:r/>
          </w:p>
        </w:tc>
        <w:tc>
          <w:tcPr>
            <w:tcW w:w="8441" w:type="dxa"/>
            <w:vAlign w:val="center"/>
            <w:textDirection w:val="lrTb"/>
            <w:noWrap w:val="false"/>
          </w:tcPr>
          <w:p>
            <w:p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（1）突发情况水体受到污染后，需立即响应，5天内恢复水质3类水体，不达标一次扣2分。</w:t>
            </w:r>
            <w:r/>
          </w:p>
          <w:p>
            <w:p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（2）中、大、暴雨后，3天内恢复水质3类水体，不达标的一次扣2分。</w:t>
            </w:r>
            <w:r/>
          </w:p>
          <w:p>
            <w:p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（3）被省、市、区领导签批并通报的、媒体曝光的，在规定时间内未及时处理</w:t>
            </w:r>
            <w:r>
              <w:rPr>
                <w:rFonts w:hint="eastAsia" w:ascii="宋体" w:hAnsi="宋体" w:cs="宋体"/>
                <w:bCs/>
                <w:color w:val="auto"/>
                <w:sz w:val="18"/>
                <w:szCs w:val="18"/>
                <w:highlight w:val="none"/>
              </w:rPr>
              <w:t xml:space="preserve">出现舆情的</w:t>
            </w:r>
            <w:r>
              <w:rPr>
                <w:rFonts w:hint="eastAsia" w:ascii="宋体" w:hAnsi="宋体" w:cs="宋体"/>
                <w:bCs/>
                <w:color w:val="auto"/>
                <w:sz w:val="18"/>
                <w:szCs w:val="18"/>
                <w:highlight w:val="none"/>
              </w:rPr>
              <w:t xml:space="preserve">，</w:t>
            </w:r>
            <w:r>
              <w:rPr>
                <w:rFonts w:hint="eastAsia" w:ascii="宋体" w:hAnsi="宋体" w:cs="宋体"/>
                <w:color w:val="auto"/>
                <w:sz w:val="18"/>
                <w:szCs w:val="18"/>
                <w:highlight w:val="none"/>
              </w:rPr>
              <w:t xml:space="preserve">一次扣5分。</w:t>
            </w:r>
            <w:r/>
          </w:p>
        </w:tc>
        <w:tc>
          <w:tcPr>
            <w:tcW w:w="726" w:type="dxa"/>
            <w:vAlign w:val="center"/>
            <w:textDirection w:val="lrTb"/>
            <w:noWrap w:val="false"/>
          </w:tcPr>
          <w:p>
            <w:p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946"/>
        </w:trPr>
        <w:tc>
          <w:tcPr>
            <w:tcW w:w="600"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5</w:t>
            </w:r>
            <w:r/>
          </w:p>
        </w:tc>
        <w:tc>
          <w:tcPr>
            <w:tcW w:w="5563" w:type="dxa"/>
            <w:vAlign w:val="center"/>
            <w:textDirection w:val="lrTb"/>
            <w:noWrap w:val="false"/>
          </w:tcPr>
          <w:p>
            <w:pPr>
              <w:jc w:val="left"/>
              <w:spacing w:line="240" w:lineRule="exact"/>
              <w:rPr>
                <w:rFonts w:hint="eastAsia" w:ascii="宋体" w:hAnsi="宋体" w:cs="宋体"/>
                <w:bCs/>
                <w:color w:val="auto"/>
                <w:sz w:val="18"/>
                <w:szCs w:val="18"/>
                <w:highlight w:val="none"/>
              </w:rPr>
            </w:pPr>
            <w:r>
              <w:rPr>
                <w:rFonts w:hint="eastAsia" w:ascii="宋体" w:hAnsi="宋体" w:cs="宋体"/>
                <w:b/>
                <w:color w:val="auto"/>
                <w:sz w:val="18"/>
                <w:szCs w:val="18"/>
                <w:highlight w:val="none"/>
              </w:rPr>
              <w:t xml:space="preserve">外来物种防治：</w:t>
            </w:r>
            <w:r>
              <w:rPr>
                <w:rFonts w:hint="eastAsia" w:ascii="宋体" w:hAnsi="宋体" w:cs="宋体"/>
                <w:bCs/>
                <w:color w:val="auto"/>
                <w:sz w:val="18"/>
                <w:szCs w:val="18"/>
                <w:highlight w:val="none"/>
              </w:rPr>
              <w:t xml:space="preserve">水生态河道沿线的福寿螺及其他外来物种的巡查、防治工作，防止出现蔓延扩散，确保水体内物种平衡、水质保障。</w:t>
            </w:r>
            <w:r/>
          </w:p>
          <w:p>
            <w:pPr>
              <w:jc w:val="left"/>
              <w:spacing w:line="240" w:lineRule="exact"/>
              <w:rPr>
                <w:rFonts w:hint="eastAsia" w:ascii="宋体" w:hAnsi="宋体" w:cs="宋体"/>
                <w:bCs/>
                <w:color w:val="auto"/>
                <w:sz w:val="18"/>
                <w:szCs w:val="18"/>
                <w:highlight w:val="none"/>
              </w:rPr>
            </w:pPr>
            <w:r>
              <w:rPr>
                <w:rFonts w:hint="eastAsia" w:ascii="宋体" w:hAnsi="宋体" w:cs="宋体"/>
                <w:b/>
                <w:color w:val="auto"/>
                <w:sz w:val="18"/>
                <w:szCs w:val="18"/>
                <w:highlight w:val="none"/>
              </w:rPr>
              <w:t xml:space="preserve">生物多样性：</w:t>
            </w:r>
            <w:r>
              <w:rPr>
                <w:rFonts w:hint="eastAsia" w:ascii="宋体" w:hAnsi="宋体" w:cs="宋体"/>
                <w:bCs/>
                <w:color w:val="auto"/>
                <w:sz w:val="18"/>
                <w:szCs w:val="18"/>
                <w:highlight w:val="none"/>
              </w:rPr>
              <w:t xml:space="preserve">向大溪港、兴源河中适量投入微生物、底栖动物，达到考核要求。（由环保部门提供相关数据）</w:t>
            </w:r>
            <w:r/>
          </w:p>
        </w:tc>
        <w:tc>
          <w:tcPr>
            <w:tcW w:w="628"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10</w:t>
            </w:r>
            <w:r/>
          </w:p>
        </w:tc>
        <w:tc>
          <w:tcPr>
            <w:tcW w:w="8441" w:type="dxa"/>
            <w:vAlign w:val="center"/>
            <w:textDirection w:val="lrTb"/>
            <w:noWrap w:val="false"/>
          </w:tcPr>
          <w:p>
            <w:pPr>
              <w:numPr>
                <w:ilvl w:val="0"/>
                <w:numId w:val="22"/>
              </w:num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未做好巡查、防治工作，导致外来物种扩散、蔓延的，</w:t>
            </w:r>
            <w:r>
              <w:rPr>
                <w:rFonts w:hint="eastAsia" w:ascii="宋体" w:hAnsi="宋体" w:cs="宋体"/>
                <w:bCs/>
                <w:color w:val="auto"/>
                <w:sz w:val="18"/>
                <w:szCs w:val="18"/>
                <w:highlight w:val="none"/>
              </w:rPr>
              <w:t xml:space="preserve">一次扣3分；</w:t>
            </w:r>
            <w:r/>
          </w:p>
          <w:p>
            <w:pPr>
              <w:numPr>
                <w:ilvl w:val="0"/>
                <w:numId w:val="22"/>
              </w:num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因</w:t>
            </w:r>
            <w:r>
              <w:rPr>
                <w:rFonts w:hint="eastAsia" w:ascii="宋体" w:hAnsi="宋体" w:cs="宋体"/>
                <w:bCs/>
                <w:color w:val="auto"/>
                <w:sz w:val="18"/>
                <w:szCs w:val="18"/>
                <w:highlight w:val="none"/>
              </w:rPr>
              <w:t xml:space="preserve">巡查、防治</w:t>
            </w:r>
            <w:r>
              <w:rPr>
                <w:rFonts w:hint="eastAsia" w:ascii="宋体" w:hAnsi="宋体" w:cs="宋体"/>
                <w:bCs/>
                <w:color w:val="auto"/>
                <w:sz w:val="18"/>
                <w:szCs w:val="18"/>
                <w:highlight w:val="none"/>
              </w:rPr>
              <w:t xml:space="preserve">不及时造成投诉工单的，一次扣1分；</w:t>
            </w:r>
            <w:r/>
          </w:p>
          <w:p>
            <w:pPr>
              <w:numPr>
                <w:ilvl w:val="0"/>
                <w:numId w:val="22"/>
              </w:num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大溪港、兴源河断面生物多样性不达标的，一次扣2分。</w:t>
            </w:r>
            <w:r/>
          </w:p>
        </w:tc>
        <w:tc>
          <w:tcPr>
            <w:tcW w:w="726" w:type="dxa"/>
            <w:vAlign w:val="center"/>
            <w:textDirection w:val="lrTb"/>
            <w:noWrap w:val="false"/>
          </w:tcPr>
          <w:p>
            <w:p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687"/>
        </w:trPr>
        <w:tc>
          <w:tcPr>
            <w:tcW w:w="600"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6</w:t>
            </w:r>
            <w:r/>
          </w:p>
        </w:tc>
        <w:tc>
          <w:tcPr>
            <w:tcW w:w="5563" w:type="dxa"/>
            <w:vAlign w:val="center"/>
            <w:textDirection w:val="lrTb"/>
            <w:noWrap w:val="false"/>
          </w:tcPr>
          <w:p>
            <w:pPr>
              <w:jc w:val="left"/>
              <w:spacing w:line="24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t xml:space="preserve">作业人员安全防护管理要求：</w:t>
            </w:r>
            <w:r>
              <w:rPr>
                <w:rFonts w:hint="eastAsia" w:ascii="宋体" w:hAnsi="宋体" w:cs="宋体"/>
                <w:color w:val="auto"/>
                <w:sz w:val="18"/>
                <w:szCs w:val="18"/>
                <w:highlight w:val="none"/>
              </w:rPr>
              <w:t xml:space="preserve">作业人员在水上作业时，必须按水上作业规范正确穿戴救生衣等安全防护装备，水上作业时需保持2人及2人以上共同作业。</w:t>
            </w:r>
            <w:r/>
          </w:p>
        </w:tc>
        <w:tc>
          <w:tcPr>
            <w:tcW w:w="628"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5</w:t>
            </w:r>
            <w:r/>
          </w:p>
        </w:tc>
        <w:tc>
          <w:tcPr>
            <w:tcW w:w="8441" w:type="dxa"/>
            <w:vAlign w:val="center"/>
            <w:textDirection w:val="lrTb"/>
            <w:noWrap w:val="false"/>
          </w:tcPr>
          <w:p>
            <w:pPr>
              <w:jc w:val="left"/>
              <w:spacing w:line="24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（1）发现水上作业人员未按</w:t>
            </w:r>
            <w:r>
              <w:rPr>
                <w:rFonts w:hint="eastAsia" w:ascii="宋体" w:hAnsi="宋体" w:cs="宋体"/>
                <w:bCs/>
                <w:color w:val="auto"/>
                <w:sz w:val="18"/>
                <w:szCs w:val="18"/>
                <w:highlight w:val="none"/>
              </w:rPr>
              <w:t xml:space="preserve">安全生产要求</w:t>
            </w:r>
            <w:r>
              <w:rPr>
                <w:rFonts w:hint="eastAsia" w:ascii="宋体" w:hAnsi="宋体" w:cs="宋体"/>
                <w:color w:val="auto"/>
                <w:sz w:val="18"/>
                <w:szCs w:val="18"/>
                <w:highlight w:val="none"/>
              </w:rPr>
              <w:t xml:space="preserve">作业的，一次扣0.5分；</w:t>
            </w:r>
            <w:r/>
          </w:p>
          <w:p>
            <w:pPr>
              <w:jc w:val="left"/>
              <w:spacing w:line="240" w:lineRule="exact"/>
              <w:rPr>
                <w:color w:val="auto"/>
                <w:sz w:val="18"/>
                <w:szCs w:val="21"/>
                <w:highlight w:val="none"/>
              </w:rPr>
            </w:pPr>
            <w:r>
              <w:rPr>
                <w:rFonts w:hint="eastAsia" w:ascii="宋体" w:hAnsi="宋体" w:cs="宋体"/>
                <w:bCs/>
                <w:color w:val="auto"/>
                <w:sz w:val="18"/>
                <w:szCs w:val="18"/>
                <w:highlight w:val="none"/>
              </w:rPr>
              <w:t xml:space="preserve">（2）</w:t>
            </w:r>
            <w:r>
              <w:rPr>
                <w:rFonts w:hint="eastAsia" w:ascii="宋体" w:hAnsi="宋体" w:cs="宋体"/>
                <w:color w:val="auto"/>
                <w:sz w:val="18"/>
                <w:szCs w:val="18"/>
                <w:highlight w:val="none"/>
              </w:rPr>
              <w:t xml:space="preserve">若因水上作业人员未按规定穿戴救生衣等防护措施导致安全事故发生，一次扣3分。</w:t>
            </w:r>
            <w:r/>
          </w:p>
        </w:tc>
        <w:tc>
          <w:tcPr>
            <w:tcW w:w="726" w:type="dxa"/>
            <w:vAlign w:val="center"/>
            <w:textDirection w:val="lrTb"/>
            <w:noWrap w:val="false"/>
          </w:tcPr>
          <w:p>
            <w:p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412"/>
        </w:trPr>
        <w:tc>
          <w:tcPr>
            <w:tcW w:w="600"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7</w:t>
            </w:r>
            <w:r/>
          </w:p>
        </w:tc>
        <w:tc>
          <w:tcPr>
            <w:tcW w:w="5563" w:type="dxa"/>
            <w:vAlign w:val="center"/>
            <w:textDirection w:val="lrTb"/>
            <w:noWrap w:val="false"/>
          </w:tcPr>
          <w:p>
            <w:pPr>
              <w:jc w:val="left"/>
              <w:spacing w:line="240" w:lineRule="exact"/>
              <w:rPr>
                <w:rFonts w:hint="eastAsia" w:ascii="宋体" w:hAnsi="宋体" w:cs="宋体"/>
                <w:b/>
                <w:color w:val="auto"/>
                <w:sz w:val="18"/>
                <w:szCs w:val="18"/>
                <w:highlight w:val="none"/>
              </w:rPr>
            </w:pPr>
            <w:r>
              <w:rPr>
                <w:rFonts w:hint="eastAsia" w:ascii="宋体" w:hAnsi="宋体" w:cs="宋体"/>
                <w:b/>
                <w:color w:val="auto"/>
                <w:sz w:val="18"/>
                <w:szCs w:val="18"/>
                <w:highlight w:val="none"/>
              </w:rPr>
              <w:t xml:space="preserve">其他：</w:t>
            </w:r>
            <w:r>
              <w:rPr>
                <w:rFonts w:hint="eastAsia" w:ascii="宋体" w:hAnsi="宋体" w:cs="宋体"/>
                <w:color w:val="auto"/>
                <w:sz w:val="18"/>
                <w:szCs w:val="18"/>
                <w:highlight w:val="none"/>
              </w:rPr>
              <w:t xml:space="preserve">配合做好各类迎检工作，及时配合街道做好各项相关工作。</w:t>
            </w:r>
            <w:r/>
          </w:p>
        </w:tc>
        <w:tc>
          <w:tcPr>
            <w:tcW w:w="628" w:type="dxa"/>
            <w:vAlign w:val="center"/>
            <w:textDirection w:val="lrTb"/>
            <w:noWrap w:val="false"/>
          </w:tcPr>
          <w:p>
            <w:pPr>
              <w:jc w:val="center"/>
              <w:spacing w:line="24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W w:w="8441" w:type="dxa"/>
            <w:vAlign w:val="center"/>
            <w:textDirection w:val="lrTb"/>
            <w:noWrap w:val="false"/>
          </w:tcPr>
          <w:p>
            <w:pPr>
              <w:numPr>
                <w:ilvl w:val="0"/>
                <w:numId w:val="23"/>
              </w:numPr>
              <w:jc w:val="left"/>
              <w:spacing w:line="24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未按时、按要求做好迎检相关工作的，一次扣1分；</w:t>
            </w:r>
            <w:r/>
          </w:p>
          <w:p>
            <w:pPr>
              <w:jc w:val="left"/>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（2）</w:t>
            </w:r>
            <w:r>
              <w:rPr>
                <w:rFonts w:hint="eastAsia" w:ascii="宋体" w:hAnsi="宋体" w:cs="宋体"/>
                <w:color w:val="auto"/>
                <w:sz w:val="18"/>
                <w:szCs w:val="18"/>
                <w:highlight w:val="none"/>
              </w:rPr>
              <w:t xml:space="preserve">未及时配合街道做好各项相关工作的，一次扣1分。</w:t>
            </w:r>
            <w:r/>
          </w:p>
        </w:tc>
        <w:tc>
          <w:tcPr>
            <w:tcW w:w="726" w:type="dxa"/>
            <w:vAlign w:val="center"/>
            <w:textDirection w:val="lrTb"/>
            <w:noWrap w:val="false"/>
          </w:tcPr>
          <w:p>
            <w:pPr>
              <w:jc w:val="left"/>
              <w:spacing w:line="24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42"/>
        </w:trPr>
        <w:tc>
          <w:tcPr>
            <w:tcW w:w="600" w:type="dxa"/>
            <w:vAlign w:val="center"/>
            <w:textDirection w:val="lrTb"/>
            <w:noWrap w:val="false"/>
          </w:tcPr>
          <w:p>
            <w:pPr>
              <w:jc w:val="center"/>
              <w:spacing w:line="24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W w:w="14632" w:type="dxa"/>
            <w:vAlign w:val="center"/>
            <w:textDirection w:val="lrTb"/>
            <w:noWrap w:val="false"/>
          </w:tcPr>
          <w:p>
            <w:pPr>
              <w:jc w:val="left"/>
              <w:spacing w:line="240" w:lineRule="exact"/>
              <w:rPr>
                <w:rFonts w:hint="eastAsia" w:ascii="宋体" w:hAnsi="宋体" w:cs="宋体"/>
                <w:color w:val="auto"/>
                <w:sz w:val="18"/>
                <w:szCs w:val="18"/>
                <w:highlight w:val="none"/>
              </w:rPr>
            </w:pPr>
            <w:r>
              <w:rPr>
                <w:rFonts w:hint="eastAsia" w:ascii="宋体" w:hAnsi="宋体" w:cs="宋体"/>
                <w:b/>
                <w:color w:val="auto"/>
                <w:sz w:val="18"/>
                <w:szCs w:val="18"/>
                <w:highlight w:val="none"/>
              </w:rPr>
              <w:t xml:space="preserve">合计得分：</w:t>
            </w:r>
            <w:r/>
          </w:p>
        </w:tc>
        <w:tc>
          <w:tcPr>
            <w:tcW w:w="726" w:type="dxa"/>
            <w:vAlign w:val="center"/>
            <w:textDirection w:val="lrTb"/>
            <w:noWrap w:val="false"/>
          </w:tcPr>
          <w:p>
            <w:pPr>
              <w:jc w:val="left"/>
              <w:spacing w:line="24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bl>
    <w:p>
      <w:pPr>
        <w:jc w:val="left"/>
        <w:spacing w:line="300" w:lineRule="exact"/>
        <w:rPr>
          <w:color w:val="auto"/>
          <w:highlight w:val="none"/>
        </w:rPr>
      </w:pPr>
      <w:r>
        <w:rPr>
          <w:rFonts w:hint="eastAsia" w:ascii="宋体" w:hAnsi="宋体" w:cs="宋体"/>
          <w:color w:val="auto"/>
          <w:sz w:val="18"/>
          <w:szCs w:val="18"/>
          <w:highlight w:val="none"/>
        </w:rPr>
        <w:t xml:space="preserve">备注：①满分100分，单位月考核得分在95-100分（含95分），不扣当月运维养护费用；得分在90-94分（含90分），区间5分，每扣1分扣除当月运维养护经费的0.5%；得分在80-89分（含80分），区间10分，每扣1分扣除当月运维养护经费的1%；得分＜80分，扣除当月运维养护费用的30％；连续三个月80分以下的，扣除第三个月运维养护费用的100％并在2个月内达到标准，否则招标人有权终止合同。</w:t>
      </w:r>
      <w:r/>
    </w:p>
    <w:p>
      <w:pPr>
        <w:spacing w:line="360" w:lineRule="auto"/>
        <w:rPr>
          <w:rFonts w:hint="eastAsia" w:ascii="宋体" w:hAnsi="宋体" w:cs="宋体"/>
          <w:b/>
          <w:bCs/>
          <w:color w:val="auto"/>
          <w:sz w:val="30"/>
          <w:szCs w:val="30"/>
          <w:highlight w:val="none"/>
          <w:lang w:val="zh-CN"/>
        </w:rPr>
        <w:sectPr>
          <w:footnotePr/>
          <w:endnotePr/>
          <w:type w:val="nextPage"/>
          <w:pgSz w:w="16838" w:h="11906" w:orient="landscape"/>
          <w:pgMar w:top="1080" w:right="1440" w:bottom="1080" w:left="1440" w:header="624" w:footer="907" w:gutter="0"/>
          <w:cols w:num="1" w:sep="0" w:space="1701" w:equalWidth="1"/>
          <w:docGrid w:linePitch="360"/>
        </w:sectPr>
      </w:pPr>
      <w:r>
        <w:rPr>
          <w:rFonts w:hint="eastAsia" w:ascii="宋体" w:hAnsi="宋体" w:cs="宋体"/>
          <w:b/>
          <w:bCs/>
          <w:color w:val="auto"/>
          <w:sz w:val="30"/>
          <w:szCs w:val="30"/>
          <w:highlight w:val="none"/>
          <w:lang w:val="zh-CN"/>
        </w:rPr>
      </w:r>
      <w:bookmarkEnd w:id="12"/>
      <w:r/>
      <w:r/>
    </w:p>
    <w:p>
      <w:pPr>
        <w:jc w:val="left"/>
        <w:spacing w:line="360" w:lineRule="auto"/>
        <w:widowControl/>
        <w:rPr>
          <w:b/>
          <w:bCs/>
          <w:color w:val="auto"/>
          <w:sz w:val="32"/>
          <w:szCs w:val="24"/>
          <w:highlight w:val="none"/>
        </w:rPr>
      </w:pPr>
      <w:r>
        <w:rPr>
          <w:rFonts w:hint="eastAsia"/>
          <w:b/>
          <w:bCs/>
          <w:color w:val="auto"/>
          <w:sz w:val="32"/>
          <w:szCs w:val="24"/>
          <w:highlight w:val="none"/>
        </w:rPr>
        <w:t xml:space="preserve">附件三：河道水生态长效运维养护项目考核办法</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为加强太科园（新安街道）辖区河道水体的长效运维管理，规范运维作业行为，量化运维管理工作质量，定期对水体运维情况进行考核检查，全面提升水体运维管理水平，推进水体运维工作标准化、科学化、规范化建设，满足人民群众生产生活和休闲游览需求，根据有关法律法规及合同约定，制定本考核办法。</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一、指导思想</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以营造整洁、优美、舒适、和谐的水生态人居环境为目标，完善监管手段，扩展监管广度，增加检查频次，提升考核强度，落实水体运维作业质量监管的长效、动态管理机制，切实保障河道水质稳定达标。</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二、考核范围与对象</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（一）考核范围</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考核范围为太科园（新安街道）河道水生态长效运维养护项目合同约定的全部养护河道。</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（二）考核对象</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考核对象为承担本项目的河道水体运维养护单位（以下简称"运维单位"）。</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（三）考核内容</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考核内容包括水质保障、河面保洁、水生植物养护、水质保护设施设备运行维护、突发应急处置、外来物种防治与生物多样性、作业人员安全防护管理、配合迎检及协作工作。</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三、考核方式与频次</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1.日常月度考核，每月月初对上月运维情况进行考核，全年共考核12次；</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2.年终进行年度考核，全年考核1次，以上级考核通报为准。</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（一）水质考核</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1.考核内容：河道年平均水质主要指标(氨氮、总磷、高锰酸盐指数、化学需氧量等)稳定达到地表Ⅲ类水标准，同时满足上级各项要求，透明度不低于80cm。（由环保部门提供相关水质数据）。</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考核断面内的河道，要求河道水体达到或优于国家《地表水环境质量标准》（GB3838-2002）Ⅲ类水质标准；不在考核断面内的河道，以街道抽测河道断面快检指标为依据（仅检测氨氮指标），要求河道水体达到或优于国家《地表水环境质量标准》（GB3838-2002）Ⅲ类水质标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3.考核细则</w:t>
      </w:r>
      <w:r/>
    </w:p>
    <w:p>
      <w:pPr>
        <w:ind w:firstLine="480"/>
        <w:jc w:val="left"/>
        <w:spacing w:line="360" w:lineRule="auto"/>
        <w:widowControl/>
        <w:rPr>
          <w:color w:val="auto"/>
          <w:sz w:val="24"/>
          <w:szCs w:val="21"/>
          <w:highlight w:val="none"/>
        </w:rPr>
      </w:pPr>
      <w:r>
        <w:rPr>
          <w:color w:val="auto"/>
          <w:sz w:val="24"/>
          <w:szCs w:val="21"/>
          <w:highlight w:val="none"/>
        </w:rPr>
        <w:t xml:space="preserve">（1）大溪港、兴源河断面水质满足上级考核要求，水质单月四类水一次扣5分，五类及劣五类一次扣10分；</w:t>
      </w:r>
      <w:r/>
    </w:p>
    <w:p>
      <w:pPr>
        <w:ind w:firstLine="480"/>
        <w:jc w:val="left"/>
        <w:spacing w:line="360" w:lineRule="auto"/>
        <w:widowControl/>
        <w:rPr>
          <w:color w:val="auto"/>
          <w:sz w:val="24"/>
          <w:szCs w:val="21"/>
          <w:highlight w:val="none"/>
        </w:rPr>
      </w:pPr>
      <w:r>
        <w:rPr>
          <w:color w:val="auto"/>
          <w:sz w:val="24"/>
          <w:szCs w:val="21"/>
          <w:highlight w:val="none"/>
        </w:rPr>
        <w:t xml:space="preserve">（2）省、市各项检查、通报（大溪港、兴源河除外），水质单月四类水一次扣2分，五类水一次扣3分，劣五类一次扣5分；</w:t>
      </w:r>
      <w:r/>
    </w:p>
    <w:p>
      <w:pPr>
        <w:ind w:firstLine="480"/>
        <w:jc w:val="left"/>
        <w:spacing w:line="360" w:lineRule="auto"/>
        <w:widowControl/>
        <w:rPr>
          <w:color w:val="auto"/>
          <w:sz w:val="24"/>
          <w:szCs w:val="21"/>
          <w:highlight w:val="none"/>
        </w:rPr>
      </w:pPr>
      <w:r>
        <w:rPr>
          <w:color w:val="auto"/>
          <w:sz w:val="24"/>
          <w:szCs w:val="21"/>
          <w:highlight w:val="none"/>
        </w:rPr>
        <w:t xml:space="preserve">（3）区级抽查水质，四类水一次扣1分，五类水一次扣2分，劣五类一次扣3分；</w:t>
      </w:r>
      <w:r/>
    </w:p>
    <w:p>
      <w:pPr>
        <w:ind w:firstLine="480"/>
        <w:jc w:val="left"/>
        <w:spacing w:line="360" w:lineRule="auto"/>
        <w:widowControl/>
        <w:rPr>
          <w:color w:val="auto"/>
          <w:sz w:val="24"/>
          <w:szCs w:val="21"/>
          <w:highlight w:val="none"/>
        </w:rPr>
      </w:pPr>
      <w:r>
        <w:rPr>
          <w:color w:val="auto"/>
          <w:sz w:val="24"/>
          <w:szCs w:val="21"/>
          <w:highlight w:val="none"/>
        </w:rPr>
        <w:t xml:space="preserve">（4）街道对河道进行抽测氨氮指标，四类水一次扣0.5分，五类水一次扣1分，劣五类一次扣2分；</w:t>
      </w:r>
      <w:r/>
    </w:p>
    <w:p>
      <w:pPr>
        <w:ind w:firstLine="480"/>
        <w:jc w:val="left"/>
        <w:spacing w:line="360" w:lineRule="auto"/>
        <w:widowControl/>
        <w:rPr>
          <w:color w:val="auto"/>
          <w:sz w:val="24"/>
          <w:szCs w:val="21"/>
          <w:highlight w:val="none"/>
        </w:rPr>
      </w:pPr>
      <w:r>
        <w:rPr>
          <w:color w:val="auto"/>
          <w:sz w:val="24"/>
          <w:szCs w:val="21"/>
          <w:highlight w:val="none"/>
        </w:rPr>
        <w:t xml:space="preserve">（5）中、大、暴雨天气，三天后透明度低于80cm，一次扣2分。</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（二）水生植物养护</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1.考核内容：根据水生植物生长实际情况及时进行收割、补种，确保河道内水草覆盖率、成活率达到90%以上，且水草低于水面20厘米，不泛滥。</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2.考核细则</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（1）未对水生植物进行及时收割导致水草泛滥（大于50平方米）的一次扣2分；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（2）水生植物收割后未及时清运，造成二次污染或投诉工单的，一次扣1分；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（3）以河道为单位，覆盖率、成活率未达到90%以上的，一次扣2分；</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（三）水面保洁</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1.考核内容：水面无白色垃圾、落叶等漂浮物，杂物、垃圾滞留时间不超过5小时。主要桥梁、通道视野范围内无漂浮物，河面整体感官良好。</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2.考核细则：每发现3点或者1平方米的漂浮垃圾计为1处，每处扣1分。</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（四）水质保护的相关设施设备</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1.考核内容：对河道内的截流井、曝气、增氧、围隔等各类设施设备开展日常检查、养护，及时维修，确保正常使用。</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2.考核细则</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（1）设备保养不到位导致不能正常使用的，发现一次，扣1分；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（2）设备应启用运行而未正常启用运行，发现一次，扣1分；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（3）设备不能正常运行，导致污水入河、水质（污染扩散至20米外）低于三类标准的，一次扣3分。</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（五）突发应急处置</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1.考核内容：日常巡查中，发现有排污、油污或受到其他突发情况导致水体受到污染，及时上报街道环保、水利部门，采取有关措施，防止污染进一步扩散，保障河道水质安全。</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2.考核细则</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（1）突发情况水体受到污染后，需立即响应，5天内恢复水质3类水体，不达标一次扣2分；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（2）中、大、暴雨后，3天内恢复水质3类水体，不达标的一次扣2分；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（3）被省、市、区领导签批并通报的、媒体曝光的，在规定时间内未及时处理出现舆情的，一次扣5分。</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（六）外来物种防治</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1.考核内容：水生态河道沿线的福寿螺及其他外来物种的巡查、防治工作，防止出现蔓延扩散，确保水体内物种平衡、水质保障。</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2.考核细则</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（1）未做好巡查、防治工作，导致外来物种扩散、蔓延的，一次扣3分；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（2）因巡查、防治不及时造成投诉工单的，一次扣1分。</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（七）生物多样性考核</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1.考核内容：向大溪港、兴源河中适量投入微生物、底栖动物，达到考核要求。</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2.考核细则：大溪港、兴源河断面生物多样性考核不达标的，一次扣2分。</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（八）其他情况</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若发生以下情况，相关记录作为考核的重要补充依据，具体规定如下：</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1.被市第三方监管平台拍摄到违规或问题，每一起扣1分，规定期限内整改不到位的，在当月考核中双倍扣分；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2.在市、区级考核中被扣分，每一起扣1分，规定期限内整改不到位的，在当月考核中双倍扣分；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3.项目运维过程中，收到“12345”政务服务热线、城管精细化平台及其他投诉渠道收到的有效投诉，视情节严重程度每一起扣1—3分。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4.受到区级及以上部门通报批评或领导批示的，每一起扣1—3分；受到区级及以上部门通报表彰的、媒体正面报道的，每一起加1—3分。</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四、考核评分标准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月度考核采用百分制，各项考核内容及扣分标准见附件二《</w:t>
      </w:r>
      <w:r>
        <w:rPr>
          <w:rFonts w:hint="eastAsia" w:ascii="宋体" w:hAnsi="宋体" w:cs="宋体"/>
          <w:b/>
          <w:bCs/>
          <w:color w:val="auto"/>
          <w:sz w:val="24"/>
          <w:szCs w:val="24"/>
          <w:highlight w:val="none"/>
        </w:rPr>
        <w:t xml:space="preserve">太科园（新安街道）河道水生态长效运维养护考核评分标准</w:t>
      </w:r>
      <w:r>
        <w:rPr>
          <w:rFonts w:hint="eastAsia"/>
          <w:color w:val="auto"/>
          <w:sz w:val="24"/>
          <w:szCs w:val="21"/>
          <w:highlight w:val="none"/>
        </w:rPr>
        <w:t xml:space="preserve">》。考核期间未发生扣分情形的，该项得满分；各项扣分累计超过该项标准分的，该项得0分，不重复扣减。</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五、考核结果及经费奖惩标准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（一）考核结果通报</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月度考核结果于次月初完成汇总，季度结束后向运维单位汇总通报考评成绩（以月考核为准）。运维经费按季度拨付，拨付金额依据该季度各月份的考核评分计算。</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（二）月度经费扣减标准</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月度考核满分100分，各分段经费扣减标准如下：</w:t>
      </w:r>
      <w:r/>
    </w:p>
    <w:tbl>
      <w:tblPr>
        <w:tblStyle w:val="77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972"/>
        <w:gridCol w:w="6100"/>
      </w:tblGrid>
      <w:tr>
        <w:trPr>
          <w:jc w:val="center"/>
          <w:tblHeader/>
        </w:trPr>
        <w:tc>
          <w:tcPr>
            <w:tcBorders>
              <w:top w:val="single" w:color="AAAAAA" w:sz="4" w:space="0"/>
              <w:left w:val="single" w:color="AAAAAA" w:sz="4" w:space="0"/>
              <w:bottom w:val="single" w:color="AAAAAA" w:sz="4" w:space="0"/>
              <w:right w:val="single" w:color="AAAAAA" w:sz="4" w:space="0"/>
            </w:tcBorders>
            <w:tcMar>
              <w:left w:w="120" w:type="dxa"/>
              <w:top w:w="80" w:type="dxa"/>
              <w:right w:w="120" w:type="dxa"/>
              <w:bottom w:w="80" w:type="dxa"/>
            </w:tcMar>
            <w:tcW w:w="2972" w:type="dxa"/>
            <w:vAlign w:val="center"/>
            <w:textDirection w:val="lrTb"/>
            <w:noWrap w:val="false"/>
          </w:tcPr>
          <w:p>
            <w:pPr>
              <w:jc w:val="center"/>
              <w:widowControl/>
              <w:rPr>
                <w:color w:val="auto"/>
                <w:sz w:val="24"/>
                <w:szCs w:val="21"/>
                <w:highlight w:val="none"/>
              </w:rPr>
            </w:pPr>
            <w:r>
              <w:rPr>
                <w:rFonts w:hint="eastAsia"/>
                <w:color w:val="auto"/>
                <w:sz w:val="24"/>
                <w:szCs w:val="21"/>
                <w:highlight w:val="none"/>
              </w:rPr>
              <w:t xml:space="preserve">月度得分区间</w:t>
            </w:r>
            <w:r/>
          </w:p>
        </w:tc>
        <w:tc>
          <w:tcPr>
            <w:tcBorders>
              <w:top w:val="single" w:color="AAAAAA" w:sz="4" w:space="0"/>
              <w:left w:val="single" w:color="AAAAAA" w:sz="4" w:space="0"/>
              <w:bottom w:val="single" w:color="AAAAAA" w:sz="4" w:space="0"/>
              <w:right w:val="single" w:color="AAAAAA" w:sz="4" w:space="0"/>
            </w:tcBorders>
            <w:tcMar>
              <w:left w:w="120" w:type="dxa"/>
              <w:top w:w="80" w:type="dxa"/>
              <w:right w:w="120" w:type="dxa"/>
              <w:bottom w:w="80" w:type="dxa"/>
            </w:tcMar>
            <w:tcW w:w="6100" w:type="dxa"/>
            <w:vAlign w:val="center"/>
            <w:textDirection w:val="lrTb"/>
            <w:noWrap w:val="false"/>
          </w:tcPr>
          <w:p>
            <w:pPr>
              <w:jc w:val="center"/>
              <w:widowControl/>
              <w:rPr>
                <w:color w:val="auto"/>
                <w:sz w:val="24"/>
                <w:szCs w:val="21"/>
                <w:highlight w:val="none"/>
              </w:rPr>
            </w:pPr>
            <w:r>
              <w:rPr>
                <w:rFonts w:hint="eastAsia"/>
                <w:color w:val="auto"/>
                <w:sz w:val="24"/>
                <w:szCs w:val="21"/>
                <w:highlight w:val="none"/>
              </w:rPr>
              <w:t xml:space="preserve">经费扣减规则</w:t>
            </w:r>
            <w:r/>
          </w:p>
        </w:tc>
      </w:tr>
      <w:tr>
        <w:trPr>
          <w:jc w:val="center"/>
        </w:trPr>
        <w:tc>
          <w:tcPr>
            <w:tcBorders>
              <w:top w:val="single" w:color="AAAAAA" w:sz="4" w:space="0"/>
              <w:left w:val="single" w:color="AAAAAA" w:sz="4" w:space="0"/>
              <w:bottom w:val="single" w:color="AAAAAA" w:sz="4" w:space="0"/>
              <w:right w:val="single" w:color="AAAAAA" w:sz="4" w:space="0"/>
            </w:tcBorders>
            <w:tcMar>
              <w:left w:w="120" w:type="dxa"/>
              <w:top w:w="80" w:type="dxa"/>
              <w:right w:w="120" w:type="dxa"/>
              <w:bottom w:w="80" w:type="dxa"/>
            </w:tcMar>
            <w:tcW w:w="2972" w:type="dxa"/>
            <w:vAlign w:val="center"/>
            <w:textDirection w:val="lrTb"/>
            <w:noWrap w:val="false"/>
          </w:tcPr>
          <w:p>
            <w:pPr>
              <w:jc w:val="left"/>
              <w:widowControl/>
              <w:rPr>
                <w:color w:val="auto"/>
                <w:sz w:val="24"/>
                <w:szCs w:val="21"/>
                <w:highlight w:val="none"/>
              </w:rPr>
            </w:pPr>
            <w:r>
              <w:rPr>
                <w:rFonts w:hint="eastAsia"/>
                <w:color w:val="auto"/>
                <w:sz w:val="24"/>
                <w:szCs w:val="21"/>
                <w:highlight w:val="none"/>
              </w:rPr>
              <w:t xml:space="preserve">95分及以上</w:t>
            </w:r>
            <w:r/>
          </w:p>
        </w:tc>
        <w:tc>
          <w:tcPr>
            <w:tcBorders>
              <w:top w:val="single" w:color="AAAAAA" w:sz="4" w:space="0"/>
              <w:left w:val="single" w:color="AAAAAA" w:sz="4" w:space="0"/>
              <w:bottom w:val="single" w:color="AAAAAA" w:sz="4" w:space="0"/>
              <w:right w:val="single" w:color="AAAAAA" w:sz="4" w:space="0"/>
            </w:tcBorders>
            <w:tcMar>
              <w:left w:w="120" w:type="dxa"/>
              <w:top w:w="80" w:type="dxa"/>
              <w:right w:w="120" w:type="dxa"/>
              <w:bottom w:w="80" w:type="dxa"/>
            </w:tcMar>
            <w:tcW w:w="6100" w:type="dxa"/>
            <w:vAlign w:val="center"/>
            <w:textDirection w:val="lrTb"/>
            <w:noWrap w:val="false"/>
          </w:tcPr>
          <w:p>
            <w:pPr>
              <w:jc w:val="left"/>
              <w:widowControl/>
              <w:rPr>
                <w:color w:val="auto"/>
                <w:sz w:val="24"/>
                <w:szCs w:val="21"/>
                <w:highlight w:val="none"/>
              </w:rPr>
            </w:pPr>
            <w:r>
              <w:rPr>
                <w:rFonts w:hint="eastAsia"/>
                <w:color w:val="auto"/>
                <w:sz w:val="24"/>
                <w:szCs w:val="21"/>
                <w:highlight w:val="none"/>
              </w:rPr>
              <w:t xml:space="preserve">不扣除当月运维养护经费。</w:t>
            </w:r>
            <w:r/>
          </w:p>
        </w:tc>
      </w:tr>
      <w:tr>
        <w:trPr>
          <w:jc w:val="center"/>
        </w:trPr>
        <w:tc>
          <w:tcPr>
            <w:tcBorders>
              <w:top w:val="single" w:color="AAAAAA" w:sz="4" w:space="0"/>
              <w:left w:val="single" w:color="AAAAAA" w:sz="4" w:space="0"/>
              <w:bottom w:val="single" w:color="AAAAAA" w:sz="4" w:space="0"/>
              <w:right w:val="single" w:color="AAAAAA" w:sz="4" w:space="0"/>
            </w:tcBorders>
            <w:tcMar>
              <w:left w:w="120" w:type="dxa"/>
              <w:top w:w="80" w:type="dxa"/>
              <w:right w:w="120" w:type="dxa"/>
              <w:bottom w:w="80" w:type="dxa"/>
            </w:tcMar>
            <w:tcW w:w="2972" w:type="dxa"/>
            <w:vAlign w:val="center"/>
            <w:textDirection w:val="lrTb"/>
            <w:noWrap w:val="false"/>
          </w:tcPr>
          <w:p>
            <w:pPr>
              <w:jc w:val="left"/>
              <w:widowControl/>
              <w:rPr>
                <w:color w:val="auto"/>
                <w:sz w:val="24"/>
                <w:szCs w:val="21"/>
                <w:highlight w:val="none"/>
              </w:rPr>
            </w:pPr>
            <w:r>
              <w:rPr>
                <w:rFonts w:hint="eastAsia"/>
                <w:color w:val="auto"/>
                <w:sz w:val="24"/>
                <w:szCs w:val="21"/>
                <w:highlight w:val="none"/>
              </w:rPr>
              <w:t xml:space="preserve">90-94分（含90分）</w:t>
            </w:r>
            <w:r/>
          </w:p>
        </w:tc>
        <w:tc>
          <w:tcPr>
            <w:tcBorders>
              <w:top w:val="single" w:color="AAAAAA" w:sz="4" w:space="0"/>
              <w:left w:val="single" w:color="AAAAAA" w:sz="4" w:space="0"/>
              <w:bottom w:val="single" w:color="AAAAAA" w:sz="4" w:space="0"/>
              <w:right w:val="single" w:color="AAAAAA" w:sz="4" w:space="0"/>
            </w:tcBorders>
            <w:tcMar>
              <w:left w:w="120" w:type="dxa"/>
              <w:top w:w="80" w:type="dxa"/>
              <w:right w:w="120" w:type="dxa"/>
              <w:bottom w:w="80" w:type="dxa"/>
            </w:tcMar>
            <w:tcW w:w="6100" w:type="dxa"/>
            <w:vAlign w:val="center"/>
            <w:textDirection w:val="lrTb"/>
            <w:noWrap w:val="false"/>
          </w:tcPr>
          <w:p>
            <w:pPr>
              <w:jc w:val="left"/>
              <w:widowControl/>
              <w:rPr>
                <w:color w:val="auto"/>
                <w:sz w:val="24"/>
                <w:szCs w:val="21"/>
                <w:highlight w:val="none"/>
              </w:rPr>
            </w:pPr>
            <w:r>
              <w:rPr>
                <w:rFonts w:hint="eastAsia"/>
                <w:color w:val="auto"/>
                <w:sz w:val="24"/>
                <w:szCs w:val="21"/>
                <w:highlight w:val="none"/>
              </w:rPr>
              <w:t xml:space="preserve">区间5分，每扣1分，扣除当月运维养护经费的0.5%</w:t>
            </w:r>
            <w:r/>
          </w:p>
        </w:tc>
      </w:tr>
      <w:tr>
        <w:trPr>
          <w:jc w:val="center"/>
        </w:trPr>
        <w:tc>
          <w:tcPr>
            <w:tcBorders>
              <w:top w:val="single" w:color="AAAAAA" w:sz="4" w:space="0"/>
              <w:left w:val="single" w:color="AAAAAA" w:sz="4" w:space="0"/>
              <w:bottom w:val="single" w:color="AAAAAA" w:sz="4" w:space="0"/>
              <w:right w:val="single" w:color="AAAAAA" w:sz="4" w:space="0"/>
            </w:tcBorders>
            <w:tcMar>
              <w:left w:w="120" w:type="dxa"/>
              <w:top w:w="80" w:type="dxa"/>
              <w:right w:w="120" w:type="dxa"/>
              <w:bottom w:w="80" w:type="dxa"/>
            </w:tcMar>
            <w:tcW w:w="2972" w:type="dxa"/>
            <w:vAlign w:val="center"/>
            <w:textDirection w:val="lrTb"/>
            <w:noWrap w:val="false"/>
          </w:tcPr>
          <w:p>
            <w:pPr>
              <w:jc w:val="left"/>
              <w:widowControl/>
              <w:rPr>
                <w:color w:val="auto"/>
                <w:sz w:val="24"/>
                <w:szCs w:val="21"/>
                <w:highlight w:val="none"/>
              </w:rPr>
            </w:pPr>
            <w:r>
              <w:rPr>
                <w:rFonts w:hint="eastAsia"/>
                <w:color w:val="auto"/>
                <w:sz w:val="24"/>
                <w:szCs w:val="21"/>
                <w:highlight w:val="none"/>
              </w:rPr>
              <w:t xml:space="preserve">80-89分（含80分）</w:t>
            </w:r>
            <w:r/>
          </w:p>
        </w:tc>
        <w:tc>
          <w:tcPr>
            <w:tcBorders>
              <w:top w:val="single" w:color="AAAAAA" w:sz="4" w:space="0"/>
              <w:left w:val="single" w:color="AAAAAA" w:sz="4" w:space="0"/>
              <w:bottom w:val="single" w:color="AAAAAA" w:sz="4" w:space="0"/>
              <w:right w:val="single" w:color="AAAAAA" w:sz="4" w:space="0"/>
            </w:tcBorders>
            <w:tcMar>
              <w:left w:w="120" w:type="dxa"/>
              <w:top w:w="80" w:type="dxa"/>
              <w:right w:w="120" w:type="dxa"/>
              <w:bottom w:w="80" w:type="dxa"/>
            </w:tcMar>
            <w:tcW w:w="6100" w:type="dxa"/>
            <w:vAlign w:val="center"/>
            <w:textDirection w:val="lrTb"/>
            <w:noWrap w:val="false"/>
          </w:tcPr>
          <w:p>
            <w:pPr>
              <w:jc w:val="left"/>
              <w:widowControl/>
              <w:rPr>
                <w:color w:val="auto"/>
                <w:sz w:val="24"/>
                <w:szCs w:val="21"/>
                <w:highlight w:val="none"/>
              </w:rPr>
            </w:pPr>
            <w:r>
              <w:rPr>
                <w:rFonts w:hint="eastAsia"/>
                <w:color w:val="auto"/>
                <w:sz w:val="24"/>
                <w:szCs w:val="21"/>
                <w:highlight w:val="none"/>
              </w:rPr>
              <w:t xml:space="preserve">区间10分，每扣1分，扣除当月运维养护经费的1%。</w:t>
            </w:r>
            <w:r/>
          </w:p>
        </w:tc>
      </w:tr>
      <w:tr>
        <w:trPr>
          <w:jc w:val="center"/>
        </w:trPr>
        <w:tc>
          <w:tcPr>
            <w:tcBorders>
              <w:top w:val="single" w:color="AAAAAA" w:sz="4" w:space="0"/>
              <w:left w:val="single" w:color="AAAAAA" w:sz="4" w:space="0"/>
              <w:bottom w:val="single" w:color="AAAAAA" w:sz="4" w:space="0"/>
              <w:right w:val="single" w:color="AAAAAA" w:sz="4" w:space="0"/>
            </w:tcBorders>
            <w:tcMar>
              <w:left w:w="120" w:type="dxa"/>
              <w:top w:w="80" w:type="dxa"/>
              <w:right w:w="120" w:type="dxa"/>
              <w:bottom w:w="80" w:type="dxa"/>
            </w:tcMar>
            <w:tcW w:w="2972" w:type="dxa"/>
            <w:vAlign w:val="center"/>
            <w:textDirection w:val="lrTb"/>
            <w:noWrap w:val="false"/>
          </w:tcPr>
          <w:p>
            <w:pPr>
              <w:jc w:val="left"/>
              <w:widowControl/>
              <w:rPr>
                <w:color w:val="auto"/>
                <w:sz w:val="24"/>
                <w:szCs w:val="21"/>
                <w:highlight w:val="none"/>
              </w:rPr>
            </w:pPr>
            <w:r>
              <w:rPr>
                <w:rFonts w:hint="eastAsia"/>
                <w:color w:val="auto"/>
                <w:sz w:val="24"/>
                <w:szCs w:val="21"/>
                <w:highlight w:val="none"/>
              </w:rPr>
              <w:t xml:space="preserve">80分以下</w:t>
            </w:r>
            <w:r/>
          </w:p>
        </w:tc>
        <w:tc>
          <w:tcPr>
            <w:tcBorders>
              <w:top w:val="single" w:color="AAAAAA" w:sz="4" w:space="0"/>
              <w:left w:val="single" w:color="AAAAAA" w:sz="4" w:space="0"/>
              <w:bottom w:val="single" w:color="AAAAAA" w:sz="4" w:space="0"/>
              <w:right w:val="single" w:color="AAAAAA" w:sz="4" w:space="0"/>
            </w:tcBorders>
            <w:tcMar>
              <w:left w:w="120" w:type="dxa"/>
              <w:top w:w="80" w:type="dxa"/>
              <w:right w:w="120" w:type="dxa"/>
              <w:bottom w:w="80" w:type="dxa"/>
            </w:tcMar>
            <w:tcW w:w="6100" w:type="dxa"/>
            <w:vAlign w:val="center"/>
            <w:textDirection w:val="lrTb"/>
            <w:noWrap w:val="false"/>
          </w:tcPr>
          <w:p>
            <w:pPr>
              <w:jc w:val="left"/>
              <w:widowControl/>
              <w:rPr>
                <w:color w:val="auto"/>
                <w:sz w:val="24"/>
                <w:szCs w:val="21"/>
                <w:highlight w:val="none"/>
              </w:rPr>
            </w:pPr>
            <w:r>
              <w:rPr>
                <w:rFonts w:hint="eastAsia"/>
                <w:color w:val="auto"/>
                <w:sz w:val="24"/>
                <w:szCs w:val="21"/>
                <w:highlight w:val="none"/>
              </w:rPr>
              <w:t xml:space="preserve">扣除当月运维养护费用的30％。</w:t>
            </w:r>
            <w:r/>
          </w:p>
        </w:tc>
      </w:tr>
      <w:tr>
        <w:trPr>
          <w:jc w:val="center"/>
        </w:trPr>
        <w:tc>
          <w:tcPr>
            <w:tcBorders>
              <w:top w:val="single" w:color="AAAAAA" w:sz="4" w:space="0"/>
              <w:left w:val="single" w:color="AAAAAA" w:sz="4" w:space="0"/>
              <w:bottom w:val="single" w:color="AAAAAA" w:sz="4" w:space="0"/>
              <w:right w:val="single" w:color="AAAAAA" w:sz="4" w:space="0"/>
            </w:tcBorders>
            <w:tcMar>
              <w:left w:w="120" w:type="dxa"/>
              <w:top w:w="80" w:type="dxa"/>
              <w:right w:w="120" w:type="dxa"/>
              <w:bottom w:w="80" w:type="dxa"/>
            </w:tcMar>
            <w:tcW w:w="2972" w:type="dxa"/>
            <w:vAlign w:val="center"/>
            <w:textDirection w:val="lrTb"/>
            <w:noWrap w:val="false"/>
          </w:tcPr>
          <w:p>
            <w:pPr>
              <w:jc w:val="left"/>
              <w:widowControl/>
              <w:rPr>
                <w:color w:val="auto"/>
                <w:sz w:val="24"/>
                <w:szCs w:val="21"/>
                <w:highlight w:val="none"/>
              </w:rPr>
            </w:pPr>
            <w:r>
              <w:rPr>
                <w:rFonts w:hint="eastAsia"/>
                <w:color w:val="auto"/>
                <w:sz w:val="24"/>
                <w:szCs w:val="21"/>
                <w:highlight w:val="none"/>
              </w:rPr>
              <w:t xml:space="preserve">连续三个月80分以下</w:t>
            </w:r>
            <w:r/>
          </w:p>
        </w:tc>
        <w:tc>
          <w:tcPr>
            <w:tcBorders>
              <w:top w:val="single" w:color="AAAAAA" w:sz="4" w:space="0"/>
              <w:left w:val="single" w:color="AAAAAA" w:sz="4" w:space="0"/>
              <w:bottom w:val="single" w:color="AAAAAA" w:sz="4" w:space="0"/>
              <w:right w:val="single" w:color="AAAAAA" w:sz="4" w:space="0"/>
            </w:tcBorders>
            <w:tcMar>
              <w:left w:w="120" w:type="dxa"/>
              <w:top w:w="80" w:type="dxa"/>
              <w:right w:w="120" w:type="dxa"/>
              <w:bottom w:w="80" w:type="dxa"/>
            </w:tcMar>
            <w:tcW w:w="6100" w:type="dxa"/>
            <w:vAlign w:val="center"/>
            <w:textDirection w:val="lrTb"/>
            <w:noWrap w:val="false"/>
          </w:tcPr>
          <w:p>
            <w:pPr>
              <w:jc w:val="left"/>
              <w:widowControl/>
              <w:rPr>
                <w:color w:val="auto"/>
                <w:sz w:val="24"/>
                <w:szCs w:val="21"/>
                <w:highlight w:val="none"/>
              </w:rPr>
            </w:pPr>
            <w:r>
              <w:rPr>
                <w:rFonts w:hint="eastAsia"/>
                <w:color w:val="auto"/>
                <w:sz w:val="24"/>
                <w:szCs w:val="21"/>
                <w:highlight w:val="none"/>
              </w:rPr>
              <w:t xml:space="preserve">扣除第三个月运维养护费用的100％</w:t>
            </w:r>
            <w:r>
              <w:rPr>
                <w:rFonts w:hint="eastAsia" w:ascii="宋体" w:hAnsi="宋体" w:cs="宋体"/>
                <w:color w:val="auto"/>
                <w:sz w:val="24"/>
                <w:szCs w:val="24"/>
                <w:highlight w:val="none"/>
                <w:lang w:bidi="ar"/>
              </w:rPr>
              <w:t xml:space="preserve">并在2个月内达到标准，否则招标人有权终止合同</w:t>
            </w:r>
            <w:r>
              <w:rPr>
                <w:rFonts w:hint="eastAsia"/>
                <w:color w:val="auto"/>
                <w:sz w:val="24"/>
                <w:szCs w:val="21"/>
                <w:highlight w:val="none"/>
              </w:rPr>
              <w:t xml:space="preserve">。</w:t>
            </w:r>
            <w:r/>
          </w:p>
        </w:tc>
      </w:tr>
    </w:tbl>
    <w:p>
      <w:pPr>
        <w:ind w:firstLine="480"/>
        <w:jc w:val="left"/>
        <w:spacing w:line="360" w:lineRule="auto"/>
        <w:widowControl/>
        <w:rPr>
          <w:color w:val="auto"/>
          <w:sz w:val="24"/>
          <w:szCs w:val="21"/>
          <w:highlight w:val="none"/>
        </w:rPr>
      </w:pPr>
      <w:r>
        <w:rPr>
          <w:rFonts w:hint="eastAsia"/>
          <w:color w:val="auto"/>
          <w:sz w:val="24"/>
          <w:szCs w:val="21"/>
          <w:highlight w:val="none"/>
        </w:rPr>
        <w:t xml:space="preserve">（三）水质专项考评处罚</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根据水质专项考评结果，全年总体考评结果合格率低于95%（不含）</w:t>
      </w:r>
      <w:r>
        <w:rPr>
          <w:rFonts w:hint="eastAsia" w:ascii="宋体" w:hAnsi="宋体" w:cs="宋体"/>
          <w:color w:val="auto"/>
          <w:sz w:val="24"/>
          <w:szCs w:val="24"/>
          <w:highlight w:val="none"/>
        </w:rPr>
        <w:t xml:space="preserve">（总体合格率=每个月得分之和/30*12）</w:t>
      </w:r>
      <w:r>
        <w:rPr>
          <w:rFonts w:hint="eastAsia"/>
          <w:color w:val="auto"/>
          <w:sz w:val="24"/>
          <w:szCs w:val="21"/>
          <w:highlight w:val="none"/>
        </w:rPr>
        <w:t xml:space="preserve">的，在当年第四季度考评中额外扣除养护经费100000元。</w:t>
      </w:r>
      <w:r/>
    </w:p>
    <w:p>
      <w:pPr>
        <w:ind w:firstLine="482"/>
        <w:jc w:val="left"/>
        <w:spacing w:line="360" w:lineRule="auto"/>
        <w:widowControl/>
        <w:rPr>
          <w:b/>
          <w:bCs/>
          <w:color w:val="auto"/>
          <w:sz w:val="24"/>
          <w:szCs w:val="21"/>
          <w:highlight w:val="none"/>
        </w:rPr>
      </w:pPr>
      <w:r>
        <w:rPr>
          <w:rFonts w:hint="eastAsia"/>
          <w:b/>
          <w:bCs/>
          <w:color w:val="auto"/>
          <w:sz w:val="24"/>
          <w:szCs w:val="21"/>
          <w:highlight w:val="none"/>
        </w:rPr>
        <w:t xml:space="preserve">六、其他</w:t>
      </w:r>
      <w:r/>
    </w:p>
    <w:p>
      <w:pPr>
        <w:ind w:firstLine="480"/>
        <w:jc w:val="left"/>
        <w:spacing w:line="360" w:lineRule="auto"/>
        <w:widowControl/>
        <w:rPr>
          <w:color w:val="auto"/>
          <w:sz w:val="24"/>
          <w:szCs w:val="21"/>
          <w:highlight w:val="none"/>
        </w:rPr>
      </w:pPr>
      <w:r>
        <w:rPr>
          <w:rFonts w:hint="eastAsia"/>
          <w:color w:val="auto"/>
          <w:sz w:val="24"/>
          <w:szCs w:val="21"/>
          <w:highlight w:val="none"/>
        </w:rPr>
        <w:t xml:space="preserve">1.本办法自合同签订之日起执行。</w:t>
      </w:r>
      <w:r/>
    </w:p>
    <w:p>
      <w:pPr>
        <w:ind w:firstLine="480"/>
        <w:spacing w:line="360" w:lineRule="auto"/>
        <w:rPr>
          <w:rFonts w:ascii="黑体" w:eastAsia="黑体"/>
          <w:b/>
          <w:color w:val="auto"/>
          <w:sz w:val="28"/>
          <w:szCs w:val="28"/>
          <w:highlight w:val="none"/>
        </w:rPr>
        <w:sectPr>
          <w:headerReference w:type="default" r:id="rId11"/>
          <w:footerReference w:type="default" r:id="rId13"/>
          <w:footnotePr/>
          <w:endnotePr/>
          <w:type w:val="nextPage"/>
          <w:pgSz w:w="11906" w:h="16838" w:orient="portrait"/>
          <w:pgMar w:top="1440" w:right="1080" w:bottom="1440" w:left="1080" w:header="624" w:footer="907" w:gutter="0"/>
          <w:cols w:num="1" w:sep="0" w:space="1701" w:equalWidth="1"/>
          <w:docGrid w:linePitch="360"/>
        </w:sectPr>
        <w:outlineLvl w:val="0"/>
      </w:pPr>
      <w:r>
        <w:rPr>
          <w:rFonts w:hint="eastAsia"/>
          <w:color w:val="auto"/>
          <w:sz w:val="24"/>
          <w:szCs w:val="21"/>
          <w:highlight w:val="none"/>
        </w:rPr>
        <w:t xml:space="preserve">2.本办法中各项考核标准的执行如与上级有关规定相抵触，以上级规定为准。</w:t>
      </w:r>
      <w:r/>
    </w:p>
    <w:p>
      <w:pPr>
        <w:ind w:firstLine="560"/>
        <w:jc w:val="center"/>
        <w:spacing w:line="360" w:lineRule="auto"/>
        <w:rPr>
          <w:rFonts w:ascii="黑体" w:eastAsia="黑体"/>
          <w:b/>
          <w:color w:val="auto"/>
          <w:sz w:val="28"/>
          <w:szCs w:val="28"/>
          <w:highlight w:val="none"/>
        </w:rPr>
        <w:outlineLvl w:val="0"/>
      </w:pPr>
      <w:r>
        <w:rPr>
          <w:rFonts w:ascii="黑体" w:eastAsia="黑体"/>
          <w:b/>
          <w:color w:val="auto"/>
          <w:sz w:val="28"/>
          <w:szCs w:val="28"/>
          <w:highlight w:val="none"/>
        </w:rPr>
      </w:r>
      <w:r/>
    </w:p>
    <w:p>
      <w:pPr>
        <w:ind w:firstLine="560"/>
        <w:jc w:val="center"/>
        <w:spacing w:line="360" w:lineRule="auto"/>
        <w:rPr>
          <w:rFonts w:hint="eastAsia" w:ascii="黑体" w:hAnsi="宋体" w:eastAsia="黑体"/>
          <w:b/>
          <w:color w:val="auto"/>
          <w:sz w:val="28"/>
          <w:szCs w:val="28"/>
          <w:highlight w:val="none"/>
        </w:rPr>
        <w:outlineLvl w:val="0"/>
      </w:pPr>
      <w:r>
        <w:rPr>
          <w:rFonts w:hint="eastAsia" w:ascii="黑体" w:eastAsia="黑体"/>
          <w:b/>
          <w:color w:val="auto"/>
          <w:sz w:val="28"/>
          <w:szCs w:val="28"/>
          <w:highlight w:val="none"/>
        </w:rPr>
        <w:t xml:space="preserve">四、</w:t>
      </w:r>
      <w:r>
        <w:rPr>
          <w:rFonts w:hint="eastAsia" w:ascii="黑体" w:hAnsi="宋体" w:eastAsia="黑体"/>
          <w:b/>
          <w:color w:val="auto"/>
          <w:sz w:val="28"/>
          <w:szCs w:val="28"/>
          <w:highlight w:val="none"/>
        </w:rPr>
        <w:t xml:space="preserve">合同书（格式文本）</w:t>
      </w:r>
      <w:bookmarkEnd w:id="9"/>
      <w:r/>
      <w:bookmarkEnd w:id="10"/>
      <w:r/>
      <w:r/>
    </w:p>
    <w:p>
      <w:pPr>
        <w:rPr>
          <w:rFonts w:hint="eastAsia" w:ascii="宋体" w:hAnsi="宋体" w:cs="宋体"/>
          <w:color w:val="auto"/>
          <w:highlight w:val="none"/>
        </w:rPr>
      </w:pPr>
      <w:r/>
      <w:bookmarkStart w:id="15" w:name="_Toc17171"/>
      <w:r/>
      <w:bookmarkStart w:id="16" w:name="_Toc25495"/>
      <w:r/>
      <w:r/>
    </w:p>
    <w:p>
      <w:pPr>
        <w:rPr>
          <w:rFonts w:hint="eastAsia" w:ascii="黑体" w:hAnsi="黑体" w:eastAsia="黑体" w:cs="黑体"/>
          <w:color w:val="auto"/>
          <w:sz w:val="56"/>
          <w:szCs w:val="56"/>
          <w:highlight w:val="none"/>
        </w:rPr>
      </w:pPr>
      <w:r/>
      <w:bookmarkStart w:id="17" w:name="_Toc508137105"/>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t xml:space="preserve">合   同   书</w:t>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spacing w:line="960" w:lineRule="exact"/>
        <w:rPr>
          <w:rFonts w:hint="eastAsia" w:ascii="宋体" w:hAnsi="宋体" w:cs="宋体"/>
          <w:color w:val="auto"/>
          <w:sz w:val="28"/>
          <w:szCs w:val="28"/>
          <w:highlight w:val="none"/>
          <w:u w:val="single"/>
        </w:rPr>
      </w:pPr>
      <w:r>
        <w:rPr>
          <w:rFonts w:hint="eastAsia" w:ascii="宋体" w:hAnsi="宋体" w:cs="宋体"/>
          <w:color w:val="auto"/>
          <w:spacing w:val="120"/>
          <w:sz w:val="28"/>
          <w:szCs w:val="28"/>
          <w:highlight w:val="none"/>
        </w:rPr>
        <w:t xml:space="preserve">项目名</w:t>
      </w:r>
      <w:r>
        <w:rPr>
          <w:rFonts w:hint="eastAsia" w:ascii="宋体" w:hAnsi="宋体" w:cs="宋体"/>
          <w:color w:val="auto"/>
          <w:spacing w:val="10"/>
          <w:sz w:val="28"/>
          <w:szCs w:val="28"/>
          <w:highlight w:val="none"/>
        </w:rPr>
        <w:t xml:space="preserve">称</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 太科园（新安街道）河道水生态长效运维养护项目  </w:t>
      </w:r>
      <w:r/>
    </w:p>
    <w:p>
      <w:pPr>
        <w:spacing w:line="9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委托方（甲方）：</w:t>
      </w:r>
      <w:r>
        <w:rPr>
          <w:rFonts w:hint="eastAsia" w:ascii="宋体" w:hAnsi="宋体" w:cs="宋体"/>
          <w:color w:val="auto"/>
          <w:sz w:val="28"/>
          <w:szCs w:val="28"/>
          <w:highlight w:val="none"/>
          <w:u w:val="single"/>
        </w:rPr>
        <w:t xml:space="preserve">                                          </w:t>
      </w:r>
      <w:r/>
    </w:p>
    <w:p>
      <w:pPr>
        <w:spacing w:line="9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受托方（乙方）：</w:t>
      </w:r>
      <w:r>
        <w:rPr>
          <w:rFonts w:hint="eastAsia" w:ascii="宋体" w:hAnsi="宋体" w:cs="宋体"/>
          <w:color w:val="auto"/>
          <w:sz w:val="28"/>
          <w:szCs w:val="28"/>
          <w:highlight w:val="none"/>
          <w:u w:val="single"/>
        </w:rPr>
        <w:t xml:space="preserve">                                          </w:t>
      </w:r>
      <w:r/>
    </w:p>
    <w:p>
      <w:pPr>
        <w:spacing w:line="960" w:lineRule="exact"/>
        <w:rPr>
          <w:rFonts w:hint="eastAsia" w:ascii="宋体" w:hAnsi="宋体" w:cs="宋体"/>
          <w:color w:val="auto"/>
          <w:sz w:val="28"/>
          <w:szCs w:val="28"/>
          <w:highlight w:val="none"/>
        </w:rPr>
      </w:pPr>
      <w:r>
        <w:rPr>
          <w:rFonts w:hint="eastAsia" w:ascii="宋体" w:hAnsi="宋体" w:cs="宋体"/>
          <w:color w:val="auto"/>
          <w:spacing w:val="120"/>
          <w:sz w:val="28"/>
          <w:szCs w:val="28"/>
          <w:highlight w:val="none"/>
        </w:rPr>
        <w:t xml:space="preserve">签订日</w:t>
      </w:r>
      <w:r>
        <w:rPr>
          <w:rFonts w:hint="eastAsia" w:ascii="宋体" w:hAnsi="宋体" w:cs="宋体"/>
          <w:color w:val="auto"/>
          <w:spacing w:val="10"/>
          <w:sz w:val="28"/>
          <w:szCs w:val="28"/>
          <w:highlight w:val="none"/>
        </w:rPr>
        <w:t xml:space="preserve">期</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u w:val="single"/>
        </w:rPr>
        <w:t xml:space="preserve">                                          </w:t>
      </w:r>
      <w:r/>
    </w:p>
    <w:p>
      <w:pPr>
        <w:jc w:val="center"/>
        <w:spacing w:line="360" w:lineRule="exact"/>
        <w:rPr>
          <w:rFonts w:ascii="黑体" w:eastAsia="黑体"/>
          <w:bCs/>
          <w:color w:val="auto"/>
          <w:sz w:val="28"/>
          <w:szCs w:val="28"/>
          <w:highlight w:val="none"/>
        </w:rPr>
      </w:pPr>
      <w:r>
        <w:rPr>
          <w:rFonts w:hint="eastAsia" w:ascii="黑体" w:hAnsi="宋体" w:eastAsia="黑体"/>
          <w:color w:val="auto"/>
          <w:sz w:val="28"/>
          <w:szCs w:val="28"/>
          <w:highlight w:val="none"/>
        </w:rPr>
        <w:br w:type="page" w:clear="all"/>
      </w:r>
      <w:r>
        <w:rPr>
          <w:rFonts w:hint="eastAsia" w:ascii="黑体" w:hAnsi="宋体" w:eastAsia="黑体"/>
          <w:color w:val="auto"/>
          <w:sz w:val="28"/>
          <w:szCs w:val="28"/>
          <w:highlight w:val="none"/>
        </w:rPr>
        <w:t xml:space="preserve">合同书</w:t>
      </w:r>
      <w:bookmarkEnd w:id="17"/>
      <w:r/>
      <w:r/>
    </w:p>
    <w:p>
      <w:pPr>
        <w:spacing w:line="440" w:lineRule="exact"/>
        <w:rPr>
          <w:rFonts w:hint="eastAsia"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p>
    <w:p>
      <w:pPr>
        <w:spacing w:line="440" w:lineRule="exact"/>
        <w:rPr>
          <w:rFonts w:hint="eastAsia" w:ascii="宋体" w:hAnsi="宋体"/>
          <w:bCs/>
          <w:color w:val="auto"/>
          <w:sz w:val="24"/>
          <w:highlight w:val="none"/>
          <w:u w:val="single"/>
        </w:rPr>
      </w:pPr>
      <w:r>
        <w:rPr>
          <w:rFonts w:hint="eastAsia" w:ascii="宋体" w:hAnsi="宋体"/>
          <w:bCs/>
          <w:color w:val="auto"/>
          <w:sz w:val="24"/>
          <w:highlight w:val="none"/>
        </w:rPr>
        <w:t xml:space="preserve">乙方（中标方）：</w:t>
      </w:r>
      <w:r>
        <w:rPr>
          <w:rFonts w:hint="eastAsia" w:ascii="宋体" w:hAnsi="宋体"/>
          <w:bCs/>
          <w:color w:val="auto"/>
          <w:sz w:val="24"/>
          <w:highlight w:val="none"/>
          <w:u w:val="single"/>
        </w:rPr>
        <w:t xml:space="preserve">                            </w:t>
      </w:r>
      <w:r/>
    </w:p>
    <w:p>
      <w:pPr>
        <w:numPr>
          <w:ilvl w:val="0"/>
          <w:numId w:val="24"/>
        </w:numPr>
        <w:ind w:left="0" w:firstLine="525"/>
        <w:spacing w:line="440" w:lineRule="exact"/>
        <w:tabs>
          <w:tab w:val="clear" w:pos="450" w:leader="none"/>
          <w:tab w:val="left" w:pos="735" w:leader="none"/>
          <w:tab w:val="left" w:pos="1260" w:leader="none"/>
        </w:tabs>
        <w:rPr>
          <w:rFonts w:hint="eastAsia" w:ascii="宋体" w:hAnsi="宋体"/>
          <w:bCs/>
          <w:color w:val="auto"/>
          <w:sz w:val="24"/>
          <w:highlight w:val="none"/>
          <w:u w:val="single"/>
        </w:rPr>
      </w:pPr>
      <w:r>
        <w:rPr>
          <w:rFonts w:hint="eastAsia" w:ascii="宋体" w:hAnsi="宋体"/>
          <w:bCs/>
          <w:color w:val="auto"/>
          <w:sz w:val="24"/>
          <w:highlight w:val="none"/>
        </w:rPr>
        <w:t xml:space="preserve">采购编号：</w:t>
      </w:r>
      <w:r>
        <w:rPr>
          <w:rFonts w:hint="eastAsia" w:ascii="宋体" w:hAnsi="宋体"/>
          <w:bCs/>
          <w:color w:val="auto"/>
          <w:sz w:val="24"/>
          <w:highlight w:val="none"/>
          <w:u w:val="single"/>
        </w:rPr>
        <w:t xml:space="preserve">                </w:t>
      </w: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numPr>
          <w:ilvl w:val="0"/>
          <w:numId w:val="24"/>
        </w:numPr>
        <w:ind w:left="0" w:firstLine="525"/>
        <w:spacing w:line="440" w:lineRule="exact"/>
        <w:tabs>
          <w:tab w:val="clear" w:pos="450" w:leader="none"/>
          <w:tab w:val="left" w:pos="735"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采购内容：</w:t>
      </w:r>
      <w:r>
        <w:rPr>
          <w:rFonts w:hint="eastAsia" w:ascii="宋体" w:hAnsi="宋体"/>
          <w:bCs/>
          <w:color w:val="auto"/>
          <w:sz w:val="24"/>
          <w:highlight w:val="none"/>
          <w:u w:val="single"/>
        </w:rPr>
        <w:t xml:space="preserve">                                                       </w:t>
      </w:r>
      <w:r/>
    </w:p>
    <w:p>
      <w:pPr>
        <w:numPr>
          <w:ilvl w:val="0"/>
          <w:numId w:val="24"/>
        </w:numPr>
        <w:ind w:left="0" w:firstLine="525"/>
        <w:spacing w:line="440" w:lineRule="exact"/>
        <w:tabs>
          <w:tab w:val="clear" w:pos="450" w:leader="none"/>
          <w:tab w:val="left" w:pos="735"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中标总金额：（大写）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hint="eastAsia" w:ascii="宋体" w:hAnsi="宋体"/>
          <w:bCs/>
          <w:color w:val="auto"/>
          <w:sz w:val="24"/>
          <w:highlight w:val="none"/>
          <w:u w:val="single"/>
        </w:rPr>
        <w:t xml:space="preserve">             </w:t>
      </w:r>
      <w:r/>
    </w:p>
    <w:p>
      <w:pPr>
        <w:numPr>
          <w:ilvl w:val="0"/>
          <w:numId w:val="24"/>
        </w:numPr>
        <w:ind w:left="0" w:firstLine="525"/>
        <w:spacing w:line="440" w:lineRule="exact"/>
        <w:tabs>
          <w:tab w:val="clear" w:pos="450" w:leader="none"/>
          <w:tab w:val="left" w:pos="735"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服务要求及服务验收标准：</w:t>
      </w:r>
      <w:r>
        <w:rPr>
          <w:rFonts w:hint="eastAsia" w:ascii="宋体" w:hAnsi="宋体"/>
          <w:bCs/>
          <w:color w:val="auto"/>
          <w:sz w:val="24"/>
          <w:highlight w:val="none"/>
          <w:u w:val="single"/>
        </w:rPr>
        <w:t xml:space="preserve">                           </w:t>
      </w:r>
      <w:r/>
    </w:p>
    <w:p>
      <w:pPr>
        <w:numPr>
          <w:ilvl w:val="0"/>
          <w:numId w:val="24"/>
        </w:numPr>
        <w:ind w:left="0" w:firstLine="525"/>
        <w:spacing w:line="440" w:lineRule="exact"/>
        <w:tabs>
          <w:tab w:val="clear" w:pos="450" w:leader="none"/>
          <w:tab w:val="left" w:pos="735" w:leader="none"/>
          <w:tab w:val="left" w:pos="1260" w:leader="none"/>
        </w:tabs>
        <w:rPr>
          <w:rFonts w:hint="eastAsia" w:ascii="宋体" w:hAnsi="宋体"/>
          <w:bCs/>
          <w:color w:val="auto"/>
          <w:sz w:val="24"/>
          <w:highlight w:val="none"/>
        </w:rPr>
      </w:pPr>
      <w:r>
        <w:rPr>
          <w:rFonts w:hint="eastAsia" w:ascii="宋体" w:hAnsi="宋体" w:cs="宋体"/>
          <w:color w:val="auto"/>
          <w:sz w:val="24"/>
          <w:highlight w:val="none"/>
        </w:rPr>
        <w:t xml:space="preserve">服务期：</w:t>
      </w:r>
      <w:r>
        <w:rPr>
          <w:rFonts w:hint="eastAsia" w:ascii="宋体" w:hAnsi="宋体"/>
          <w:bCs/>
          <w:color w:val="auto"/>
          <w:sz w:val="24"/>
          <w:highlight w:val="none"/>
          <w:u w:val="single"/>
        </w:rPr>
        <w:t xml:space="preserve">                                     </w:t>
      </w:r>
      <w:r/>
    </w:p>
    <w:p>
      <w:pPr>
        <w:numPr>
          <w:ilvl w:val="0"/>
          <w:numId w:val="24"/>
        </w:numPr>
        <w:ind w:left="0" w:firstLine="525"/>
        <w:spacing w:line="440" w:lineRule="exact"/>
        <w:tabs>
          <w:tab w:val="clear" w:pos="450" w:leader="none"/>
          <w:tab w:val="left" w:pos="735" w:leader="none"/>
          <w:tab w:val="left" w:pos="1260" w:leader="none"/>
        </w:tabs>
        <w:rPr>
          <w:rFonts w:hint="eastAsia" w:ascii="宋体" w:hAnsi="宋体"/>
          <w:bCs/>
          <w:color w:val="auto"/>
          <w:sz w:val="24"/>
          <w:highlight w:val="none"/>
        </w:rPr>
      </w:pPr>
      <w:r>
        <w:rPr>
          <w:rFonts w:hint="eastAsia" w:ascii="宋体" w:hAnsi="宋体" w:cs="宋体"/>
          <w:color w:val="auto"/>
          <w:sz w:val="24"/>
          <w:highlight w:val="none"/>
        </w:rPr>
        <w:t xml:space="preserve">服务地点和方式：</w:t>
      </w:r>
      <w:r>
        <w:rPr>
          <w:rFonts w:hint="eastAsia" w:ascii="宋体" w:hAnsi="宋体"/>
          <w:bCs/>
          <w:color w:val="auto"/>
          <w:sz w:val="24"/>
          <w:highlight w:val="none"/>
          <w:u w:val="single"/>
        </w:rPr>
        <w:t xml:space="preserve">                               </w:t>
      </w:r>
      <w:r/>
    </w:p>
    <w:p>
      <w:pPr>
        <w:numPr>
          <w:ilvl w:val="0"/>
          <w:numId w:val="24"/>
        </w:numPr>
        <w:ind w:left="0" w:firstLine="525"/>
        <w:spacing w:line="440" w:lineRule="exact"/>
        <w:tabs>
          <w:tab w:val="clear" w:pos="450" w:leader="none"/>
          <w:tab w:val="left" w:pos="735" w:leader="none"/>
          <w:tab w:val="left" w:pos="1260" w:leader="none"/>
        </w:tabs>
        <w:rPr>
          <w:rFonts w:hint="eastAsia" w:ascii="宋体" w:hAnsi="宋体"/>
          <w:bCs/>
          <w:color w:val="auto"/>
          <w:sz w:val="24"/>
          <w:highlight w:val="none"/>
          <w:u w:val="single"/>
        </w:rPr>
      </w:pPr>
      <w:r>
        <w:rPr>
          <w:rFonts w:hint="eastAsia" w:ascii="宋体" w:hAnsi="宋体" w:cs="宋体"/>
          <w:bCs/>
          <w:color w:val="auto"/>
          <w:sz w:val="24"/>
          <w:szCs w:val="24"/>
          <w:highlight w:val="none"/>
        </w:rPr>
        <w:t xml:space="preserve">费用</w:t>
      </w:r>
      <w:r>
        <w:rPr>
          <w:rFonts w:hint="eastAsia" w:ascii="宋体" w:hAnsi="宋体"/>
          <w:bCs/>
          <w:color w:val="auto"/>
          <w:sz w:val="24"/>
          <w:highlight w:val="none"/>
        </w:rPr>
        <w:t xml:space="preserve">支付步骤和办法：</w:t>
      </w:r>
      <w:r>
        <w:rPr>
          <w:rFonts w:hint="eastAsia" w:ascii="宋体" w:hAnsi="宋体" w:cs="宋体"/>
          <w:color w:val="auto"/>
          <w:sz w:val="24"/>
          <w:szCs w:val="24"/>
          <w:highlight w:val="none"/>
          <w:u w:val="single"/>
        </w:rPr>
        <w:t xml:space="preserve"> </w:t>
      </w:r>
      <w:r>
        <w:rPr>
          <w:rFonts w:hint="eastAsia" w:ascii="宋体" w:hAnsi="宋体" w:cs="宋体"/>
          <w:color w:val="auto"/>
          <w:sz w:val="24"/>
          <w:highlight w:val="none"/>
          <w:u w:val="single"/>
        </w:rPr>
        <w:t xml:space="preserve">合同签订后预付合同金额（即中标金额）的10%，</w:t>
      </w:r>
      <w:r>
        <w:rPr>
          <w:rFonts w:hint="eastAsia" w:ascii="宋体" w:hAnsi="宋体" w:cs="Arial"/>
          <w:color w:val="auto"/>
          <w:sz w:val="24"/>
          <w:szCs w:val="24"/>
          <w:highlight w:val="none"/>
          <w:u w:val="single"/>
        </w:rPr>
        <w:t xml:space="preserve">每月由采购人对项目运维养护情况进行考核，考核标准依据《附件二：太科园（新安街道）河道水生态长效运维养护考核评分标准》。按照考核结果及其他相关要求每季度进行</w:t>
      </w:r>
      <w:r>
        <w:rPr>
          <w:rFonts w:hint="eastAsia" w:ascii="宋体" w:hAnsi="宋体" w:cs="Arial"/>
          <w:color w:val="auto"/>
          <w:sz w:val="24"/>
          <w:szCs w:val="24"/>
          <w:highlight w:val="none"/>
          <w:u w:val="single"/>
          <w:lang w:val="en-US" w:eastAsia="zh-CN"/>
        </w:rPr>
        <w:t xml:space="preserve">支付</w:t>
      </w:r>
      <w:r>
        <w:rPr>
          <w:rFonts w:hint="eastAsia" w:ascii="宋体" w:hAnsi="宋体" w:cs="宋体"/>
          <w:color w:val="auto"/>
          <w:sz w:val="24"/>
          <w:szCs w:val="24"/>
          <w:highlight w:val="none"/>
          <w:u w:val="single"/>
        </w:rPr>
        <w:t xml:space="preserve">，其中10%的预付款在第一、第二季度支付款项中分两次扣除。</w:t>
      </w:r>
      <w:r>
        <w:rPr>
          <w:rFonts w:hint="eastAsia" w:ascii="宋体" w:hAnsi="宋体" w:cs="Arial"/>
          <w:color w:val="auto"/>
          <w:sz w:val="24"/>
          <w:szCs w:val="24"/>
          <w:highlight w:val="none"/>
          <w:u w:val="single"/>
        </w:rPr>
        <w:t xml:space="preserve">付款时中标供应商向采购人开具符合采购人财务部门要求的发票，采购人应当在收到发票后向中标供应商支付当期服务费</w:t>
      </w:r>
      <w:r>
        <w:rPr>
          <w:rFonts w:hint="eastAsia" w:ascii="宋体" w:hAnsi="宋体" w:cs="宋体"/>
          <w:color w:val="auto"/>
          <w:sz w:val="24"/>
          <w:szCs w:val="24"/>
          <w:highlight w:val="none"/>
          <w:u w:val="single"/>
        </w:rPr>
        <w:t xml:space="preserve">。</w:t>
      </w:r>
      <w:r/>
    </w:p>
    <w:p>
      <w:pPr>
        <w:numPr>
          <w:ilvl w:val="0"/>
          <w:numId w:val="24"/>
        </w:numPr>
        <w:ind w:left="0" w:firstLine="525"/>
        <w:spacing w:line="440" w:lineRule="exact"/>
        <w:tabs>
          <w:tab w:val="left" w:pos="0" w:leader="none"/>
          <w:tab w:val="clear" w:pos="45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违约责任：</w:t>
      </w:r>
      <w:r>
        <w:rPr>
          <w:rFonts w:hint="eastAsia" w:ascii="宋体" w:hAnsi="宋体"/>
          <w:bCs/>
          <w:color w:val="auto"/>
          <w:sz w:val="24"/>
          <w:highlight w:val="none"/>
          <w:u w:val="single"/>
        </w:rPr>
        <w:t xml:space="preserve">                                                              </w:t>
      </w:r>
      <w:r/>
    </w:p>
    <w:p>
      <w:pPr>
        <w:numPr>
          <w:ilvl w:val="0"/>
          <w:numId w:val="24"/>
        </w:numPr>
        <w:ind w:left="0" w:firstLine="525"/>
        <w:spacing w:line="440" w:lineRule="exact"/>
        <w:tabs>
          <w:tab w:val="left" w:pos="0" w:leader="none"/>
          <w:tab w:val="clear" w:pos="450" w:leader="none"/>
          <w:tab w:val="left" w:pos="1260" w:leader="none"/>
        </w:tabs>
        <w:rPr>
          <w:rFonts w:hint="eastAsia" w:ascii="宋体" w:hAnsi="宋体"/>
          <w:bCs/>
          <w:color w:val="auto"/>
          <w:sz w:val="24"/>
          <w:highlight w:val="none"/>
        </w:rPr>
      </w:pPr>
      <w:r>
        <w:rPr>
          <w:rFonts w:ascii="宋体" w:hAnsi="宋体"/>
          <w:color w:val="auto"/>
          <w:sz w:val="24"/>
          <w:highlight w:val="none"/>
        </w:rPr>
        <w:t xml:space="preserve">解决争议的方</w:t>
      </w:r>
      <w:r>
        <w:rPr>
          <w:rFonts w:hint="eastAsia" w:ascii="宋体" w:hAnsi="宋体"/>
          <w:color w:val="auto"/>
          <w:sz w:val="24"/>
          <w:highlight w:val="none"/>
        </w:rPr>
        <w:t xml:space="preserve">式：</w:t>
      </w:r>
      <w:r>
        <w:rPr>
          <w:rFonts w:hint="eastAsia" w:ascii="宋体" w:hAnsi="宋体"/>
          <w:color w:val="auto"/>
          <w:sz w:val="24"/>
          <w:highlight w:val="none"/>
          <w:u w:val="single"/>
        </w:rPr>
        <w:t xml:space="preserve">                                                        </w:t>
      </w:r>
      <w:r/>
    </w:p>
    <w:p>
      <w:pPr>
        <w:numPr>
          <w:ilvl w:val="0"/>
          <w:numId w:val="24"/>
        </w:numPr>
        <w:ind w:left="0" w:firstLine="525"/>
        <w:spacing w:line="440" w:lineRule="exact"/>
        <w:tabs>
          <w:tab w:val="left" w:pos="0" w:leader="none"/>
          <w:tab w:val="clear" w:pos="45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其他事项：</w:t>
      </w:r>
      <w:r>
        <w:rPr>
          <w:rFonts w:hint="eastAsia" w:ascii="宋体" w:hAnsi="宋体"/>
          <w:bCs/>
          <w:color w:val="auto"/>
          <w:sz w:val="24"/>
          <w:highlight w:val="none"/>
          <w:u w:val="single"/>
        </w:rPr>
        <w:t xml:space="preserve">                                                              </w:t>
      </w:r>
      <w:r/>
    </w:p>
    <w:p>
      <w:pPr>
        <w:numPr>
          <w:ilvl w:val="0"/>
          <w:numId w:val="24"/>
        </w:numPr>
        <w:ind w:left="0" w:firstLine="525"/>
        <w:spacing w:line="440" w:lineRule="exact"/>
        <w:tabs>
          <w:tab w:val="left" w:pos="0" w:leader="none"/>
          <w:tab w:val="clear" w:pos="450" w:leader="none"/>
          <w:tab w:val="left" w:pos="1260" w:leader="none"/>
        </w:tabs>
        <w:rPr>
          <w:color w:val="auto"/>
          <w:highlight w:val="none"/>
        </w:rPr>
      </w:pPr>
      <w:r>
        <w:rPr>
          <w:rFonts w:hint="eastAsia" w:ascii="宋体" w:hAnsi="宋体"/>
          <w:bCs/>
          <w:color w:val="auto"/>
          <w:sz w:val="24"/>
          <w:highlight w:val="none"/>
        </w:rPr>
        <w:t xml:space="preserve">合同不可分割部分：</w:t>
      </w:r>
      <w:r/>
    </w:p>
    <w:p>
      <w:pPr>
        <w:ind w:firstLine="480"/>
        <w:spacing w:line="440" w:lineRule="exact"/>
        <w:tabs>
          <w:tab w:val="left" w:pos="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招标文件、投标文件、合同条款及中标通知书，乙方在报价、评审过程中所作其他有关承诺、声明、书面澄清等均为合同不可分割的部分，与主合同具有同等法律效力。</w:t>
      </w:r>
      <w:r/>
    </w:p>
    <w:p>
      <w:pPr>
        <w:numPr>
          <w:ilvl w:val="0"/>
          <w:numId w:val="24"/>
        </w:numPr>
        <w:ind w:left="0" w:firstLine="525"/>
        <w:spacing w:line="440" w:lineRule="exact"/>
        <w:tabs>
          <w:tab w:val="left" w:pos="0" w:leader="none"/>
          <w:tab w:val="clear" w:pos="45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合同备案：</w:t>
      </w:r>
      <w:r/>
    </w:p>
    <w:p>
      <w:pPr>
        <w:ind w:firstLine="480"/>
        <w:spacing w:line="440" w:lineRule="exact"/>
        <w:tabs>
          <w:tab w:val="left" w:pos="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合同一式五份，供需双方各执二份，采购代理机构处一份。</w:t>
      </w:r>
      <w:r/>
    </w:p>
    <w:p>
      <w:pPr>
        <w:numPr>
          <w:ilvl w:val="0"/>
          <w:numId w:val="24"/>
        </w:numPr>
        <w:ind w:left="0" w:firstLine="525"/>
        <w:spacing w:line="440" w:lineRule="exact"/>
        <w:tabs>
          <w:tab w:val="left" w:pos="0" w:leader="none"/>
          <w:tab w:val="clear" w:pos="4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w:t>
      </w:r>
      <w:r/>
    </w:p>
    <w:p>
      <w:pPr>
        <w:ind w:firstLine="480"/>
        <w:spacing w:line="440" w:lineRule="exact"/>
        <w:tabs>
          <w:tab w:val="left" w:pos="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本合同由供需双方签字、盖章，并经代理机构见证盖章后生效。</w:t>
      </w:r>
      <w:r/>
    </w:p>
    <w:p>
      <w:pPr>
        <w:pStyle w:val="780"/>
        <w:rPr>
          <w:color w:val="auto"/>
          <w:highlight w:val="none"/>
        </w:rPr>
      </w:pPr>
      <w:r>
        <w:rPr>
          <w:color w:val="auto"/>
          <w:highlight w:val="none"/>
        </w:rPr>
      </w:r>
      <w:r/>
    </w:p>
    <w:p>
      <w:pPr>
        <w:spacing w:line="440" w:lineRule="exact"/>
        <w:rPr>
          <w:rFonts w:hint="eastAsia"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       乙方（成交方）：</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440" w:lineRule="exact"/>
        <w:rPr>
          <w:rFonts w:hint="eastAsia" w:ascii="宋体" w:hAnsi="宋体"/>
          <w:bCs/>
          <w:color w:val="auto"/>
          <w:sz w:val="24"/>
          <w:highlight w:val="none"/>
          <w:u w:val="singl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（签字或盖章）</w:t>
      </w:r>
      <w:r>
        <w:rPr>
          <w:rFonts w:hint="eastAsia" w:ascii="宋体" w:hAnsi="宋体"/>
          <w:bCs/>
          <w:color w:val="auto"/>
          <w:sz w:val="24"/>
          <w:highlight w:val="none"/>
        </w:rPr>
        <w:t xml:space="preserve">    法定（授权）代表人：</w:t>
      </w:r>
      <w:r>
        <w:rPr>
          <w:rFonts w:hint="eastAsia" w:ascii="宋体" w:hAnsi="宋体"/>
          <w:bCs/>
          <w:color w:val="auto"/>
          <w:sz w:val="24"/>
          <w:highlight w:val="none"/>
          <w:u w:val="single"/>
        </w:rPr>
        <w:t xml:space="preserve">     （签字或盖章）   </w:t>
      </w:r>
      <w:r/>
    </w:p>
    <w:p>
      <w:pPr>
        <w:spacing w:line="44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firstLine="480"/>
        <w:jc w:val="left"/>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jc w:val="left"/>
        <w:rPr>
          <w:rFonts w:hint="eastAsia" w:ascii="宋体" w:hAnsi="宋体"/>
          <w:bCs/>
          <w:color w:val="auto"/>
          <w:sz w:val="24"/>
          <w:highlight w:val="none"/>
        </w:rPr>
      </w:pPr>
      <w:r>
        <w:rPr>
          <w:rFonts w:hint="eastAsia" w:ascii="宋体" w:hAnsi="宋体"/>
          <w:bCs/>
          <w:color w:val="auto"/>
          <w:sz w:val="24"/>
          <w:highlight w:val="none"/>
        </w:rPr>
      </w:r>
      <w:r/>
    </w:p>
    <w:p>
      <w:pPr>
        <w:jc w:val="left"/>
        <w:rPr>
          <w:rFonts w:hint="eastAsia" w:ascii="宋体" w:hAnsi="宋体"/>
          <w:bCs/>
          <w:color w:val="auto"/>
          <w:sz w:val="24"/>
          <w:highlight w:val="none"/>
        </w:rPr>
      </w:pPr>
      <w:r>
        <w:rPr>
          <w:rFonts w:hint="eastAsia" w:ascii="宋体" w:hAnsi="宋体"/>
          <w:bCs/>
          <w:color w:val="auto"/>
          <w:sz w:val="24"/>
          <w:highlight w:val="none"/>
        </w:rPr>
        <w:t xml:space="preserve">见证单位（盖章）：</w:t>
      </w:r>
      <w:r/>
    </w:p>
    <w:p>
      <w:pPr>
        <w:jc w:val="center"/>
        <w:spacing w:line="440" w:lineRule="exact"/>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440" w:lineRule="exact"/>
        <w:rPr>
          <w:rFonts w:eastAsia="黑体"/>
          <w:bCs/>
          <w:color w:val="auto"/>
          <w:sz w:val="28"/>
          <w:szCs w:val="28"/>
          <w:highlight w:val="none"/>
          <w:lang w:val="de-DE"/>
        </w:rPr>
      </w:pPr>
      <w:r>
        <w:rPr>
          <w:rFonts w:hint="eastAsia" w:ascii="黑体" w:eastAsia="黑体"/>
          <w:bCs/>
          <w:color w:val="auto"/>
          <w:sz w:val="28"/>
          <w:szCs w:val="28"/>
          <w:highlight w:val="none"/>
        </w:rPr>
        <w:t xml:space="preserve">合同条款</w:t>
      </w:r>
      <w:r/>
    </w:p>
    <w:p>
      <w:pPr>
        <w:pStyle w:val="105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招标文件和该文件的中标通知书及乙方投标文件，供需双方就此次治理及相关问题，同意按下列条款规定执行。</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（一）组成本合同的有关文件</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的招标文件、投标文件、合同条款及中标通知书，乙方在报价、评审过程中所作其它有关承诺、声明、书面澄清等均为合同不可分割的部分，与主合同具有同等法律效力。</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（二）知识产权</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（三）服务质量要求：</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1.乙方应严格按照招标文件的有关规定和乙方投标文件提供合格的服务。</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果任何服务不符合服务质量要求，甲方均可以拒绝接受，乙方应及时重新提供服务，且不得影响甲方正常工作，费用由乙方承担，如因重作导致乙方逾期交付服务的，乙方还应承担逾期交付的违约责任。本规定并不免除乙方在本合同项下的服务质量保证义务或其他义务。</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与有关部门根据国家有关规定、招标文件、中标方的投标文件以及合同约定的内容和验收标准进行验收，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4.甲方不得擅自变更招投标文件约定的服务要求、服务内容等相关内容，如有变更应按《中华人民共和国政府采购法》、财政部《政府采购货物和服务招标投标管理办法》的相关程序执行。</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（四）服务完成条件：</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1.服务期限：</w:t>
      </w:r>
      <w:r>
        <w:rPr>
          <w:rFonts w:hint="eastAsia" w:ascii="宋体" w:hAnsi="宋体" w:cs="Arial"/>
          <w:color w:val="auto"/>
          <w:sz w:val="24"/>
          <w:szCs w:val="24"/>
          <w:highlight w:val="none"/>
        </w:rPr>
        <w:t xml:space="preserve">一期河道（7条）24个月，二期河道（18条）20个月，具体起始日期以合同签订日期为准</w:t>
      </w:r>
      <w:r>
        <w:rPr>
          <w:rFonts w:hint="eastAsia" w:ascii="宋体" w:hAnsi="宋体" w:cs="宋体"/>
          <w:color w:val="auto"/>
          <w:sz w:val="24"/>
          <w:szCs w:val="24"/>
          <w:highlight w:val="none"/>
        </w:rPr>
        <w:t xml:space="preserve">。</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2.乙方在验收时应先用信函、传真、电子邮件等书面方式通知甲方。               </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（五）甲方的责任：</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及时向乙方提供履行代理工作职责所需要的相关资料，并对所提供的有关资料的真实性、合法性负责。如果乙方提供的资料不及时、不真实、不合法、不完整，致使乙方服务质量不合格，从而招致第三方追究时，应由甲方承担全部责任。</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2.为乙方委派人员的工作提供必要的条件及合作。</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3.按照本合同约定及时足额支付服务费用。</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4.甲方如要求乙方提供招标文件及乙方投标文件以外的</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服务，其费用另定。</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5.乙方在服务期间向甲方出具的书面材料，仅限于本协议约定委托目的之用，不得另</w:t>
      </w:r>
      <w:r>
        <w:rPr>
          <w:rFonts w:hint="eastAsia" w:ascii="宋体" w:hAnsi="宋体" w:cs="宋体"/>
          <w:color w:val="auto"/>
          <w:sz w:val="24"/>
          <w:szCs w:val="24"/>
          <w:highlight w:val="none"/>
          <w:lang w:eastAsia="zh-CN"/>
        </w:rPr>
        <w:t xml:space="preserve">作</w:t>
      </w:r>
      <w:r>
        <w:rPr>
          <w:rFonts w:hint="eastAsia" w:ascii="宋体" w:hAnsi="宋体" w:cs="宋体"/>
          <w:color w:val="auto"/>
          <w:sz w:val="24"/>
          <w:szCs w:val="24"/>
          <w:highlight w:val="none"/>
        </w:rPr>
        <w:t xml:space="preserve">他用。由于使用不当所造成的后果，由甲方承担责任。</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6.甲方可为乙方派遣的项目负责人及项目组成员提供办公地点。</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（六）乙方的责任：</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1.服务质量必须符合国家法律、法规及行政规章的有关规定。</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2.每月进行1-2次的水质采样检测并出具检测报告，及时跟进水质变化：计氨氮、总磷、高锰酸盐指数、溶解氧、化学需氧量5个指标。</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履约过程中所获得的相关信息负有保密义务，该保密义务不受本协议约定服务期限的限制，为持续有效，但根据法律法规规定或政府部门、监管机构要求披露的除外。若因成交供应商未履行保密服务的要求导致甲方遭受损失的，则采购人有权追究成交供应商的相关法律责任并要求成交供应商对遭受的损失进行经济赔偿。</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3.在执行业务过程中应充分照顾到甲方的合法利益。</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4.按照本项目招标文件要求、中标承诺及合同约定及时完成采购需求中的各项工作任务。</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（七）水质不达标通报及违约扣款</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乙方水质养护、运维管理不当等，导致本合同项下的水质指标未达标准，被市级通报批评的，除正常考评后额外扣除养护经费30000元/次；被省级通报批评的，除正常考评后额外扣除养护经费50000元/次；被新闻媒体曝光，通报（市、省级）结果影响恶劣的，额外扣除80000元/次。 </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 违约责任：</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履行合同的过程中，如果乙方遇到妨碍按时提供服务的情况时，应及时以书面形式将拖延的事实、可能拖延的时间和原因通知甲方。甲方在收到乙方通知后，应尽快对情况进行核实，并有权根据情况确定是否酌情延长要求限期内提供相关服务的时间以及是否收取逾期提供服务的违约金及损害赔偿金（如有），或依照法律程序解除部分或全部合同。延期应通过签订补充合同的方式由双方认可并履行。</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2.未达到验收标准且成交供应商拒不整改，采购人有权单方终止合同，并在应付款中扣除合同价的5%作为质量违约金，若对采购人造成其他经济损失的，成交供应商需全额赔偿。</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3.甲方无正当理由逾期付款时，每逾期一日，甲方应按照逾期付款金额的万分之五的标准累计计算向乙方支付违约金。</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5.如遭遇不可抗力事件，遭遇不可抗力的一方应尽快以书面形式将不可抗力的情况和原因通知另一方，并积极采取措施防止损失扩大。因不可抗力造成的损失，供、需双方按照法律规定处理。</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6.招标文件及合同中所述之“不可抗力”系指不可预见、不可避免、不可克服的事件，包括但不限于：战争、洪水、台风、地震及其他法律、法规规定的事件。</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7.如果乙方在本合同履行完毕之前破产或无清偿能力，甲方可在任何时候以书面形式通知乙方，提出解除合同。该终止合同将不损害或影响甲方已经采取或将要采取的任何行动或补救措施的权力。</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8.运维养护期内，承包人负责对生态系统的维护和水质标准的保持（暴雨，防洪排涝，或者突发严重排污期间等情况除外，应由甲乙双方另行协商确定）。</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9.有下列情形之一的，不视为乙方违约：</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不可抗力：战争、自然灾害、政治变动、政府行为、国家法律法规变化的。</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 合同生效及其它：</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1.合同经甲乙双方代表签字并盖章，且在代理机构见证后即生效。</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2.合同签订后甲乙双方即直接产生权利与义务的关系，合同执行过程中出现的问题应按照合同约定、法律法规的规定办理。在合同履行过程中，双方如有争议，由甲乙双方协商处理，若协商不成，可选择以下 （2） 方式处理：</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（1）向无锡仲裁委员会申请仲裁。</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（2）向甲方所在地法院提起诉讼。</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4.合同中未有约定的按照有关的法律法规以及国家行业标准或技术文件规定予以解决。</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5.甲乙双方确认：对本合同条款及后果均已知悉，一致确认不存在欺诈、胁迫、乘人之危、重大误解、显失公平等任何可能导致合同无效或被撤销的情形。 </w:t>
      </w:r>
      <w:r/>
    </w:p>
    <w:p>
      <w:pPr>
        <w:pStyle w:val="10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6.具体河道运维养护清单、考核办法、考核标准等详见“三、项目技术要求和有关说明”，需作为合同附件。</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sectPr>
          <w:footnotePr/>
          <w:endnotePr/>
          <w:type w:val="nextPage"/>
          <w:pgSz w:w="11906" w:h="16838" w:orient="portrait"/>
          <w:pgMar w:top="1440" w:right="1080" w:bottom="1440" w:left="1080" w:header="624" w:footer="907" w:gutter="0"/>
          <w:cols w:num="1" w:sep="0" w:space="1701" w:equalWidth="1"/>
          <w:docGrid w:linePitch="360"/>
        </w:sect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六、附件</w:t>
      </w:r>
      <w:bookmarkEnd w:id="15"/>
      <w:r/>
      <w:bookmarkEnd w:id="16"/>
      <w:r/>
      <w:r/>
    </w:p>
    <w:p>
      <w:pPr>
        <w:ind w:firstLine="480"/>
        <w:jc w:val="left"/>
        <w:spacing w:line="360" w:lineRule="auto"/>
        <w:rPr>
          <w:rFonts w:ascii="黑体" w:eastAsia="黑体"/>
          <w:bCs/>
          <w:color w:val="auto"/>
          <w:sz w:val="24"/>
          <w:szCs w:val="24"/>
          <w:highlight w:val="none"/>
        </w:rPr>
        <w:outlineLvl w:val="1"/>
      </w:pPr>
      <w:r>
        <w:rPr>
          <w:rFonts w:hint="eastAsia" w:ascii="黑体" w:eastAsia="黑体"/>
          <w:bCs/>
          <w:color w:val="auto"/>
          <w:sz w:val="24"/>
          <w:szCs w:val="24"/>
          <w:highlight w:val="none"/>
        </w:rPr>
        <w:t xml:space="preserve">附件一：评分标准</w:t>
      </w:r>
      <w:r/>
    </w:p>
    <w:p>
      <w:pPr>
        <w:ind w:left="210"/>
        <w:spacing w:line="460" w:lineRule="exact"/>
        <w:tabs>
          <w:tab w:val="left" w:pos="945" w:leader="none"/>
          <w:tab w:val="left" w:pos="1155"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一、评分项目及总分（总分100分）</w:t>
      </w:r>
      <w:r/>
    </w:p>
    <w:p>
      <w:pPr>
        <w:ind w:firstLine="482"/>
        <w:spacing w:line="360" w:lineRule="auto"/>
        <w:tabs>
          <w:tab w:val="left" w:pos="945" w:leader="none"/>
          <w:tab w:val="left" w:pos="1146" w:leader="none"/>
        </w:tabs>
        <w:rPr>
          <w:rFonts w:hint="eastAsia" w:ascii="宋体" w:hAnsi="宋体" w:cs="宋体"/>
          <w:color w:val="auto"/>
          <w:sz w:val="24"/>
          <w:highlight w:val="none"/>
        </w:rPr>
      </w:pPr>
      <w:r>
        <w:rPr>
          <w:rFonts w:hint="eastAsia" w:ascii="宋体" w:hAnsi="宋体" w:cs="宋体"/>
          <w:color w:val="auto"/>
          <w:sz w:val="24"/>
          <w:highlight w:val="none"/>
        </w:rPr>
        <w:t xml:space="preserve">1、报价分                               30分</w:t>
      </w:r>
      <w:r/>
    </w:p>
    <w:p>
      <w:pPr>
        <w:ind w:firstLine="482"/>
        <w:spacing w:line="360" w:lineRule="auto"/>
        <w:tabs>
          <w:tab w:val="left" w:pos="945" w:leader="none"/>
          <w:tab w:val="left" w:pos="1146" w:leader="none"/>
        </w:tabs>
        <w:rPr>
          <w:rFonts w:hint="eastAsia" w:ascii="宋体" w:hAnsi="宋体" w:cs="宋体"/>
          <w:color w:val="auto"/>
          <w:sz w:val="24"/>
          <w:highlight w:val="none"/>
        </w:rPr>
      </w:pPr>
      <w:r>
        <w:rPr>
          <w:rFonts w:hint="eastAsia" w:ascii="宋体" w:hAnsi="宋体" w:cs="宋体"/>
          <w:color w:val="auto"/>
          <w:sz w:val="24"/>
          <w:highlight w:val="none"/>
        </w:rPr>
        <w:t xml:space="preserve">2、投标供应商综合实力                   20分</w:t>
      </w:r>
      <w:r/>
    </w:p>
    <w:p>
      <w:pPr>
        <w:ind w:firstLine="482"/>
        <w:spacing w:line="360" w:lineRule="auto"/>
        <w:tabs>
          <w:tab w:val="left" w:pos="945" w:leader="none"/>
          <w:tab w:val="left" w:pos="1146" w:leader="none"/>
        </w:tabs>
        <w:rPr>
          <w:rFonts w:hint="eastAsia" w:ascii="宋体" w:hAnsi="宋体" w:cs="宋体"/>
          <w:color w:val="auto"/>
          <w:sz w:val="24"/>
          <w:highlight w:val="none"/>
        </w:rPr>
      </w:pPr>
      <w:r>
        <w:rPr>
          <w:rFonts w:hint="eastAsia" w:ascii="宋体" w:hAnsi="宋体" w:cs="宋体"/>
          <w:color w:val="auto"/>
          <w:sz w:val="24"/>
          <w:highlight w:val="none"/>
        </w:rPr>
        <w:t xml:space="preserve">3、技术文件                             50分</w:t>
      </w:r>
      <w:r/>
    </w:p>
    <w:p>
      <w:pPr>
        <w:numPr>
          <w:ilvl w:val="12"/>
          <w:numId w:val="0"/>
        </w:numPr>
        <w:ind w:left="210"/>
        <w:spacing w:line="460" w:lineRule="exact"/>
        <w:tabs>
          <w:tab w:val="left" w:pos="945" w:leader="none"/>
          <w:tab w:val="left" w:pos="1155"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二、各项目评分标准</w:t>
      </w:r>
      <w:r/>
    </w:p>
    <w:p>
      <w:pPr>
        <w:ind w:firstLine="482"/>
        <w:spacing w:line="360" w:lineRule="auto"/>
        <w:tabs>
          <w:tab w:val="left" w:pos="63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（一）报价（30分）</w:t>
      </w:r>
      <w:r/>
    </w:p>
    <w:p>
      <w:pPr>
        <w:ind w:firstLine="482"/>
        <w:spacing w:line="360" w:lineRule="auto"/>
        <w:tabs>
          <w:tab w:val="left" w:pos="945" w:leader="none"/>
          <w:tab w:val="left" w:pos="114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2"/>
        <w:spacing w:line="360" w:lineRule="auto"/>
        <w:tabs>
          <w:tab w:val="left" w:pos="63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投标报价得分=(评标基准价/投标报价)×30。</w:t>
      </w:r>
      <w:r/>
    </w:p>
    <w:p>
      <w:pPr>
        <w:ind w:firstLine="566"/>
        <w:spacing w:line="360" w:lineRule="auto"/>
        <w:tabs>
          <w:tab w:val="left" w:pos="945" w:leader="none"/>
          <w:tab w:val="left" w:pos="1155" w:leader="none"/>
        </w:tabs>
        <w:rPr>
          <w:rFonts w:hint="eastAsia" w:ascii="Calibri" w:hAnsi="宋体"/>
          <w:b/>
          <w:color w:val="auto"/>
          <w:sz w:val="24"/>
          <w:szCs w:val="24"/>
          <w:highlight w:val="none"/>
        </w:rPr>
      </w:pPr>
      <w:r>
        <w:rPr>
          <w:rFonts w:hint="eastAsia" w:ascii="Calibri" w:hAnsi="宋体"/>
          <w:b/>
          <w:color w:val="auto"/>
          <w:sz w:val="24"/>
          <w:szCs w:val="24"/>
          <w:highlight w:val="none"/>
        </w:rPr>
        <w:t xml:space="preserve">价格扣除：不专门面向中小/小微企业的项目，做价格扣除。</w:t>
      </w:r>
      <w:r/>
    </w:p>
    <w:p>
      <w:pPr>
        <w:ind w:left="1"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szCs w:val="24"/>
          <w:highlight w:val="none"/>
        </w:rPr>
        <w:t xml:space="preserve">①小</w:t>
      </w:r>
      <w:r>
        <w:rPr>
          <w:rFonts w:hint="eastAsia" w:ascii="宋体" w:hAnsi="宋体"/>
          <w:bCs/>
          <w:color w:val="auto"/>
          <w:sz w:val="24"/>
          <w:highlight w:val="none"/>
        </w:rPr>
        <w:t xml:space="preserve">型和微型企业产品的价格给予10</w:t>
      </w:r>
      <w:r>
        <w:rPr>
          <w:rFonts w:ascii="宋体" w:hAnsi="宋体"/>
          <w:bCs/>
          <w:color w:val="auto"/>
          <w:sz w:val="24"/>
          <w:highlight w:val="none"/>
        </w:rPr>
        <w:t xml:space="preserve">%</w:t>
      </w:r>
      <w:r>
        <w:rPr>
          <w:rFonts w:hint="eastAsia" w:ascii="宋体" w:hAnsi="宋体"/>
          <w:bCs/>
          <w:color w:val="auto"/>
          <w:sz w:val="24"/>
          <w:highlight w:val="none"/>
        </w:rPr>
        <w:t xml:space="preserve">的扣除，用扣除后的价格参与评审。参加投标的中小企业，应当按照《政府采购促进中小企业发展管理办法》</w:t>
      </w:r>
      <w:r>
        <w:rPr>
          <w:rFonts w:ascii="宋体" w:hAnsi="宋体"/>
          <w:bCs/>
          <w:color w:val="auto"/>
          <w:sz w:val="24"/>
          <w:highlight w:val="none"/>
        </w:rPr>
        <w:t xml:space="preserve">（财库﹝2020﹞46 号）</w:t>
      </w:r>
      <w:r>
        <w:rPr>
          <w:rFonts w:hint="eastAsia" w:ascii="宋体" w:hAnsi="宋体"/>
          <w:bCs/>
          <w:color w:val="auto"/>
          <w:sz w:val="24"/>
          <w:highlight w:val="none"/>
        </w:rPr>
        <w:t xml:space="preserve">的规定提供《中小企业声明函》（货物/</w:t>
      </w:r>
      <w:r>
        <w:rPr>
          <w:rFonts w:ascii="宋体" w:hAnsi="宋体"/>
          <w:bCs/>
          <w:color w:val="auto"/>
          <w:sz w:val="24"/>
          <w:highlight w:val="none"/>
        </w:rPr>
        <w:t xml:space="preserve">服务</w:t>
      </w:r>
      <w:r>
        <w:rPr>
          <w:rFonts w:hint="eastAsia" w:ascii="宋体" w:hAnsi="宋体"/>
          <w:bCs/>
          <w:color w:val="auto"/>
          <w:sz w:val="24"/>
          <w:highlight w:val="none"/>
        </w:rPr>
        <w:t xml:space="preserve">）（中小企业划型标准详见《关于印发中小企业划型标准规定的通知》工信部联企业〔</w:t>
      </w:r>
      <w:r>
        <w:rPr>
          <w:rFonts w:ascii="宋体" w:hAnsi="宋体"/>
          <w:bCs/>
          <w:color w:val="auto"/>
          <w:sz w:val="24"/>
          <w:highlight w:val="none"/>
        </w:rPr>
        <w:t xml:space="preserve">2011</w:t>
      </w:r>
      <w:r>
        <w:rPr>
          <w:rFonts w:hint="eastAsia" w:ascii="宋体" w:hAnsi="宋体"/>
          <w:bCs/>
          <w:color w:val="auto"/>
          <w:sz w:val="24"/>
          <w:highlight w:val="none"/>
        </w:rPr>
        <w:t xml:space="preserve">〕</w:t>
      </w:r>
      <w:r>
        <w:rPr>
          <w:rFonts w:ascii="宋体" w:hAnsi="宋体"/>
          <w:bCs/>
          <w:color w:val="auto"/>
          <w:sz w:val="24"/>
          <w:highlight w:val="none"/>
        </w:rPr>
        <w:t xml:space="preserve">300</w:t>
      </w:r>
      <w:r>
        <w:rPr>
          <w:rFonts w:hint="eastAsia" w:ascii="宋体" w:hAnsi="宋体"/>
          <w:bCs/>
          <w:color w:val="auto"/>
          <w:sz w:val="24"/>
          <w:highlight w:val="none"/>
        </w:rPr>
        <w:t xml:space="preserve">号）。</w:t>
      </w:r>
      <w:r/>
    </w:p>
    <w:p>
      <w:pPr>
        <w:ind w:left="1"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1"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2"/>
        <w:spacing w:line="360" w:lineRule="auto"/>
        <w:tabs>
          <w:tab w:val="left" w:pos="630" w:leader="none"/>
        </w:tabs>
        <w:rPr>
          <w:rFonts w:hint="eastAsia" w:ascii="宋体" w:hAnsi="宋体" w:cs="宋体"/>
          <w:color w:val="auto"/>
          <w:sz w:val="24"/>
          <w:highlight w:val="none"/>
        </w:rPr>
      </w:pPr>
      <w:r>
        <w:rPr>
          <w:rFonts w:hint="eastAsia" w:ascii="宋体" w:hAnsi="宋体"/>
          <w:bCs/>
          <w:color w:val="auto"/>
          <w:sz w:val="24"/>
          <w:highlight w:val="none"/>
        </w:rPr>
        <w:t xml:space="preserve">同一投标供应商，上述三项价格扣除优惠不得重复享受。</w:t>
      </w:r>
      <w:r/>
    </w:p>
    <w:p>
      <w:pPr>
        <w:ind w:firstLine="482"/>
        <w:jc w:val="left"/>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（二）投标供应商综合实力评价（20分）</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1、投标供应商业绩（2分）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投标供应商自2023年7月1日至今承担过同类项目业绩的，有一项得1分，最高得2分。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注：时间以合同签订时间为准，投标时提供合同协议书、中标通知书扫描件上传至投标文件中，未按要求提供不得分。</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2、体系认证（3分）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投标供应商具有有效的质量管理体系认证证书、环境管理体系认证证书、职业安全健康管理体系认证证书的有一个得1分，最高得3分。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注：须提供有效期内的证书扫描件上传至投标文件中，未按要求提供不得分。</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3、项目服务组织机构人员配置（13分）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（1）拟投入的项目负责人（3分）：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投标供应商拟投入的项目负责人具备环境工程相关专业高级技术职称的得3分，具备环境工程相关专业中级技术职称的得1分，本项最高得3分。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（2）拟投入本项目服务组织机构人员（10分）：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①投标供应商拟投入本项目服务组织机构人员（项目负责人除外）具备环境工程相关专业高级技术职称的得3分，具备环境工程相关专业中级技术职称的得1分，本项最高得3分。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②投标供应商拟投入本项目服务组织机构人员（项目负责人除外）具备低压电工证的，每配备一个得1分，最高得2分。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③投标供应商拟投入本项目服务组织机构人员（项目负责人除外）具备生态环境监测人员培训合格证书的，每配备一个得1分，最高得2分。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④投标供应商拟投入本项目服务组织机构人员（项目负责人除外）具备绿化工或植保工证书的，每配备一个得1分，最高得3分。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本项最多得10分。（以上同一人员的证书不重复得分）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注：投标文件中需提供证书原件扫描件加盖公章或签电子公章（</w:t>
      </w:r>
      <w:r>
        <w:rPr>
          <w:rFonts w:hint="eastAsia" w:ascii="宋体" w:hAnsi="宋体"/>
          <w:color w:val="auto"/>
          <w:sz w:val="24"/>
          <w:highlight w:val="none"/>
        </w:rPr>
        <w:t xml:space="preserve">如职称证书未体现相关专业的另需提供学历证书或职称申请表</w:t>
      </w:r>
      <w:r>
        <w:rPr>
          <w:rFonts w:hint="eastAsia" w:ascii="宋体" w:hAnsi="宋体" w:cs="宋体"/>
          <w:bCs/>
          <w:color w:val="auto"/>
          <w:sz w:val="24"/>
          <w:highlight w:val="none"/>
        </w:rPr>
        <w:t xml:space="preserve">），并提供由投标供应商为其缴纳的社保收缴部门出具的</w:t>
      </w:r>
      <w:r>
        <w:rPr>
          <w:rFonts w:hint="eastAsia" w:ascii="宋体" w:hAnsi="宋体" w:cs="宋体"/>
          <w:bCs/>
          <w:color w:val="auto"/>
          <w:sz w:val="24"/>
          <w:highlight w:val="none"/>
          <w:lang w:val="en-US" w:eastAsia="zh-CN"/>
        </w:rPr>
        <w:t xml:space="preserve">近</w:t>
      </w:r>
      <w:r>
        <w:rPr>
          <w:rFonts w:hint="eastAsia" w:ascii="宋体" w:hAnsi="宋体" w:cs="宋体"/>
          <w:bCs/>
          <w:color w:val="auto"/>
          <w:sz w:val="24"/>
          <w:highlight w:val="none"/>
        </w:rPr>
        <w:t xml:space="preserve">一年中任意一个月份（不含投标当月）</w:t>
      </w:r>
      <w:r>
        <w:rPr>
          <w:rFonts w:hint="eastAsia" w:ascii="宋体" w:hAnsi="宋体" w:cs="宋体"/>
          <w:bCs/>
          <w:color w:val="auto"/>
          <w:sz w:val="24"/>
          <w:highlight w:val="none"/>
        </w:rPr>
        <w:t xml:space="preserve">缴纳社保的证明</w:t>
      </w:r>
      <w:r>
        <w:rPr>
          <w:rFonts w:hint="eastAsia" w:ascii="宋体" w:hAnsi="宋体"/>
          <w:color w:val="auto"/>
          <w:sz w:val="24"/>
          <w:highlight w:val="none"/>
        </w:rPr>
        <w:t xml:space="preserve">，</w:t>
      </w:r>
      <w:r>
        <w:rPr>
          <w:rFonts w:hint="eastAsia" w:ascii="宋体" w:hAnsi="宋体" w:cs="宋体"/>
          <w:bCs/>
          <w:color w:val="auto"/>
          <w:sz w:val="24"/>
          <w:highlight w:val="none"/>
        </w:rPr>
        <w:t xml:space="preserve">不提供或提供不全不得分。</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4、拟投入的仪器设备（2分）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投标供应商拟为本项目配备便携式水质检测仪器的，每配置一台得1分，此项最高得2分。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自有仪器设备：提供仪器设备购置发票原件扫描件加盖公章或签电子公章上传至投标文件中；租赁仪器设备：提供仪器设备租赁协议、购置发票原件扫描件加盖公章或签电子公章上传至投标文件中，否则不得分。</w:t>
      </w:r>
      <w:r/>
    </w:p>
    <w:p>
      <w:pPr>
        <w:pStyle w:val="1028"/>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241"/>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（三）技术方案（50分)</w:t>
      </w:r>
      <w:r/>
    </w:p>
    <w:p>
      <w:pPr>
        <w:ind w:firstLine="482"/>
        <w:spacing w:line="47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（1）水体生态维护实施方案（12分）</w:t>
      </w:r>
      <w:r/>
    </w:p>
    <w:p>
      <w:pPr>
        <w:ind w:firstLine="720"/>
        <w:spacing w:line="470" w:lineRule="exact"/>
        <w:rPr>
          <w:rFonts w:hint="eastAsia" w:ascii="宋体" w:hAnsi="宋体" w:cs="宋体"/>
          <w:color w:val="auto"/>
          <w:sz w:val="24"/>
          <w:highlight w:val="none"/>
        </w:rPr>
      </w:pPr>
      <w:r>
        <w:rPr>
          <w:rFonts w:hint="eastAsia" w:ascii="宋体" w:hAnsi="宋体" w:cs="宋体"/>
          <w:color w:val="auto"/>
          <w:sz w:val="24"/>
          <w:highlight w:val="none"/>
        </w:rPr>
        <w:t xml:space="preserve">①服务方案的整体设想及总体目标；</w:t>
      </w:r>
      <w:r/>
    </w:p>
    <w:p>
      <w:pPr>
        <w:ind w:firstLine="720"/>
        <w:spacing w:line="470" w:lineRule="exact"/>
        <w:rPr>
          <w:rFonts w:hint="eastAsia" w:ascii="宋体" w:hAnsi="宋体" w:cs="宋体"/>
          <w:color w:val="auto"/>
          <w:sz w:val="24"/>
          <w:highlight w:val="none"/>
        </w:rPr>
      </w:pPr>
      <w:r>
        <w:rPr>
          <w:rFonts w:hint="eastAsia" w:ascii="宋体" w:hAnsi="宋体" w:cs="宋体"/>
          <w:color w:val="auto"/>
          <w:sz w:val="24"/>
          <w:highlight w:val="none"/>
        </w:rPr>
        <w:t xml:space="preserve">②项目的实施方案；</w:t>
      </w:r>
      <w:r/>
    </w:p>
    <w:p>
      <w:pPr>
        <w:ind w:firstLine="720"/>
        <w:spacing w:line="470" w:lineRule="exact"/>
        <w:rPr>
          <w:rFonts w:hint="eastAsia" w:ascii="宋体" w:hAnsi="宋体" w:cs="宋体"/>
          <w:color w:val="auto"/>
          <w:sz w:val="24"/>
          <w:highlight w:val="none"/>
        </w:rPr>
      </w:pPr>
      <w:r>
        <w:rPr>
          <w:rFonts w:hint="eastAsia" w:ascii="宋体" w:hAnsi="宋体" w:cs="宋体"/>
          <w:color w:val="auto"/>
          <w:sz w:val="24"/>
          <w:highlight w:val="none"/>
        </w:rPr>
        <w:t xml:space="preserve">③针对性的服务措施；</w:t>
      </w:r>
      <w:r/>
    </w:p>
    <w:p>
      <w:pPr>
        <w:ind w:firstLine="720"/>
        <w:spacing w:line="47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针对上述内容进行阐述，要求阐述内容合理、条理清晰、针对性强、切实可行有效，本项最高得12分。以上内容不存在瑕疵的该条得4分；以上内容存在1处瑕疵的该条得2分；以上内容存在2处瑕疵的该条得1分；未进行阐述或不满足采购需求或内容存在3处及以上瑕疵的该条得0分。</w:t>
      </w:r>
      <w:r/>
    </w:p>
    <w:p>
      <w:pPr>
        <w:ind w:firstLine="723"/>
        <w:spacing w:line="47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（2）项目的理解程度（12分）</w:t>
      </w:r>
      <w:r/>
    </w:p>
    <w:p>
      <w:pPr>
        <w:ind w:firstLine="72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①水质维护服务要求的重点、难点分析  </w:t>
      </w:r>
      <w:r/>
    </w:p>
    <w:p>
      <w:pPr>
        <w:ind w:firstLine="72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②采取措施的针对性、实施性</w:t>
      </w:r>
      <w:r/>
    </w:p>
    <w:p>
      <w:pPr>
        <w:ind w:left="8400" w:hanging="768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③工作组织合理，对项目有深刻见解，切合实际的建设性建议</w:t>
      </w:r>
      <w:r/>
    </w:p>
    <w:p>
      <w:pPr>
        <w:ind w:left="8400" w:hanging="768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④质量控制措施</w:t>
      </w:r>
      <w:r/>
    </w:p>
    <w:p>
      <w:pPr>
        <w:ind w:firstLine="720"/>
        <w:spacing w:line="47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针对上述内容进行阐述，要求阐述内容合理、条理清晰、针对性强、切实可行有效；本项最高得12分。以上内容不存在瑕疵的该条得3分；以上内容存在1处瑕疵的该条得2分；以上内容存在2处瑕疵的该条得1分；未进行阐述或不满足采购需求或内容存在3处及以上瑕疵的该条得0分。</w:t>
      </w:r>
      <w:r/>
    </w:p>
    <w:p>
      <w:pPr>
        <w:ind w:firstLine="723"/>
        <w:spacing w:line="47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（3）项目日常维护质量保证体系及措施（8分）</w:t>
      </w:r>
      <w:r/>
    </w:p>
    <w:p>
      <w:pPr>
        <w:ind w:firstLine="72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①日常维护质量保证体系</w:t>
      </w:r>
      <w:r/>
    </w:p>
    <w:p>
      <w:pPr>
        <w:ind w:firstLine="72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②日常</w:t>
      </w:r>
      <w:r>
        <w:rPr>
          <w:rFonts w:hint="eastAsia" w:ascii="宋体" w:hAnsi="宋体" w:cs="宋体"/>
          <w:bCs/>
          <w:color w:val="auto"/>
          <w:sz w:val="24"/>
          <w:highlight w:val="none"/>
          <w:lang w:eastAsia="zh-CN"/>
        </w:rPr>
        <w:t xml:space="preserve">维护</w:t>
      </w:r>
      <w:r>
        <w:rPr>
          <w:rFonts w:hint="eastAsia" w:ascii="宋体" w:hAnsi="宋体" w:cs="宋体"/>
          <w:bCs/>
          <w:color w:val="auto"/>
          <w:sz w:val="24"/>
          <w:highlight w:val="none"/>
        </w:rPr>
        <w:t xml:space="preserve">措施</w:t>
      </w:r>
      <w:r/>
    </w:p>
    <w:p>
      <w:pPr>
        <w:ind w:firstLine="72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针对上述内容进行阐述，要求阐述内容合理、条理清晰、针对性强、切实可行有效，本项最高得8分。以上内容不存在瑕疵的该条得4分；以上内容存在1处瑕疵的该条得2分；以上内容存在2处瑕疵的该条得1分；未进行阐述或不满足采购需求或内容存在3处及以上瑕疵的该条得0分。</w:t>
      </w:r>
      <w:r/>
    </w:p>
    <w:p>
      <w:pPr>
        <w:ind w:firstLine="723"/>
        <w:spacing w:line="47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（4）养护服务工作进度安排及措施(8分)</w:t>
      </w:r>
      <w:r/>
    </w:p>
    <w:p>
      <w:pPr>
        <w:ind w:firstLine="72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①项目的进度计划安排 </w:t>
      </w:r>
      <w:r/>
    </w:p>
    <w:p>
      <w:pPr>
        <w:ind w:firstLine="72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②进度安排及措施的针对性、实施性 </w:t>
      </w:r>
      <w:r/>
    </w:p>
    <w:p>
      <w:pPr>
        <w:ind w:firstLine="72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针对上述内容进行阐述，要求阐述内容合理、条理清晰、针对性强、切实可行有效，本项最高得8分。以上内容不存在瑕疵的该条得4分；以上内容存在1处瑕疵的该条得2分；以上内容存在2处瑕疵的该条得1分；未进行阐述或不满足采购需求或内容存在3处及以上瑕疵的该条得0分。</w:t>
      </w:r>
      <w:r/>
    </w:p>
    <w:p>
      <w:pPr>
        <w:ind w:firstLine="723"/>
        <w:spacing w:line="47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（5）突发污染应急措施（10分）</w:t>
      </w:r>
      <w:r/>
    </w:p>
    <w:p>
      <w:pPr>
        <w:ind w:firstLine="72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①突发污染（情况）应对方案  </w:t>
      </w:r>
      <w:r/>
    </w:p>
    <w:p>
      <w:pPr>
        <w:ind w:firstLine="72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②突发应急响应方案  </w:t>
      </w:r>
      <w:r/>
    </w:p>
    <w:p>
      <w:pPr>
        <w:ind w:firstLine="720"/>
        <w:spacing w:line="47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针对上述内容进行阐述，要求阐述内容合理、条理清晰、针对性强、切实可行有效，本项最高得10分。以上内容不存在瑕疵的该条得5分；以上内容存在1处瑕疵的该条得3分；以上内容存在2处瑕疵的该条得1分；未进行阐述或不满足采购需求或内容存在3处及以上瑕疵的该条得0分。</w:t>
      </w:r>
      <w:r/>
    </w:p>
    <w:p>
      <w:pPr>
        <w:ind w:firstLine="480"/>
        <w:spacing w:line="36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
          <w:bCs/>
          <w:color w:val="auto"/>
          <w:sz w:val="24"/>
          <w:szCs w:val="24"/>
          <w:highlight w:val="none"/>
          <w:shd w:val="clear" w:color="auto" w:fill="ffffff"/>
        </w:rPr>
        <w:t xml:space="preserve">技术方案评委在5人及5人以上的，取所有成员的平均值。</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由评委独立评审。所有评委打分的平均值为各投标供应商最终得分。最终得分最高者将推荐为中标候选人。</w:t>
      </w:r>
      <w:r/>
    </w:p>
    <w:p>
      <w:pPr>
        <w:ind w:firstLine="482"/>
        <w:jc w:val="left"/>
        <w:spacing w:line="360" w:lineRule="auto"/>
        <w:tabs>
          <w:tab w:val="left" w:pos="1401" w:leader="none"/>
        </w:tabs>
        <w:rPr>
          <w:rFonts w:ascii="黑体" w:eastAsia="黑体"/>
          <w:bCs/>
          <w:color w:val="auto"/>
          <w:sz w:val="24"/>
          <w:szCs w:val="24"/>
          <w:highlight w:val="none"/>
        </w:rPr>
        <w:outlineLvl w:val="1"/>
      </w:pPr>
      <w:r>
        <w:rPr>
          <w:rFonts w:hint="eastAsia" w:ascii="宋体" w:hAnsi="宋体" w:cs="宋体"/>
          <w:b/>
          <w:bCs/>
          <w:color w:val="auto"/>
          <w:sz w:val="24"/>
          <w:szCs w:val="24"/>
          <w:highlight w:val="none"/>
          <w:shd w:val="clear" w:color="auto" w:fill="ffffff"/>
        </w:rPr>
        <w:t xml:space="preserve">未列入本评分细则的其他条件不作为评分内容。</w:t>
      </w: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824"/>
        <w:rPr>
          <w:rFonts w:ascii="黑体" w:eastAsia="黑体"/>
          <w:color w:val="auto"/>
          <w:sz w:val="32"/>
          <w:highlight w:val="none"/>
        </w:rPr>
      </w:pPr>
      <w:r>
        <w:rPr>
          <w:rFonts w:ascii="黑体" w:eastAsia="黑体"/>
          <w:color w:val="auto"/>
          <w:sz w:val="32"/>
          <w:highlight w:val="none"/>
        </w:rPr>
      </w:r>
      <w:r/>
    </w:p>
    <w:p>
      <w:pPr>
        <w:pStyle w:val="824"/>
        <w:rPr>
          <w:rFonts w:ascii="黑体" w:eastAsia="黑体"/>
          <w:color w:val="auto"/>
          <w:sz w:val="32"/>
          <w:highlight w:val="none"/>
        </w:rPr>
      </w:pPr>
      <w:r>
        <w:rPr>
          <w:rFonts w:ascii="黑体" w:eastAsia="黑体"/>
          <w:color w:val="auto"/>
          <w:sz w:val="32"/>
          <w:highlight w:val="none"/>
        </w:rPr>
      </w:r>
      <w:r/>
    </w:p>
    <w:p>
      <w:pPr>
        <w:pStyle w:val="824"/>
        <w:rPr>
          <w:rFonts w:ascii="黑体" w:eastAsia="黑体"/>
          <w:color w:val="auto"/>
          <w:sz w:val="32"/>
          <w:highlight w:val="none"/>
        </w:rPr>
      </w:pPr>
      <w:r>
        <w:rPr>
          <w:rFonts w:ascii="黑体" w:eastAsia="黑体"/>
          <w:color w:val="auto"/>
          <w:sz w:val="32"/>
          <w:highlight w:val="none"/>
        </w:rPr>
      </w:r>
      <w:r/>
    </w:p>
    <w:p>
      <w:pPr>
        <w:pStyle w:val="824"/>
        <w:rPr>
          <w:rFonts w:ascii="黑体" w:eastAsia="黑体"/>
          <w:color w:val="auto"/>
          <w:sz w:val="32"/>
          <w:highlight w:val="none"/>
        </w:rPr>
      </w:pPr>
      <w:r>
        <w:rPr>
          <w:rFonts w:ascii="黑体" w:eastAsia="黑体"/>
          <w:color w:val="auto"/>
          <w:sz w:val="32"/>
          <w:highlight w:val="none"/>
        </w:rPr>
      </w:r>
      <w:r/>
    </w:p>
    <w:p>
      <w:pPr>
        <w:pStyle w:val="824"/>
        <w:rPr>
          <w:rFonts w:ascii="黑体" w:eastAsia="黑体"/>
          <w:color w:val="auto"/>
          <w:sz w:val="32"/>
          <w:highlight w:val="none"/>
        </w:rPr>
      </w:pPr>
      <w:r>
        <w:rPr>
          <w:rFonts w:ascii="黑体" w:eastAsia="黑体"/>
          <w:color w:val="auto"/>
          <w:sz w:val="32"/>
          <w:highlight w:val="none"/>
        </w:rPr>
      </w:r>
      <w:r/>
    </w:p>
    <w:p>
      <w:pPr>
        <w:pStyle w:val="824"/>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采购项目编号：</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采购项目名称：太科园（新安街道）河道水生态长效运维养护项目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  日</w:t>
      </w:r>
      <w:r/>
    </w:p>
    <w:p>
      <w:pPr>
        <w:rPr>
          <w:rFonts w:hint="eastAsia" w:ascii="黑体" w:hAnsi="宋体" w:eastAsia="黑体"/>
          <w:bCs/>
          <w:color w:val="auto"/>
          <w:sz w:val="24"/>
          <w:szCs w:val="24"/>
          <w:highlight w:val="none"/>
        </w:rPr>
      </w:pPr>
      <w:r/>
      <w:bookmarkStart w:id="18" w:name="一．报价函（格式）"/>
      <w:r/>
      <w:bookmarkEnd w:id="18"/>
      <w:r>
        <w:rPr>
          <w:rFonts w:hint="eastAsia" w:ascii="黑体" w:hAnsi="宋体" w:eastAsia="黑体"/>
          <w:bCs/>
          <w:color w:val="auto"/>
          <w:sz w:val="24"/>
          <w:szCs w:val="24"/>
          <w:highlight w:val="none"/>
        </w:rPr>
        <w:br w:type="page" w:clear="all"/>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致无锡市新吴区人民政府新安街道办事处：</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我方收到贵方编号招标文件，经仔细阅读和研究，我方决定参加此项目的投标。</w:t>
      </w:r>
      <w:r/>
    </w:p>
    <w:p>
      <w:pPr>
        <w:numPr>
          <w:ilvl w:val="0"/>
          <w:numId w:val="25"/>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2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20"/>
          <w:rFonts w:hint="eastAsia"/>
          <w:bCs/>
          <w:color w:val="auto"/>
          <w:highlight w:val="none"/>
        </w:rPr>
      </w:pPr>
      <w:r>
        <w:rPr>
          <w:rFonts w:hint="eastAsia" w:ascii="宋体" w:hAnsi="宋体"/>
          <w:bCs/>
          <w:color w:val="auto"/>
          <w:sz w:val="24"/>
          <w:szCs w:val="24"/>
          <w:highlight w:val="none"/>
        </w:rPr>
        <w:t xml:space="preserve">我方愿意提供江苏正源工程咨询有限责任公司在招标文件中要求的文件、资料。</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2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电话：传真：</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9" w:name="报价方关于资格的声明函（格式）"/>
      <w:r/>
      <w:bookmarkEnd w:id="19"/>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无锡市新吴区人民政府新安街道办事处：</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投标供应商（盖章）：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（三）（投标供应商）法定代表人授权委托书（格式）：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无锡市新吴区人民政府新安街道办事处：</w:t>
      </w:r>
      <w:r/>
    </w:p>
    <w:p>
      <w:pPr>
        <w:ind w:firstLine="480"/>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（四）服务保障承诺书（格式）：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w:t>
      </w:r>
      <w:r>
        <w:rPr>
          <w:rFonts w:hint="eastAsia" w:ascii="宋体" w:hAnsi="宋体"/>
          <w:color w:val="auto"/>
          <w:sz w:val="24"/>
          <w:szCs w:val="24"/>
          <w:highlight w:val="none"/>
        </w:rPr>
        <w:t xml:space="preserve">在此承诺：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对本项目（）所提供的服务符合招标文件要求；</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21"/>
          <w:rFonts w:hint="eastAsia" w:ascii="宋体" w:hAnsi="宋体"/>
          <w:bCs/>
          <w:color w:val="auto"/>
          <w:sz w:val="24"/>
          <w:szCs w:val="24"/>
          <w:highlight w:val="none"/>
        </w:rPr>
        <w:t xml:space="preserve">www.creditchina.gov.cn</w:t>
      </w:r>
      <w:r>
        <w:rPr>
          <w:rStyle w:val="821"/>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4.本公司承诺：中标后，项目全服务周期内，为本项目所有养护工作人员统一投保人身意外伤害保险；相关保险办理产生的全部费用由我单位自行承担，该费用已综合包含于投标报价内。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5、本公司承诺：若我公司中标，用于本项目日常养护作业船不低于25艘、割草船不低于3艘。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color w:val="auto"/>
          <w:highlight w:val="none"/>
        </w:rPr>
        <w:t xml:space="preserve"> </w:t>
      </w:r>
      <w:r>
        <w:rPr>
          <w:rFonts w:hint="eastAsia"/>
          <w:color w:val="auto"/>
          <w:sz w:val="24"/>
          <w:szCs w:val="24"/>
          <w:highlight w:val="none"/>
        </w:rPr>
        <w:t xml:space="preserve">本公司承诺：</w:t>
      </w:r>
      <w:r>
        <w:rPr>
          <w:rFonts w:hint="eastAsia" w:ascii="宋体" w:hAnsi="宋体" w:cs="宋体"/>
          <w:color w:val="auto"/>
          <w:sz w:val="24"/>
          <w:szCs w:val="24"/>
          <w:highlight w:val="none"/>
        </w:rPr>
        <w:t xml:space="preserve">若我公司中标，项目负责人</w:t>
      </w:r>
      <w:r>
        <w:rPr>
          <w:rFonts w:hint="eastAsia" w:ascii="宋体" w:hAnsi="宋体"/>
          <w:bCs/>
          <w:color w:val="auto"/>
          <w:sz w:val="24"/>
          <w:szCs w:val="24"/>
          <w:highlight w:val="none"/>
        </w:rPr>
        <w:t xml:space="preserve">接到甲方通知后30分钟内响应并到现场</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7.本公司对本招标文件中各项需求作出实质性响应（格式自拟）；</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96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注：以上内容由投标单位根据采购要求自行完善。</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hint="eastAsia" w:ascii="宋体" w:hAnsi="宋体" w:cs="宋体"/>
          <w:color w:val="auto"/>
          <w:highlight w:val="none"/>
        </w:rPr>
      </w:pPr>
      <w:r>
        <w:rPr>
          <w:rFonts w:hint="eastAsia" w:ascii="宋体" w:hAnsi="宋体" w:cs="宋体"/>
          <w:color w:val="auto"/>
          <w:highlight w:val="none"/>
        </w:rPr>
      </w:r>
      <w:r/>
    </w:p>
    <w:p>
      <w:pPr>
        <w:ind w:left="855"/>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供应商名称（盖章）                              采购项目编号：</w:t>
      </w:r>
      <w:r>
        <w:rPr>
          <w:rFonts w:ascii="宋体" w:hAnsi="宋体"/>
          <w:bCs/>
          <w:color w:val="auto"/>
          <w:sz w:val="24"/>
          <w:szCs w:val="24"/>
          <w:highlight w:val="none"/>
        </w:rPr>
        <w:t xml:space="preserve"> </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1"/>
        <w:gridCol w:w="7078"/>
      </w:tblGrid>
      <w:tr>
        <w:trPr>
          <w:cantSplit/>
          <w:jc w:val="center"/>
          <w:trHeight w:val="1780"/>
        </w:trPr>
        <w:tc>
          <w:tcPr>
            <w:tcW w:w="2501" w:type="dxa"/>
            <w:vAlign w:val="center"/>
            <w:textDirection w:val="lrTb"/>
            <w:noWrap w:val="false"/>
          </w:tcPr>
          <w:p>
            <w:pPr>
              <w:pStyle w:val="78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项目总报价</w:t>
            </w:r>
            <w:r/>
          </w:p>
          <w:p>
            <w:pPr>
              <w:pStyle w:val="780"/>
              <w:jc w:val="center"/>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一期+二期</w:t>
            </w:r>
            <w:r>
              <w:rPr>
                <w:rFonts w:hint="eastAsia" w:ascii="宋体" w:hAnsi="宋体" w:eastAsia="宋体" w:cs="宋体"/>
                <w:color w:val="auto"/>
                <w:sz w:val="24"/>
                <w:szCs w:val="24"/>
                <w:highlight w:val="none"/>
                <w:lang w:eastAsia="zh-CN"/>
              </w:rPr>
              <w:t xml:space="preserve">）</w:t>
            </w:r>
            <w:r/>
          </w:p>
        </w:tc>
        <w:tc>
          <w:tcPr>
            <w:tcW w:w="7078" w:type="dxa"/>
            <w:vAlign w:val="center"/>
            <w:textDirection w:val="lrTb"/>
            <w:noWrap w:val="false"/>
          </w:tcPr>
          <w:p>
            <w:pPr>
              <w:pStyle w:val="78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8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tc>
      </w:tr>
      <w:tr>
        <w:trPr>
          <w:cantSplit/>
          <w:jc w:val="center"/>
          <w:trHeight w:val="1077"/>
        </w:trPr>
        <w:tc>
          <w:tcPr>
            <w:tcW w:w="2501"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olor w:val="auto"/>
                <w:sz w:val="24"/>
                <w:szCs w:val="24"/>
                <w:highlight w:val="none"/>
              </w:rPr>
              <w:t xml:space="preserve">服务期</w:t>
            </w:r>
            <w:r/>
          </w:p>
        </w:tc>
        <w:tc>
          <w:tcPr>
            <w:tcW w:w="7078" w:type="dxa"/>
            <w:vAlign w:val="center"/>
            <w:textDirection w:val="lrTb"/>
            <w:noWrap w:val="false"/>
          </w:tcPr>
          <w:p>
            <w:pPr>
              <w:spacing w:line="30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一期河道（7条）24个月</w:t>
            </w:r>
            <w:r/>
          </w:p>
          <w:p>
            <w:pPr>
              <w:spacing w:line="300" w:lineRule="auto"/>
              <w:rPr>
                <w:rFonts w:hint="eastAsia" w:ascii="宋体" w:hAnsi="宋体" w:cs="宋体"/>
                <w:color w:val="auto"/>
                <w:sz w:val="24"/>
                <w:szCs w:val="24"/>
                <w:highlight w:val="none"/>
                <w:u w:val="single"/>
              </w:rPr>
            </w:pPr>
            <w:r>
              <w:rPr>
                <w:rFonts w:hint="eastAsia" w:ascii="宋体" w:hAnsi="宋体" w:cs="Arial"/>
                <w:color w:val="auto"/>
                <w:sz w:val="24"/>
                <w:szCs w:val="24"/>
                <w:highlight w:val="none"/>
              </w:rPr>
              <w:t xml:space="preserve">二期河道（18条）20个月</w:t>
            </w:r>
            <w:r/>
          </w:p>
        </w:tc>
      </w:tr>
      <w:tr>
        <w:trPr>
          <w:cantSplit/>
          <w:jc w:val="center"/>
          <w:trHeight w:val="803"/>
        </w:trPr>
        <w:tc>
          <w:tcPr>
            <w:tcW w:w="2501"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cs="宋体"/>
                <w:color w:val="auto"/>
                <w:sz w:val="24"/>
                <w:highlight w:val="none"/>
                <w:lang w:val="zh-CN"/>
              </w:rPr>
              <w:t xml:space="preserve"> </w:t>
            </w:r>
            <w:r>
              <w:rPr>
                <w:rFonts w:hint="eastAsia" w:ascii="宋体" w:hAnsi="宋体"/>
                <w:color w:val="auto"/>
                <w:sz w:val="24"/>
                <w:highlight w:val="none"/>
              </w:rPr>
              <w:t xml:space="preserve">服务质量标准</w:t>
            </w:r>
            <w:r/>
          </w:p>
        </w:tc>
        <w:tc>
          <w:tcPr>
            <w:tcW w:w="7078"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125"/>
        </w:trPr>
        <w:tc>
          <w:tcPr>
            <w:tcW w:w="2501"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拟派项目负责人</w:t>
            </w:r>
            <w:r/>
          </w:p>
        </w:tc>
        <w:tc>
          <w:tcPr>
            <w:tcW w:w="7078"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157"/>
        </w:trPr>
        <w:tc>
          <w:tcPr>
            <w:tcW w:w="2501"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b/>
                <w:bCs/>
                <w:color w:val="auto"/>
                <w:sz w:val="24"/>
                <w:highlight w:val="none"/>
              </w:rPr>
              <w:t xml:space="preserve">是否属于小、微型企业/监狱企业/残疾人福利性单位</w:t>
            </w:r>
            <w:r/>
          </w:p>
        </w:tc>
        <w:tc>
          <w:tcPr>
            <w:tcW w:w="7078"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s="宋体"/>
          <w:color w:val="auto"/>
          <w:sz w:val="24"/>
          <w:szCs w:val="28"/>
          <w:highlight w:val="none"/>
        </w:rPr>
      </w:pPr>
      <w:r>
        <w:rPr>
          <w:rFonts w:hint="eastAsia" w:ascii="宋体" w:hAnsi="宋体"/>
          <w:color w:val="auto"/>
          <w:sz w:val="24"/>
          <w:highlight w:val="none"/>
        </w:rPr>
        <w:t xml:space="preserve">供应商全称（加盖公章）：  </w:t>
      </w:r>
      <w:r>
        <w:rPr>
          <w:rFonts w:hint="eastAsia" w:ascii="宋体" w:hAnsi="宋体" w:cs="宋体"/>
          <w:color w:val="auto"/>
          <w:sz w:val="24"/>
          <w:szCs w:val="28"/>
          <w:highlight w:val="none"/>
        </w:rPr>
        <w:t xml:space="preserve">                   </w:t>
      </w:r>
      <w:r/>
    </w:p>
    <w:p>
      <w:pPr>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法定代表人或法定代表人授权代表签字或盖章：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日期：   年   月   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24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填写说明：</w:t>
      </w:r>
      <w:r/>
    </w:p>
    <w:p>
      <w:pPr>
        <w:spacing w:line="24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1.评标时一律按开标一览表中内容为准，开标一览表中必须盖章或签字。</w:t>
      </w:r>
      <w:r/>
    </w:p>
    <w:p>
      <w:pPr>
        <w:spacing w:line="24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2.供应商的投标报价的总额应是供应商在报价文件中提出的各项支付金额的总和，也应是完成投标文件所列采购需求的全部费用。</w:t>
      </w:r>
      <w:r/>
    </w:p>
    <w:p>
      <w:pPr>
        <w:spacing w:line="24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在“是否属于小、微型企业（或监狱企业、残疾人福利性单位）”栏内填写“是”或“否”。如填写“是”，必须提供投标供应商《中小企业声明函》（服务）；或提供由省级以上监狱管理局、戒毒管理局(含新疆生产建设兵团)出具的投标供应商属于监狱企业的证明文件；或提供投标供应商《残疾人福利性单位声明函》。如未按要求填写和提供有效证明或相关内容表述不清的，不得享受价格扣除。投标供应商对所报相关数据的真实性负责，</w:t>
      </w:r>
      <w:r>
        <w:rPr>
          <w:rFonts w:ascii="宋体" w:hAnsi="宋体" w:cs="宋体"/>
          <w:b/>
          <w:bCs/>
          <w:color w:val="auto"/>
          <w:szCs w:val="21"/>
          <w:highlight w:val="none"/>
        </w:rPr>
        <w:t xml:space="preserve">江苏正源工程咨询有限责任公司</w:t>
      </w:r>
      <w:r>
        <w:rPr>
          <w:rFonts w:hint="eastAsia" w:ascii="宋体" w:hAnsi="宋体" w:cs="宋体"/>
          <w:b/>
          <w:bCs/>
          <w:color w:val="auto"/>
          <w:szCs w:val="21"/>
          <w:highlight w:val="none"/>
        </w:rPr>
        <w:t xml:space="preserve">有权将相关内容进行公示。</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（六）报价明细表（格式）：</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847"/>
        <w:rPr>
          <w:color w:val="auto"/>
          <w:highlight w:val="none"/>
        </w:rPr>
      </w:pPr>
      <w:r>
        <w:rPr>
          <w:color w:val="auto"/>
          <w:highlight w:val="none"/>
        </w:rPr>
      </w:r>
      <w:r/>
    </w:p>
    <w:p>
      <w:pPr>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投标供应商应当根据“三、项目技术要求和有关说明”的内容在此表中详细填写。</w:t>
      </w:r>
      <w:r/>
    </w:p>
    <w:p>
      <w:pPr>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表格不够可自行延长。</w:t>
      </w:r>
      <w:r/>
    </w:p>
    <w:p>
      <w:pPr>
        <w:pStyle w:val="782"/>
        <w:ind w:firstLine="480"/>
        <w:rPr>
          <w:rFonts w:hint="eastAsia" w:ascii="宋体" w:hAnsi="宋体"/>
          <w:color w:val="auto"/>
          <w:sz w:val="24"/>
          <w:highlight w:val="none"/>
        </w:rPr>
      </w:pPr>
      <w:r>
        <w:rPr>
          <w:rFonts w:hint="eastAsia" w:ascii="宋体" w:hAnsi="宋体"/>
          <w:color w:val="auto"/>
          <w:sz w:val="24"/>
          <w:highlight w:val="none"/>
        </w:rPr>
        <w:t xml:space="preserve">   </w:t>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法定代表人或授权代表签字或盖章：</w:t>
      </w:r>
      <w:r/>
    </w:p>
    <w:p>
      <w:pPr>
        <w:spacing w:line="480" w:lineRule="auto"/>
        <w:rPr>
          <w:rFonts w:hint="eastAsia" w:ascii="宋体" w:hAnsi="宋体"/>
          <w:color w:val="auto"/>
          <w:sz w:val="24"/>
          <w:szCs w:val="24"/>
          <w:highlight w:val="none"/>
        </w:rPr>
      </w:pPr>
      <w:r>
        <w:rPr>
          <w:rFonts w:hint="eastAsia" w:ascii="宋体" w:hAnsi="宋体"/>
          <w:bCs/>
          <w:color w:val="auto"/>
          <w:sz w:val="24"/>
          <w:highlight w:val="none"/>
        </w:rPr>
        <w:t xml:space="preserve">日期：</w:t>
      </w:r>
      <w:r/>
    </w:p>
    <w:p>
      <w:pPr>
        <w:spacing w:line="480" w:lineRule="auto"/>
        <w:rPr>
          <w:rFonts w:ascii="黑体" w:eastAsia="黑体"/>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     采购项目编号：</w:t>
      </w:r>
      <w:r/>
    </w:p>
    <w:tbl>
      <w:tblPr>
        <w:tblStyle w:val="779"/>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w:t>
      </w:r>
      <w:r>
        <w:rPr>
          <w:rFonts w:hint="eastAsia"/>
          <w:b/>
          <w:bCs/>
          <w:color w:val="auto"/>
          <w:sz w:val="24"/>
          <w:szCs w:val="24"/>
          <w:highlight w:val="none"/>
        </w:rPr>
        <w:t xml:space="preserve">主要人员配置表及拟派项目负责人简历表及设备配备表(格式</w:t>
      </w:r>
      <w:bookmarkStart w:id="20" w:name="_GoBack"/>
      <w:r>
        <w:rPr>
          <w:rFonts w:hint="eastAsia"/>
          <w:b/>
          <w:bCs/>
          <w:color w:val="auto"/>
          <w:sz w:val="24"/>
          <w:szCs w:val="24"/>
          <w:highlight w:val="none"/>
        </w:rPr>
        <w:t xml:space="preserve">)</w:t>
      </w:r>
      <w:bookmarkEnd w:id="20"/>
      <w:r>
        <w:rPr>
          <w:rFonts w:hint="eastAsia"/>
          <w:b/>
          <w:bCs/>
          <w:color w:val="auto"/>
          <w:sz w:val="24"/>
          <w:szCs w:val="24"/>
          <w:highlight w:val="none"/>
        </w:rPr>
        <w:t xml:space="preserve">:</w:t>
      </w:r>
      <w:r/>
    </w:p>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（1）人员配置表</w:t>
      </w:r>
      <w:r/>
    </w:p>
    <w:p>
      <w:pPr>
        <w:rPr>
          <w:rFonts w:ascii="黑体" w:eastAsia="黑体"/>
          <w:bCs/>
          <w:color w:val="auto"/>
          <w:sz w:val="28"/>
          <w:szCs w:val="28"/>
          <w:highlight w:val="none"/>
        </w:rPr>
      </w:pPr>
      <w:r>
        <w:rPr>
          <w:rFonts w:ascii="黑体" w:eastAsia="黑体"/>
          <w:bCs/>
          <w:color w:val="auto"/>
          <w:sz w:val="28"/>
          <w:szCs w:val="28"/>
          <w:highlight w:val="none"/>
        </w:rPr>
      </w:r>
      <w:r/>
    </w:p>
    <w:p>
      <w:pPr>
        <w:spacing w:after="120" w:line="420" w:lineRule="exact"/>
        <w:rPr>
          <w:rFonts w:eastAsia="黑体"/>
          <w:b/>
          <w:bCs/>
          <w:color w:val="auto"/>
          <w:sz w:val="24"/>
          <w:szCs w:val="24"/>
          <w:highlight w:val="none"/>
        </w:rPr>
      </w:pPr>
      <w:r>
        <w:rPr>
          <w:rFonts w:hint="eastAsia" w:ascii="Arial" w:hAnsi="Arial" w:cs="Arial"/>
          <w:b/>
          <w:bCs/>
          <w:color w:val="auto"/>
          <w:sz w:val="24"/>
          <w:szCs w:val="24"/>
          <w:highlight w:val="none"/>
        </w:rPr>
        <w:t xml:space="preserve">投标供应商名称</w:t>
      </w:r>
      <w:r>
        <w:rPr>
          <w:rFonts w:eastAsia="黑体"/>
          <w:b/>
          <w:bCs/>
          <w:color w:val="auto"/>
          <w:sz w:val="24"/>
          <w:szCs w:val="24"/>
          <w:highlight w:val="none"/>
        </w:rPr>
        <w:t xml:space="preserve">(</w:t>
      </w:r>
      <w:r>
        <w:rPr>
          <w:rFonts w:hint="eastAsia" w:eastAsia="黑体"/>
          <w:b/>
          <w:bCs/>
          <w:color w:val="auto"/>
          <w:sz w:val="24"/>
          <w:szCs w:val="24"/>
          <w:highlight w:val="none"/>
        </w:rPr>
        <w:t xml:space="preserve">盖章</w:t>
      </w:r>
      <w:r>
        <w:rPr>
          <w:rFonts w:eastAsia="黑体"/>
          <w:b/>
          <w:bCs/>
          <w:color w:val="auto"/>
          <w:sz w:val="24"/>
          <w:szCs w:val="24"/>
          <w:highlight w:val="none"/>
        </w:rPr>
        <w:t xml:space="preserve">) </w:t>
      </w:r>
      <w:r>
        <w:rPr>
          <w:rFonts w:hint="eastAsia" w:eastAsia="黑体"/>
          <w:b/>
          <w:bCs/>
          <w:color w:val="auto"/>
          <w:sz w:val="24"/>
          <w:szCs w:val="24"/>
          <w:highlight w:val="none"/>
        </w:rPr>
        <w:t xml:space="preserve">                              </w:t>
      </w:r>
      <w:r>
        <w:rPr>
          <w:rFonts w:eastAsia="黑体"/>
          <w:b/>
          <w:bCs/>
          <w:color w:val="auto"/>
          <w:sz w:val="24"/>
          <w:szCs w:val="24"/>
          <w:highlight w:val="none"/>
        </w:rPr>
        <w:t xml:space="preserve">政府采购编号：</w:t>
      </w:r>
      <w:r>
        <w:rPr>
          <w:rFonts w:hint="eastAsia" w:eastAsia="黑体"/>
          <w:b/>
          <w:bCs/>
          <w:color w:val="auto"/>
          <w:sz w:val="24"/>
          <w:szCs w:val="24"/>
          <w:highlight w:val="none"/>
        </w:rPr>
        <w:t xml:space="preserve"> </w:t>
      </w:r>
      <w:r/>
    </w:p>
    <w:tbl>
      <w:tblPr>
        <w:tblStyle w:val="779"/>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序号</w:t>
            </w:r>
            <w:r/>
          </w:p>
        </w:tc>
        <w:tc>
          <w:tcPr>
            <w:tcW w:w="1047"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姓名</w:t>
            </w:r>
            <w:r/>
          </w:p>
        </w:tc>
        <w:tc>
          <w:tcPr>
            <w:tcW w:w="730" w:type="dxa"/>
            <w:vAlign w:val="center"/>
            <w:textDirection w:val="lrTb"/>
            <w:noWrap w:val="false"/>
          </w:tcPr>
          <w:p>
            <w:pPr>
              <w:rPr>
                <w:rFonts w:hint="eastAsia" w:ascii="黑体" w:hAnsi="宋体" w:eastAsia="黑体"/>
                <w:b/>
                <w:color w:val="auto"/>
                <w:highlight w:val="none"/>
              </w:rPr>
            </w:pPr>
            <w:r>
              <w:rPr>
                <w:rFonts w:hint="eastAsia" w:ascii="黑体" w:hAnsi="宋体" w:eastAsia="黑体"/>
                <w:b/>
                <w:color w:val="auto"/>
                <w:highlight w:val="none"/>
              </w:rPr>
              <w:t xml:space="preserve">性别</w:t>
            </w:r>
            <w:r/>
          </w:p>
        </w:tc>
        <w:tc>
          <w:tcPr>
            <w:tcW w:w="709" w:type="dxa"/>
            <w:vAlign w:val="center"/>
            <w:textDirection w:val="lrTb"/>
            <w:noWrap w:val="false"/>
          </w:tcPr>
          <w:p>
            <w:pPr>
              <w:rPr>
                <w:rFonts w:hint="eastAsia" w:ascii="黑体" w:hAnsi="宋体" w:eastAsia="黑体"/>
                <w:b/>
                <w:color w:val="auto"/>
                <w:highlight w:val="none"/>
              </w:rPr>
            </w:pPr>
            <w:r>
              <w:rPr>
                <w:rFonts w:hint="eastAsia" w:ascii="黑体" w:hAnsi="宋体" w:eastAsia="黑体"/>
                <w:b/>
                <w:color w:val="auto"/>
                <w:highlight w:val="none"/>
              </w:rPr>
              <w:t xml:space="preserve">年龄</w:t>
            </w:r>
            <w:r/>
          </w:p>
        </w:tc>
        <w:tc>
          <w:tcPr>
            <w:tcW w:w="1477"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岗位名称</w:t>
            </w:r>
            <w:r/>
          </w:p>
        </w:tc>
        <w:tc>
          <w:tcPr>
            <w:tcW w:w="1236"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学历</w:t>
            </w:r>
            <w:r/>
          </w:p>
        </w:tc>
        <w:tc>
          <w:tcPr>
            <w:tcW w:w="1728"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持有证书</w:t>
            </w:r>
            <w:r/>
          </w:p>
        </w:tc>
        <w:tc>
          <w:tcPr>
            <w:tcW w:w="2705"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工作经验</w:t>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10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7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3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2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10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7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3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2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10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7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3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2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10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7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3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2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10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7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3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2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10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7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3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2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10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7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3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2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8</w:t>
            </w:r>
            <w:r/>
          </w:p>
        </w:tc>
        <w:tc>
          <w:tcPr>
            <w:tcW w:w="10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7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3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2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9</w:t>
            </w:r>
            <w:r/>
          </w:p>
        </w:tc>
        <w:tc>
          <w:tcPr>
            <w:tcW w:w="10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7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3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2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10</w:t>
            </w:r>
            <w:r/>
          </w:p>
        </w:tc>
        <w:tc>
          <w:tcPr>
            <w:tcW w:w="10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7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3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2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jc w:val="center"/>
          <w:trHeight w:val="630"/>
        </w:trPr>
        <w:tc>
          <w:tcPr>
            <w:tcW w:w="741"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0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7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7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3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2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ind w:left="120"/>
        <w:rPr>
          <w:rFonts w:hint="eastAsia" w:ascii="宋体" w:hAnsi="宋体"/>
          <w:bCs/>
          <w:color w:val="auto"/>
          <w:sz w:val="24"/>
          <w:szCs w:val="24"/>
          <w:highlight w:val="none"/>
        </w:rPr>
      </w:pPr>
      <w:r>
        <w:rPr>
          <w:rFonts w:hint="eastAsia" w:ascii="宋体" w:hAnsi="宋体"/>
          <w:bCs/>
          <w:color w:val="auto"/>
          <w:sz w:val="24"/>
          <w:szCs w:val="24"/>
          <w:highlight w:val="none"/>
        </w:rPr>
      </w:r>
      <w:r/>
    </w:p>
    <w:p>
      <w:pPr>
        <w:ind w:left="120"/>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720"/>
        <w:rPr>
          <w:rFonts w:hint="eastAsia" w:ascii="宋体" w:hAnsi="宋体"/>
          <w:bCs/>
          <w:color w:val="auto"/>
          <w:sz w:val="22"/>
          <w:highlight w:val="none"/>
        </w:rPr>
      </w:pPr>
      <w:r>
        <w:rPr>
          <w:rFonts w:hint="eastAsia" w:ascii="宋体" w:hAnsi="宋体"/>
          <w:bCs/>
          <w:color w:val="auto"/>
          <w:sz w:val="24"/>
          <w:szCs w:val="24"/>
          <w:highlight w:val="none"/>
        </w:rPr>
        <w:t xml:space="preserve">备注：1.</w:t>
      </w:r>
      <w:r>
        <w:rPr>
          <w:rFonts w:hint="eastAsia" w:ascii="宋体" w:hAnsi="宋体"/>
          <w:bCs/>
          <w:color w:val="auto"/>
          <w:sz w:val="22"/>
          <w:highlight w:val="none"/>
        </w:rPr>
        <w:t xml:space="preserve">上表可自行延长，但不得改变文本格式。</w:t>
      </w:r>
      <w:r/>
    </w:p>
    <w:p>
      <w:pPr>
        <w:ind w:left="120"/>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27"/>
        <w:jc w:val="left"/>
        <w:spacing w:line="240" w:lineRule="auto"/>
        <w:rPr>
          <w:rFonts w:hint="eastAsia"/>
          <w:color w:val="auto"/>
          <w:highlight w:val="none"/>
        </w:rPr>
      </w:pPr>
      <w:r>
        <w:rPr>
          <w:rFonts w:hint="eastAsia"/>
          <w:color w:val="auto"/>
          <w:highlight w:val="none"/>
        </w:rPr>
        <w:t xml:space="preserve">       2.人员相关证明材料应按招标文件要求提供，并附在本表之后。</w:t>
      </w:r>
      <w:r/>
    </w:p>
    <w:p>
      <w:pPr>
        <w:ind w:left="120"/>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before="5" w:line="360" w:lineRule="auto"/>
        <w:rPr>
          <w:b/>
          <w:bCs/>
          <w:color w:val="auto"/>
          <w:sz w:val="24"/>
          <w:szCs w:val="24"/>
          <w:highlight w:val="none"/>
        </w:rPr>
      </w:pPr>
      <w:r>
        <w:rPr>
          <w:b/>
          <w:bCs/>
          <w:color w:val="auto"/>
          <w:sz w:val="24"/>
          <w:szCs w:val="24"/>
          <w:highlight w:val="none"/>
        </w:rPr>
      </w:r>
      <w:r/>
    </w:p>
    <w:p>
      <w:pPr>
        <w:pStyle w:val="788"/>
        <w:ind w:left="0"/>
        <w:rPr>
          <w:b/>
          <w:bCs/>
          <w:color w:val="auto"/>
          <w:sz w:val="24"/>
          <w:highlight w:val="none"/>
        </w:rPr>
      </w:pPr>
      <w:r>
        <w:rPr>
          <w:b/>
          <w:bCs/>
          <w:color w:val="auto"/>
          <w:sz w:val="24"/>
          <w:highlight w:val="none"/>
        </w:rPr>
      </w:r>
      <w:r/>
    </w:p>
    <w:p>
      <w:pPr>
        <w:rPr>
          <w:color w:val="auto"/>
          <w:highlight w:val="none"/>
        </w:rPr>
      </w:pPr>
      <w:r>
        <w:rPr>
          <w:color w:val="auto"/>
          <w:highlight w:val="none"/>
        </w:rPr>
      </w:r>
      <w:r/>
    </w:p>
    <w:p>
      <w:pPr>
        <w:spacing w:before="5" w:line="360" w:lineRule="auto"/>
        <w:rPr>
          <w:b/>
          <w:bCs/>
          <w:color w:val="auto"/>
          <w:sz w:val="24"/>
          <w:szCs w:val="24"/>
          <w:highlight w:val="none"/>
        </w:rPr>
      </w:pPr>
      <w:r>
        <w:rPr>
          <w:b/>
          <w:bCs/>
          <w:color w:val="auto"/>
          <w:sz w:val="24"/>
          <w:szCs w:val="24"/>
          <w:highlight w:val="none"/>
        </w:rPr>
      </w:r>
      <w:r/>
    </w:p>
    <w:p>
      <w:pPr>
        <w:spacing w:before="5" w:line="360" w:lineRule="auto"/>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before="5" w:line="360" w:lineRule="auto"/>
        <w:rPr>
          <w:b/>
          <w:bCs/>
          <w:color w:val="auto"/>
          <w:sz w:val="24"/>
          <w:szCs w:val="24"/>
          <w:highlight w:val="none"/>
        </w:rPr>
      </w:pPr>
      <w:r>
        <w:rPr>
          <w:b/>
          <w:bCs/>
          <w:color w:val="auto"/>
          <w:sz w:val="24"/>
          <w:szCs w:val="24"/>
          <w:highlight w:val="none"/>
        </w:rPr>
      </w:r>
      <w:r/>
    </w:p>
    <w:p>
      <w:pPr>
        <w:spacing w:before="5" w:line="360" w:lineRule="auto"/>
        <w:rPr>
          <w:b/>
          <w:bCs/>
          <w:color w:val="auto"/>
          <w:sz w:val="24"/>
          <w:szCs w:val="24"/>
          <w:highlight w:val="none"/>
        </w:rPr>
      </w:pPr>
      <w:r>
        <w:rPr>
          <w:rFonts w:hint="eastAsia"/>
          <w:b/>
          <w:bCs/>
          <w:color w:val="auto"/>
          <w:sz w:val="24"/>
          <w:szCs w:val="24"/>
          <w:highlight w:val="none"/>
        </w:rPr>
        <w:t xml:space="preserve">日期：</w:t>
      </w:r>
      <w:r/>
    </w:p>
    <w:p>
      <w:pPr>
        <w:rPr>
          <w:rFonts w:ascii="宋体"/>
          <w:b/>
          <w:bCs/>
          <w:color w:val="auto"/>
          <w:sz w:val="24"/>
          <w:szCs w:val="24"/>
          <w:highlight w:val="none"/>
        </w:rPr>
      </w:pPr>
      <w:r>
        <w:rPr>
          <w:rFonts w:hint="eastAsia" w:ascii="宋体"/>
          <w:b/>
          <w:bCs/>
          <w:color w:val="auto"/>
          <w:sz w:val="24"/>
          <w:szCs w:val="24"/>
          <w:highlight w:val="none"/>
        </w:rPr>
        <w:br w:type="page" w:clear="all"/>
      </w:r>
      <w:r/>
    </w:p>
    <w:p>
      <w:pPr>
        <w:jc w:val="left"/>
        <w:spacing w:line="360" w:lineRule="auto"/>
        <w:rPr>
          <w:rFonts w:ascii="宋体"/>
          <w:color w:val="auto"/>
          <w:sz w:val="24"/>
          <w:szCs w:val="24"/>
          <w:highlight w:val="none"/>
        </w:rPr>
      </w:pPr>
      <w:r>
        <w:rPr>
          <w:rFonts w:hint="eastAsia" w:ascii="宋体"/>
          <w:b/>
          <w:bCs/>
          <w:color w:val="auto"/>
          <w:sz w:val="24"/>
          <w:szCs w:val="24"/>
          <w:highlight w:val="none"/>
        </w:rPr>
        <w:t xml:space="preserve">             </w:t>
      </w:r>
      <w:r>
        <w:rPr>
          <w:rFonts w:hint="eastAsia" w:ascii="宋体" w:hAnsi="宋体"/>
          <w:bCs/>
          <w:color w:val="auto"/>
          <w:sz w:val="24"/>
          <w:szCs w:val="24"/>
          <w:highlight w:val="none"/>
        </w:rPr>
        <w:t xml:space="preserve">            （2）拟派项目负责人简历表</w:t>
      </w:r>
      <w:r/>
    </w:p>
    <w:p>
      <w:pPr>
        <w:spacing w:line="360" w:lineRule="auto"/>
        <w:rPr>
          <w:rFonts w:hint="eastAsia" w:ascii="黑体" w:hAnsi="宋体" w:eastAsia="黑体"/>
          <w:color w:val="auto"/>
          <w:sz w:val="24"/>
          <w:szCs w:val="24"/>
          <w:highlight w:val="none"/>
        </w:rPr>
      </w:pPr>
      <w:r>
        <w:rPr>
          <w:rFonts w:hint="eastAsia" w:ascii="黑体" w:hAnsi="宋体" w:eastAsia="黑体"/>
          <w:color w:val="auto"/>
          <w:sz w:val="24"/>
          <w:szCs w:val="24"/>
          <w:highlight w:val="none"/>
        </w:rPr>
        <w:t xml:space="preserve">投标供应商名称（盖章）　                              政府采购编号：</w:t>
      </w:r>
      <w:r/>
    </w:p>
    <w:tbl>
      <w:tblPr>
        <w:tblStyle w:val="779"/>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姓  名</w:t>
            </w:r>
            <w:r/>
          </w:p>
        </w:tc>
        <w:tc>
          <w:tcPr>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gridSpan w:val="2"/>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性别</w:t>
            </w:r>
            <w:r/>
          </w:p>
        </w:tc>
        <w:tc>
          <w:tcPr>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gridSpan w:val="2"/>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年  龄</w:t>
            </w:r>
            <w:r/>
          </w:p>
        </w:tc>
        <w:tc>
          <w:tcPr>
            <w:gridSpan w:val="2"/>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gridSpan w:val="2"/>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学  历</w:t>
            </w:r>
            <w:r/>
          </w:p>
        </w:tc>
        <w:tc>
          <w:tcPr>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职务</w:t>
            </w:r>
            <w:r/>
          </w:p>
        </w:tc>
        <w:tc>
          <w:tcPr>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gridSpan w:val="2"/>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职  称</w:t>
            </w:r>
            <w:r/>
          </w:p>
        </w:tc>
        <w:tc>
          <w:tcPr>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gridSpan w:val="2"/>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资格证书号</w:t>
            </w:r>
            <w:r/>
          </w:p>
        </w:tc>
        <w:tc>
          <w:tcPr>
            <w:gridSpan w:val="2"/>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gridSpan w:val="2"/>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参加工作时间</w:t>
            </w:r>
            <w:r/>
          </w:p>
        </w:tc>
        <w:tc>
          <w:tcPr>
            <w:tcW w:w="122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jc w:val="center"/>
          <w:trHeight w:val="1745"/>
        </w:trPr>
        <w:tc>
          <w:tcPr>
            <w:tcBorders>
              <w:left w:val="single" w:color="auto" w:sz="4" w:space="0"/>
            </w:tcBorders>
            <w:tcW w:w="110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以往工作经历</w:t>
            </w:r>
            <w:r/>
          </w:p>
        </w:tc>
        <w:tc>
          <w:tcPr>
            <w:gridSpan w:val="11"/>
            <w:tcBorders>
              <w:left w:val="single" w:color="auto" w:sz="4" w:space="0"/>
            </w:tcBorders>
            <w:tcW w:w="8589" w:type="dxa"/>
            <w:textDirection w:val="lrTb"/>
            <w:noWrap w:val="false"/>
          </w:tcPr>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被服务单位</w:t>
            </w:r>
            <w:r/>
          </w:p>
        </w:tc>
        <w:tc>
          <w:tcPr>
            <w:gridSpan w:val="3"/>
            <w:tcBorders>
              <w:left w:val="single" w:color="auto" w:sz="4" w:space="0"/>
            </w:tcBorders>
            <w:tcW w:w="22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项目名称</w:t>
            </w:r>
            <w:r/>
          </w:p>
        </w:tc>
        <w:tc>
          <w:tcPr>
            <w:gridSpan w:val="2"/>
            <w:tcBorders>
              <w:left w:val="single" w:color="auto" w:sz="4" w:space="0"/>
            </w:tcBorders>
            <w:tcW w:w="135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规模面积</w:t>
            </w:r>
            <w:r/>
          </w:p>
        </w:tc>
        <w:tc>
          <w:tcPr>
            <w:gridSpan w:val="2"/>
            <w:tcBorders>
              <w:left w:val="single" w:color="auto" w:sz="4" w:space="0"/>
            </w:tcBorders>
            <w:tcW w:w="208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服务期限</w:t>
            </w:r>
            <w:r/>
          </w:p>
        </w:tc>
        <w:tc>
          <w:tcPr>
            <w:gridSpan w:val="2"/>
            <w:tcBorders>
              <w:left w:val="single" w:color="auto" w:sz="4" w:space="0"/>
            </w:tcBorders>
            <w:tcW w:w="145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color w:val="auto"/>
                <w:highlight w:val="none"/>
              </w:rPr>
            </w:pPr>
            <w:r>
              <w:rPr>
                <w:rFonts w:hint="eastAsia" w:ascii="宋体" w:hAnsi="宋体"/>
                <w:color w:val="auto"/>
                <w:highlight w:val="none"/>
              </w:rPr>
            </w:r>
            <w:r/>
          </w:p>
        </w:tc>
      </w:tr>
    </w:tbl>
    <w:p>
      <w:pPr>
        <w:rPr>
          <w:b/>
          <w:bCs/>
          <w:color w:val="auto"/>
          <w:sz w:val="24"/>
          <w:szCs w:val="24"/>
          <w:highlight w:val="none"/>
        </w:rPr>
      </w:pPr>
      <w:r>
        <w:rPr>
          <w:b/>
          <w:bCs/>
          <w:color w:val="auto"/>
          <w:sz w:val="24"/>
          <w:szCs w:val="24"/>
          <w:highlight w:val="none"/>
        </w:rPr>
      </w:r>
      <w:r/>
    </w:p>
    <w:p>
      <w:pPr>
        <w:rPr>
          <w:b/>
          <w:bCs/>
          <w:color w:val="auto"/>
          <w:sz w:val="24"/>
          <w:szCs w:val="24"/>
          <w:highlight w:val="none"/>
        </w:rPr>
      </w:pPr>
      <w:r>
        <w:rPr>
          <w:b/>
          <w:bCs/>
          <w:color w:val="auto"/>
          <w:sz w:val="24"/>
          <w:szCs w:val="24"/>
          <w:highlight w:val="none"/>
        </w:rPr>
      </w:r>
      <w:r/>
    </w:p>
    <w:p>
      <w:pPr>
        <w:rPr>
          <w:rFonts w:ascii="宋体"/>
          <w:bCs/>
          <w:color w:val="auto"/>
          <w:szCs w:val="21"/>
          <w:highlight w:val="none"/>
        </w:rPr>
      </w:pPr>
      <w:r>
        <w:rPr>
          <w:rFonts w:hint="eastAsia"/>
          <w:b/>
          <w:bCs/>
          <w:color w:val="auto"/>
          <w:sz w:val="24"/>
          <w:szCs w:val="24"/>
          <w:highlight w:val="none"/>
        </w:rPr>
        <w:t xml:space="preserve">法定代表人或法定代表人授权代表签字或盖章：</w:t>
      </w:r>
      <w:r/>
    </w:p>
    <w:p>
      <w:pPr>
        <w:rPr>
          <w:rFonts w:hint="eastAsia" w:ascii="宋体" w:hAnsi="宋体"/>
          <w:bCs/>
          <w:color w:val="auto"/>
          <w:szCs w:val="21"/>
          <w:highlight w:val="none"/>
        </w:rPr>
      </w:pPr>
      <w:r>
        <w:rPr>
          <w:rFonts w:hint="eastAsia" w:ascii="宋体" w:hAnsi="宋体"/>
          <w:bCs/>
          <w:color w:val="auto"/>
          <w:szCs w:val="21"/>
          <w:highlight w:val="none"/>
        </w:rPr>
      </w:r>
      <w:r/>
    </w:p>
    <w:p>
      <w:pPr>
        <w:ind w:left="120"/>
        <w:spacing w:line="360" w:lineRule="auto"/>
        <w:rPr>
          <w:rFonts w:hint="eastAsia" w:asciiTheme="majorEastAsia" w:hAnsiTheme="majorEastAsia" w:eastAsiaTheme="majorEastAsia"/>
          <w:bCs/>
          <w:color w:val="auto"/>
          <w:sz w:val="24"/>
          <w:szCs w:val="24"/>
          <w:highlight w:val="none"/>
        </w:rPr>
      </w:pPr>
      <w:r>
        <w:rPr>
          <w:rFonts w:hint="eastAsia" w:asciiTheme="majorEastAsia" w:hAnsiTheme="majorEastAsia" w:eastAsiaTheme="majorEastAsia"/>
          <w:bCs/>
          <w:color w:val="auto"/>
          <w:sz w:val="24"/>
          <w:szCs w:val="24"/>
          <w:highlight w:val="none"/>
        </w:rPr>
        <w:t xml:space="preserve">备注：1.表格不够可自行延长。</w:t>
      </w:r>
      <w:r/>
    </w:p>
    <w:p>
      <w:pPr>
        <w:ind w:left="120"/>
        <w:spacing w:line="360" w:lineRule="auto"/>
        <w:rPr>
          <w:rFonts w:hint="eastAsia" w:asciiTheme="majorEastAsia" w:hAnsiTheme="majorEastAsia" w:eastAsiaTheme="majorEastAsia"/>
          <w:bCs/>
          <w:color w:val="auto"/>
          <w:sz w:val="24"/>
          <w:szCs w:val="24"/>
          <w:highlight w:val="none"/>
        </w:rPr>
      </w:pPr>
      <w:r>
        <w:rPr>
          <w:rFonts w:hint="eastAsia" w:asciiTheme="majorEastAsia" w:hAnsiTheme="majorEastAsia" w:eastAsiaTheme="majorEastAsia"/>
          <w:bCs/>
          <w:color w:val="auto"/>
          <w:sz w:val="24"/>
          <w:szCs w:val="24"/>
          <w:highlight w:val="none"/>
        </w:rPr>
        <w:t xml:space="preserve">    2.上表人员为本项目评分点中的人员，须提供</w:t>
      </w:r>
      <w:r>
        <w:rPr>
          <w:rFonts w:hint="eastAsia" w:ascii="宋体" w:hAnsi="宋体" w:cs="宋体"/>
          <w:bCs/>
          <w:color w:val="auto"/>
          <w:sz w:val="24"/>
          <w:highlight w:val="none"/>
        </w:rPr>
        <w:t xml:space="preserve">为其缴纳的社保收缴部门出具的</w:t>
      </w:r>
      <w:r>
        <w:rPr>
          <w:rFonts w:hint="eastAsia" w:ascii="宋体" w:hAnsi="宋体" w:cs="宋体"/>
          <w:bCs/>
          <w:color w:val="auto"/>
          <w:sz w:val="24"/>
          <w:highlight w:val="none"/>
          <w:lang w:val="en-US" w:eastAsia="zh-CN"/>
        </w:rPr>
        <w:t xml:space="preserve">近</w:t>
      </w:r>
      <w:r>
        <w:rPr>
          <w:rFonts w:hint="eastAsia" w:ascii="宋体" w:hAnsi="宋体" w:cs="宋体"/>
          <w:bCs/>
          <w:color w:val="auto"/>
          <w:sz w:val="24"/>
          <w:highlight w:val="none"/>
        </w:rPr>
        <w:t xml:space="preserve">一年中任意一个月份（不含投标当月）缴纳社保的证明</w:t>
      </w:r>
      <w:r>
        <w:rPr>
          <w:rFonts w:hint="eastAsia"/>
          <w:color w:val="auto"/>
          <w:sz w:val="24"/>
          <w:highlight w:val="none"/>
        </w:rPr>
        <w:t xml:space="preserve">（新公司成立的除外，法定代表人除外）扫描件和证书扫描件</w:t>
      </w:r>
      <w:r>
        <w:rPr>
          <w:rFonts w:hint="eastAsia" w:asciiTheme="majorEastAsia" w:hAnsiTheme="majorEastAsia" w:eastAsiaTheme="majorEastAsia"/>
          <w:bCs/>
          <w:color w:val="auto"/>
          <w:sz w:val="24"/>
          <w:szCs w:val="24"/>
          <w:highlight w:val="none"/>
        </w:rPr>
        <w:t xml:space="preserve">。</w:t>
      </w:r>
      <w:r/>
    </w:p>
    <w:p>
      <w:pPr>
        <w:ind w:left="120" w:firstLine="480"/>
        <w:spacing w:line="360" w:lineRule="auto"/>
        <w:rPr>
          <w:rFonts w:hint="eastAsia" w:asciiTheme="majorEastAsia" w:hAnsiTheme="majorEastAsia" w:eastAsiaTheme="majorEastAsia"/>
          <w:bCs/>
          <w:color w:val="auto"/>
          <w:sz w:val="24"/>
          <w:szCs w:val="24"/>
          <w:highlight w:val="none"/>
        </w:rPr>
      </w:pPr>
      <w:r>
        <w:rPr>
          <w:rFonts w:asciiTheme="majorEastAsia" w:hAnsiTheme="majorEastAsia" w:eastAsiaTheme="majorEastAsia"/>
          <w:bCs/>
          <w:color w:val="auto"/>
          <w:sz w:val="24"/>
          <w:szCs w:val="24"/>
          <w:highlight w:val="none"/>
        </w:rPr>
        <w:t xml:space="preserve">3</w:t>
      </w:r>
      <w:r>
        <w:rPr>
          <w:rFonts w:hint="eastAsia" w:asciiTheme="majorEastAsia" w:hAnsiTheme="majorEastAsia" w:eastAsiaTheme="majorEastAsia"/>
          <w:bCs/>
          <w:color w:val="auto"/>
          <w:sz w:val="24"/>
          <w:szCs w:val="24"/>
          <w:highlight w:val="none"/>
        </w:rPr>
        <w:t xml:space="preserve">.以上材料请附本表之后。</w:t>
      </w:r>
      <w:r/>
    </w:p>
    <w:p>
      <w:pPr>
        <w:jc w:val="center"/>
        <w:spacing w:line="360" w:lineRule="auto"/>
        <w:rPr>
          <w:b/>
          <w:color w:val="auto"/>
          <w:sz w:val="28"/>
          <w:szCs w:val="28"/>
          <w:highlight w:val="none"/>
        </w:rPr>
      </w:pPr>
      <w:r>
        <w:rPr>
          <w:b/>
          <w:color w:val="auto"/>
          <w:sz w:val="28"/>
          <w:szCs w:val="28"/>
          <w:highlight w:val="none"/>
        </w:rPr>
      </w:r>
      <w:r/>
    </w:p>
    <w:p>
      <w:pPr>
        <w:jc w:val="center"/>
        <w:spacing w:line="360" w:lineRule="auto"/>
        <w:rPr>
          <w:bCs/>
          <w:color w:val="auto"/>
          <w:sz w:val="28"/>
          <w:szCs w:val="28"/>
          <w:highlight w:val="none"/>
        </w:rPr>
      </w:pPr>
      <w:r>
        <w:rPr>
          <w:rFonts w:hint="eastAsia"/>
          <w:bCs/>
          <w:color w:val="auto"/>
          <w:sz w:val="28"/>
          <w:szCs w:val="28"/>
          <w:highlight w:val="none"/>
        </w:rPr>
        <w:t xml:space="preserve">（3）项目设备配备表</w:t>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79"/>
        <w:tblW w:w="8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704"/>
        <w:gridCol w:w="1304"/>
        <w:gridCol w:w="959"/>
        <w:gridCol w:w="1066"/>
        <w:gridCol w:w="1332"/>
        <w:gridCol w:w="1259"/>
      </w:tblGrid>
      <w:tr>
        <w:trPr>
          <w:jc w:val="center"/>
          <w:trHeight w:val="871"/>
        </w:trPr>
        <w:tc>
          <w:tcPr>
            <w:tcW w:w="971"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7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t xml:space="preserve">设备名称</w:t>
            </w:r>
            <w:r/>
          </w:p>
        </w:tc>
        <w:tc>
          <w:tcPr>
            <w:tcW w:w="13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t xml:space="preserve">型号</w:t>
            </w:r>
            <w:r/>
          </w:p>
          <w:p>
            <w:pPr>
              <w:jc w:val="center"/>
              <w:spacing w:line="420" w:lineRule="exact"/>
              <w:rPr>
                <w:rFonts w:hint="eastAsia" w:ascii="宋体" w:hAnsi="宋体"/>
                <w:color w:val="auto"/>
                <w:sz w:val="24"/>
                <w:highlight w:val="none"/>
              </w:rPr>
            </w:pPr>
            <w:r>
              <w:rPr>
                <w:rFonts w:hint="eastAsia" w:ascii="宋体" w:hAnsi="宋体"/>
                <w:color w:val="auto"/>
                <w:sz w:val="24"/>
                <w:highlight w:val="none"/>
              </w:rPr>
              <w:t xml:space="preserve">规格</w:t>
            </w:r>
            <w:r/>
          </w:p>
        </w:tc>
        <w:tc>
          <w:tcPr>
            <w:tcW w:w="9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t xml:space="preserve">数量</w:t>
            </w:r>
            <w:r/>
          </w:p>
        </w:tc>
        <w:tc>
          <w:tcPr>
            <w:tcW w:w="1066"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t xml:space="preserve">自备</w:t>
            </w:r>
            <w:r/>
          </w:p>
        </w:tc>
        <w:tc>
          <w:tcPr>
            <w:tcBorders>
              <w:right w:val="single" w:color="auto" w:sz="4" w:space="0"/>
            </w:tcBorders>
            <w:tcW w:w="1332"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t xml:space="preserve">租赁</w:t>
            </w:r>
            <w:r/>
          </w:p>
        </w:tc>
        <w:tc>
          <w:tcPr>
            <w:tcBorders>
              <w:left w:val="single" w:color="auto" w:sz="4" w:space="0"/>
            </w:tcBorders>
            <w:tcW w:w="12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t xml:space="preserve">备注</w:t>
            </w:r>
            <w:r/>
          </w:p>
        </w:tc>
      </w:tr>
      <w:tr>
        <w:trPr>
          <w:jc w:val="center"/>
          <w:trHeight w:val="769"/>
        </w:trPr>
        <w:tc>
          <w:tcPr>
            <w:tcW w:w="971"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t xml:space="preserve">1</w:t>
            </w:r>
            <w:r/>
          </w:p>
        </w:tc>
        <w:tc>
          <w:tcPr>
            <w:tcW w:w="17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3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9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066"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1332"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tcBorders>
            <w:tcW w:w="12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769"/>
        </w:trPr>
        <w:tc>
          <w:tcPr>
            <w:tcW w:w="971"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t xml:space="preserve">2</w:t>
            </w:r>
            <w:r/>
          </w:p>
        </w:tc>
        <w:tc>
          <w:tcPr>
            <w:tcW w:w="17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3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9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066"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1332"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tcBorders>
            <w:tcW w:w="12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769"/>
        </w:trPr>
        <w:tc>
          <w:tcPr>
            <w:tcW w:w="971"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t xml:space="preserve">3</w:t>
            </w:r>
            <w:r/>
          </w:p>
        </w:tc>
        <w:tc>
          <w:tcPr>
            <w:tcW w:w="17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3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9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066"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1332"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tcBorders>
            <w:tcW w:w="12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769"/>
        </w:trPr>
        <w:tc>
          <w:tcPr>
            <w:tcW w:w="971"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t xml:space="preserve">...</w:t>
            </w:r>
            <w:r/>
          </w:p>
        </w:tc>
        <w:tc>
          <w:tcPr>
            <w:tcW w:w="17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3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9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066"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1332"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tcBorders>
            <w:tcW w:w="12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769"/>
        </w:trPr>
        <w:tc>
          <w:tcPr>
            <w:tcW w:w="971"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7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3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9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066"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1332"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tcBorders>
            <w:tcW w:w="12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769"/>
        </w:trPr>
        <w:tc>
          <w:tcPr>
            <w:tcW w:w="971"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7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3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9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066"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1332"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tcBorders>
            <w:tcW w:w="12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769"/>
        </w:trPr>
        <w:tc>
          <w:tcPr>
            <w:tcW w:w="971"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7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3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9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066"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1332"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tcBorders>
            <w:tcW w:w="12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769"/>
        </w:trPr>
        <w:tc>
          <w:tcPr>
            <w:tcW w:w="971"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7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3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9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066"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1332"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tcBorders>
            <w:tcW w:w="12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779"/>
        </w:trPr>
        <w:tc>
          <w:tcPr>
            <w:tcW w:w="971"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7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304"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9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W w:w="1066"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1332"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tcBorders>
            <w:tcW w:w="1259" w:type="dxa"/>
            <w:vAlign w:val="center"/>
            <w:textDirection w:val="lrTb"/>
            <w:noWrap w:val="false"/>
          </w:tcPr>
          <w:p>
            <w:pPr>
              <w:jc w:val="center"/>
              <w:spacing w:line="420" w:lineRule="exact"/>
              <w:rPr>
                <w:rFonts w:hint="eastAsia" w:ascii="宋体" w:hAnsi="宋体"/>
                <w:color w:val="auto"/>
                <w:sz w:val="24"/>
                <w:highlight w:val="none"/>
              </w:rPr>
            </w:pPr>
            <w:r>
              <w:rPr>
                <w:rFonts w:hint="eastAsia" w:ascii="宋体" w:hAnsi="宋体"/>
                <w:color w:val="auto"/>
                <w:sz w:val="24"/>
                <w:highlight w:val="none"/>
              </w:rPr>
            </w:r>
            <w:r/>
          </w:p>
        </w:tc>
      </w:tr>
    </w:tbl>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w:t>
      </w:r>
      <w:r/>
    </w:p>
    <w:p>
      <w:pPr>
        <w:rPr>
          <w:rFonts w:hint="eastAsia"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（九）投标供应商基本情况声明</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82"/>
        <w:ind w:firstLine="480"/>
        <w:rPr>
          <w:rFonts w:hint="eastAsia" w:ascii="宋体" w:hAnsi="宋体"/>
          <w:color w:val="auto"/>
          <w:sz w:val="24"/>
          <w:highlight w:val="none"/>
        </w:rPr>
      </w:pPr>
      <w:r>
        <w:rPr>
          <w:rFonts w:hint="eastAsia" w:ascii="宋体" w:hAnsi="宋体"/>
          <w:color w:val="auto"/>
          <w:sz w:val="24"/>
          <w:highlight w:val="none"/>
        </w:rPr>
        <w:t xml:space="preserve">投标供应商情况表1</w:t>
      </w:r>
      <w:r/>
    </w:p>
    <w:p>
      <w:pPr>
        <w:pStyle w:val="782"/>
        <w:ind w:firstLine="480"/>
        <w:rPr>
          <w:rFonts w:hint="eastAsia" w:ascii="宋体" w:hAnsi="宋体"/>
          <w:color w:val="auto"/>
          <w:sz w:val="24"/>
          <w:highlight w:val="none"/>
        </w:rPr>
      </w:pPr>
      <w:r>
        <w:rPr>
          <w:rFonts w:hint="eastAsia" w:ascii="宋体" w:hAnsi="宋体"/>
          <w:color w:val="auto"/>
          <w:sz w:val="24"/>
          <w:highlight w:val="none"/>
        </w:rPr>
        <w:t xml:space="preserve">单位名称（盖章）</w:t>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w:t>
            </w:r>
            <w:r/>
          </w:p>
        </w:tc>
        <w:tc>
          <w:tcPr>
            <w:gridSpan w:val="2"/>
            <w:tcW w:w="2259"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W w:w="175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企业地址</w:t>
            </w:r>
            <w:r/>
          </w:p>
        </w:tc>
        <w:tc>
          <w:tcPr>
            <w:gridSpan w:val="2"/>
            <w:tcW w:w="2259"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W w:w="175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经营范围</w:t>
            </w:r>
            <w:r/>
          </w:p>
        </w:tc>
        <w:tc>
          <w:tcPr>
            <w:gridSpan w:val="4"/>
            <w:tcW w:w="661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职工人数</w:t>
            </w:r>
            <w:r/>
          </w:p>
        </w:tc>
        <w:tc>
          <w:tcPr>
            <w:tcW w:w="21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782"/>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中级职称人数、</w:t>
            </w:r>
            <w:r/>
          </w:p>
          <w:p>
            <w:pPr>
              <w:pStyle w:val="782"/>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高级职称人数</w:t>
            </w:r>
            <w:r/>
          </w:p>
        </w:tc>
      </w:tr>
      <w:tr>
        <w:trPr>
          <w:trHeight w:val="566"/>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2025年12月资产总额</w:t>
            </w:r>
            <w:r/>
          </w:p>
        </w:tc>
        <w:tc>
          <w:tcPr>
            <w:tcW w:w="21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2025年12月股东权益</w:t>
            </w:r>
            <w:r/>
          </w:p>
        </w:tc>
        <w:tc>
          <w:tcPr>
            <w:tcW w:w="21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2025年实现利润</w:t>
            </w:r>
            <w:r/>
          </w:p>
        </w:tc>
        <w:tc>
          <w:tcPr>
            <w:tcW w:w="21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W w:w="2601"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办公面积</w:t>
            </w:r>
            <w:r/>
          </w:p>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W w:w="21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595"/>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965"/>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747"/>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bl>
    <w:p>
      <w:pPr>
        <w:pStyle w:val="782"/>
        <w:ind w:firstLine="480"/>
        <w:rPr>
          <w:rFonts w:hint="eastAsia"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rPr>
          <w:rFonts w:ascii="黑体" w:eastAsia="黑体"/>
          <w:bCs/>
          <w:color w:val="auto"/>
          <w:sz w:val="28"/>
          <w:szCs w:val="28"/>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（十）（投标供应商）中小企业声明函（格式）：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hint="eastAsia"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（十一）（投标供应商）残疾人福利性单位声明函（格式）：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sectPr>
          <w:footnotePr/>
          <w:endnotePr/>
          <w:type w:val="nextPage"/>
          <w:pgSz w:w="11906" w:h="16838" w:orient="portrait"/>
          <w:pgMar w:top="1440" w:right="1080" w:bottom="1440" w:left="1080" w:header="624" w:footer="907" w:gutter="0"/>
          <w:cols w:num="1" w:sep="0" w:space="1701" w:equalWidth="1"/>
          <w:docGrid w:linePitch="360"/>
        </w:sectPr>
      </w:pPr>
      <w:r>
        <w:rPr>
          <w:rFonts w:hint="eastAsia" w:ascii="黑体" w:hAnsi="宋体" w:eastAsia="黑体"/>
          <w:bCs/>
          <w:color w:val="auto"/>
          <w:sz w:val="24"/>
          <w:szCs w:val="24"/>
          <w:highlight w:val="none"/>
        </w:rPr>
      </w:r>
      <w:r/>
    </w:p>
    <w:p>
      <w:pPr>
        <w:pStyle w:val="810"/>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810"/>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10"/>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1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1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1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1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1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10"/>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1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1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1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1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1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1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1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1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82"/>
        <w:rPr>
          <w:rFonts w:hint="eastAsia"/>
        </w:rPr>
        <w:sectPr>
          <w:footnotePr/>
          <w:endnotePr/>
          <w:type w:val="nextPage"/>
          <w:pgSz w:w="11906" w:h="16838" w:orient="portrait"/>
          <w:pgMar w:top="1440" w:right="1080" w:bottom="1440" w:left="1080" w:header="624" w:footer="907" w:gutter="0"/>
          <w:cols w:num="1" w:sep="0" w:space="1701" w:equalWidth="1"/>
          <w:docGrid w:linePitch="360"/>
        </w:sect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360" w:lineRule="auto"/>
        <w:rPr>
          <w:rFonts w:hint="eastAsia" w:ascii="黑体" w:hAnsi="宋体" w:eastAsia="黑体"/>
          <w:color w:val="auto"/>
          <w:sz w:val="24"/>
          <w:szCs w:val="24"/>
          <w:highlight w:val="none"/>
        </w:rPr>
      </w:pPr>
      <w:r>
        <w:rPr>
          <w:rFonts w:hint="eastAsia" w:ascii="黑体" w:hAnsi="宋体" w:eastAsia="黑体"/>
          <w:bCs/>
          <w:color w:val="auto"/>
          <w:sz w:val="24"/>
          <w:szCs w:val="24"/>
          <w:highlight w:val="none"/>
        </w:rPr>
        <w:t xml:space="preserve">（十二）技术方案（格式自拟）</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25"/>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1025"/>
        <w:ind w:firstLine="0"/>
        <w:rPr>
          <w:color w:val="auto"/>
          <w:sz w:val="24"/>
          <w:highlight w:val="none"/>
        </w:rPr>
      </w:pPr>
      <w:r>
        <w:rPr>
          <w:color w:val="auto"/>
          <w:sz w:val="24"/>
          <w:highlight w:val="none"/>
        </w:rPr>
      </w:r>
      <w:r/>
    </w:p>
    <w:p>
      <w:pPr>
        <w:ind w:firstLine="482"/>
        <w:spacing w:line="360" w:lineRule="auto"/>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 xml:space="preserve">特别注意：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r/>
    </w:p>
    <w:p>
      <w:pPr>
        <w:ind w:firstLine="482"/>
        <w:spacing w:line="360" w:lineRule="auto"/>
        <w:rPr>
          <w:rFonts w:hint="eastAsia" w:ascii="宋体" w:hAnsi="宋体"/>
          <w:b/>
          <w:color w:val="auto"/>
          <w:sz w:val="24"/>
          <w:szCs w:val="21"/>
          <w:highlight w:val="none"/>
          <w:u w:val="single"/>
        </w:rPr>
      </w:pPr>
      <w:r>
        <w:rPr>
          <w:rFonts w:hint="eastAsia" w:ascii="宋体" w:hAnsi="宋体"/>
          <w:b/>
          <w:color w:val="auto"/>
          <w:sz w:val="24"/>
          <w:szCs w:val="21"/>
          <w:highlight w:val="none"/>
        </w:rPr>
        <w:t xml:space="preserve">不得有体现投标供应商身份的内容是指：</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①技术部分不得出现能够体现投标供应商身份、名称的相关描述、材料、文件等内容；</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②技术部分不得更改，不得在其中标注或做任何可以辨认投标供应商及所属人员身份的名称、印章、商标等标记；</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③技术部分应当版面整洁、字迹清楚、不许批注或进行底纹、阴影、水印等特殊设置，不得采用任何不符合常规、有别于其他投标供应商的特殊做法；</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④不得有其他体现投标人身份的内容。</w:t>
      </w:r>
      <w:r/>
    </w:p>
    <w:p>
      <w:pPr>
        <w:ind w:firstLine="480"/>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cs="Times New Roman"/>
          <w:b/>
          <w:color w:val="auto"/>
          <w:sz w:val="24"/>
          <w:szCs w:val="21"/>
          <w:highlight w:val="none"/>
          <w:lang w:val="en-US" w:eastAsia="zh-CN"/>
        </w:rPr>
        <w:t xml:space="preserve">⑤</w:t>
      </w:r>
      <w:r>
        <w:rPr>
          <w:rFonts w:hint="eastAsia" w:ascii="宋体" w:hAnsi="宋体" w:eastAsia="宋体" w:cs="Times New Roman"/>
          <w:b/>
          <w:color w:val="auto"/>
          <w:sz w:val="24"/>
          <w:szCs w:val="21"/>
          <w:highlight w:val="none"/>
          <w:lang w:val="en-US" w:eastAsia="zh-CN"/>
        </w:rPr>
        <w:t xml:space="preserve">字体、段落、页面布局的设置：</w:t>
      </w:r>
      <w:r/>
    </w:p>
    <w:p>
      <w:pPr>
        <w:ind w:firstLine="480"/>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字体：一级标题为宋体黑色二号字体，其余正文均采用宋体黑色小四号字体，不得出现手写。</w:t>
      </w:r>
      <w:r/>
    </w:p>
    <w:p>
      <w:pPr>
        <w:ind w:firstLine="480"/>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段落：使用1.5倍行间距、字间距标准。</w:t>
      </w:r>
      <w:r/>
    </w:p>
    <w:p>
      <w:pPr>
        <w:ind w:firstLine="480"/>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页面布局：不得设置页眉、页脚（系统自动生成页码除外），纸张方向纵向、不得有空白页、页面底色白色，分栏为一栏。</w:t>
      </w:r>
      <w:r/>
    </w:p>
    <w:p>
      <w:pPr>
        <w:ind w:firstLine="48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sectPr>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w:panose1 w:val="020B0503020204020204"/>
  </w:font>
  <w:font w:name="Calibri">
    <w:panose1 w:val="020F0502020204030204"/>
  </w:font>
  <w:font w:name="新宋体">
    <w:panose1 w:val="02010609030101010101"/>
  </w:font>
  <w:font w:name="Symbol">
    <w:panose1 w:val="05050102010706020507"/>
  </w:font>
  <w:font w:name="Cambria Math">
    <w:panose1 w:val="02040503050406030204"/>
  </w:font>
  <w:font w:name="Tahoma">
    <w:panose1 w:val="020B0604030504040204"/>
  </w:font>
  <w:font w:name="华文细黑">
    <w:panose1 w:val="02010600040101010101"/>
  </w:font>
  <w:font w:name="Cambria">
    <w:panose1 w:val="02040503050406030204"/>
  </w:font>
  <w:font w:name="Courier New">
    <w:panose1 w:val="02070309020205020404"/>
  </w:font>
  <w:font w:name="华文中宋">
    <w:panose1 w:val="0201060004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44</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44</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Pr>
        <w:rFonts w:hint="eastAsia" w:ascii="宋体" w:hAnsi="宋体"/>
        <w:lang w:eastAsia="zh-CN"/>
      </w:rPr>
      <w:t xml:space="preserve">JSZC-320214-ZYGC-G2026-0005</w:t>
    </w:r>
    <w:r>
      <w:rPr>
        <w:rFonts w:hint="eastAsia" w:ascii="宋体" w:hAnsi="宋体"/>
      </w:rPr>
      <w:t xml:space="preserve">                         太科园（新安街道）河道水生态长效运维养护项目公开招标文件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Pr>
        <w:rFonts w:hint="eastAsia" w:ascii="宋体" w:hAnsi="宋体"/>
      </w:rPr>
      <w:t xml:space="preserve">太科园（新安街道）河道水生态长效运维养护项目公开招标文件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Pr>
        <w:rFonts w:hint="eastAsia" w:ascii="宋体" w:hAnsi="宋体"/>
        <w:lang w:eastAsia="zh-CN"/>
      </w:rPr>
      <w:t xml:space="preserve">JSZC-320214-ZYGC-G2026-0005</w:t>
    </w:r>
    <w:r>
      <w:rPr>
        <w:rFonts w:hint="eastAsia" w:ascii="宋体" w:hAnsi="宋体"/>
      </w:rPr>
      <w:t xml:space="preserve">                         太科园（新安街道）河道水生态长效运维养护项目公开招标文件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6">
    <w:multiLevelType w:val="hybridMultilevel"/>
    <w:lvl w:ilvl="0">
      <w:start w:val="1"/>
      <w:numFmt w:val="bullet"/>
      <w:pStyle w:val="84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77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039"/>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rPr>
        <w:rFonts w:hint="default"/>
        <w:sz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24">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2"/>
  </w:num>
  <w:num w:numId="2">
    <w:abstractNumId w:val="6"/>
  </w:num>
  <w:num w:numId="3">
    <w:abstractNumId w:val="20"/>
  </w:num>
  <w:num w:numId="4">
    <w:abstractNumId w:val="4"/>
  </w:num>
  <w:num w:numId="5">
    <w:abstractNumId w:val="2"/>
  </w:num>
  <w:num w:numId="6">
    <w:abstractNumId w:val="14"/>
  </w:num>
  <w:num w:numId="7">
    <w:abstractNumId w:val="16"/>
  </w:num>
  <w:num w:numId="8">
    <w:abstractNumId w:val="23"/>
  </w:num>
  <w:num w:numId="9">
    <w:abstractNumId w:val="13"/>
  </w:num>
  <w:num w:numId="10">
    <w:abstractNumId w:val="1"/>
  </w:num>
  <w:num w:numId="11">
    <w:abstractNumId w:val="17"/>
  </w:num>
  <w:num w:numId="12">
    <w:abstractNumId w:val="21"/>
  </w:num>
  <w:num w:numId="13">
    <w:abstractNumId w:val="5"/>
  </w:num>
  <w:num w:numId="14">
    <w:abstractNumId w:val="18"/>
  </w:num>
  <w:num w:numId="15">
    <w:abstractNumId w:val="10"/>
  </w:num>
  <w:num w:numId="16">
    <w:abstractNumId w:val="0"/>
  </w:num>
  <w:num w:numId="17">
    <w:abstractNumId w:val="11"/>
  </w:num>
  <w:num w:numId="18">
    <w:abstractNumId w:val="9"/>
  </w:num>
  <w:num w:numId="19">
    <w:abstractNumId w:val="19"/>
  </w:num>
  <w:num w:numId="20">
    <w:abstractNumId w:val="3"/>
  </w:num>
  <w:num w:numId="21">
    <w:abstractNumId w:val="22"/>
  </w:num>
  <w:num w:numId="22">
    <w:abstractNumId w:val="15"/>
  </w:num>
  <w:num w:numId="23">
    <w:abstractNumId w:val="8"/>
  </w:num>
  <w:num w:numId="24">
    <w:abstractNumId w:val="24"/>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8">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7">
    <w:name w:val="TOC Heading"/>
    <w:uiPriority w:val="39"/>
    <w:unhideWhenUsed/>
  </w:style>
  <w:style w:type="paragraph" w:styleId="768" w:default="1">
    <w:name w:val="Normal"/>
    <w:next w:val="780"/>
    <w:uiPriority w:val="0"/>
    <w:qFormat/>
    <w:pPr>
      <w:jc w:val="both"/>
      <w:widowControl w:val="off"/>
    </w:pPr>
    <w:rPr>
      <w:rFonts w:ascii="Times New Roman" w:hAnsi="Times New Roman" w:eastAsia="宋体" w:cs="Times New Roman"/>
      <w:sz w:val="21"/>
      <w:lang w:val="en-US" w:eastAsia="zh-CN" w:bidi="ar-SA"/>
    </w:rPr>
  </w:style>
  <w:style w:type="paragraph" w:styleId="769">
    <w:name w:val="Heading 1"/>
    <w:basedOn w:val="768"/>
    <w:next w:val="768"/>
    <w:link w:val="995"/>
    <w:uiPriority w:val="99"/>
    <w:qFormat/>
    <w:pPr>
      <w:jc w:val="center"/>
      <w:keepNext/>
      <w:outlineLvl w:val="0"/>
    </w:pPr>
    <w:rPr>
      <w:rFonts w:ascii="楷体_GB2312" w:eastAsia="楷体_GB2312"/>
      <w:b/>
      <w:sz w:val="28"/>
    </w:rPr>
  </w:style>
  <w:style w:type="paragraph" w:styleId="770">
    <w:name w:val="Heading 2"/>
    <w:basedOn w:val="768"/>
    <w:next w:val="768"/>
    <w:link w:val="996"/>
    <w:uiPriority w:val="99"/>
    <w:qFormat/>
    <w:pPr>
      <w:jc w:val="center"/>
      <w:keepNext/>
      <w:outlineLvl w:val="1"/>
    </w:pPr>
    <w:rPr>
      <w:rFonts w:ascii="楷体_GB2312" w:eastAsia="楷体_GB2312"/>
      <w:b/>
      <w:bCs/>
      <w:sz w:val="18"/>
    </w:rPr>
  </w:style>
  <w:style w:type="paragraph" w:styleId="771">
    <w:name w:val="Heading 3"/>
    <w:basedOn w:val="768"/>
    <w:next w:val="768"/>
    <w:link w:val="997"/>
    <w:uiPriority w:val="99"/>
    <w:qFormat/>
    <w:pPr>
      <w:jc w:val="center"/>
      <w:keepNext/>
      <w:outlineLvl w:val="2"/>
    </w:pPr>
    <w:rPr>
      <w:rFonts w:eastAsia="楷体_GB2312"/>
      <w:b/>
      <w:bCs/>
      <w:sz w:val="15"/>
    </w:rPr>
  </w:style>
  <w:style w:type="paragraph" w:styleId="772">
    <w:name w:val="Heading 4"/>
    <w:basedOn w:val="768"/>
    <w:next w:val="768"/>
    <w:link w:val="998"/>
    <w:uiPriority w:val="99"/>
    <w:qFormat/>
    <w:pPr>
      <w:jc w:val="center"/>
      <w:keepNext/>
      <w:outlineLvl w:val="3"/>
    </w:pPr>
    <w:rPr>
      <w:rFonts w:eastAsia="楷体_GB2312"/>
      <w:b/>
      <w:bCs/>
      <w:sz w:val="13"/>
    </w:rPr>
  </w:style>
  <w:style w:type="paragraph" w:styleId="773">
    <w:name w:val="Heading 5"/>
    <w:basedOn w:val="768"/>
    <w:next w:val="768"/>
    <w:link w:val="999"/>
    <w:uiPriority w:val="99"/>
    <w:qFormat/>
    <w:pPr>
      <w:numPr>
        <w:ilvl w:val="0"/>
        <w:numId w:val="1"/>
      </w:numPr>
      <w:keepNext/>
      <w:outlineLvl w:val="4"/>
    </w:pPr>
    <w:rPr>
      <w:rFonts w:ascii="楷体_GB2312" w:eastAsia="楷体_GB2312"/>
      <w:bCs/>
      <w:sz w:val="28"/>
    </w:rPr>
  </w:style>
  <w:style w:type="paragraph" w:styleId="774">
    <w:name w:val="Heading 6"/>
    <w:basedOn w:val="768"/>
    <w:next w:val="768"/>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uiPriority w:val="9"/>
    <w:unhideWhenUsed/>
    <w:qFormat/>
    <w:pPr>
      <w:keepLines/>
      <w:keepNext/>
      <w:spacing w:before="320" w:after="200"/>
      <w:outlineLvl w:val="8"/>
    </w:pPr>
    <w:rPr>
      <w:rFonts w:ascii="Arial" w:hAnsi="Arial" w:eastAsia="Arial" w:cs="Arial"/>
      <w:i/>
      <w:iCs/>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Body Text"/>
    <w:basedOn w:val="768"/>
    <w:next w:val="768"/>
    <w:link w:val="1003"/>
    <w:uiPriority w:val="99"/>
    <w:qFormat/>
    <w:rPr>
      <w:rFonts w:ascii="华文中宋" w:eastAsia="华文中宋"/>
      <w:bCs/>
      <w:sz w:val="28"/>
    </w:rPr>
  </w:style>
  <w:style w:type="paragraph" w:styleId="781">
    <w:name w:val="toc 7"/>
    <w:basedOn w:val="768"/>
    <w:next w:val="768"/>
    <w:uiPriority w:val="39"/>
    <w:unhideWhenUsed/>
    <w:qFormat/>
    <w:pPr>
      <w:ind w:left="1701"/>
      <w:spacing w:after="57"/>
    </w:pPr>
  </w:style>
  <w:style w:type="paragraph" w:styleId="782">
    <w:name w:val="Normal Indent"/>
    <w:basedOn w:val="768"/>
    <w:link w:val="1000"/>
    <w:uiPriority w:val="0"/>
    <w:unhideWhenUsed/>
    <w:qFormat/>
    <w:pPr>
      <w:ind w:firstLine="420"/>
    </w:pPr>
    <w:rPr>
      <w:szCs w:val="24"/>
    </w:rPr>
  </w:style>
  <w:style w:type="paragraph" w:styleId="783">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index 5"/>
    <w:basedOn w:val="768"/>
    <w:next w:val="768"/>
    <w:uiPriority w:val="99"/>
    <w:unhideWhenUsed/>
    <w:qFormat/>
    <w:pPr>
      <w:ind w:left="800"/>
    </w:pPr>
  </w:style>
  <w:style w:type="paragraph" w:styleId="785">
    <w:name w:val="Document Map"/>
    <w:basedOn w:val="768"/>
    <w:next w:val="768"/>
    <w:link w:val="1001"/>
    <w:uiPriority w:val="99"/>
    <w:semiHidden/>
    <w:qFormat/>
    <w:pPr>
      <w:shd w:val="clear" w:color="auto" w:fill="000080"/>
    </w:pPr>
    <w:rPr>
      <w:sz w:val="20"/>
    </w:rPr>
  </w:style>
  <w:style w:type="paragraph" w:styleId="786">
    <w:name w:val="annotation text"/>
    <w:basedOn w:val="768"/>
    <w:link w:val="1002"/>
    <w:uiPriority w:val="0"/>
    <w:semiHidden/>
    <w:qFormat/>
    <w:pPr>
      <w:jc w:val="left"/>
    </w:pPr>
    <w:rPr>
      <w:sz w:val="20"/>
      <w:szCs w:val="24"/>
    </w:rPr>
  </w:style>
  <w:style w:type="paragraph" w:styleId="787">
    <w:name w:val="Body Text Indent"/>
    <w:basedOn w:val="768"/>
    <w:next w:val="768"/>
    <w:link w:val="1004"/>
    <w:uiPriority w:val="0"/>
    <w:qFormat/>
    <w:pPr>
      <w:ind w:firstLine="576"/>
    </w:pPr>
    <w:rPr>
      <w:b/>
      <w:sz w:val="30"/>
    </w:rPr>
  </w:style>
  <w:style w:type="paragraph" w:styleId="788">
    <w:name w:val="index 4"/>
    <w:basedOn w:val="768"/>
    <w:next w:val="768"/>
    <w:uiPriority w:val="99"/>
    <w:qFormat/>
    <w:pPr>
      <w:ind w:left="600"/>
    </w:pPr>
    <w:rPr>
      <w:szCs w:val="24"/>
    </w:rPr>
  </w:style>
  <w:style w:type="paragraph" w:styleId="789">
    <w:name w:val="toc 5"/>
    <w:basedOn w:val="768"/>
    <w:next w:val="768"/>
    <w:uiPriority w:val="39"/>
    <w:unhideWhenUsed/>
    <w:qFormat/>
    <w:pPr>
      <w:ind w:left="1134"/>
      <w:spacing w:after="57"/>
    </w:pPr>
  </w:style>
  <w:style w:type="paragraph" w:styleId="790">
    <w:name w:val="toc 3"/>
    <w:basedOn w:val="768"/>
    <w:next w:val="768"/>
    <w:uiPriority w:val="39"/>
    <w:unhideWhenUsed/>
    <w:qFormat/>
    <w:pPr>
      <w:ind w:left="567"/>
      <w:spacing w:after="57"/>
    </w:pPr>
  </w:style>
  <w:style w:type="paragraph" w:styleId="791">
    <w:name w:val="Plain Text"/>
    <w:basedOn w:val="768"/>
    <w:link w:val="1005"/>
    <w:uiPriority w:val="0"/>
    <w:qFormat/>
    <w:rPr>
      <w:rFonts w:ascii="宋体" w:hAnsi="Courier New"/>
      <w:szCs w:val="21"/>
    </w:rPr>
  </w:style>
  <w:style w:type="paragraph" w:styleId="792">
    <w:name w:val="toc 8"/>
    <w:basedOn w:val="768"/>
    <w:next w:val="768"/>
    <w:uiPriority w:val="39"/>
    <w:unhideWhenUsed/>
    <w:qFormat/>
    <w:pPr>
      <w:ind w:left="1984"/>
      <w:spacing w:after="57"/>
    </w:pPr>
  </w:style>
  <w:style w:type="paragraph" w:styleId="793">
    <w:name w:val="Date"/>
    <w:basedOn w:val="768"/>
    <w:next w:val="768"/>
    <w:link w:val="1006"/>
    <w:uiPriority w:val="99"/>
    <w:qFormat/>
    <w:rPr>
      <w:rFonts w:eastAsia="黑体"/>
      <w:b/>
      <w:sz w:val="36"/>
    </w:rPr>
  </w:style>
  <w:style w:type="paragraph" w:styleId="794">
    <w:name w:val="Body Text Indent 2"/>
    <w:basedOn w:val="768"/>
    <w:link w:val="1007"/>
    <w:uiPriority w:val="99"/>
    <w:qFormat/>
    <w:pPr>
      <w:ind w:left="900"/>
    </w:pPr>
    <w:rPr>
      <w:rFonts w:ascii="楷体_GB2312" w:eastAsia="楷体_GB2312"/>
      <w:b/>
      <w:sz w:val="28"/>
    </w:rPr>
  </w:style>
  <w:style w:type="paragraph" w:styleId="795">
    <w:name w:val="endnote text"/>
    <w:basedOn w:val="768"/>
    <w:link w:val="993"/>
    <w:uiPriority w:val="99"/>
    <w:semiHidden/>
    <w:unhideWhenUsed/>
    <w:qFormat/>
    <w:rPr>
      <w:sz w:val="20"/>
    </w:rPr>
  </w:style>
  <w:style w:type="paragraph" w:styleId="796">
    <w:name w:val="Balloon Text"/>
    <w:basedOn w:val="768"/>
    <w:link w:val="1008"/>
    <w:uiPriority w:val="99"/>
    <w:unhideWhenUsed/>
    <w:qFormat/>
    <w:rPr>
      <w:sz w:val="18"/>
      <w:szCs w:val="18"/>
    </w:rPr>
  </w:style>
  <w:style w:type="paragraph" w:styleId="797">
    <w:name w:val="Footer"/>
    <w:basedOn w:val="768"/>
    <w:link w:val="1009"/>
    <w:uiPriority w:val="99"/>
    <w:unhideWhenUsed/>
    <w:qFormat/>
    <w:pPr>
      <w:jc w:val="left"/>
      <w:tabs>
        <w:tab w:val="center" w:pos="4153" w:leader="none"/>
        <w:tab w:val="right" w:pos="8306" w:leader="none"/>
      </w:tabs>
    </w:pPr>
    <w:rPr>
      <w:sz w:val="18"/>
      <w:szCs w:val="18"/>
    </w:rPr>
  </w:style>
  <w:style w:type="paragraph" w:styleId="798">
    <w:name w:val="Header"/>
    <w:basedOn w:val="768"/>
    <w:link w:val="1010"/>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99">
    <w:name w:val="toc 1"/>
    <w:basedOn w:val="768"/>
    <w:next w:val="768"/>
    <w:uiPriority w:val="39"/>
    <w:unhideWhenUsed/>
    <w:qFormat/>
    <w:pPr>
      <w:spacing w:after="57"/>
    </w:pPr>
  </w:style>
  <w:style w:type="paragraph" w:styleId="800">
    <w:name w:val="toc 4"/>
    <w:basedOn w:val="768"/>
    <w:next w:val="768"/>
    <w:uiPriority w:val="39"/>
    <w:unhideWhenUsed/>
    <w:qFormat/>
    <w:pPr>
      <w:ind w:left="850"/>
      <w:spacing w:after="57"/>
    </w:pPr>
  </w:style>
  <w:style w:type="paragraph" w:styleId="801">
    <w:name w:val="Subtitle"/>
    <w:basedOn w:val="768"/>
    <w:next w:val="768"/>
    <w:link w:val="875"/>
    <w:uiPriority w:val="11"/>
    <w:qFormat/>
    <w:pPr>
      <w:spacing w:before="200" w:after="200"/>
    </w:pPr>
    <w:rPr>
      <w:sz w:val="24"/>
      <w:szCs w:val="24"/>
    </w:rPr>
  </w:style>
  <w:style w:type="paragraph" w:styleId="802">
    <w:name w:val="List"/>
    <w:basedOn w:val="768"/>
    <w:uiPriority w:val="0"/>
    <w:qFormat/>
    <w:pPr>
      <w:ind w:left="420" w:hanging="420"/>
      <w:spacing w:after="20" w:line="288" w:lineRule="auto"/>
      <w:tabs>
        <w:tab w:val="left" w:pos="420" w:leader="none"/>
      </w:tabs>
    </w:pPr>
    <w:rPr>
      <w:lang w:val="en-GB"/>
    </w:rPr>
  </w:style>
  <w:style w:type="paragraph" w:styleId="803">
    <w:name w:val="footnote text"/>
    <w:basedOn w:val="768"/>
    <w:next w:val="784"/>
    <w:link w:val="1011"/>
    <w:uiPriority w:val="0"/>
    <w:qFormat/>
    <w:pPr>
      <w:ind w:firstLine="425"/>
      <w:jc w:val="left"/>
      <w:spacing w:before="120" w:line="360" w:lineRule="auto"/>
    </w:pPr>
    <w:rPr>
      <w:sz w:val="18"/>
    </w:rPr>
  </w:style>
  <w:style w:type="paragraph" w:styleId="804">
    <w:name w:val="toc 6"/>
    <w:basedOn w:val="768"/>
    <w:next w:val="768"/>
    <w:uiPriority w:val="39"/>
    <w:unhideWhenUsed/>
    <w:qFormat/>
    <w:pPr>
      <w:ind w:left="1417"/>
      <w:spacing w:after="57"/>
    </w:pPr>
  </w:style>
  <w:style w:type="paragraph" w:styleId="805">
    <w:name w:val="Body Text Indent 3"/>
    <w:basedOn w:val="768"/>
    <w:link w:val="1012"/>
    <w:uiPriority w:val="99"/>
    <w:qFormat/>
    <w:pPr>
      <w:ind w:left="359" w:firstLine="359"/>
    </w:pPr>
    <w:rPr>
      <w:sz w:val="20"/>
    </w:rPr>
  </w:style>
  <w:style w:type="paragraph" w:styleId="806">
    <w:name w:val="table of figures"/>
    <w:basedOn w:val="768"/>
    <w:next w:val="768"/>
    <w:uiPriority w:val="99"/>
    <w:unhideWhenUsed/>
    <w:qFormat/>
  </w:style>
  <w:style w:type="paragraph" w:styleId="807">
    <w:name w:val="toc 2"/>
    <w:basedOn w:val="768"/>
    <w:next w:val="768"/>
    <w:uiPriority w:val="39"/>
    <w:unhideWhenUsed/>
    <w:qFormat/>
    <w:pPr>
      <w:ind w:left="283"/>
      <w:spacing w:after="57"/>
    </w:pPr>
  </w:style>
  <w:style w:type="paragraph" w:styleId="808">
    <w:name w:val="toc 9"/>
    <w:basedOn w:val="768"/>
    <w:next w:val="768"/>
    <w:uiPriority w:val="39"/>
    <w:unhideWhenUsed/>
    <w:qFormat/>
    <w:pPr>
      <w:ind w:left="2268"/>
      <w:spacing w:after="57"/>
    </w:pPr>
  </w:style>
  <w:style w:type="paragraph" w:styleId="809">
    <w:name w:val="Body Text 2"/>
    <w:basedOn w:val="768"/>
    <w:link w:val="1013"/>
    <w:uiPriority w:val="99"/>
    <w:qFormat/>
    <w:pPr>
      <w:spacing w:after="120" w:line="480" w:lineRule="auto"/>
    </w:pPr>
    <w:rPr>
      <w:sz w:val="20"/>
    </w:rPr>
  </w:style>
  <w:style w:type="paragraph" w:styleId="810">
    <w:name w:val="Normal (Web)"/>
    <w:basedOn w:val="768"/>
    <w:link w:val="1014"/>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811">
    <w:name w:val="Title"/>
    <w:basedOn w:val="768"/>
    <w:next w:val="768"/>
    <w:link w:val="874"/>
    <w:uiPriority w:val="10"/>
    <w:qFormat/>
    <w:pPr>
      <w:contextualSpacing/>
      <w:spacing w:before="300" w:after="200"/>
    </w:pPr>
    <w:rPr>
      <w:sz w:val="48"/>
      <w:szCs w:val="48"/>
    </w:rPr>
  </w:style>
  <w:style w:type="paragraph" w:styleId="812">
    <w:name w:val="annotation subject"/>
    <w:basedOn w:val="786"/>
    <w:next w:val="786"/>
    <w:link w:val="1015"/>
    <w:uiPriority w:val="0"/>
    <w:semiHidden/>
    <w:qFormat/>
    <w:rPr>
      <w:b/>
      <w:bCs/>
    </w:rPr>
  </w:style>
  <w:style w:type="paragraph" w:styleId="813">
    <w:name w:val="Body Text First Indent"/>
    <w:basedOn w:val="780"/>
    <w:link w:val="1016"/>
    <w:uiPriority w:val="99"/>
    <w:unhideWhenUsed/>
    <w:qFormat/>
    <w:pPr>
      <w:ind w:firstLine="420"/>
      <w:spacing w:after="120"/>
    </w:pPr>
  </w:style>
  <w:style w:type="paragraph" w:styleId="814">
    <w:name w:val="Body Text First Indent 2"/>
    <w:basedOn w:val="787"/>
    <w:uiPriority w:val="0"/>
    <w:qFormat/>
    <w:pPr>
      <w:ind w:left="420" w:firstLine="420"/>
      <w:spacing w:after="120"/>
    </w:pPr>
    <w:rPr>
      <w:rFonts w:ascii="Cambria" w:hAnsi="Cambria" w:eastAsia="华文细黑"/>
      <w:sz w:val="21"/>
    </w:rPr>
  </w:style>
  <w:style w:type="table" w:styleId="8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uiPriority w:val="99"/>
    <w:qFormat/>
    <w:rPr>
      <w:rFonts w:cs="Times New Roman"/>
      <w:b/>
      <w:bCs/>
    </w:rPr>
  </w:style>
  <w:style w:type="character" w:styleId="817">
    <w:name w:val="endnote reference"/>
    <w:uiPriority w:val="99"/>
    <w:semiHidden/>
    <w:unhideWhenUsed/>
    <w:qFormat/>
    <w:rPr>
      <w:vertAlign w:val="superscript"/>
    </w:rPr>
  </w:style>
  <w:style w:type="character" w:styleId="818">
    <w:name w:val="page number"/>
    <w:uiPriority w:val="0"/>
    <w:qFormat/>
    <w:rPr>
      <w:rFonts w:cs="Times New Roman"/>
    </w:rPr>
  </w:style>
  <w:style w:type="character" w:styleId="819">
    <w:name w:val="FollowedHyperlink"/>
    <w:uiPriority w:val="99"/>
    <w:qFormat/>
    <w:rPr>
      <w:rFonts w:cs="Times New Roman"/>
      <w:color w:val="000000"/>
      <w:u w:val="none"/>
    </w:rPr>
  </w:style>
  <w:style w:type="character" w:styleId="820">
    <w:name w:val="HTML Typewriter"/>
    <w:uiPriority w:val="99"/>
    <w:qFormat/>
    <w:rPr>
      <w:rFonts w:ascii="宋体" w:hAnsi="宋体" w:eastAsia="宋体" w:cs="宋体"/>
      <w:sz w:val="24"/>
      <w:szCs w:val="24"/>
    </w:rPr>
  </w:style>
  <w:style w:type="character" w:styleId="821">
    <w:name w:val="Hyperlink"/>
    <w:uiPriority w:val="99"/>
    <w:qFormat/>
    <w:rPr>
      <w:color w:val="000000"/>
      <w:u w:val="none"/>
    </w:rPr>
  </w:style>
  <w:style w:type="character" w:styleId="822">
    <w:name w:val="annotation reference"/>
    <w:uiPriority w:val="0"/>
    <w:unhideWhenUsed/>
    <w:qFormat/>
    <w:rPr>
      <w:sz w:val="21"/>
      <w:szCs w:val="21"/>
    </w:rPr>
  </w:style>
  <w:style w:type="character" w:styleId="823">
    <w:name w:val="footnote reference"/>
    <w:uiPriority w:val="99"/>
    <w:unhideWhenUsed/>
    <w:qFormat/>
    <w:rPr>
      <w:vertAlign w:val="superscript"/>
    </w:rPr>
  </w:style>
  <w:style w:type="paragraph" w:styleId="824" w:customStyle="1">
    <w:name w:val="正文文本1"/>
    <w:basedOn w:val="768"/>
    <w:next w:val="825"/>
    <w:uiPriority w:val="0"/>
    <w:qFormat/>
    <w:rPr>
      <w:rFonts w:ascii="华文中宋" w:eastAsia="华文中宋"/>
      <w:bCs/>
      <w:sz w:val="28"/>
    </w:rPr>
  </w:style>
  <w:style w:type="paragraph" w:styleId="825" w:customStyle="1">
    <w:name w:val="列表项目符号 51"/>
    <w:basedOn w:val="768"/>
    <w:uiPriority w:val="0"/>
    <w:qFormat/>
    <w:pPr>
      <w:ind w:left="2040" w:hanging="360"/>
      <w:spacing w:line="360" w:lineRule="exact"/>
      <w:widowControl/>
      <w:tabs>
        <w:tab w:val="left" w:pos="2040" w:leader="none"/>
      </w:tabs>
    </w:pPr>
    <w:rPr>
      <w:rFonts w:eastAsia="楷体_GB2312"/>
      <w:sz w:val="24"/>
    </w:rPr>
  </w:style>
  <w:style w:type="table" w:styleId="826" w:customStyle="1">
    <w:name w:val="无格式表格 11"/>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7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7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7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网格表 3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网格表 5 深色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网格表 6 彩色1"/>
    <w:basedOn w:val="7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网格表 7 彩色1"/>
    <w:basedOn w:val="7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清单表 1 浅色1"/>
    <w:basedOn w:val="77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清单表 21"/>
    <w:basedOn w:val="7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清单表 3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4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5 深色1"/>
    <w:basedOn w:val="7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清单表 6 彩色1"/>
    <w:basedOn w:val="77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清单表 7 彩色1"/>
    <w:basedOn w:val="77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5" w:customStyle="1">
    <w:name w:val="TOC 标题1"/>
    <w:uiPriority w:val="39"/>
    <w:unhideWhenUsed/>
    <w:qFormat/>
    <w:rPr>
      <w:rFonts w:ascii="Times New Roman" w:hAnsi="Times New Roman" w:eastAsia="宋体" w:cs="Times New Roman"/>
      <w:lang w:val="en-US" w:eastAsia="zh-CN" w:bidi="ar-SA"/>
    </w:rPr>
  </w:style>
  <w:style w:type="paragraph" w:styleId="846" w:customStyle="1">
    <w:name w:val="列表1"/>
    <w:basedOn w:val="768"/>
    <w:uiPriority w:val="0"/>
    <w:qFormat/>
    <w:pPr>
      <w:numPr>
        <w:ilvl w:val="0"/>
        <w:numId w:val="2"/>
      </w:numPr>
      <w:spacing w:after="20" w:line="288" w:lineRule="auto"/>
    </w:pPr>
    <w:rPr>
      <w:lang w:val="en-GB"/>
    </w:rPr>
  </w:style>
  <w:style w:type="paragraph" w:styleId="847" w:customStyle="1">
    <w:name w:val="正文缩进11"/>
    <w:basedOn w:val="768"/>
    <w:uiPriority w:val="0"/>
    <w:qFormat/>
    <w:pPr>
      <w:ind w:firstLine="420"/>
      <w:jc w:val="left"/>
      <w:widowControl/>
    </w:pPr>
    <w:rPr>
      <w:sz w:val="20"/>
    </w:rPr>
  </w:style>
  <w:style w:type="paragraph" w:styleId="848" w:customStyle="1">
    <w:name w:val="_Style 1"/>
    <w:uiPriority w:val="0"/>
    <w:qFormat/>
    <w:pPr>
      <w:ind w:firstLine="420"/>
      <w:jc w:val="both"/>
      <w:spacing w:line="360" w:lineRule="auto"/>
      <w:widowControl w:val="off"/>
    </w:pPr>
    <w:rPr>
      <w:rFonts w:ascii="Times New Roman" w:hAnsi="Times New Roman" w:eastAsia="宋体" w:cs="Times New Roman"/>
      <w:sz w:val="24"/>
      <w:szCs w:val="24"/>
      <w:lang w:val="en-US" w:eastAsia="zh-CN" w:bidi="ar-SA"/>
    </w:rPr>
  </w:style>
  <w:style w:type="character" w:styleId="849" w:customStyle="1">
    <w:name w:val="Title Char"/>
    <w:basedOn w:val="778"/>
    <w:uiPriority w:val="10"/>
    <w:qFormat/>
    <w:rPr>
      <w:sz w:val="48"/>
      <w:szCs w:val="48"/>
    </w:rPr>
  </w:style>
  <w:style w:type="character" w:styleId="850" w:customStyle="1">
    <w:name w:val="Subtitle Char"/>
    <w:basedOn w:val="778"/>
    <w:uiPriority w:val="11"/>
    <w:qFormat/>
    <w:rPr>
      <w:sz w:val="24"/>
      <w:szCs w:val="24"/>
    </w:rPr>
  </w:style>
  <w:style w:type="character" w:styleId="851" w:customStyle="1">
    <w:name w:val="Quote Char"/>
    <w:uiPriority w:val="29"/>
    <w:qFormat/>
    <w:rPr>
      <w:i/>
    </w:rPr>
  </w:style>
  <w:style w:type="character" w:styleId="852" w:customStyle="1">
    <w:name w:val="Intense Quote Char"/>
    <w:uiPriority w:val="30"/>
    <w:qFormat/>
    <w:rPr>
      <w:i/>
    </w:rPr>
  </w:style>
  <w:style w:type="character" w:styleId="853" w:customStyle="1">
    <w:name w:val="Endnote Text Char"/>
    <w:uiPriority w:val="99"/>
    <w:qFormat/>
    <w:rPr>
      <w:sz w:val="20"/>
    </w:rPr>
  </w:style>
  <w:style w:type="paragraph" w:styleId="854" w:customStyle="1">
    <w:name w:val="TOC 标题111"/>
    <w:uiPriority w:val="39"/>
    <w:unhideWhenUsed/>
    <w:qFormat/>
    <w:rPr>
      <w:rFonts w:ascii="Times New Roman" w:hAnsi="Times New Roman" w:eastAsia="宋体" w:cs="Times New Roman"/>
      <w:lang w:val="en-US" w:eastAsia="zh-CN" w:bidi="ar-SA"/>
    </w:rPr>
  </w:style>
  <w:style w:type="paragraph" w:styleId="855" w:customStyle="1">
    <w:name w:val="标题 11"/>
    <w:basedOn w:val="768"/>
    <w:next w:val="768"/>
    <w:link w:val="856"/>
    <w:uiPriority w:val="9"/>
    <w:qFormat/>
    <w:pPr>
      <w:keepLines/>
      <w:keepNext/>
      <w:spacing w:before="480" w:after="200"/>
      <w:outlineLvl w:val="0"/>
    </w:pPr>
    <w:rPr>
      <w:rFonts w:ascii="Arial" w:hAnsi="Arial" w:eastAsia="Arial" w:cs="Arial"/>
      <w:sz w:val="40"/>
      <w:szCs w:val="40"/>
    </w:rPr>
  </w:style>
  <w:style w:type="character" w:styleId="856" w:customStyle="1">
    <w:name w:val="Heading 1 Char"/>
    <w:link w:val="855"/>
    <w:uiPriority w:val="9"/>
    <w:qFormat/>
    <w:rPr>
      <w:rFonts w:ascii="Arial" w:hAnsi="Arial" w:eastAsia="Arial" w:cs="Arial"/>
      <w:sz w:val="40"/>
      <w:szCs w:val="40"/>
    </w:rPr>
  </w:style>
  <w:style w:type="paragraph" w:styleId="857" w:customStyle="1">
    <w:name w:val="标题 21"/>
    <w:basedOn w:val="768"/>
    <w:next w:val="768"/>
    <w:link w:val="858"/>
    <w:uiPriority w:val="9"/>
    <w:unhideWhenUsed/>
    <w:qFormat/>
    <w:pPr>
      <w:keepLines/>
      <w:keepNext/>
      <w:spacing w:before="360" w:after="200"/>
      <w:outlineLvl w:val="1"/>
    </w:pPr>
    <w:rPr>
      <w:rFonts w:ascii="Arial" w:hAnsi="Arial" w:eastAsia="Arial" w:cs="Arial"/>
      <w:sz w:val="34"/>
    </w:rPr>
  </w:style>
  <w:style w:type="character" w:styleId="858" w:customStyle="1">
    <w:name w:val="Heading 2 Char"/>
    <w:link w:val="857"/>
    <w:uiPriority w:val="9"/>
    <w:qFormat/>
    <w:rPr>
      <w:rFonts w:ascii="Arial" w:hAnsi="Arial" w:eastAsia="Arial" w:cs="Arial"/>
      <w:sz w:val="34"/>
    </w:rPr>
  </w:style>
  <w:style w:type="paragraph" w:styleId="859" w:customStyle="1">
    <w:name w:val="标题 31"/>
    <w:basedOn w:val="768"/>
    <w:next w:val="768"/>
    <w:link w:val="860"/>
    <w:uiPriority w:val="9"/>
    <w:unhideWhenUsed/>
    <w:qFormat/>
    <w:pPr>
      <w:keepLines/>
      <w:keepNext/>
      <w:spacing w:before="320" w:after="200"/>
      <w:outlineLvl w:val="2"/>
    </w:pPr>
    <w:rPr>
      <w:rFonts w:ascii="Arial" w:hAnsi="Arial" w:eastAsia="Arial" w:cs="Arial"/>
      <w:sz w:val="30"/>
      <w:szCs w:val="30"/>
    </w:rPr>
  </w:style>
  <w:style w:type="character" w:styleId="860" w:customStyle="1">
    <w:name w:val="Heading 3 Char"/>
    <w:link w:val="859"/>
    <w:uiPriority w:val="9"/>
    <w:qFormat/>
    <w:rPr>
      <w:rFonts w:ascii="Arial" w:hAnsi="Arial" w:eastAsia="Arial" w:cs="Arial"/>
      <w:sz w:val="30"/>
      <w:szCs w:val="30"/>
    </w:rPr>
  </w:style>
  <w:style w:type="paragraph" w:styleId="861" w:customStyle="1">
    <w:name w:val="标题 41"/>
    <w:basedOn w:val="768"/>
    <w:next w:val="768"/>
    <w:link w:val="862"/>
    <w:uiPriority w:val="9"/>
    <w:unhideWhenUsed/>
    <w:qFormat/>
    <w:pPr>
      <w:keepLines/>
      <w:keepNext/>
      <w:spacing w:before="320" w:after="200"/>
      <w:outlineLvl w:val="3"/>
    </w:pPr>
    <w:rPr>
      <w:rFonts w:ascii="Arial" w:hAnsi="Arial" w:eastAsia="Arial" w:cs="Arial"/>
      <w:b/>
      <w:bCs/>
      <w:sz w:val="26"/>
      <w:szCs w:val="26"/>
    </w:rPr>
  </w:style>
  <w:style w:type="character" w:styleId="862" w:customStyle="1">
    <w:name w:val="Heading 4 Char"/>
    <w:link w:val="861"/>
    <w:uiPriority w:val="9"/>
    <w:qFormat/>
    <w:rPr>
      <w:rFonts w:ascii="Arial" w:hAnsi="Arial" w:eastAsia="Arial" w:cs="Arial"/>
      <w:b/>
      <w:bCs/>
      <w:sz w:val="26"/>
      <w:szCs w:val="26"/>
    </w:rPr>
  </w:style>
  <w:style w:type="paragraph" w:styleId="863" w:customStyle="1">
    <w:name w:val="标题 51"/>
    <w:basedOn w:val="768"/>
    <w:next w:val="768"/>
    <w:link w:val="864"/>
    <w:uiPriority w:val="9"/>
    <w:unhideWhenUsed/>
    <w:qFormat/>
    <w:pPr>
      <w:keepLines/>
      <w:keepNext/>
      <w:spacing w:before="320" w:after="200"/>
      <w:outlineLvl w:val="4"/>
    </w:pPr>
    <w:rPr>
      <w:rFonts w:ascii="Arial" w:hAnsi="Arial" w:eastAsia="Arial" w:cs="Arial"/>
      <w:b/>
      <w:bCs/>
      <w:sz w:val="24"/>
      <w:szCs w:val="24"/>
    </w:rPr>
  </w:style>
  <w:style w:type="character" w:styleId="864" w:customStyle="1">
    <w:name w:val="Heading 5 Char"/>
    <w:link w:val="863"/>
    <w:uiPriority w:val="9"/>
    <w:qFormat/>
    <w:rPr>
      <w:rFonts w:ascii="Arial" w:hAnsi="Arial" w:eastAsia="Arial" w:cs="Arial"/>
      <w:b/>
      <w:bCs/>
      <w:sz w:val="24"/>
      <w:szCs w:val="24"/>
    </w:rPr>
  </w:style>
  <w:style w:type="paragraph" w:styleId="865" w:customStyle="1">
    <w:name w:val="标题 61"/>
    <w:basedOn w:val="768"/>
    <w:next w:val="768"/>
    <w:link w:val="866"/>
    <w:uiPriority w:val="9"/>
    <w:unhideWhenUsed/>
    <w:qFormat/>
    <w:pPr>
      <w:keepLines/>
      <w:keepNext/>
      <w:spacing w:before="320" w:after="200"/>
      <w:outlineLvl w:val="5"/>
    </w:pPr>
    <w:rPr>
      <w:rFonts w:ascii="Arial" w:hAnsi="Arial" w:eastAsia="Arial" w:cs="Arial"/>
      <w:b/>
      <w:bCs/>
      <w:sz w:val="22"/>
      <w:szCs w:val="22"/>
    </w:rPr>
  </w:style>
  <w:style w:type="character" w:styleId="866" w:customStyle="1">
    <w:name w:val="Heading 6 Char"/>
    <w:link w:val="865"/>
    <w:uiPriority w:val="9"/>
    <w:qFormat/>
    <w:rPr>
      <w:rFonts w:ascii="Arial" w:hAnsi="Arial" w:eastAsia="Arial" w:cs="Arial"/>
      <w:b/>
      <w:bCs/>
      <w:sz w:val="22"/>
      <w:szCs w:val="22"/>
    </w:rPr>
  </w:style>
  <w:style w:type="paragraph" w:styleId="867" w:customStyle="1">
    <w:name w:val="标题 71"/>
    <w:basedOn w:val="768"/>
    <w:next w:val="768"/>
    <w:link w:val="868"/>
    <w:uiPriority w:val="9"/>
    <w:unhideWhenUsed/>
    <w:qFormat/>
    <w:pPr>
      <w:keepLines/>
      <w:keepNext/>
      <w:spacing w:before="320" w:after="200"/>
      <w:outlineLvl w:val="6"/>
    </w:pPr>
    <w:rPr>
      <w:rFonts w:ascii="Arial" w:hAnsi="Arial" w:eastAsia="Arial" w:cs="Arial"/>
      <w:b/>
      <w:bCs/>
      <w:i/>
      <w:iCs/>
      <w:sz w:val="22"/>
      <w:szCs w:val="22"/>
    </w:rPr>
  </w:style>
  <w:style w:type="character" w:styleId="868" w:customStyle="1">
    <w:name w:val="Heading 7 Char"/>
    <w:link w:val="867"/>
    <w:uiPriority w:val="9"/>
    <w:qFormat/>
    <w:rPr>
      <w:rFonts w:ascii="Arial" w:hAnsi="Arial" w:eastAsia="Arial" w:cs="Arial"/>
      <w:b/>
      <w:bCs/>
      <w:i/>
      <w:iCs/>
      <w:sz w:val="22"/>
      <w:szCs w:val="22"/>
    </w:rPr>
  </w:style>
  <w:style w:type="paragraph" w:styleId="869" w:customStyle="1">
    <w:name w:val="标题 81"/>
    <w:basedOn w:val="768"/>
    <w:next w:val="768"/>
    <w:link w:val="870"/>
    <w:uiPriority w:val="9"/>
    <w:unhideWhenUsed/>
    <w:qFormat/>
    <w:pPr>
      <w:keepLines/>
      <w:keepNext/>
      <w:spacing w:before="320" w:after="200"/>
      <w:outlineLvl w:val="7"/>
    </w:pPr>
    <w:rPr>
      <w:rFonts w:ascii="Arial" w:hAnsi="Arial" w:eastAsia="Arial" w:cs="Arial"/>
      <w:i/>
      <w:iCs/>
      <w:sz w:val="22"/>
      <w:szCs w:val="22"/>
    </w:rPr>
  </w:style>
  <w:style w:type="character" w:styleId="870" w:customStyle="1">
    <w:name w:val="Heading 8 Char"/>
    <w:link w:val="869"/>
    <w:uiPriority w:val="9"/>
    <w:qFormat/>
    <w:rPr>
      <w:rFonts w:ascii="Arial" w:hAnsi="Arial" w:eastAsia="Arial" w:cs="Arial"/>
      <w:i/>
      <w:iCs/>
      <w:sz w:val="22"/>
      <w:szCs w:val="22"/>
    </w:rPr>
  </w:style>
  <w:style w:type="paragraph" w:styleId="871" w:customStyle="1">
    <w:name w:val="标题 91"/>
    <w:basedOn w:val="768"/>
    <w:next w:val="768"/>
    <w:link w:val="872"/>
    <w:uiPriority w:val="9"/>
    <w:unhideWhenUsed/>
    <w:qFormat/>
    <w:pPr>
      <w:keepLines/>
      <w:keepNext/>
      <w:spacing w:before="320" w:after="200"/>
      <w:outlineLvl w:val="8"/>
    </w:pPr>
    <w:rPr>
      <w:rFonts w:ascii="Arial" w:hAnsi="Arial" w:eastAsia="Arial" w:cs="Arial"/>
      <w:i/>
      <w:iCs/>
      <w:szCs w:val="21"/>
    </w:rPr>
  </w:style>
  <w:style w:type="character" w:styleId="872" w:customStyle="1">
    <w:name w:val="Heading 9 Char"/>
    <w:link w:val="871"/>
    <w:uiPriority w:val="9"/>
    <w:qFormat/>
    <w:rPr>
      <w:rFonts w:ascii="Arial" w:hAnsi="Arial" w:eastAsia="Arial" w:cs="Arial"/>
      <w:i/>
      <w:iCs/>
      <w:sz w:val="21"/>
      <w:szCs w:val="21"/>
    </w:rPr>
  </w:style>
  <w:style w:type="paragraph" w:styleId="873">
    <w:name w:val="No Spacing"/>
    <w:uiPriority w:val="1"/>
    <w:qFormat/>
    <w:rPr>
      <w:rFonts w:ascii="Times New Roman" w:hAnsi="Times New Roman" w:eastAsia="宋体" w:cs="Times New Roman"/>
      <w:lang w:val="en-US" w:eastAsia="zh-CN" w:bidi="ar-SA"/>
    </w:rPr>
  </w:style>
  <w:style w:type="character" w:styleId="874" w:customStyle="1">
    <w:name w:val="标题 字符"/>
    <w:link w:val="811"/>
    <w:uiPriority w:val="10"/>
    <w:qFormat/>
    <w:rPr>
      <w:sz w:val="48"/>
      <w:szCs w:val="48"/>
    </w:rPr>
  </w:style>
  <w:style w:type="character" w:styleId="875" w:customStyle="1">
    <w:name w:val="副标题 字符"/>
    <w:link w:val="801"/>
    <w:uiPriority w:val="11"/>
    <w:qFormat/>
    <w:rPr>
      <w:sz w:val="24"/>
      <w:szCs w:val="24"/>
    </w:rPr>
  </w:style>
  <w:style w:type="paragraph" w:styleId="876">
    <w:name w:val="Quote"/>
    <w:basedOn w:val="768"/>
    <w:next w:val="768"/>
    <w:link w:val="877"/>
    <w:uiPriority w:val="29"/>
    <w:qFormat/>
    <w:pPr>
      <w:ind w:left="720" w:right="720"/>
    </w:pPr>
    <w:rPr>
      <w:i/>
    </w:rPr>
  </w:style>
  <w:style w:type="character" w:styleId="877" w:customStyle="1">
    <w:name w:val="引用 字符"/>
    <w:link w:val="876"/>
    <w:uiPriority w:val="29"/>
    <w:qFormat/>
    <w:rPr>
      <w:i/>
    </w:rPr>
  </w:style>
  <w:style w:type="paragraph" w:styleId="878">
    <w:name w:val="Intense Quote"/>
    <w:basedOn w:val="768"/>
    <w:next w:val="768"/>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字符"/>
    <w:link w:val="878"/>
    <w:uiPriority w:val="30"/>
    <w:qFormat/>
    <w:rPr>
      <w:i/>
    </w:rPr>
  </w:style>
  <w:style w:type="paragraph" w:styleId="880" w:customStyle="1">
    <w:name w:val="页眉1"/>
    <w:basedOn w:val="768"/>
    <w:link w:val="881"/>
    <w:uiPriority w:val="99"/>
    <w:unhideWhenUsed/>
    <w:qFormat/>
    <w:pPr>
      <w:tabs>
        <w:tab w:val="center" w:pos="7143" w:leader="none"/>
        <w:tab w:val="right" w:pos="14287" w:leader="none"/>
      </w:tabs>
    </w:pPr>
  </w:style>
  <w:style w:type="character" w:styleId="881" w:customStyle="1">
    <w:name w:val="Header Char"/>
    <w:link w:val="880"/>
    <w:uiPriority w:val="99"/>
    <w:qFormat/>
  </w:style>
  <w:style w:type="paragraph" w:styleId="882" w:customStyle="1">
    <w:name w:val="页脚1"/>
    <w:basedOn w:val="768"/>
    <w:link w:val="885"/>
    <w:uiPriority w:val="99"/>
    <w:unhideWhenUsed/>
    <w:qFormat/>
    <w:pPr>
      <w:tabs>
        <w:tab w:val="center" w:pos="7143" w:leader="none"/>
        <w:tab w:val="right" w:pos="14287" w:leader="none"/>
      </w:tabs>
    </w:pPr>
  </w:style>
  <w:style w:type="character" w:styleId="883" w:customStyle="1">
    <w:name w:val="Footer Char"/>
    <w:uiPriority w:val="99"/>
    <w:qFormat/>
  </w:style>
  <w:style w:type="paragraph" w:styleId="884" w:customStyle="1">
    <w:name w:val="题注1"/>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85" w:customStyle="1">
    <w:name w:val="Caption Char"/>
    <w:link w:val="882"/>
    <w:uiPriority w:val="99"/>
    <w:qFormat/>
  </w:style>
  <w:style w:type="table" w:styleId="8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uiPriority w:val="99"/>
    <w:qFormat/>
    <w:rPr>
      <w:sz w:val="18"/>
    </w:rPr>
  </w:style>
  <w:style w:type="character" w:styleId="993" w:customStyle="1">
    <w:name w:val="尾注文本 字符"/>
    <w:link w:val="795"/>
    <w:uiPriority w:val="99"/>
    <w:qFormat/>
    <w:rPr>
      <w:sz w:val="20"/>
    </w:rPr>
  </w:style>
  <w:style w:type="paragraph" w:styleId="994" w:customStyle="1">
    <w:name w:val="TOC 标题11"/>
    <w:uiPriority w:val="39"/>
    <w:unhideWhenUsed/>
    <w:qFormat/>
    <w:rPr>
      <w:rFonts w:ascii="Times New Roman" w:hAnsi="Times New Roman" w:eastAsia="宋体" w:cs="Times New Roman"/>
      <w:lang w:val="en-US" w:eastAsia="zh-CN" w:bidi="ar-SA"/>
    </w:rPr>
  </w:style>
  <w:style w:type="character" w:styleId="995" w:customStyle="1">
    <w:name w:val="标题 1 字符"/>
    <w:link w:val="769"/>
    <w:uiPriority w:val="99"/>
    <w:qFormat/>
    <w:rPr>
      <w:rFonts w:ascii="楷体_GB2312" w:hAnsi="Times New Roman" w:eastAsia="楷体_GB2312" w:cs="Times New Roman"/>
      <w:b/>
      <w:sz w:val="28"/>
      <w:szCs w:val="20"/>
    </w:rPr>
  </w:style>
  <w:style w:type="character" w:styleId="996" w:customStyle="1">
    <w:name w:val="标题 2 字符"/>
    <w:link w:val="770"/>
    <w:uiPriority w:val="99"/>
    <w:qFormat/>
    <w:rPr>
      <w:rFonts w:ascii="楷体_GB2312" w:hAnsi="Times New Roman" w:eastAsia="楷体_GB2312" w:cs="Times New Roman"/>
      <w:b/>
      <w:bCs/>
      <w:sz w:val="18"/>
      <w:szCs w:val="20"/>
    </w:rPr>
  </w:style>
  <w:style w:type="character" w:styleId="997" w:customStyle="1">
    <w:name w:val="标题 3 字符"/>
    <w:link w:val="771"/>
    <w:uiPriority w:val="99"/>
    <w:qFormat/>
    <w:rPr>
      <w:rFonts w:ascii="Times New Roman" w:hAnsi="Times New Roman" w:eastAsia="楷体_GB2312" w:cs="Times New Roman"/>
      <w:b/>
      <w:bCs/>
      <w:sz w:val="15"/>
      <w:szCs w:val="20"/>
    </w:rPr>
  </w:style>
  <w:style w:type="character" w:styleId="998" w:customStyle="1">
    <w:name w:val="标题 4 字符"/>
    <w:link w:val="772"/>
    <w:uiPriority w:val="99"/>
    <w:qFormat/>
    <w:rPr>
      <w:rFonts w:ascii="Times New Roman" w:hAnsi="Times New Roman" w:eastAsia="楷体_GB2312" w:cs="Times New Roman"/>
      <w:b/>
      <w:bCs/>
      <w:sz w:val="13"/>
      <w:szCs w:val="20"/>
    </w:rPr>
  </w:style>
  <w:style w:type="character" w:styleId="999" w:customStyle="1">
    <w:name w:val="标题 5 字符"/>
    <w:link w:val="773"/>
    <w:uiPriority w:val="99"/>
    <w:qFormat/>
    <w:rPr>
      <w:rFonts w:ascii="楷体_GB2312" w:hAnsi="Times New Roman" w:eastAsia="楷体_GB2312" w:cs="Times New Roman"/>
      <w:bCs/>
      <w:sz w:val="28"/>
      <w:szCs w:val="20"/>
    </w:rPr>
  </w:style>
  <w:style w:type="character" w:styleId="1000" w:customStyle="1">
    <w:name w:val="正文缩进 字符"/>
    <w:link w:val="782"/>
    <w:uiPriority w:val="0"/>
    <w:qFormat/>
    <w:rPr>
      <w:rFonts w:ascii="Times New Roman" w:hAnsi="Times New Roman"/>
      <w:sz w:val="21"/>
      <w:szCs w:val="24"/>
    </w:rPr>
  </w:style>
  <w:style w:type="character" w:styleId="1001" w:customStyle="1">
    <w:name w:val="文档结构图 字符"/>
    <w:link w:val="785"/>
    <w:uiPriority w:val="99"/>
    <w:semiHidden/>
    <w:qFormat/>
    <w:rPr>
      <w:rFonts w:ascii="Times New Roman" w:hAnsi="Times New Roman" w:eastAsia="宋体" w:cs="Times New Roman"/>
      <w:szCs w:val="20"/>
      <w:shd w:val="clear" w:color="auto" w:fill="000080"/>
    </w:rPr>
  </w:style>
  <w:style w:type="character" w:styleId="1002" w:customStyle="1">
    <w:name w:val="批注文字 字符"/>
    <w:link w:val="786"/>
    <w:uiPriority w:val="0"/>
    <w:semiHidden/>
    <w:qFormat/>
    <w:rPr>
      <w:rFonts w:ascii="Times New Roman" w:hAnsi="Times New Roman" w:eastAsia="宋体" w:cs="Times New Roman"/>
      <w:szCs w:val="24"/>
    </w:rPr>
  </w:style>
  <w:style w:type="character" w:styleId="1003" w:customStyle="1">
    <w:name w:val="正文文本 字符"/>
    <w:link w:val="780"/>
    <w:uiPriority w:val="99"/>
    <w:qFormat/>
    <w:rPr>
      <w:rFonts w:ascii="华文中宋" w:hAnsi="Times New Roman" w:eastAsia="华文中宋" w:cs="Times New Roman"/>
      <w:bCs/>
      <w:sz w:val="28"/>
      <w:szCs w:val="20"/>
    </w:rPr>
  </w:style>
  <w:style w:type="character" w:styleId="1004" w:customStyle="1">
    <w:name w:val="正文文本缩进 字符"/>
    <w:link w:val="787"/>
    <w:uiPriority w:val="0"/>
    <w:qFormat/>
    <w:rPr>
      <w:rFonts w:ascii="Times New Roman" w:hAnsi="Times New Roman" w:eastAsia="宋体" w:cs="Times New Roman"/>
      <w:b/>
      <w:sz w:val="30"/>
      <w:szCs w:val="20"/>
    </w:rPr>
  </w:style>
  <w:style w:type="character" w:styleId="1005" w:customStyle="1">
    <w:name w:val="纯文本 字符"/>
    <w:link w:val="791"/>
    <w:uiPriority w:val="0"/>
    <w:qFormat/>
    <w:rPr>
      <w:rFonts w:ascii="宋体" w:hAnsi="Courier New"/>
      <w:sz w:val="21"/>
      <w:szCs w:val="21"/>
    </w:rPr>
  </w:style>
  <w:style w:type="character" w:styleId="1006" w:customStyle="1">
    <w:name w:val="日期 字符"/>
    <w:link w:val="793"/>
    <w:uiPriority w:val="99"/>
    <w:qFormat/>
    <w:rPr>
      <w:rFonts w:ascii="Times New Roman" w:hAnsi="Times New Roman" w:eastAsia="黑体" w:cs="Times New Roman"/>
      <w:b/>
      <w:sz w:val="36"/>
      <w:szCs w:val="20"/>
    </w:rPr>
  </w:style>
  <w:style w:type="character" w:styleId="1007" w:customStyle="1">
    <w:name w:val="正文文本缩进 2 字符"/>
    <w:link w:val="794"/>
    <w:uiPriority w:val="99"/>
    <w:qFormat/>
    <w:rPr>
      <w:rFonts w:ascii="楷体_GB2312" w:hAnsi="Times New Roman" w:eastAsia="楷体_GB2312" w:cs="Times New Roman"/>
      <w:b/>
      <w:sz w:val="28"/>
      <w:szCs w:val="20"/>
    </w:rPr>
  </w:style>
  <w:style w:type="character" w:styleId="1008" w:customStyle="1">
    <w:name w:val="批注框文本 字符"/>
    <w:link w:val="796"/>
    <w:uiPriority w:val="99"/>
    <w:semiHidden/>
    <w:qFormat/>
    <w:rPr>
      <w:rFonts w:ascii="Times New Roman" w:hAnsi="Times New Roman" w:eastAsia="宋体" w:cs="Times New Roman"/>
      <w:sz w:val="18"/>
      <w:szCs w:val="18"/>
    </w:rPr>
  </w:style>
  <w:style w:type="character" w:styleId="1009" w:customStyle="1">
    <w:name w:val="页脚 字符"/>
    <w:link w:val="797"/>
    <w:uiPriority w:val="99"/>
    <w:qFormat/>
    <w:rPr>
      <w:sz w:val="18"/>
      <w:szCs w:val="18"/>
    </w:rPr>
  </w:style>
  <w:style w:type="character" w:styleId="1010" w:customStyle="1">
    <w:name w:val="页眉 字符"/>
    <w:link w:val="798"/>
    <w:uiPriority w:val="0"/>
    <w:qFormat/>
    <w:rPr>
      <w:sz w:val="18"/>
      <w:szCs w:val="18"/>
    </w:rPr>
  </w:style>
  <w:style w:type="character" w:styleId="1011" w:customStyle="1">
    <w:name w:val="脚注文本 字符"/>
    <w:link w:val="803"/>
    <w:uiPriority w:val="0"/>
    <w:qFormat/>
    <w:rPr>
      <w:rFonts w:ascii="Times New Roman" w:hAnsi="Times New Roman"/>
      <w:sz w:val="18"/>
    </w:rPr>
  </w:style>
  <w:style w:type="character" w:styleId="1012" w:customStyle="1">
    <w:name w:val="正文文本缩进 3 字符"/>
    <w:link w:val="805"/>
    <w:uiPriority w:val="99"/>
    <w:qFormat/>
    <w:rPr>
      <w:rFonts w:ascii="Times New Roman" w:hAnsi="Times New Roman" w:eastAsia="宋体" w:cs="Times New Roman"/>
      <w:szCs w:val="20"/>
    </w:rPr>
  </w:style>
  <w:style w:type="character" w:styleId="1013" w:customStyle="1">
    <w:name w:val="正文文本 2 字符"/>
    <w:link w:val="809"/>
    <w:uiPriority w:val="99"/>
    <w:qFormat/>
    <w:rPr>
      <w:rFonts w:ascii="Times New Roman" w:hAnsi="Times New Roman" w:eastAsia="宋体" w:cs="Times New Roman"/>
      <w:szCs w:val="20"/>
    </w:rPr>
  </w:style>
  <w:style w:type="character" w:styleId="1014" w:customStyle="1">
    <w:name w:val="普通(网站) 字符"/>
    <w:link w:val="810"/>
    <w:uiPriority w:val="0"/>
    <w:qFormat/>
    <w:rPr>
      <w:rFonts w:ascii="宋体" w:hAnsi="宋体"/>
      <w:sz w:val="24"/>
      <w:szCs w:val="24"/>
    </w:rPr>
  </w:style>
  <w:style w:type="character" w:styleId="1015" w:customStyle="1">
    <w:name w:val="批注主题 字符"/>
    <w:link w:val="812"/>
    <w:uiPriority w:val="0"/>
    <w:semiHidden/>
    <w:qFormat/>
    <w:rPr>
      <w:rFonts w:ascii="Times New Roman" w:hAnsi="Times New Roman" w:eastAsia="宋体" w:cs="Times New Roman"/>
      <w:b/>
      <w:bCs/>
      <w:szCs w:val="24"/>
    </w:rPr>
  </w:style>
  <w:style w:type="character" w:styleId="1016" w:customStyle="1">
    <w:name w:val="正文文本首行缩进 字符"/>
    <w:link w:val="813"/>
    <w:uiPriority w:val="99"/>
    <w:semiHidden/>
    <w:qFormat/>
    <w:rPr>
      <w:rFonts w:ascii="Times New Roman" w:hAnsi="Times New Roman" w:eastAsia="华文中宋" w:cs="Times New Roman"/>
      <w:sz w:val="21"/>
      <w:szCs w:val="20"/>
    </w:rPr>
  </w:style>
  <w:style w:type="character" w:styleId="1017" w:customStyle="1">
    <w:name w:val="批注框文本 Char1"/>
    <w:uiPriority w:val="99"/>
    <w:semiHidden/>
    <w:qFormat/>
    <w:rPr>
      <w:rFonts w:ascii="Times New Roman" w:hAnsi="Times New Roman" w:eastAsia="宋体" w:cs="Times New Roman"/>
      <w:sz w:val="18"/>
      <w:szCs w:val="18"/>
    </w:rPr>
  </w:style>
  <w:style w:type="character" w:styleId="1018" w:customStyle="1">
    <w:name w:val="正文文本 2 Char1"/>
    <w:uiPriority w:val="99"/>
    <w:semiHidden/>
    <w:qFormat/>
    <w:rPr>
      <w:rFonts w:ascii="Times New Roman" w:hAnsi="Times New Roman" w:eastAsia="宋体" w:cs="Times New Roman"/>
      <w:szCs w:val="20"/>
    </w:rPr>
  </w:style>
  <w:style w:type="character" w:styleId="1019" w:customStyle="1">
    <w:name w:val="文档结构图 Char1"/>
    <w:uiPriority w:val="99"/>
    <w:semiHidden/>
    <w:qFormat/>
    <w:rPr>
      <w:rFonts w:ascii="宋体" w:hAnsi="Times New Roman" w:eastAsia="宋体" w:cs="Times New Roman"/>
      <w:sz w:val="18"/>
      <w:szCs w:val="18"/>
    </w:rPr>
  </w:style>
  <w:style w:type="character" w:styleId="1020" w:customStyle="1">
    <w:name w:val="正文文本缩进 Char1"/>
    <w:uiPriority w:val="99"/>
    <w:semiHidden/>
    <w:qFormat/>
    <w:rPr>
      <w:rFonts w:ascii="Times New Roman" w:hAnsi="Times New Roman" w:eastAsia="宋体" w:cs="Times New Roman"/>
      <w:szCs w:val="20"/>
    </w:rPr>
  </w:style>
  <w:style w:type="character" w:styleId="1021" w:customStyle="1">
    <w:name w:val="15"/>
    <w:uiPriority w:val="0"/>
    <w:qFormat/>
    <w:rPr>
      <w:rFonts w:ascii="Times New Roman" w:hAnsi="Times New Roman" w:cs="Times New Roman"/>
    </w:rPr>
  </w:style>
  <w:style w:type="character" w:styleId="1022" w:customStyle="1">
    <w:name w:val="正文文本缩进 2 Char1"/>
    <w:uiPriority w:val="99"/>
    <w:semiHidden/>
    <w:qFormat/>
    <w:rPr>
      <w:rFonts w:ascii="Times New Roman" w:hAnsi="Times New Roman" w:eastAsia="宋体" w:cs="Times New Roman"/>
      <w:szCs w:val="20"/>
    </w:rPr>
  </w:style>
  <w:style w:type="character" w:styleId="1023" w:customStyle="1">
    <w:name w:val="日期 Char1"/>
    <w:uiPriority w:val="99"/>
    <w:semiHidden/>
    <w:qFormat/>
    <w:rPr>
      <w:rFonts w:ascii="Times New Roman" w:hAnsi="Times New Roman" w:eastAsia="宋体" w:cs="Times New Roman"/>
      <w:szCs w:val="20"/>
    </w:rPr>
  </w:style>
  <w:style w:type="character" w:styleId="1024" w:customStyle="1">
    <w:name w:val="正文文本缩进 3 Char1"/>
    <w:uiPriority w:val="99"/>
    <w:semiHidden/>
    <w:qFormat/>
    <w:rPr>
      <w:rFonts w:ascii="Times New Roman" w:hAnsi="Times New Roman" w:eastAsia="宋体" w:cs="Times New Roman"/>
      <w:sz w:val="16"/>
      <w:szCs w:val="16"/>
    </w:rPr>
  </w:style>
  <w:style w:type="paragraph" w:styleId="1025">
    <w:name w:val="List Paragraph"/>
    <w:basedOn w:val="768"/>
    <w:uiPriority w:val="0"/>
    <w:qFormat/>
    <w:pPr>
      <w:ind w:firstLine="420"/>
    </w:pPr>
    <w:rPr>
      <w:szCs w:val="21"/>
    </w:rPr>
  </w:style>
  <w:style w:type="paragraph" w:styleId="1026" w:customStyle="1">
    <w:name w:val="普通文字"/>
    <w:basedOn w:val="768"/>
    <w:next w:val="768"/>
    <w:uiPriority w:val="0"/>
    <w:qFormat/>
    <w:rPr>
      <w:rFonts w:ascii="宋体"/>
      <w:sz w:val="24"/>
    </w:rPr>
  </w:style>
  <w:style w:type="paragraph" w:styleId="1027" w:customStyle="1">
    <w:name w:val="样式 小四 段前: 5 磅 段后: 5 磅 首行缩进:  2 字符"/>
    <w:basedOn w:val="768"/>
    <w:uiPriority w:val="0"/>
    <w:qFormat/>
    <w:pPr>
      <w:jc w:val="center"/>
      <w:spacing w:line="360" w:lineRule="auto"/>
    </w:pPr>
    <w:rPr>
      <w:rFonts w:ascii="宋体" w:hAnsi="宋体"/>
      <w:bCs/>
      <w:color w:val="17375e" w:themeColor="text2" w:themeShade="BF"/>
      <w:sz w:val="24"/>
      <w:szCs w:val="24"/>
    </w:rPr>
  </w:style>
  <w:style w:type="paragraph" w:styleId="1028" w:customStyle="1">
    <w:name w:val="列出段落1"/>
    <w:basedOn w:val="768"/>
    <w:uiPriority w:val="0"/>
    <w:qFormat/>
    <w:pPr>
      <w:ind w:firstLine="420"/>
    </w:pPr>
    <w:rPr>
      <w:szCs w:val="24"/>
    </w:rPr>
  </w:style>
  <w:style w:type="paragraph" w:styleId="1029" w:customStyle="1">
    <w:name w:val="段"/>
    <w:next w:val="768"/>
    <w:uiPriority w:val="0"/>
    <w:qFormat/>
    <w:pPr>
      <w:ind w:firstLine="200"/>
      <w:jc w:val="both"/>
    </w:pPr>
    <w:rPr>
      <w:rFonts w:ascii="宋体" w:hAnsi="Times New Roman" w:eastAsia="宋体" w:cs="Times New Roman"/>
      <w:sz w:val="21"/>
      <w:lang w:val="en-US" w:eastAsia="zh-CN" w:bidi="ar-SA"/>
    </w:rPr>
  </w:style>
  <w:style w:type="paragraph" w:styleId="103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1"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32" w:customStyle="1">
    <w:name w:val="Other|1"/>
    <w:basedOn w:val="768"/>
    <w:uiPriority w:val="0"/>
    <w:qFormat/>
    <w:pPr>
      <w:ind w:firstLine="220"/>
    </w:pPr>
    <w:rPr>
      <w:rFonts w:ascii="宋体" w:hAnsi="宋体" w:cs="宋体"/>
      <w:sz w:val="20"/>
      <w:lang w:val="zh-TW" w:eastAsia="zh-TW" w:bidi="zh-TW"/>
    </w:rPr>
  </w:style>
  <w:style w:type="character" w:styleId="1033" w:customStyle="1">
    <w:name w:val="font11"/>
    <w:uiPriority w:val="0"/>
    <w:qFormat/>
    <w:rPr>
      <w:rFonts w:hint="eastAsia" w:ascii="宋体" w:hAnsi="宋体" w:eastAsia="宋体" w:cs="宋体"/>
      <w:color w:val="333333"/>
      <w:sz w:val="20"/>
      <w:szCs w:val="20"/>
      <w:u w:val="none"/>
    </w:rPr>
  </w:style>
  <w:style w:type="paragraph" w:styleId="1034" w:customStyle="1">
    <w:name w:val="纯文本1"/>
    <w:basedOn w:val="768"/>
    <w:uiPriority w:val="0"/>
    <w:qFormat/>
    <w:rPr>
      <w:rFonts w:ascii="宋体" w:hAnsi="Courier New" w:eastAsia="楷体_GB2312"/>
      <w:sz w:val="26"/>
    </w:rPr>
  </w:style>
  <w:style w:type="character" w:styleId="1035" w:customStyle="1">
    <w:name w:val="font21"/>
    <w:uiPriority w:val="0"/>
    <w:qFormat/>
    <w:rPr>
      <w:rFonts w:hint="eastAsia" w:ascii="宋体" w:hAnsi="宋体" w:eastAsia="宋体" w:cs="宋体"/>
      <w:color w:val="000000"/>
      <w:sz w:val="20"/>
      <w:szCs w:val="20"/>
      <w:u w:val="none"/>
    </w:rPr>
  </w:style>
  <w:style w:type="character" w:styleId="1036" w:customStyle="1">
    <w:name w:val="font01"/>
    <w:uiPriority w:val="0"/>
    <w:qFormat/>
    <w:rPr>
      <w:rFonts w:ascii="Tahoma" w:hAnsi="Tahoma" w:eastAsia="Tahoma" w:cs="Tahoma"/>
      <w:color w:val="333333"/>
      <w:sz w:val="20"/>
      <w:szCs w:val="20"/>
      <w:u w:val="none"/>
    </w:rPr>
  </w:style>
  <w:style w:type="paragraph" w:styleId="1037" w:customStyle="1">
    <w:name w:val="列出段落2"/>
    <w:basedOn w:val="768"/>
    <w:uiPriority w:val="34"/>
    <w:qFormat/>
    <w:pPr>
      <w:ind w:firstLine="420"/>
    </w:pPr>
  </w:style>
  <w:style w:type="paragraph" w:styleId="1038" w:customStyle="1">
    <w:name w:val="正文文本2"/>
    <w:basedOn w:val="768"/>
    <w:next w:val="1039"/>
    <w:uiPriority w:val="0"/>
    <w:qFormat/>
    <w:rPr>
      <w:rFonts w:ascii="华文中宋" w:eastAsia="华文中宋"/>
      <w:bCs/>
      <w:sz w:val="28"/>
    </w:rPr>
  </w:style>
  <w:style w:type="paragraph" w:styleId="1039" w:customStyle="1">
    <w:name w:val="列表2"/>
    <w:basedOn w:val="768"/>
    <w:uiPriority w:val="0"/>
    <w:qFormat/>
    <w:pPr>
      <w:numPr>
        <w:ilvl w:val="0"/>
        <w:numId w:val="3"/>
      </w:numPr>
      <w:spacing w:after="20" w:line="288" w:lineRule="auto"/>
    </w:pPr>
    <w:rPr>
      <w:lang w:val="en-GB"/>
    </w:rPr>
  </w:style>
  <w:style w:type="paragraph" w:styleId="1040" w:customStyle="1">
    <w:name w:val="页脚11"/>
    <w:basedOn w:val="768"/>
    <w:next w:val="768"/>
    <w:uiPriority w:val="99"/>
    <w:unhideWhenUsed/>
    <w:qFormat/>
    <w:pPr>
      <w:jc w:val="left"/>
      <w:tabs>
        <w:tab w:val="center" w:pos="4153" w:leader="none"/>
        <w:tab w:val="right" w:pos="8306" w:leader="none"/>
      </w:tabs>
    </w:pPr>
    <w:rPr>
      <w:sz w:val="18"/>
      <w:szCs w:val="18"/>
    </w:rPr>
  </w:style>
  <w:style w:type="paragraph" w:styleId="1041" w:customStyle="1">
    <w:name w:val="列出段落3"/>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1042" w:customStyle="1">
    <w:name w:val="标题 311"/>
    <w:next w:val="1043"/>
    <w:uiPriority w:val="0"/>
    <w:qFormat/>
    <w:pPr>
      <w:jc w:val="center"/>
      <w:keepNext/>
      <w:widowControl w:val="off"/>
      <w:outlineLvl w:val="2"/>
    </w:pPr>
    <w:rPr>
      <w:rFonts w:ascii="Times New Roman" w:hAnsi="Times New Roman" w:eastAsia="楷体_GB2312" w:cs="Times New Roman"/>
      <w:b/>
      <w:bCs/>
      <w:sz w:val="15"/>
      <w:lang w:val="en-US" w:eastAsia="zh-CN" w:bidi="ar-SA"/>
    </w:rPr>
  </w:style>
  <w:style w:type="paragraph" w:styleId="1043" w:customStyle="1">
    <w:name w:val="正文缩进1"/>
    <w:uiPriority w:val="99"/>
    <w:qFormat/>
    <w:pPr>
      <w:ind w:firstLine="200"/>
      <w:spacing w:line="360" w:lineRule="auto"/>
    </w:pPr>
    <w:rPr>
      <w:rFonts w:ascii="Times New Roman" w:hAnsi="Times New Roman" w:eastAsia="华文细黑" w:cs="Times New Roman"/>
      <w:sz w:val="24"/>
      <w:szCs w:val="21"/>
      <w:lang w:val="en-US" w:eastAsia="zh-CN" w:bidi="ar-SA"/>
    </w:rPr>
  </w:style>
  <w:style w:type="paragraph" w:styleId="1044" w:customStyle="1">
    <w:name w:val="正文首行缩进 21"/>
    <w:uiPriority w:val="0"/>
    <w:qFormat/>
    <w:pPr>
      <w:ind w:firstLine="210"/>
      <w:jc w:val="both"/>
      <w:spacing w:after="120"/>
      <w:widowControl w:val="off"/>
    </w:pPr>
    <w:rPr>
      <w:rFonts w:ascii="Cambria Math" w:hAnsi="新宋体" w:eastAsia="Cambria Math" w:cs="Times New Roman"/>
      <w:color w:val="000000"/>
      <w:spacing w:val="-8"/>
      <w:sz w:val="21"/>
      <w:lang w:val="en-US" w:eastAsia="zh-CN" w:bidi="ar-SA"/>
    </w:rPr>
  </w:style>
  <w:style w:type="paragraph" w:styleId="1045" w:customStyle="1">
    <w:name w:val="正文文本缩进1"/>
    <w:next w:val="1046"/>
    <w:uiPriority w:val="0"/>
    <w:qFormat/>
    <w:pPr>
      <w:ind w:firstLine="576"/>
      <w:jc w:val="both"/>
      <w:widowControl w:val="off"/>
    </w:pPr>
    <w:rPr>
      <w:rFonts w:ascii="Times New Roman" w:hAnsi="Times New Roman" w:eastAsia="宋体" w:cs="Times New Roman"/>
      <w:b/>
      <w:sz w:val="30"/>
      <w:lang w:val="en-US" w:eastAsia="zh-CN" w:bidi="ar-SA"/>
    </w:rPr>
  </w:style>
  <w:style w:type="paragraph" w:styleId="1046" w:customStyle="1">
    <w:name w:val="寄信人地址1"/>
    <w:uiPriority w:val="99"/>
    <w:unhideWhenUsed/>
    <w:qFormat/>
    <w:pPr>
      <w:jc w:val="both"/>
      <w:widowControl w:val="off"/>
    </w:pPr>
    <w:rPr>
      <w:rFonts w:hint="eastAsia" w:ascii="Arial" w:hAnsi="Arial" w:eastAsia="宋体" w:cs="Times New Roman"/>
      <w:sz w:val="24"/>
      <w:szCs w:val="24"/>
      <w:lang w:val="en-US" w:eastAsia="zh-CN" w:bidi="ar-SA"/>
    </w:rPr>
  </w:style>
  <w:style w:type="paragraph" w:styleId="1047" w:customStyle="1">
    <w:name w:val="文本块11"/>
    <w:uiPriority w:val="0"/>
    <w:qFormat/>
    <w:pPr>
      <w:ind w:left="420" w:right="33"/>
      <w:widowControl w:val="off"/>
    </w:pPr>
    <w:rPr>
      <w:rFonts w:ascii="Times New Roman" w:hAnsi="Times New Roman" w:eastAsia="宋体" w:cs="Times New Roman"/>
      <w:sz w:val="24"/>
      <w:lang w:val="en-US" w:eastAsia="zh-CN" w:bidi="ar-SA"/>
    </w:rPr>
  </w:style>
  <w:style w:type="paragraph" w:styleId="1048" w:customStyle="1">
    <w:name w:val="正文缩进111"/>
    <w:uiPriority w:val="0"/>
    <w:qFormat/>
    <w:pPr>
      <w:ind w:firstLine="420"/>
    </w:pPr>
    <w:rPr>
      <w:rFonts w:ascii="Times New Roman" w:hAnsi="Times New Roman" w:eastAsia="宋体" w:cs="Times New Roman"/>
      <w:lang w:val="en-US" w:eastAsia="zh-CN" w:bidi="ar-SA"/>
    </w:rPr>
  </w:style>
  <w:style w:type="paragraph" w:styleId="1049" w:customStyle="1">
    <w:name w:val="页眉11"/>
    <w:uiPriority w:val="99"/>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paragraph" w:styleId="1050" w:customStyle="1">
    <w:name w:val="正文首行缩进1"/>
    <w:basedOn w:val="1038"/>
    <w:uiPriority w:val="99"/>
    <w:unhideWhenUsed/>
    <w:qFormat/>
    <w:pPr>
      <w:ind w:firstLine="420"/>
      <w:spacing w:after="120"/>
    </w:pPr>
    <w:rPr>
      <w:rFonts w:ascii="Times New Roman" w:hAnsi="Calibri" w:eastAsia="宋体"/>
      <w:bCs w:val="0"/>
      <w:sz w:val="20"/>
    </w:rPr>
  </w:style>
  <w:style w:type="paragraph" w:styleId="1051" w:customStyle="1">
    <w:name w:val="表格"/>
    <w:basedOn w:val="768"/>
    <w:uiPriority w:val="0"/>
    <w:qFormat/>
    <w:pPr>
      <w:jc w:val="center"/>
    </w:pPr>
    <w:rPr>
      <w:rFonts w:hint="eastAsia"/>
    </w:rPr>
  </w:style>
  <w:style w:type="paragraph" w:styleId="1052" w:customStyle="1">
    <w:name w:val="批注文字1"/>
    <w:basedOn w:val="768"/>
    <w:uiPriority w:val="0"/>
    <w:qFormat/>
    <w:pPr>
      <w:jc w:val="left"/>
    </w:pPr>
  </w:style>
  <w:style w:type="paragraph" w:styleId="1053" w:customStyle="1">
    <w:name w:val="正文1"/>
    <w:basedOn w:val="768"/>
    <w:next w:val="768"/>
    <w:uiPriority w:val="0"/>
    <w:qFormat/>
    <w:rPr>
      <w:rFonts w:ascii="宋体" w:hAnsi="宋体" w:cs="宋体"/>
      <w:sz w:val="24"/>
      <w:lang w:eastAsia="en-US"/>
    </w:rPr>
  </w:style>
  <w:style w:type="paragraph" w:styleId="1054" w:customStyle="1">
    <w:name w:val="正文格式"/>
    <w:basedOn w:val="768"/>
    <w:uiPriority w:val="0"/>
    <w:qFormat/>
    <w:pPr>
      <w:ind w:firstLine="482"/>
      <w:spacing w:line="400" w:lineRule="atLeast"/>
      <w:widowControl/>
    </w:pPr>
    <w:rPr>
      <w:sz w:val="24"/>
      <w:szCs w:val="24"/>
    </w:rPr>
  </w:style>
  <w:style w:type="paragraph" w:styleId="1055" w:customStyle="1">
    <w:name w:val="彩色列表1"/>
    <w:basedOn w:val="768"/>
    <w:uiPriority w:val="99"/>
    <w:qFormat/>
    <w:pPr>
      <w:ind w:firstLine="420"/>
    </w:pPr>
    <w:rPr>
      <w:szCs w:val="24"/>
    </w:rPr>
  </w:style>
  <w:style w:type="character" w:styleId="1056" w:customStyle="1">
    <w:name w:val="font31"/>
    <w:basedOn w:val="778"/>
    <w:uiPriority w:val="0"/>
    <w:qFormat/>
    <w:rPr>
      <w:rFonts w:hint="eastAsia" w:ascii="宋体" w:hAnsi="宋体" w:eastAsia="宋体" w:cs="宋体"/>
      <w:b/>
      <w:bCs/>
      <w:color w:val="000000"/>
      <w:sz w:val="32"/>
      <w:szCs w:val="32"/>
      <w:u w:val="none"/>
    </w:rPr>
  </w:style>
  <w:style w:type="character" w:styleId="1057" w:customStyle="1">
    <w:name w:val="font91"/>
    <w:basedOn w:val="778"/>
    <w:uiPriority w:val="0"/>
    <w:qFormat/>
    <w:rPr>
      <w:rFonts w:hint="eastAsia" w:ascii="宋体" w:hAnsi="宋体" w:eastAsia="宋体" w:cs="宋体"/>
      <w:b/>
      <w:bCs/>
      <w:color w:val="ff0000"/>
      <w:sz w:val="32"/>
      <w:szCs w:val="32"/>
      <w:u w:val="none"/>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e8b46ae3-9db4-4328-a1e0-4a27afb26b46</errorID>
      <errorWord>生物多样性维护</errorWord>
      <group>L1_Political</group>
      <groupName>政治性问题</groupName>
      <ability>L2_Keyword</ability>
      <abilityName>固定表述</abilityName>
      <candidateList>
        <item>生物多样性保护</item>
      </candidateList>
      <explain>词汇“生物多样性保护”在特定场景下为固定表述形式，请确认此处的“生物多样性维护”是否存在不当。</explain>
      <paraID> CC721D1</paraID>
      <start>61</start>
      <end>68</end>
      <status>unmodified</status>
      <modifiedWord/>
      <trackRevisions>false</trackRevisions>
    </reviewItem>
    <reviewItem>
      <errorID>a834a279-7be4-4fcb-ad25-4bfe64dd7dea</errorID>
      <errorWord>：/；</errorWord>
      <group>L1_Punc</group>
      <groupName>标点问题</groupName>
      <ability>L2_Punc_CN</ability>
      <abilityName>标点符号问题</abilityName>
      <candidateList>
        <item>：</item>
      </candidateList>
      <explain/>
      <paraID>34860939</paraID>
      <start>18</start>
      <end>21</end>
      <status>unmodified</status>
      <modifiedWord/>
      <trackRevisions>false</trackRevisions>
    </reviewItem>
    <reviewItem>
      <errorID>0eeb3696-b743-4210-a824-373fef38e690</errorID>
      <errorWord>-</errorWord>
      <group>L1_Format</group>
      <groupName>格式问题</groupName>
      <ability>L2_HalfPunc_CN</ability>
      <abilityName>全半角问题</abilityName>
      <candidateList>
        <item>－</item>
      </candidateList>
      <explain>文本全半角错误。</explain>
      <paraID>7D9A7A1B</paraID>
      <start>85</start>
      <end>86</end>
      <status>unmodified</status>
      <modifiedWord/>
      <trackRevisions>false</trackRevisions>
    </reviewItem>
    <reviewItem>
      <errorID>afe2874e-ae84-4ad8-ac06-4d5cb9dea603</errorID>
      <errorWord>（</errorWord>
      <group>L1_Punc</group>
      <groupName>标点问题</groupName>
      <ability>L2_Punc_CN</ability>
      <abilityName>标点符号问题</abilityName>
      <candidateList/>
      <explain>同一形式括号套用。</explain>
      <paraID>2998DCDF</paraID>
      <start>117</start>
      <end>118</end>
      <status>unmodified</status>
      <modifiedWord/>
      <trackRevisions>false</trackRevisions>
    </reviewItem>
    <reviewItem>
      <errorID>9e6d2579-1457-4d53-bb3c-f2ce386eb94b</errorID>
      <errorWord>）</errorWord>
      <group>L1_Punc</group>
      <groupName>标点问题</groupName>
      <ability>L2_Punc_CN</ability>
      <abilityName>标点符号问题</abilityName>
      <candidateList/>
      <explain>同一形式括号套用。</explain>
      <paraID>2998DCDF</paraID>
      <start>121</start>
      <end>122</end>
      <status>unmodified</status>
      <modifiedWord/>
      <trackRevisions>false</trackRevisions>
    </reviewItem>
    <reviewItem>
      <errorID>4488d33d-655f-41ef-9e3a-7f879bdf76bb</errorID>
      <errorWord>-</errorWord>
      <group>L1_Format</group>
      <groupName>格式问题</groupName>
      <ability>L2_HalfPunc_CN</ability>
      <abilityName>全半角问题</abilityName>
      <candidateList>
        <item>－</item>
      </candidateList>
      <explain>文本全半角错误。</explain>
      <paraID>2998DCDF</paraID>
      <start>142</start>
      <end>143</end>
      <status>unmodified</status>
      <modifiedWord/>
      <trackRevisions>false</trackRevisions>
    </reviewItem>
    <reviewItem>
      <errorID>dddf6d24-4335-4bf2-ab50-cea7124604c7</errorID>
      <errorWord>-</errorWord>
      <group>L1_Format</group>
      <groupName>格式问题</groupName>
      <ability>L2_HalfPunc_CN</ability>
      <abilityName>全半角问题</abilityName>
      <candidateList>
        <item>－</item>
      </candidateList>
      <explain>文本全半角错误。</explain>
      <paraID>2998DCDF</paraID>
      <start>143</start>
      <end>144</end>
      <status>unmodified</status>
      <modifiedWord/>
      <trackRevisions>false</trackRevisions>
    </reviewItem>
    <reviewItem>
      <errorID>26b0ff94-5246-4aa1-8b40-165f706e065f</errorID>
      <errorWord>“.</errorWord>
      <group>L1_Punc</group>
      <groupName>标点问题</groupName>
      <ability>L2_Punc_CN</ability>
      <abilityName>标点符号问题</abilityName>
      <candidateList>
        <item>“</item>
      </candidateList>
      <explain/>
      <paraID>2998DCDF</paraID>
      <start>210</start>
      <end>212</end>
      <status>unmodified</status>
      <modifiedWord/>
      <trackRevisions>false</trackRevisions>
    </reviewItem>
    <reviewItem>
      <errorID>d0b3eb76-73d3-48d9-a94a-a34983c28b0e</errorID>
      <errorWord>“.</errorWord>
      <group>L1_Punc</group>
      <groupName>标点问题</groupName>
      <ability>L2_Punc_CN</ability>
      <abilityName>标点符号问题</abilityName>
      <candidateList>
        <item>“</item>
      </candidateList>
      <explain/>
      <paraID>685E204A</paraID>
      <start>11</start>
      <end>13</end>
      <status>unmodified</status>
      <modifiedWord/>
      <trackRevisions>false</trackRevisions>
    </reviewItem>
    <reviewItem>
      <errorID>7b301ba7-13e3-4d38-b693-e4e2cc5f6a25</errorID>
      <errorWord>-</errorWord>
      <group>L1_Format</group>
      <groupName>格式问题</groupName>
      <ability>L2_HalfPunc_CN</ability>
      <abilityName>全半角问题</abilityName>
      <candidateList>
        <item>－</item>
      </candidateList>
      <explain>文本全半角错误。</explain>
      <paraID>7E09A972</paraID>
      <start>92</start>
      <end>93</end>
      <status>unmodified</status>
      <modifiedWord/>
      <trackRevisions>false</trackRevisions>
    </reviewItem>
    <reviewItem>
      <errorID>64bcda17-90fa-4b92-9226-85a36980ec6a</errorID>
      <errorWord>-</errorWord>
      <group>L1_Format</group>
      <groupName>格式问题</groupName>
      <ability>L2_HalfPunc_CN</ability>
      <abilityName>全半角问题</abilityName>
      <candidateList>
        <item>－</item>
      </candidateList>
      <explain>文本全半角错误。</explain>
      <paraID>4E8EA96C</paraID>
      <start>25</start>
      <end>26</end>
      <status>unmodified</status>
      <modifiedWord/>
      <trackRevisions>false</trackRevisions>
    </reviewItem>
    <reviewItem>
      <errorID>a53fd326-8731-40d0-845b-64f0e3b71903</errorID>
      <errorWord>-</errorWord>
      <group>L1_Format</group>
      <groupName>格式问题</groupName>
      <ability>L2_HalfPunc_CN</ability>
      <abilityName>全半角问题</abilityName>
      <candidateList>
        <item>－</item>
      </candidateList>
      <explain>文本全半角错误。</explain>
      <paraID>1E344ED2</paraID>
      <start>31</start>
      <end>32</end>
      <status>unmodified</status>
      <modifiedWord/>
      <trackRevisions>false</trackRevisions>
    </reviewItem>
    <reviewItem>
      <errorID>66dc74ab-54c6-4813-9a2c-537290ea9018</errorID>
      <errorWord>&lt;</errorWord>
      <group>L1_Format</group>
      <groupName>格式问题</groupName>
      <ability>L2_HalfPunc_CN</ability>
      <abilityName>全半角问题</abilityName>
      <candidateList>
        <item>〈</item>
      </candidateList>
      <explain>文本全半角错误。</explain>
      <paraID>7FCC473D</paraID>
      <start>49</start>
      <end>50</end>
      <status>unmodified</status>
      <modifiedWord/>
      <trackRevisions>false</trackRevisions>
    </reviewItem>
    <reviewItem>
      <errorID>8fd84e91-8f47-460b-9a41-d379c1b9edda</errorID>
      <errorWord>&lt;</errorWord>
      <group>L1_Format</group>
      <groupName>格式问题</groupName>
      <ability>L2_HalfPunc_CN</ability>
      <abilityName>全半角问题</abilityName>
      <candidateList>
        <item>〈</item>
      </candidateList>
      <explain>文本全半角错误。</explain>
      <paraID>5AD5E219</paraID>
      <start>49</start>
      <end>50</end>
      <status>unmodified</status>
      <modifiedWord/>
      <trackRevisions>false</trackRevisions>
    </reviewItem>
    <reviewItem>
      <errorID>8cd2df3d-12bd-44cc-9808-7a63700fd4ca</errorID>
      <errorWord>&lt;</errorWord>
      <group>L1_Format</group>
      <groupName>格式问题</groupName>
      <ability>L2_HalfPunc_CN</ability>
      <abilityName>全半角问题</abilityName>
      <candidateList>
        <item>〈</item>
      </candidateList>
      <explain>文本全半角错误。</explain>
      <paraID>5A4FCB7F</paraID>
      <start>34</start>
      <end>35</end>
      <status>unmodified</status>
      <modifiedWord/>
      <trackRevisions>false</trackRevisions>
    </reviewItem>
    <reviewItem>
      <errorID>d47f2b98-64b8-4cfa-a7c4-51a7c55d8e3a</errorID>
      <errorWord>，</errorWord>
      <group>L1_Word</group>
      <groupName>字词问题</groupName>
      <ability>L2_Typo</ability>
      <abilityName>字词错误</abilityName>
      <candidateList>
        <item>，并</item>
      </candidateList>
      <explain/>
      <paraID>79CBF04E</paraID>
      <start>72</start>
      <end>73</end>
      <status>unmodified</status>
      <modifiedWord/>
      <trackRevisions>false</trackRevisions>
    </reviewItem>
    <reviewItem>
      <errorID>aceaf1a8-3577-4212-a08a-8ee275d3a952</errorID>
      <errorWord>(</errorWord>
      <group>L1_Format</group>
      <groupName>格式问题</groupName>
      <ability>L2_HalfPunc_CN</ability>
      <abilityName>全半角问题</abilityName>
      <candidateList>
        <item>（</item>
      </candidateList>
      <explain>文本全半角错误。</explain>
      <paraID>1FCEDCB8</paraID>
      <start>0</start>
      <end>1</end>
      <status>unmodified</status>
      <modifiedWord/>
      <trackRevisions>false</trackRevisions>
    </reviewItem>
    <reviewItem>
      <errorID>25984924-f154-43fa-bfb1-4a0c50360038</errorID>
      <errorWord>(</errorWord>
      <group>L1_Format</group>
      <groupName>格式问题</groupName>
      <ability>L2_HalfPunc_CN</ability>
      <abilityName>全半角问题</abilityName>
      <candidateList>
        <item>（</item>
      </candidateList>
      <explain>文本全半角错误。</explain>
      <paraID>346846D2</paraID>
      <start>30</start>
      <end>31</end>
      <status>unmodified</status>
      <modifiedWord/>
      <trackRevisions>false</trackRevisions>
    </reviewItem>
    <reviewItem>
      <errorID>ecff0f2d-0165-42b7-9555-3b483bfeb4ab</errorID>
      <errorWord>[2002]</errorWord>
      <group>L1_Punc</group>
      <groupName>标点问题</groupName>
      <ability>L2_Punc_CN</ability>
      <abilityName>标点符号问题</abilityName>
      <candidateList>
        <item>〔2002〕</item>
      </candidateList>
      <explain/>
      <paraID>346846D2</paraID>
      <start>34</start>
      <end>40</end>
      <status>unmodified</status>
      <modifiedWord/>
      <trackRevisions>false</trackRevisions>
    </reviewItem>
    <reviewItem>
      <errorID>a913f567-c96c-4145-9eb7-538f2f58ab44</errorID>
      <errorWord>)</errorWord>
      <group>L1_Format</group>
      <groupName>格式问题</groupName>
      <ability>L2_HalfPunc_CN</ability>
      <abilityName>全半角问题</abilityName>
      <candidateList>
        <item>）</item>
      </candidateList>
      <explain>文本全半角错误。</explain>
      <paraID>346846D2</paraID>
      <start>47</start>
      <end>48</end>
      <status>unmodified</status>
      <modifiedWord/>
      <trackRevisions>false</trackRevisions>
    </reviewItem>
    <reviewItem>
      <errorID>e9be8981-8c1d-429b-954f-01b2b8712062</errorID>
      <errorWord>100万以下</errorWord>
      <group>L1_Word</group>
      <groupName>字词问题</groupName>
      <ability>L2_Typo</ability>
      <abilityName>字词错误</abilityName>
      <candidateList>
        <item>100万元以下</item>
      </candidateList>
      <explain/>
      <paraID>346846D2</paraID>
      <start>71</start>
      <end>77</end>
      <status>unmodified</status>
      <modifiedWord/>
      <trackRevisions>false</trackRevisions>
    </reviewItem>
    <reviewItem>
      <errorID>ae8da776-6390-4781-951f-b7494229115d</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346846D2</paraID>
      <start>85</start>
      <end>94</end>
      <status>unmodified</status>
      <modifiedWord/>
      <trackRevisions>false</trackRevisions>
    </reviewItem>
    <reviewItem>
      <errorID>f0bd4850-a58e-4599-93dd-3097aafb10c7</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346846D2</paraID>
      <start>102</start>
      <end>112</end>
      <status>unmodified</status>
      <modifiedWord/>
      <trackRevisions>false</trackRevisions>
    </reviewItem>
    <reviewItem>
      <errorID>47212052-c1a2-4cc2-9444-13c2283a2c3c</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346846D2</paraID>
      <start>121</start>
      <end>132</end>
      <status>unmodified</status>
      <modifiedWord/>
      <trackRevisions>false</trackRevisions>
    </reviewItem>
    <reviewItem>
      <errorID>abcc2802-26f7-49d3-8a39-a75cca4b5991</errorID>
      <errorWord>(</errorWord>
      <group>L1_Format</group>
      <groupName>格式问题</groupName>
      <ability>L2_HalfPunc_CN</ability>
      <abilityName>全半角问题</abilityName>
      <candidateList>
        <item>（</item>
      </candidateList>
      <explain>文本全半角错误。</explain>
      <paraID>7068E297</paraID>
      <start>24</start>
      <end>25</end>
      <status>unmodified</status>
      <modifiedWord/>
      <trackRevisions>false</trackRevisions>
    </reviewItem>
    <reviewItem>
      <errorID>f8b9050c-0f4a-4a2f-9d12-c2ad66ff5d5c</errorID>
      <errorWord>)</errorWord>
      <group>L1_Format</group>
      <groupName>格式问题</groupName>
      <ability>L2_HalfPunc_CN</ability>
      <abilityName>全半角问题</abilityName>
      <candidateList>
        <item>）</item>
      </candidateList>
      <explain>文本全半角错误。</explain>
      <paraID>7068E297</paraID>
      <start>29</start>
      <end>30</end>
      <status>unmodified</status>
      <modifiedWord/>
      <trackRevisions>false</trackRevisions>
    </reviewItem>
    <reviewItem>
      <errorID>bda92426-9734-4ba8-b0b6-6fe171ae489f</errorID>
      <errorWord>(</errorWord>
      <group>L1_Format</group>
      <groupName>格式问题</groupName>
      <ability>L2_HalfPunc_CN</ability>
      <abilityName>全半角问题</abilityName>
      <candidateList>
        <item>（</item>
      </candidateList>
      <explain>文本全半角错误。</explain>
      <paraID>7068E297</paraID>
      <start>75</start>
      <end>76</end>
      <status>unmodified</status>
      <modifiedWord/>
      <trackRevisions>false</trackRevisions>
    </reviewItem>
    <reviewItem>
      <errorID>e728126d-2974-456c-85e9-6bae8deeb693</errorID>
      <errorWord>)</errorWord>
      <group>L1_Format</group>
      <groupName>格式问题</groupName>
      <ability>L2_HalfPunc_CN</ability>
      <abilityName>全半角问题</abilityName>
      <candidateList>
        <item>）</item>
      </candidateList>
      <explain>文本全半角错误。</explain>
      <paraID>7068E297</paraID>
      <start>80</start>
      <end>81</end>
      <status>unmodified</status>
      <modifiedWord/>
      <trackRevisions>false</trackRevisions>
    </reviewItem>
    <reviewItem>
      <errorID>35c5091f-b7f8-4e9b-aa33-b1e7319f6f39</errorID>
      <errorWord>)</errorWord>
      <group>L1_Format</group>
      <groupName>格式问题</groupName>
      <ability>L2_HalfPunc_CN</ability>
      <abilityName>全半角问题</abilityName>
      <candidateList>
        <item>）</item>
      </candidateList>
      <explain>文本全半角错误。</explain>
      <paraID>47B9D746</paraID>
      <start>15</start>
      <end>16</end>
      <status>unmodified</status>
      <modifiedWord/>
      <trackRevisions>false</trackRevisions>
    </reviewItem>
    <reviewItem>
      <errorID>78bf96bd-f7ab-42c2-b1d3-3f92af5008d7</errorID>
      <errorWord>(</errorWord>
      <group>L1_Format</group>
      <groupName>格式问题</groupName>
      <ability>L2_HalfPunc_CN</ability>
      <abilityName>全半角问题</abilityName>
      <candidateList>
        <item>（</item>
      </candidateList>
      <explain>文本全半角错误。</explain>
      <paraID>3F848108</paraID>
      <start>16</start>
      <end>17</end>
      <status>unmodified</status>
      <modifiedWord/>
      <trackRevisions>false</trackRevisions>
    </reviewItem>
    <reviewItem>
      <errorID>f31b29b1-151b-4e31-aafb-d809a0354c01</errorID>
      <errorWord>)</errorWord>
      <group>L1_Format</group>
      <groupName>格式问题</groupName>
      <ability>L2_HalfPunc_CN</ability>
      <abilityName>全半角问题</abilityName>
      <candidateList>
        <item>）</item>
      </candidateList>
      <explain>文本全半角错误。</explain>
      <paraID>3F848108</paraID>
      <start>21</start>
      <end>22</end>
      <status>unmodified</status>
      <modifiedWord/>
      <trackRevisions>false</trackRevisions>
    </reviewItem>
    <reviewItem>
      <errorID>8065980a-4631-4c21-a1a2-fb937f4a1e05</errorID>
      <errorWord>(</errorWord>
      <group>L1_Format</group>
      <groupName>格式问题</groupName>
      <ability>L2_HalfPunc_CN</ability>
      <abilityName>全半角问题</abilityName>
      <candidateList>
        <item>（</item>
      </candidateList>
      <explain>文本全半角错误。</explain>
      <paraID> 1A216E6</paraID>
      <start>19</start>
      <end>20</end>
      <status>unmodified</status>
      <modifiedWord/>
      <trackRevisions>false</trackRevisions>
    </reviewItem>
    <reviewItem>
      <errorID>1b5b5fac-b894-4b14-8a1c-ee8171bac748</errorID>
      <errorWord>)</errorWord>
      <group>L1_Format</group>
      <groupName>格式问题</groupName>
      <ability>L2_HalfPunc_CN</ability>
      <abilityName>全半角问题</abilityName>
      <candidateList>
        <item>）</item>
      </candidateList>
      <explain>文本全半角错误。</explain>
      <paraID> 1A216E6</paraID>
      <start>39</start>
      <end>40</end>
      <status>unmodified</status>
      <modifiedWord/>
      <trackRevisions>false</trackRevisions>
    </reviewItem>
    <reviewItem>
      <errorID>ae69edf1-6f5a-4545-ba55-b602f43a4e7a</errorID>
      <errorWord>藻类爆发</errorWord>
      <group>L1_Word</group>
      <groupName>字词问题</groupName>
      <ability>L2_Typo</ability>
      <abilityName>字词错误</abilityName>
      <candidateList>
        <item>藻类暴发</item>
      </candidateList>
      <explain/>
      <paraID>557EC753</paraID>
      <start>28</start>
      <end>32</end>
      <status>modified</status>
      <modifiedWord>藻类暴发</modifiedWord>
      <trackRevisions>false</trackRevisions>
    </reviewItem>
    <reviewItem>
      <errorID>0a69cc48-f7e7-47c2-bd98-1311ecb756d5</errorID>
      <errorWord>实施的</errorWord>
      <group>L1_Word</group>
      <groupName>字词问题</groupName>
      <ability>L2_Typo</ability>
      <abilityName>字词错误</abilityName>
      <candidateList>
        <item>实施</item>
      </candidateList>
      <explain/>
      <paraID>63F0D0B4</paraID>
      <start>2</start>
      <end>4</end>
      <status>modified</status>
      <modifiedWord>实施</modifiedWord>
      <trackRevisions>false</trackRevisions>
    </reviewItem>
    <reviewItem>
      <errorID>7369f8de-d5a1-4250-9506-9df892a4b5e7</errorID>
      <errorWord>生物多样性维护</errorWord>
      <group>L1_Political</group>
      <groupName>政治性问题</groupName>
      <ability>L2_Keyword</ability>
      <abilityName>固定表述</abilityName>
      <candidateList>
        <item>生物多样性保护</item>
      </candidateList>
      <explain>词汇“生物多样性保护”在特定场景下为固定表述形式，请确认此处的“生物多样性维护”是否存在不当。</explain>
      <paraID>60B30461</paraID>
      <start>38</start>
      <end>45</end>
      <status>unmodified</status>
      <modifiedWord/>
      <trackRevisions>false</trackRevisions>
    </reviewItem>
    <reviewItem>
      <errorID>ab28d8fa-a259-4aef-93c6-412e45fa0064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219CC7E0</paraID>
      <start>0</start>
      <end>2</end>
      <status>unmodified</status>
      <modifiedWord/>
      <trackRevisions>false</trackRevisions>
    </reviewItem>
    <reviewItem>
      <errorID>d137fbcb-f7c8-41b5-aaf7-39eab5ecfc90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219CC7E0</paraID>
      <start>89</start>
      <end>90</end>
      <status>unmodified</status>
      <modifiedWord/>
      <trackRevisions>false</trackRevisions>
    </reviewItem>
    <reviewItem>
      <errorID>a4be2fae-fac7-4d3c-b56d-e67145ab1b2c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3A1DCFA7</paraID>
      <start>0</start>
      <end>2</end>
      <status>unmodified</status>
      <modifiedWord/>
      <trackRevisions>false</trackRevisions>
    </reviewItem>
    <reviewItem>
      <errorID>51885324-85ce-4b41-9acf-3aa60f889d15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1008B7AB</paraID>
      <start>0</start>
      <end>2</end>
      <status>unmodified</status>
      <modifiedWord/>
      <trackRevisions>false</trackRevisions>
    </reviewItem>
    <reviewItem>
      <errorID>1a17fb33-bb7f-4525-bdf4-a7cc26d35388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1713A826</paraID>
      <start>0</start>
      <end>2</end>
      <status>unmodified</status>
      <modifiedWord/>
      <trackRevisions>false</trackRevisions>
    </reviewItem>
    <reviewItem>
      <errorID>ede7fb82-2f26-4eac-bb9d-127205133547</errorID>
      <errorWord>KW</errorWord>
      <group>L1_Word</group>
      <groupName>字词问题</groupName>
      <ability>L2_Typo</ability>
      <abilityName>字词错误</abilityName>
      <candidateList>
        <item>kW</item>
      </candidateList>
      <explain/>
      <paraID>7AC1D792</paraID>
      <start>8</start>
      <end>10</end>
      <status>modified</status>
      <modifiedWord>kW</modifiedWord>
      <trackRevisions>false</trackRevisions>
    </reviewItem>
    <reviewItem>
      <errorID>f538699f-74c5-40af-9ce6-7897425d0427</errorID>
      <errorWord>消音器</errorWord>
      <group>L1_Word</group>
      <groupName>字词问题</groupName>
      <ability>L2_Typo</ability>
      <abilityName>字词错误</abilityName>
      <candidateList>
        <item>消声器</item>
      </candidateList>
      <explain/>
      <paraID>7AC1D792</paraID>
      <start>23</start>
      <end>26</end>
      <status>unmodified</status>
      <modifiedWord/>
      <trackRevisions>false</trackRevisions>
    </reviewItem>
    <reviewItem>
      <errorID>b4f32f31-b6c9-4666-a617-891349071a4e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860B56C</paraID>
      <start>0</start>
      <end>2</end>
      <status>unmodified</status>
      <modifiedWord/>
      <trackRevisions>false</trackRevisions>
    </reviewItem>
    <reviewItem>
      <errorID>82b1706e-ae71-4b29-92dd-f34dda8bdd3a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5234232B</paraID>
      <start>0</start>
      <end>2</end>
      <status>unmodified</status>
      <modifiedWord/>
      <trackRevisions>false</trackRevisions>
    </reviewItem>
    <reviewItem>
      <errorID>85900c3d-f7bd-491d-b45f-ea558d327d53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30A6991B</paraID>
      <start>0</start>
      <end>2</end>
      <status>unmodified</status>
      <modifiedWord/>
      <trackRevisions>false</trackRevisions>
    </reviewItem>
    <reviewItem>
      <errorID>67a729c0-b60f-40f9-a66e-d5304a473c18</errorID>
      <errorWord>只</errorWord>
      <group>L1_Knowledge</group>
      <groupName>知识性问题</groupName>
      <ability>L2_Knowledge</ability>
      <abilityName>其他知识</abilityName>
      <candidateList>
        <item>支</item>
      </candidateList>
      <explain>请检查“只”是否为量词使用错误，建议修改为“支”。</explain>
      <paraID>30A6991B</paraID>
      <start>136</start>
      <end>137</end>
      <status>unmodified</status>
      <modifiedWord/>
      <trackRevisions>false</trackRevisions>
    </reviewItem>
    <reviewItem>
      <errorID>34472022-ebd3-4df3-81e9-def03e43be4b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1BA892B4</paraID>
      <start>1</start>
      <end>3</end>
      <status>unmodified</status>
      <modifiedWord/>
      <trackRevisions>false</trackRevisions>
    </reviewItem>
    <reviewItem>
      <errorID>62f5bde3-8263-4ccd-a9f6-f941df57eae9</errorID>
      <errorWord>~</errorWord>
      <group>L1_Format</group>
      <groupName>格式问题</groupName>
      <ability>L2_HalfPunc_CN</ability>
      <abilityName>全半角问题</abilityName>
      <candidateList>
        <item>～</item>
      </candidateList>
      <explain>文本全半角错误。</explain>
      <paraID>1BA892B4</paraID>
      <start>92</start>
      <end>93</end>
      <status>unmodified</status>
      <modifiedWord/>
      <trackRevisions>false</trackRevisions>
    </reviewItem>
    <reviewItem>
      <errorID>7e7e56c2-aa29-489a-ab70-0ea2b5bb7e5e</errorID>
      <errorWord>~</errorWord>
      <group>L1_Format</group>
      <groupName>格式问题</groupName>
      <ability>L2_HalfPunc_CN</ability>
      <abilityName>全半角问题</abilityName>
      <candidateList>
        <item>～</item>
      </candidateList>
      <explain>文本全半角错误。</explain>
      <paraID>1BA892B4</paraID>
      <start>108</start>
      <end>109</end>
      <status>unmodified</status>
      <modifiedWord/>
      <trackRevisions>false</trackRevisions>
    </reviewItem>
    <reviewItem>
      <errorID>09d86bb5-e4f5-48bf-bb05-4c4cd675667c</errorID>
      <errorWord>~</errorWord>
      <group>L1_Format</group>
      <groupName>格式问题</groupName>
      <ability>L2_HalfPunc_CN</ability>
      <abilityName>全半角问题</abilityName>
      <candidateList>
        <item>～</item>
      </candidateList>
      <explain>文本全半角错误。</explain>
      <paraID>1BA892B4</paraID>
      <start>123</start>
      <end>124</end>
      <status>unmodified</status>
      <modifiedWord/>
      <trackRevisions>false</trackRevisions>
    </reviewItem>
    <reviewItem>
      <errorID>c93c15a4-bef4-42ad-acb9-cd28c0819b03</errorID>
      <errorWord>KW</errorWord>
      <group>L1_Word</group>
      <groupName>字词问题</groupName>
      <ability>L2_Typo</ability>
      <abilityName>字词错误</abilityName>
      <candidateList>
        <item>kW</item>
      </candidateList>
      <explain/>
      <paraID> AA90703</paraID>
      <start>8</start>
      <end>10</end>
      <status>modified</status>
      <modifiedWord>kW</modifiedWord>
      <trackRevisions>false</trackRevisions>
    </reviewItem>
    <reviewItem>
      <errorID>0cd1d24c-9c25-44b7-b41f-c2dca083f15b</errorID>
      <errorWord>KW</errorWord>
      <group>L1_Word</group>
      <groupName>字词问题</groupName>
      <ability>L2_Typo</ability>
      <abilityName>字词错误</abilityName>
      <candidateList>
        <item>kW</item>
      </candidateList>
      <explain/>
      <paraID> AA90703</paraID>
      <start>14</start>
      <end>16</end>
      <status>modified</status>
      <modifiedWord>kW</modifiedWord>
      <trackRevisions>false</trackRevisions>
    </reviewItem>
    <reviewItem>
      <errorID>fc294028-a75a-4360-a698-93e0a6e232b7</errorID>
      <errorWord>KW</errorWord>
      <group>L1_Word</group>
      <groupName>字词问题</groupName>
      <ability>L2_Typo</ability>
      <abilityName>字词错误</abilityName>
      <candidateList>
        <item>kW</item>
      </candidateList>
      <explain/>
      <paraID> AA90703</paraID>
      <start>20</start>
      <end>22</end>
      <status>modified</status>
      <modifiedWord>kW</modifiedWord>
      <trackRevisions>false</trackRevisions>
    </reviewItem>
    <reviewItem>
      <errorID>204fb47d-b7e1-4eb1-ad74-26a49c6e4df8</errorID>
      <errorWord>消音器</errorWord>
      <group>L1_Word</group>
      <groupName>字词问题</groupName>
      <ability>L2_Typo</ability>
      <abilityName>字词错误</abilityName>
      <candidateList>
        <item>消声器</item>
      </candidateList>
      <explain/>
      <paraID> AA90703</paraID>
      <start>29</start>
      <end>32</end>
      <status>unmodified</status>
      <modifiedWord/>
      <trackRevisions>false</trackRevisions>
    </reviewItem>
    <reviewItem>
      <errorID>5ca0de3f-8dd7-4906-ac63-eeed4406bc54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4669B34E</paraID>
      <start>0</start>
      <end>2</end>
      <status>unmodified</status>
      <modifiedWord/>
      <trackRevisions>false</trackRevisions>
    </reviewItem>
    <reviewItem>
      <errorID>818ced44-894f-46f6-a0e7-4d19e78b215c</errorID>
      <errorWord>HZ</errorWord>
      <group>L1_Word</group>
      <groupName>字词问题</groupName>
      <ability>L2_Typo</ability>
      <abilityName>字词错误</abilityName>
      <candidateList>
        <item>Hz</item>
      </candidateList>
      <explain/>
      <paraID>4669B34E</paraID>
      <start>76</start>
      <end>78</end>
      <status>unmodified</status>
      <modifiedWord/>
      <trackRevisions>false</trackRevisions>
    </reviewItem>
    <reviewItem>
      <errorID>5fbd6b08-cb25-4088-9e7b-38dee552f03a</errorID>
      <errorWord>-</errorWord>
      <group>L1_Format</group>
      <groupName>格式问题</groupName>
      <ability>L2_HalfPunc_CN</ability>
      <abilityName>全半角问题</abilityName>
      <candidateList>
        <item>－</item>
      </candidateList>
      <explain>文本全半角错误。</explain>
      <paraID>4669B34E</paraID>
      <start>160</start>
      <end>161</end>
      <status>unmodified</status>
      <modifiedWord/>
      <trackRevisions>false</trackRevisions>
    </reviewItem>
    <reviewItem>
      <errorID>1187bcbe-5b4b-4839-bef7-9a35c34ee86f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7F571B99</paraID>
      <start>0</start>
      <end>2</end>
      <status>unmodified</status>
      <modifiedWord/>
      <trackRevisions>false</trackRevisions>
    </reviewItem>
    <reviewItem>
      <errorID>c8577fa5-1d1b-4c4f-8108-5714d2ab65d6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7E812612</paraID>
      <start>0</start>
      <end>2</end>
      <status>unmodified</status>
      <modifiedWord/>
      <trackRevisions>false</trackRevisions>
    </reviewItem>
    <reviewItem>
      <errorID>c82ed80e-124c-4146-b61b-c6d2e9185b68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7E812612</paraID>
      <start>36</start>
      <end>37</end>
      <status>unmodified</status>
      <modifiedWord/>
      <trackRevisions>false</trackRevisions>
    </reviewItem>
    <reviewItem>
      <errorID>566e283a-7f8f-43b6-9670-1f14cd2717b8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7E812612</paraID>
      <start>54</start>
      <end>55</end>
      <status>unmodified</status>
      <modifiedWord/>
      <trackRevisions>false</trackRevisions>
    </reviewItem>
    <reviewItem>
      <errorID>a660f79b-d162-4f1f-a15f-e9619ec6f5bb</errorID>
      <errorWord>rpm</errorWord>
      <group>L1_Word</group>
      <groupName>字词问题</groupName>
      <ability>L2_Typo</ability>
      <abilityName>字词错误</abilityName>
      <candidateList/>
      <explain>非法定单位</explain>
      <paraID>7E812612</paraID>
      <start>84</start>
      <end>87</end>
      <status>unmodified</status>
      <modifiedWord/>
      <trackRevisions>false</trackRevisions>
    </reviewItem>
    <reviewItem>
      <errorID>ef8ba74c-9bca-472c-94be-4c4bf5344b60</errorID>
      <errorWord>rpm</errorWord>
      <group>L1_Word</group>
      <groupName>字词问题</groupName>
      <ability>L2_Typo</ability>
      <abilityName>字词错误</abilityName>
      <candidateList/>
      <explain>非法定单位</explain>
      <paraID>7E812612</paraID>
      <start>113</start>
      <end>116</end>
      <status>unmodified</status>
      <modifiedWord/>
      <trackRevisions>false</trackRevisions>
    </reviewItem>
    <reviewItem>
      <errorID>cc76b58e-e8ce-4459-908f-bf11580ec015</errorID>
      <errorWord>rpm</errorWord>
      <group>L1_Word</group>
      <groupName>字词问题</groupName>
      <ability>L2_Typo</ability>
      <abilityName>字词错误</abilityName>
      <candidateList/>
      <explain>非法定单位</explain>
      <paraID>7E812612</paraID>
      <start>142</start>
      <end>145</end>
      <status>unmodified</status>
      <modifiedWord/>
      <trackRevisions>false</trackRevisions>
    </reviewItem>
    <reviewItem>
      <errorID>b9e9c6ab-329b-487a-941a-d27c4b323888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4148C6BD</paraID>
      <start>0</start>
      <end>2</end>
      <status>unmodified</status>
      <modifiedWord/>
      <trackRevisions>false</trackRevisions>
    </reviewItem>
    <reviewItem>
      <errorID>c02f0b89-37e4-4f1e-9ee9-d1e2b4ed0d6b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2695E973</paraID>
      <start>0</start>
      <end>2</end>
      <status>unmodified</status>
      <modifiedWord/>
      <trackRevisions>false</trackRevisions>
    </reviewItem>
    <reviewItem>
      <errorID>f584515b-ed55-4359-9097-d939d45c279d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7ED4997E</paraID>
      <start>0</start>
      <end>2</end>
      <status>unmodified</status>
      <modifiedWord/>
      <trackRevisions>false</trackRevisions>
    </reviewItem>
    <reviewItem>
      <errorID>b662bee0-cae8-4913-aa21-5fd9cbedd607</errorID>
      <errorWord>：&gt;</errorWord>
      <group>L1_Punc</group>
      <groupName>标点问题</groupName>
      <ability>L2_Punc_CN</ability>
      <abilityName>标点符号问题</abilityName>
      <candidateList>
        <item>：</item>
      </candidateList>
      <explain/>
      <paraID>7ED4997E</paraID>
      <start>182</start>
      <end>184</end>
      <status>unmodified</status>
      <modifiedWord/>
      <trackRevisions>false</trackRevisions>
    </reviewItem>
    <reviewItem>
      <errorID>29a02843-5f52-4e7c-b87c-19f10fa59983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14E53353</paraID>
      <start>0</start>
      <end>2</end>
      <status>unmodified</status>
      <modifiedWord/>
      <trackRevisions>false</trackRevisions>
    </reviewItem>
    <reviewItem>
      <errorID>7312e389-a6ff-4bf1-9439-226a6b3b82e1</errorID>
      <errorWord>：</errorWord>
      <group>L1_Format</group>
      <groupName>格式问题</groupName>
      <ability>L2_HalfPunc_CN</ability>
      <abilityName>全半角问题</abilityName>
      <candidateList>
        <item>:</item>
      </candidateList>
      <explain>文本全半角错误。</explain>
      <paraID>14E53353</paraID>
      <start>85</start>
      <end>86</end>
      <status>unmodified</status>
      <modifiedWord/>
      <trackRevisions>false</trackRevisions>
    </reviewItem>
    <reviewItem>
      <errorID>be986b88-590c-422e-b4b9-85b49de6180c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17794FEB</paraID>
      <start>0</start>
      <end>2</end>
      <status>unmodified</status>
      <modifiedWord/>
      <trackRevisions>false</trackRevisions>
    </reviewItem>
    <reviewItem>
      <errorID>22e7d7aa-8785-4ffe-a01b-152ccfdf07e7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1B29F3A0</paraID>
      <start>0</start>
      <end>2</end>
      <status>unmodified</status>
      <modifiedWord/>
      <trackRevisions>false</trackRevisions>
    </reviewItem>
    <reviewItem>
      <errorID>3f68d0ad-4c07-411c-9331-edcbcd96518e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1B29F3A0</paraID>
      <start>52</start>
      <end>53</end>
      <status>unmodified</status>
      <modifiedWord/>
      <trackRevisions>false</trackRevisions>
    </reviewItem>
    <reviewItem>
      <errorID>c613d9b9-d901-42dd-a780-5499409ced2b</errorID>
      <errorWord>（</errorWord>
      <group>L1_Format</group>
      <groupName>格式问题</groupName>
      <ability>L2_HalfPunc_CN</ability>
      <abilityName>全半角问题</abilityName>
      <candidateList>
        <item>(</item>
      </candidateList>
      <explain>文本全半角错误。</explain>
      <paraID>1B29F3A0</paraID>
      <start>150</start>
      <end>151</end>
      <status>unmodified</status>
      <modifiedWord/>
      <trackRevisions>false</trackRevisions>
    </reviewItem>
    <reviewItem>
      <errorID>22453125-1b6a-4f38-af14-c48247b5c64b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7EB59DFA</paraID>
      <start>0</start>
      <end>2</end>
      <status>unmodified</status>
      <modifiedWord/>
      <trackRevisions>false</trackRevisions>
    </reviewItem>
    <reviewItem>
      <errorID>259d2070-919a-4382-a9cb-4224064f21e2</errorID>
      <errorWord>进入是</errorWord>
      <group>L1_Word</group>
      <groupName>字词问题</groupName>
      <ability>L2_Typo</ability>
      <abilityName>字词错误</abilityName>
      <candidateList>
        <item>进入</item>
      </candidateList>
      <explain/>
      <paraID>7EB59DFA</paraID>
      <start>79</start>
      <end>81</end>
      <status>modified</status>
      <modifiedWord>进入</modifiedWord>
      <trackRevisions>false</trackRevisions>
    </reviewItem>
    <reviewItem>
      <errorID>ecf52c53-9bfc-4910-a0c1-1087927d3295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58C5AEC0</paraID>
      <start>0</start>
      <end>2</end>
      <status>unmodified</status>
      <modifiedWord/>
      <trackRevisions>false</trackRevisions>
    </reviewItem>
    <reviewItem>
      <errorID>4e24640d-a4b6-405c-adab-9ae643c5adc3</errorID>
      <errorWord>,</errorWord>
      <group>L1_Format</group>
      <groupName>格式问题</groupName>
      <ability>L2_HalfPunc_CN</ability>
      <abilityName>全半角问题</abilityName>
      <candidateList>
        <item>，</item>
      </candidateList>
      <explain>文本全半角错误。</explain>
      <paraID>58C5AEC0</paraID>
      <start>71</start>
      <end>72</end>
      <status>unmodified</status>
      <modifiedWord/>
      <trackRevisions>false</trackRevisions>
    </reviewItem>
    <reviewItem>
      <errorID>f6303552-0787-4a6d-852d-3bbf5bd4b7db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792B0A84</paraID>
      <start>1</start>
      <end>3</end>
      <status>unmodified</status>
      <modifiedWord/>
      <trackRevisions>false</trackRevisions>
    </reviewItem>
    <reviewItem>
      <errorID>045921c4-1f43-4013-8b93-d6b373e41dca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3613993</paraID>
      <start>1</start>
      <end>3</end>
      <status>unmodified</status>
      <modifiedWord/>
      <trackRevisions>false</trackRevisions>
    </reviewItem>
    <reviewItem>
      <errorID>613c6fa1-ff20-4cc9-bc27-4c57a6df5497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29CE8237</paraID>
      <start>0</start>
      <end>2</end>
      <status>unmodified</status>
      <modifiedWord/>
      <trackRevisions>false</trackRevisions>
    </reviewItem>
    <reviewItem>
      <errorID>67f4e2b7-7e20-4a78-a077-785b25bb2c42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58F706A7</paraID>
      <start>0</start>
      <end>2</end>
      <status>unmodified</status>
      <modifiedWord/>
      <trackRevisions>false</trackRevisions>
    </reviewItem>
    <reviewItem>
      <errorID>bc473537-3e0a-4bbf-853a-0b3cde3a1261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21D7FF2A</paraID>
      <start>0</start>
      <end>2</end>
      <status>unmodified</status>
      <modifiedWord/>
      <trackRevisions>false</trackRevisions>
    </reviewItem>
    <reviewItem>
      <errorID>2f144a42-9f18-42c3-a1f3-910f2ed9a9ec</errorID>
      <errorWord>(</errorWord>
      <group>L1_Format</group>
      <groupName>格式问题</groupName>
      <ability>L2_HalfPunc_CN</ability>
      <abilityName>全半角问题</abilityName>
      <candidateList>
        <item>（</item>
      </candidateList>
      <explain>文本全半角错误。</explain>
      <paraID>4374486E</paraID>
      <start>3</start>
      <end>4</end>
      <status>unmodified</status>
      <modifiedWord/>
      <trackRevisions>false</trackRevisions>
    </reviewItem>
    <reviewItem>
      <errorID>ceb57be2-44b0-492f-af88-2b5d84e225a7</errorID>
      <errorWord>)</errorWord>
      <group>L1_Format</group>
      <groupName>格式问题</groupName>
      <ability>L2_HalfPunc_CN</ability>
      <abilityName>全半角问题</abilityName>
      <candidateList>
        <item>）</item>
      </candidateList>
      <explain>文本全半角错误。</explain>
      <paraID>4374486E</paraID>
      <start>8</start>
      <end>9</end>
      <status>unmodified</status>
      <modifiedWord/>
      <trackRevisions>false</trackRevisions>
    </reviewItem>
    <reviewItem>
      <errorID>391e7aa9-56a6-4bbe-b810-63b77b696802</errorID>
      <errorWord>-</errorWord>
      <group>L1_Format</group>
      <groupName>格式问题</groupName>
      <ability>L2_HalfPunc_CN</ability>
      <abilityName>全半角问题</abilityName>
      <candidateList>
        <item>－</item>
      </candidateList>
      <explain>文本全半角错误。</explain>
      <paraID>2B89F3D5</paraID>
      <start>3</start>
      <end>4</end>
      <status>unmodified</status>
      <modifiedWord/>
      <trackRevisions>false</trackRevisions>
    </reviewItem>
    <reviewItem>
      <errorID>3a365d72-4509-45fe-9029-10314927d7a9</errorID>
      <errorWord>-</errorWord>
      <group>L1_Format</group>
      <groupName>格式问题</groupName>
      <ability>L2_HalfPunc_CN</ability>
      <abilityName>全半角问题</abilityName>
      <candidateList>
        <item>－</item>
      </candidateList>
      <explain>文本全半角错误。</explain>
      <paraID> A71F9FA</paraID>
      <start>3</start>
      <end>4</end>
      <status>unmodified</status>
      <modifiedWord/>
      <trackRevisions>false</trackRevisions>
    </reviewItem>
    <reviewItem>
      <errorID>f62883d1-b479-4708-9200-2eef86991da6</errorID>
      <errorWord>-</errorWord>
      <group>L1_Format</group>
      <groupName>格式问题</groupName>
      <ability>L2_HalfPunc_CN</ability>
      <abilityName>全半角问题</abilityName>
      <candidateList>
        <item>－</item>
      </candidateList>
      <explain>文本全半角错误。</explain>
      <paraID>34B1FEC3</paraID>
      <start>4</start>
      <end>5</end>
      <status>unmodified</status>
      <modifiedWord/>
      <trackRevisions>false</trackRevisions>
    </reviewItem>
    <reviewItem>
      <errorID>309e4df8-0b00-4d06-a58d-8cf60543a399</errorID>
      <errorWord>-</errorWord>
      <group>L1_Format</group>
      <groupName>格式问题</groupName>
      <ability>L2_HalfPunc_CN</ability>
      <abilityName>全半角问题</abilityName>
      <candidateList>
        <item>－</item>
      </candidateList>
      <explain>文本全半角错误。</explain>
      <paraID>51244684</paraID>
      <start>3</start>
      <end>4</end>
      <status>unmodified</status>
      <modifiedWord/>
      <trackRevisions>false</trackRevisions>
    </reviewItem>
    <reviewItem>
      <errorID>4097820f-5763-40d7-8d84-aca6d697a3ea</errorID>
      <errorWord>-</errorWord>
      <group>L1_Format</group>
      <groupName>格式问题</groupName>
      <ability>L2_HalfPunc_CN</ability>
      <abilityName>全半角问题</abilityName>
      <candidateList>
        <item>－</item>
      </candidateList>
      <explain>文本全半角错误。</explain>
      <paraID> 99A00A8</paraID>
      <start>8</start>
      <end>9</end>
      <status>unmodified</status>
      <modifiedWord/>
      <trackRevisions>false</trackRevisions>
    </reviewItem>
    <reviewItem>
      <errorID>a27c1b1f-ac41-4d5a-bd2c-ac5045ff6023</errorID>
      <errorWord>-</errorWord>
      <group>L1_Format</group>
      <groupName>格式问题</groupName>
      <ability>L2_HalfPunc_CN</ability>
      <abilityName>全半角问题</abilityName>
      <candidateList>
        <item>－</item>
      </candidateList>
      <explain>文本全半角错误。</explain>
      <paraID>26B49B61</paraID>
      <start>3</start>
      <end>4</end>
      <status>unmodified</status>
      <modifiedWord/>
      <trackRevisions>false</trackRevisions>
    </reviewItem>
    <reviewItem>
      <errorID>711f4e16-4a29-4f3f-9ba7-7cda1a391881</errorID>
      <errorWord>-</errorWord>
      <group>L1_Format</group>
      <groupName>格式问题</groupName>
      <ability>L2_HalfPunc_CN</ability>
      <abilityName>全半角问题</abilityName>
      <candidateList>
        <item>－</item>
      </candidateList>
      <explain>文本全半角错误。</explain>
      <paraID>70927CDE</paraID>
      <start>3</start>
      <end>4</end>
      <status>unmodified</status>
      <modifiedWord/>
      <trackRevisions>false</trackRevisions>
    </reviewItem>
    <reviewItem>
      <errorID>0e457c91-6ac5-41ab-b06a-5a0c8510b678</errorID>
      <errorWord>具区</errorWord>
      <group>L1_Word</group>
      <groupName>字词问题</groupName>
      <ability>L2_Typo</ability>
      <abilityName>字词错误</abilityName>
      <candidateList>
        <item>库区</item>
      </candidateList>
      <explain>存在发音相近字词的误用。</explain>
      <paraID>6616CE47</paraID>
      <start>0</start>
      <end>2</end>
      <status>unmodified</status>
      <modifiedWord/>
      <trackRevisions>false</trackRevisions>
    </reviewItem>
    <reviewItem>
      <errorID>6a361eef-e3a6-4f46-8c89-13a465c35be2</errorID>
      <errorWord>-</errorWord>
      <group>L1_Format</group>
      <groupName>格式问题</groupName>
      <ability>L2_HalfPunc_CN</ability>
      <abilityName>全半角问题</abilityName>
      <candidateList>
        <item>－</item>
      </candidateList>
      <explain>文本全半角错误。</explain>
      <paraID> 9539D44</paraID>
      <start>2</start>
      <end>3</end>
      <status>unmodified</status>
      <modifiedWord/>
      <trackRevisions>false</trackRevisions>
    </reviewItem>
    <reviewItem>
      <errorID>4924f6ce-46cc-4758-92d4-c2030274dec3</errorID>
      <errorWord>(</errorWord>
      <group>L1_Format</group>
      <groupName>格式问题</groupName>
      <ability>L2_HalfPunc_CN</ability>
      <abilityName>全半角问题</abilityName>
      <candidateList>
        <item>（</item>
      </candidateList>
      <explain>文本全半角错误。</explain>
      <paraID>78FE8FD6</paraID>
      <start>3</start>
      <end>4</end>
      <status>unmodified</status>
      <modifiedWord/>
      <trackRevisions>false</trackRevisions>
    </reviewItem>
    <reviewItem>
      <errorID>3200aa70-6f77-4d9e-8856-e4da0fd75157</errorID>
      <errorWord>)</errorWord>
      <group>L1_Format</group>
      <groupName>格式问题</groupName>
      <ability>L2_HalfPunc_CN</ability>
      <abilityName>全半角问题</abilityName>
      <candidateList>
        <item>）</item>
      </candidateList>
      <explain>文本全半角错误。</explain>
      <paraID>78FE8FD6</paraID>
      <start>8</start>
      <end>9</end>
      <status>unmodified</status>
      <modifiedWord/>
      <trackRevisions>false</trackRevisions>
    </reviewItem>
    <reviewItem>
      <errorID>7cc720f3-054a-43b1-b42b-981246813d3a</errorID>
      <errorWord>河</errorWord>
      <group>L1_Word</group>
      <groupName>字词问题</groupName>
      <ability>L2_Typo</ability>
      <abilityName>字词错误</abilityName>
      <candidateList>
        <item>河道</item>
      </candidateList>
      <explain/>
      <paraID>58E1102F</paraID>
      <start>30</start>
      <end>31</end>
      <status>unmodified</status>
      <modifiedWord/>
      <trackRevisions>false</trackRevisions>
    </reviewItem>
    <reviewItem>
      <errorID>d01f73da-6012-4410-abb7-87a8b466ba01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7D3EAB4B</paraID>
      <start>0</start>
      <end>2</end>
      <status>unmodified</status>
      <modifiedWord/>
      <trackRevisions>false</trackRevisions>
    </reviewItem>
    <reviewItem>
      <errorID>7fefc798-883b-44e0-ac43-b2a44998eb87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1B2B1DEC</paraID>
      <start>0</start>
      <end>2</end>
      <status>unmodified</status>
      <modifiedWord/>
      <trackRevisions>false</trackRevisions>
    </reviewItem>
    <reviewItem>
      <errorID>f3dccd18-aeba-4083-8a53-a2d716d6fe24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22BED048</paraID>
      <start>0</start>
      <end>2</end>
      <status>unmodified</status>
      <modifiedWord/>
      <trackRevisions>false</trackRevisions>
    </reviewItem>
    <reviewItem>
      <errorID>34397152-6116-41a5-a747-2c12fbece92c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6AF9026</paraID>
      <start>0</start>
      <end>2</end>
      <status>unmodified</status>
      <modifiedWord/>
      <trackRevisions>false</trackRevisions>
    </reviewItem>
    <reviewItem>
      <errorID>a585cb40-07ba-444d-bd99-476867e748b7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62BAB566</paraID>
      <start>0</start>
      <end>2</end>
      <status>unmodified</status>
      <modifiedWord/>
      <trackRevisions>false</trackRevisions>
    </reviewItem>
    <reviewItem>
      <errorID>9fde7c86-d46c-411d-a0ee-2e472c77bf1e</errorID>
      <errorWord>年度</errorWord>
      <group>L1_Word</group>
      <groupName>字词问题</groupName>
      <ability>L2_Typo</ability>
      <abilityName>字词错误</abilityName>
      <candidateList>
        <item>年</item>
      </candidateList>
      <explain/>
      <paraID>197DA02B</paraID>
      <start>52</start>
      <end>54</end>
      <status>unmodified</status>
      <modifiedWord/>
      <trackRevisions>false</trackRevisions>
    </reviewItem>
    <reviewItem>
      <errorID>092011f9-9965-4cbf-8dad-cd80d8f5ff21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6663B391</paraID>
      <start>0</start>
      <end>2</end>
      <status>unmodified</status>
      <modifiedWord/>
      <trackRevisions>false</trackRevisions>
    </reviewItem>
    <reviewItem>
      <errorID>e4adbf1c-6ed1-47e2-9715-4f32dcb05f2a</errorID>
      <errorWord>,</errorWord>
      <group>L1_Format</group>
      <groupName>格式问题</groupName>
      <ability>L2_HalfPunc_CN</ability>
      <abilityName>全半角问题</abilityName>
      <candidateList>
        <item>，</item>
      </candidateList>
      <explain>文本全半角错误。</explain>
      <paraID>63D79569</paraID>
      <start>64</start>
      <end>65</end>
      <status>unmodified</status>
      <modifiedWord/>
      <trackRevisions>false</trackRevisions>
    </reviewItem>
    <reviewItem>
      <errorID>5f6884cf-0e7f-4fa8-8fe6-f3c230fcf3e0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65A99B9E</paraID>
      <start>0</start>
      <end>2</end>
      <status>unmodified</status>
      <modifiedWord/>
      <trackRevisions>false</trackRevisions>
    </reviewItem>
    <reviewItem>
      <errorID>000ed7aa-4817-44af-86e3-295e57c8f10e</errorID>
      <errorWord>:</errorWord>
      <group>L1_Format</group>
      <groupName>格式问题</groupName>
      <ability>L2_HalfPunc_CN</ability>
      <abilityName>全半角问题</abilityName>
      <candidateList>
        <item>：</item>
      </candidateList>
      <explain>文本全半角错误。</explain>
      <paraID>65A99B9E</paraID>
      <start>75</start>
      <end>76</end>
      <status>unmodified</status>
      <modifiedWord/>
      <trackRevisions>false</trackRevisions>
    </reviewItem>
    <reviewItem>
      <errorID>a332653a-bd57-4c27-8f5e-b86f62d725bc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69B45C0C</paraID>
      <start>0</start>
      <end>2</end>
      <status>unmodified</status>
      <modifiedWord/>
      <trackRevisions>false</trackRevisions>
    </reviewItem>
    <reviewItem>
      <errorID>4f245596-08ae-4cc0-be08-fe40392a8fb9</errorID>
      <errorWord>:</errorWord>
      <group>L1_Format</group>
      <groupName>格式问题</groupName>
      <ability>L2_HalfPunc_CN</ability>
      <abilityName>全半角问题</abilityName>
      <candidateList>
        <item>：</item>
      </candidateList>
      <explain>文本全半角错误。</explain>
      <paraID>69B45C0C</paraID>
      <start>57</start>
      <end>58</end>
      <status>unmodified</status>
      <modifiedWord/>
      <trackRevisions>false</trackRevisions>
    </reviewItem>
    <reviewItem>
      <errorID>96ee9eb5-321e-4cf9-b9c4-596188457fb5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69321D43</paraID>
      <start>0</start>
      <end>2</end>
      <status>unmodified</status>
      <modifiedWord/>
      <trackRevisions>false</trackRevisions>
    </reviewItem>
    <reviewItem>
      <errorID>64780bc6-18dc-4808-a166-a6860612717b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32860C24</paraID>
      <start>0</start>
      <end>2</end>
      <status>unmodified</status>
      <modifiedWord/>
      <trackRevisions>false</trackRevisions>
    </reviewItem>
    <reviewItem>
      <errorID>e81a84c3-e7f3-45d5-a470-2c306385a167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1536C9DA</paraID>
      <start>0</start>
      <end>2</end>
      <status>unmodified</status>
      <modifiedWord/>
      <trackRevisions>false</trackRevisions>
    </reviewItem>
    <reviewItem>
      <errorID>54872cbb-1752-4b97-a9eb-a49615f97b8a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494619C7</paraID>
      <start>0</start>
      <end>2</end>
      <status>unmodified</status>
      <modifiedWord/>
      <trackRevisions>false</trackRevisions>
    </reviewItem>
    <reviewItem>
      <errorID>742da663-4178-4eba-9dc2-7ca7dddad46e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3F45E4E</paraID>
      <start>0</start>
      <end>2</end>
      <status>unmodified</status>
      <modifiedWord/>
      <trackRevisions>false</trackRevisions>
    </reviewItem>
    <reviewItem>
      <errorID>4b19c464-4d87-4278-8ab7-9374bded4855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50DDC6F</paraID>
      <start>0</start>
      <end>2</end>
      <status>unmodified</status>
      <modifiedWord/>
      <trackRevisions>false</trackRevisions>
    </reviewItem>
    <reviewItem>
      <errorID>1a09128c-f815-425c-bfc5-9444a3f923ad</errorID>
      <errorWord>年度</errorWord>
      <group>L1_Word</group>
      <groupName>字词问题</groupName>
      <ability>L2_Typo</ability>
      <abilityName>字词错误</abilityName>
      <candidateList>
        <item>年</item>
      </candidateList>
      <explain/>
      <paraID> 50DDC6F</paraID>
      <start>54</start>
      <end>56</end>
      <status>unmodified</status>
      <modifiedWord/>
      <trackRevisions>false</trackRevisions>
    </reviewItem>
    <reviewItem>
      <errorID>e61a823a-03f9-480d-91a7-56bbbe7d806a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20507884</paraID>
      <start>0</start>
      <end>2</end>
      <status>unmodified</status>
      <modifiedWord/>
      <trackRevisions>false</trackRevisions>
    </reviewItem>
    <reviewItem>
      <errorID>2d986817-c710-4255-bf2f-cfd0088c8f53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79944771</paraID>
      <start>0</start>
      <end>2</end>
      <status>unmodified</status>
      <modifiedWord/>
      <trackRevisions>false</trackRevisions>
    </reviewItem>
    <reviewItem>
      <errorID>d97e951c-9fb0-4f41-a08b-7dfa79b3d409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20E4BD21</paraID>
      <start>0</start>
      <end>2</end>
      <status>unmodified</status>
      <modifiedWord/>
      <trackRevisions>false</trackRevisions>
    </reviewItem>
    <reviewItem>
      <errorID>1cae6b70-06f6-400b-b446-f6ff936420b6</errorID>
      <errorWord>功能性</errorWord>
      <group>L1_Word</group>
      <groupName>字词问题</groupName>
      <ability>L2_Typo</ability>
      <abilityName>字词错误</abilityName>
      <candidateList>
        <item>功能</item>
      </candidateList>
      <explain/>
      <paraID>4AFAD55C</paraID>
      <start>27</start>
      <end>29</end>
      <status>modified</status>
      <modifiedWord>功能</modifiedWord>
      <trackRevisions>false</trackRevisions>
    </reviewItem>
    <reviewItem>
      <errorID>fa17793d-c047-4f4e-a23f-7f2cfb4b34a0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1AD0B137</paraID>
      <start>0</start>
      <end>2</end>
      <status>unmodified</status>
      <modifiedWord/>
      <trackRevisions>false</trackRevisions>
    </reviewItem>
    <reviewItem>
      <errorID>130ebbb3-435b-4e55-80dd-20b14b1ca0f3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27D5985</paraID>
      <start>0</start>
      <end>2</end>
      <status>unmodified</status>
      <modifiedWord/>
      <trackRevisions>false</trackRevisions>
    </reviewItem>
    <reviewItem>
      <errorID>43210f31-0ba6-4127-965c-5528a8b244ae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EEF0815</paraID>
      <start>0</start>
      <end>2</end>
      <status>unmodified</status>
      <modifiedWord/>
      <trackRevisions>false</trackRevisions>
    </reviewItem>
    <reviewItem>
      <errorID>1d31b67a-0c86-47e8-aad9-2f6b4b5e775c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50A4E4EE</paraID>
      <start>0</start>
      <end>2</end>
      <status>unmodified</status>
      <modifiedWord/>
      <trackRevisions>false</trackRevisions>
    </reviewItem>
    <reviewItem>
      <errorID>a74ea61e-6e85-4b35-907c-146702901156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C0C7778</paraID>
      <start>0</start>
      <end>2</end>
      <status>unmodified</status>
      <modifiedWord/>
      <trackRevisions>false</trackRevisions>
    </reviewItem>
    <reviewItem>
      <errorID>7cd8ad04-911e-48bd-9c7c-5b10bfa29469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55ADB0F7</paraID>
      <start>0</start>
      <end>2</end>
      <status>unmodified</status>
      <modifiedWord/>
      <trackRevisions>false</trackRevisions>
    </reviewItem>
    <reviewItem>
      <errorID>eafc2822-4ded-4518-808c-194fdd2a77af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60E9D38F</paraID>
      <start>0</start>
      <end>2</end>
      <status>unmodified</status>
      <modifiedWord/>
      <trackRevisions>false</trackRevisions>
    </reviewItem>
    <reviewItem>
      <errorID>2d06fd35-81af-48bf-a98e-02ab7b80c176</errorID>
      <errorWord>:</errorWord>
      <group>L1_Format</group>
      <groupName>格式问题</groupName>
      <ability>L2_HalfPunc_CN</ability>
      <abilityName>全半角问题</abilityName>
      <candidateList>
        <item>：</item>
      </candidateList>
      <explain>文本全半角错误。</explain>
      <paraID>60E9D38F</paraID>
      <start>70</start>
      <end>71</end>
      <status>unmodified</status>
      <modifiedWord/>
      <trackRevisions>false</trackRevisions>
    </reviewItem>
    <reviewItem>
      <errorID>35ce8074-8ff3-4693-a3a9-c938edeee7cf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3F22ACC0</paraID>
      <start>0</start>
      <end>2</end>
      <status>unmodified</status>
      <modifiedWord/>
      <trackRevisions>false</trackRevisions>
    </reviewItem>
    <reviewItem>
      <errorID>2e354722-a1df-4d9f-be11-1e47592dea93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2A78D1F5</paraID>
      <start>0</start>
      <end>2</end>
      <status>unmodified</status>
      <modifiedWord/>
      <trackRevisions>false</trackRevisions>
    </reviewItem>
    <reviewItem>
      <errorID>4e6fb6b3-ff73-42b7-ad36-37b645644809</errorID>
      <errorWord>，</errorWord>
      <group>L1_Word</group>
      <groupName>字词问题</groupName>
      <ability>L2_Typo</ability>
      <abilityName>字词错误</abilityName>
      <candidateList>
        <item>，对</item>
      </candidateList>
      <explain/>
      <paraID>51BE2A46</paraID>
      <start>141</start>
      <end>142</end>
      <status>unmodified</status>
      <modifiedWord/>
      <trackRevisions>false</trackRevisions>
    </reviewItem>
    <reviewItem>
      <errorID>01820cc2-124b-4920-a567-fe3079ee9fba</errorID>
      <errorWord>，</errorWord>
      <group>L1_Word</group>
      <groupName>字词问题</groupName>
      <ability>L2_Typo</ability>
      <abilityName>字词错误</abilityName>
      <candidateList>
        <item>，对</item>
      </candidateList>
      <explain/>
      <paraID> 5406540</paraID>
      <start>141</start>
      <end>142</end>
      <status>unmodified</status>
      <modifiedWord/>
      <trackRevisions>false</trackRevisions>
    </reviewItem>
    <reviewItem>
      <errorID>24ce78ea-601d-4138-8e1f-2130450e6d5c</errorID>
      <errorWord>，</errorWord>
      <group>L1_Word</group>
      <groupName>字词问题</groupName>
      <ability>L2_Typo</ability>
      <abilityName>字词错误</abilityName>
      <candidateList>
        <item>，对</item>
      </candidateList>
      <explain/>
      <paraID>490C6C85</paraID>
      <start>156</start>
      <end>157</end>
      <status>unmodified</status>
      <modifiedWord/>
      <trackRevisions>false</trackRevisions>
    </reviewItem>
    <reviewItem>
      <errorID>dbeff554-4199-4f2e-98bf-b8af5ae23c75</errorID>
      <errorWord>、</errorWord>
      <group>L1_Word</group>
      <groupName>字词问题</groupName>
      <ability>L2_Typo</ability>
      <abilityName>字词错误</abilityName>
      <candidateList>
        <item>、有</item>
      </candidateList>
      <explain/>
      <paraID>55766B46</paraID>
      <start>53</start>
      <end>54</end>
      <status>unmodified</status>
      <modifiedWord/>
      <trackRevisions>false</trackRevisions>
    </reviewItem>
    <reviewItem>
      <errorID>4c974451-50ec-4d03-84ca-76dc80322681</errorID>
      <errorWord>马夹</errorWord>
      <group>L1_Word</group>
      <groupName>字词问题</groupName>
      <ability>L2_Typo</ability>
      <abilityName>字词错误</abilityName>
      <candidateList>
        <item>马甲</item>
      </candidateList>
      <explain/>
      <paraID>2469F2F7</paraID>
      <start>27</start>
      <end>29</end>
      <status>modified</status>
      <modifiedWord>马甲</modifiedWord>
      <trackRevisions>false</trackRevisions>
    </reviewItem>
    <reviewItem>
      <errorID>b7648149-eb39-4728-b0a6-65d1c1eadc89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260185F0</paraID>
      <start>24</start>
      <end>25</end>
      <status>unmodified</status>
      <modifiedWord/>
      <trackRevisions>false</trackRevisions>
    </reviewItem>
    <reviewItem>
      <errorID>70f67b13-5626-40bc-ad04-a94e7a2bb677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260185F0</paraID>
      <start>52</start>
      <end>53</end>
      <status>unmodified</status>
      <modifiedWord/>
      <trackRevisions>false</trackRevisions>
    </reviewItem>
    <reviewItem>
      <errorID>5a09e93e-348e-44fd-b730-9d3fb0777895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260185F0</paraID>
      <start>94</start>
      <end>95</end>
      <status>unmodified</status>
      <modifiedWord/>
      <trackRevisions>false</trackRevisions>
    </reviewItem>
    <reviewItem>
      <errorID>1902cf31-b98f-4966-93a4-d35c39966b46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198FB5D6</paraID>
      <start>0</start>
      <end>2</end>
      <status>unmodified</status>
      <modifiedWord/>
      <trackRevisions>false</trackRevisions>
    </reviewItem>
    <reviewItem>
      <errorID>5a2f67a4-d206-4f09-b30b-0dbd1a741efa</errorID>
      <errorWord>(</errorWord>
      <group>L1_Format</group>
      <groupName>格式问题</groupName>
      <ability>L2_HalfPunc_CN</ability>
      <abilityName>全半角问题</abilityName>
      <candidateList>
        <item>（</item>
      </candidateList>
      <explain>文本全半角错误。</explain>
      <paraID> A6AE933</paraID>
      <start>14</start>
      <end>15</end>
      <status>unmodified</status>
      <modifiedWord/>
      <trackRevisions>false</trackRevisions>
    </reviewItem>
    <reviewItem>
      <errorID>a4e82c12-ff42-46d6-b22c-c0330ab5c41b</errorID>
      <errorWord>)</errorWord>
      <group>L1_Format</group>
      <groupName>格式问题</groupName>
      <ability>L2_HalfPunc_CN</ability>
      <abilityName>全半角问题</abilityName>
      <candidateList>
        <item>）</item>
      </candidateList>
      <explain>文本全半角错误。</explain>
      <paraID> A6AE933</paraID>
      <start>34</start>
      <end>35</end>
      <status>unmodified</status>
      <modifiedWord/>
      <trackRevisions>false</trackRevisions>
    </reviewItem>
    <reviewItem>
      <errorID>b4eeac83-df0f-433f-85ec-932910846910</errorID>
      <errorWord>劣五类</errorWord>
      <group>L1_Word</group>
      <groupName>字词问题</groupName>
      <ability>L2_Typo</ability>
      <abilityName>字词错误</abilityName>
      <candidateList>
        <item>劣Ⅴ类</item>
      </candidateList>
      <explain/>
      <paraID>6774582F</paraID>
      <start>39</start>
      <end>42</end>
      <status>unmodified</status>
      <modifiedWord/>
      <trackRevisions>false</trackRevisions>
    </reviewItem>
    <reviewItem>
      <errorID>04a74131-fed2-4ca9-aa2e-c511ab2619e3</errorID>
      <errorWord>劣五类</errorWord>
      <group>L1_Word</group>
      <groupName>字词问题</groupName>
      <ability>L2_Typo</ability>
      <abilityName>字词错误</abilityName>
      <candidateList>
        <item>劣Ⅴ类</item>
      </candidateList>
      <explain/>
      <paraID>7567E53A</paraID>
      <start>47</start>
      <end>50</end>
      <status>unmodified</status>
      <modifiedWord/>
      <trackRevisions>false</trackRevisions>
    </reviewItem>
    <reviewItem>
      <errorID>3ee5dc8c-646b-4ceb-8a1c-65a6665dfe7d</errorID>
      <errorWord>劣五类</errorWord>
      <group>L1_Word</group>
      <groupName>字词问题</groupName>
      <ability>L2_Typo</ability>
      <abilityName>字词错误</abilityName>
      <candidateList>
        <item>劣Ⅴ类</item>
      </candidateList>
      <explain/>
      <paraID>2DD1E053</paraID>
      <start>28</start>
      <end>31</end>
      <status>unmodified</status>
      <modifiedWord/>
      <trackRevisions>false</trackRevisions>
    </reviewItem>
    <reviewItem>
      <errorID>32b7af8f-3a12-4098-bad2-8cf207b33c34</errorID>
      <errorWord>劣五类</errorWord>
      <group>L1_Word</group>
      <groupName>字词问题</groupName>
      <ability>L2_Typo</ability>
      <abilityName>字词错误</abilityName>
      <candidateList>
        <item>劣Ⅴ类</item>
      </candidateList>
      <explain/>
      <paraID>6797AC89</paraID>
      <start>37</start>
      <end>40</end>
      <status>unmodified</status>
      <modifiedWord/>
      <trackRevisions>false</trackRevisions>
    </reviewItem>
    <reviewItem>
      <errorID>88a53911-913d-4202-9784-496caef8ee09</errorID>
      <errorWord>方</errorWord>
      <group>L1_Word</group>
      <groupName>字词问题</groupName>
      <ability>L2_Typo</ability>
      <abilityName>字词错误</abilityName>
      <candidateList>
        <item>方米</item>
      </candidateList>
      <explain/>
      <paraID>7B6DABEC</paraID>
      <start>9</start>
      <end>11</end>
      <status>modified</status>
      <modifiedWord>方米</modifiedWord>
      <trackRevisions>false</trackRevisions>
    </reviewItem>
    <reviewItem>
      <errorID>b333d925-2bc4-4c69-8c4c-677b3e4a3187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4C168B13</paraID>
      <start>21</start>
      <end>22</end>
      <status>unmodified</status>
      <modifiedWord/>
      <trackRevisions>false</trackRevisions>
    </reviewItem>
    <reviewItem>
      <errorID>815423ad-59ee-496e-b60d-4777afc0c887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4C168B13</paraID>
      <start>49</start>
      <end>50</end>
      <status>unmodified</status>
      <modifiedWord/>
      <trackRevisions>false</trackRevisions>
    </reviewItem>
    <reviewItem>
      <errorID>a040a9bf-2624-48ea-8527-50417ec05e6b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4C168B13</paraID>
      <start>90</start>
      <end>91</end>
      <status>unmodified</status>
      <modifiedWord/>
      <trackRevisions>false</trackRevisions>
    </reviewItem>
    <reviewItem>
      <errorID>2c945ff8-017b-4626-a06f-02d15fddeb98</errorID>
      <errorWord>"</errorWord>
      <group>L1_Format</group>
      <groupName>格式问题</groupName>
      <ability>L2_HalfPunc_CN</ability>
      <abilityName>全半角问题</abilityName>
      <candidateList>
        <item>“</item>
      </candidateList>
      <explain>文本全半角错误。</explain>
      <paraID>6974A64E</paraID>
      <start>26</start>
      <end>27</end>
      <status>unmodified</status>
      <modifiedWord/>
      <trackRevisions>false</trackRevisions>
    </reviewItem>
    <reviewItem>
      <errorID>5448c637-a4cb-4b2c-9379-aca1079ba5cf</errorID>
      <errorWord>"</errorWord>
      <group>L1_Format</group>
      <groupName>格式问题</groupName>
      <ability>L2_HalfPunc_CN</ability>
      <abilityName>全半角问题</abilityName>
      <candidateList>
        <item>”</item>
      </candidateList>
      <explain>文本全半角错误。</explain>
      <paraID>6974A64E</paraID>
      <start>31</start>
      <end>32</end>
      <status>unmodified</status>
      <modifiedWord/>
      <trackRevisions>false</trackRevisions>
    </reviewItem>
    <reviewItem>
      <errorID>8b3aa365-d712-4699-9e5c-7d91a5ed3701</errorID>
      <errorWord>(</errorWord>
      <group>L1_Format</group>
      <groupName>格式问题</groupName>
      <ability>L2_HalfPunc_CN</ability>
      <abilityName>全半角问题</abilityName>
      <candidateList>
        <item>（</item>
      </candidateList>
      <explain>文本全半角错误。</explain>
      <paraID>3F92735A</paraID>
      <start>18</start>
      <end>19</end>
      <status>unmodified</status>
      <modifiedWord/>
      <trackRevisions>false</trackRevisions>
    </reviewItem>
    <reviewItem>
      <errorID>7058daf3-4577-4db4-ba2c-2c43d2f16881</errorID>
      <errorWord>)</errorWord>
      <group>L1_Format</group>
      <groupName>格式问题</groupName>
      <ability>L2_HalfPunc_CN</ability>
      <abilityName>全半角问题</abilityName>
      <candidateList>
        <item>）</item>
      </candidateList>
      <explain>文本全半角错误。</explain>
      <paraID>3F92735A</paraID>
      <start>38</start>
      <end>39</end>
      <status>unmodified</status>
      <modifiedWord/>
      <trackRevisions>false</trackRevisions>
    </reviewItem>
    <reviewItem>
      <errorID>82bbbe14-7fb4-44d4-bf84-2cc1c73d5b2a</errorID>
      <errorWord>劣五类</errorWord>
      <group>L1_Word</group>
      <groupName>字词问题</groupName>
      <ability>L2_Typo</ability>
      <abilityName>字词错误</abilityName>
      <candidateList>
        <item>劣Ⅴ类</item>
      </candidateList>
      <explain/>
      <paraID>691A4DB4</paraID>
      <start>39</start>
      <end>42</end>
      <status>unmodified</status>
      <modifiedWord/>
      <trackRevisions>false</trackRevisions>
    </reviewItem>
    <reviewItem>
      <errorID>665082fc-feac-4be6-aa64-7e00988568f8</errorID>
      <errorWord>劣五类</errorWord>
      <group>L1_Word</group>
      <groupName>字词问题</groupName>
      <ability>L2_Typo</ability>
      <abilityName>字词错误</abilityName>
      <candidateList>
        <item>劣Ⅴ类</item>
      </candidateList>
      <explain/>
      <paraID>3123E4BC</paraID>
      <start>47</start>
      <end>50</end>
      <status>unmodified</status>
      <modifiedWord/>
      <trackRevisions>false</trackRevisions>
    </reviewItem>
    <reviewItem>
      <errorID>afdf1b36-5346-4c13-b1eb-35eebb727970</errorID>
      <errorWord>劣五类</errorWord>
      <group>L1_Word</group>
      <groupName>字词问题</groupName>
      <ability>L2_Typo</ability>
      <abilityName>字词错误</abilityName>
      <candidateList>
        <item>劣Ⅴ类</item>
      </candidateList>
      <explain/>
      <paraID>490ABAD1</paraID>
      <start>28</start>
      <end>31</end>
      <status>unmodified</status>
      <modifiedWord/>
      <trackRevisions>false</trackRevisions>
    </reviewItem>
    <reviewItem>
      <errorID>57aac9c9-0af7-4cd1-a855-87ef728e871d</errorID>
      <errorWord>劣五类</errorWord>
      <group>L1_Word</group>
      <groupName>字词问题</groupName>
      <ability>L2_Typo</ability>
      <abilityName>字词错误</abilityName>
      <candidateList>
        <item>劣Ⅴ类</item>
      </candidateList>
      <explain/>
      <paraID>3BADB872</paraID>
      <start>37</start>
      <end>40</end>
      <status>unmodified</status>
      <modifiedWord/>
      <trackRevisions>false</trackRevisions>
    </reviewItem>
    <reviewItem>
      <errorID>a040b0f7-874f-4d68-8c5d-e709faa8283e</errorID>
      <errorWord>，</errorWord>
      <group>L1_Word</group>
      <groupName>字词问题</groupName>
      <ability>L2_Typo</ability>
      <abilityName>字词错误</abilityName>
      <candidateList>
        <item>，在</item>
      </candidateList>
      <explain/>
      <paraID>632AB08F</paraID>
      <start>26</start>
      <end>27</end>
      <status>unmodified</status>
      <modifiedWord/>
      <trackRevisions>false</trackRevisions>
    </reviewItem>
    <reviewItem>
      <errorID>0d918848-af5a-4be9-9dd1-6ce719dd246a</errorID>
      <errorWord>，</errorWord>
      <group>L1_Word</group>
      <groupName>字词问题</groupName>
      <ability>L2_Typo</ability>
      <abilityName>字词错误</abilityName>
      <candidateList>
        <item>，在</item>
      </candidateList>
      <explain/>
      <paraID>77C4438D</paraID>
      <start>20</start>
      <end>21</end>
      <status>unmodified</status>
      <modifiedWord/>
      <trackRevisions>false</trackRevisions>
    </reviewItem>
    <reviewItem>
      <errorID>592eb52d-f92a-4c5f-a626-078dd20a3d0a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6442701E</paraID>
      <start>2</start>
      <end>3</end>
      <status>unmodified</status>
      <modifiedWord/>
      <trackRevisions>false</trackRevisions>
    </reviewItem>
    <reviewItem>
      <errorID>a8a7e5fe-7499-4469-bfbc-0cec508818b8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5378FA4D</paraID>
      <start>2</start>
      <end>3</end>
      <status>unmodified</status>
      <modifiedWord/>
      <trackRevisions>false</trackRevisions>
    </reviewItem>
    <reviewItem>
      <errorID>3d65cc3a-7f72-4c23-8e32-dd95d81ab801</errorID>
      <errorWord>其它</errorWord>
      <group>L1_Word</group>
      <groupName>字词问题</groupName>
      <ability>L2_Alias</ability>
      <abilityName>也作/曾用词</abilityName>
      <candidateList>
        <item>其他</item>
      </candidateList>
      <explain>词汇[其它]为不规范表述或旧称，其规范书面表述为[其他]。</explain>
      <paraID>54B5F4D6</paraID>
      <start>25</start>
      <end>27</end>
      <status>modified</status>
      <modifiedWord>其他</modifiedWord>
      <trackRevisions>false</trackRevisions>
    </reviewItem>
    <reviewItem>
      <errorID>ea7fde0e-91e9-4553-bb68-127f18090668</errorID>
      <errorWord>做</errorWord>
      <group>L1_Word</group>
      <groupName>字词问题</groupName>
      <ability>L2_Typo</ability>
      <abilityName>字词错误</abilityName>
      <candidateList>
        <item>作</item>
      </candidateList>
      <explain/>
      <paraID>637E8ADC</paraID>
      <start>38</start>
      <end>39</end>
      <status>modified</status>
      <modifiedWord>作</modifiedWord>
      <trackRevisions>false</trackRevisions>
    </reviewItem>
    <reviewItem>
      <errorID>6b872086-0dcb-4dba-a106-1c2e0743281f</errorID>
      <errorWord>法律、法规</errorWord>
      <group>L1_Word</group>
      <groupName>字词问题</groupName>
      <ability>L2_Typo</ability>
      <abilityName>字词错误</abilityName>
      <candidateList>
        <item>法律法规</item>
      </candidateList>
      <explain/>
      <paraID>2BD9B4BD</paraID>
      <start>12</start>
      <end>17</end>
      <status>unmodified</status>
      <modifiedWord/>
      <trackRevisions>false</trackRevisions>
    </reviewItem>
    <reviewItem>
      <errorID>016b0a22-d172-4d8a-8907-69ebaf7d8e00</errorID>
      <errorWord>法律、法规</errorWord>
      <group>L1_Word</group>
      <groupName>字词问题</groupName>
      <ability>L2_Typo</ability>
      <abilityName>字词错误</abilityName>
      <candidateList>
        <item>法律法规</item>
      </candidateList>
      <explain/>
      <paraID>4AE141CD</paraID>
      <start>60</start>
      <end>65</end>
      <status>unmodified</status>
      <modifiedWord/>
      <trackRevisions>false</trackRevisions>
    </reviewItem>
    <reviewItem>
      <errorID>b78d88a1-cc9a-479e-b913-db41624cbbf6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3230C69A</paraID>
      <start>0</start>
      <end>2</end>
      <status>unmodified</status>
      <modifiedWord/>
      <trackRevisions>false</trackRevisions>
    </reviewItem>
    <reviewItem>
      <errorID>5ece2425-73ec-4518-a4b1-60e93fa22eda</errorID>
      <errorWord>(</errorWord>
      <group>L1_Format</group>
      <groupName>格式问题</groupName>
      <ability>L2_HalfPunc_CN</ability>
      <abilityName>全半角问题</abilityName>
      <candidateList>
        <item>（</item>
      </candidateList>
      <explain>文本全半角错误。</explain>
      <paraID>1E446EF9</paraID>
      <start>7</start>
      <end>8</end>
      <status>unmodified</status>
      <modifiedWord/>
      <trackRevisions>false</trackRevisions>
    </reviewItem>
    <reviewItem>
      <errorID>0af09cfc-936a-48a8-81d4-68dba4bd9af8</errorID>
      <errorWord>)</errorWord>
      <group>L1_Format</group>
      <groupName>格式问题</groupName>
      <ability>L2_HalfPunc_CN</ability>
      <abilityName>全半角问题</abilityName>
      <candidateList>
        <item>）</item>
      </candidateList>
      <explain>文本全半角错误。</explain>
      <paraID>1E446EF9</paraID>
      <start>18</start>
      <end>19</end>
      <status>unmodified</status>
      <modifiedWord/>
      <trackRevisions>false</trackRevisions>
    </reviewItem>
    <reviewItem>
      <errorID>e0d90a81-4b3b-4af0-a779-36c6a94d322d</errorID>
      <errorWord>[2014]68号</errorWord>
      <group>L1_Knowledge</group>
      <groupName>知识性问题</groupName>
      <ability>L2_Knowledge</ability>
      <abilityName>其他知识</abilityName>
      <candidateList>
        <item>〔2014〕68号</item>
      </candidateList>
      <explain>发文字号格式错误。</explain>
      <paraID>3C9DB0CB</paraID>
      <start>82</start>
      <end>91</end>
      <status>unmodified</status>
      <modifiedWord/>
      <trackRevisions>false</trackRevisions>
    </reviewItem>
    <reviewItem>
      <errorID>fe3ac7b1-d70c-4180-9dfc-8778ffdcc3cf</errorID>
      <errorWord>(</errorWord>
      <group>L1_Format</group>
      <groupName>格式问题</groupName>
      <ability>L2_HalfPunc_CN</ability>
      <abilityName>全半角问题</abilityName>
      <candidateList>
        <item>（</item>
      </candidateList>
      <explain>文本全半角错误。</explain>
      <paraID>3C9DB0CB</paraID>
      <start>113</start>
      <end>114</end>
      <status>unmodified</status>
      <modifiedWord/>
      <trackRevisions>false</trackRevisions>
    </reviewItem>
    <reviewItem>
      <errorID>e8790a7c-4334-4002-8f8a-25320cf27b3a</errorID>
      <errorWord>)</errorWord>
      <group>L1_Format</group>
      <groupName>格式问题</groupName>
      <ability>L2_HalfPunc_CN</ability>
      <abilityName>全半角问题</abilityName>
      <candidateList>
        <item>）</item>
      </candidateList>
      <explain>文本全半角错误。</explain>
      <paraID>3C9DB0CB</paraID>
      <start>123</start>
      <end>124</end>
      <status>unmodified</status>
      <modifiedWord/>
      <trackRevisions>false</trackRevisions>
    </reviewItem>
    <reviewItem>
      <errorID>efaa08bd-7169-477c-97e1-f39bf434e4f3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600DDE5E</paraID>
      <start>0</start>
      <end>2</end>
      <status>unmodified</status>
      <modifiedWord/>
      <trackRevisions>false</trackRevisions>
    </reviewItem>
    <reviewItem>
      <errorID>b584c56f-d8e7-4a8d-ae84-c2b2f875da1b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21962E6F</paraID>
      <start>0</start>
      <end>2</end>
      <status>unmodified</status>
      <modifiedWord/>
      <trackRevisions>false</trackRevisions>
    </reviewItem>
    <reviewItem>
      <errorID>8a2a2554-6047-4258-92b6-2d54cd54816e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1B5AAD52</paraID>
      <start>0</start>
      <end>2</end>
      <status>unmodified</status>
      <modifiedWord/>
      <trackRevisions>false</trackRevisions>
    </reviewItem>
    <reviewItem>
      <errorID>8b54ebc3-81db-4139-a6fe-40010b367700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70F00441</paraID>
      <start>0</start>
      <end>2</end>
      <status>unmodified</status>
      <modifiedWord/>
      <trackRevisions>false</trackRevisions>
    </reviewItem>
    <reviewItem>
      <errorID>7720c3e9-5971-4778-a897-215e4b28aa3e</errorID>
      <errorWord>)</errorWord>
      <group>L1_Format</group>
      <groupName>格式问题</groupName>
      <ability>L2_HalfPunc_CN</ability>
      <abilityName>全半角问题</abilityName>
      <candidateList>
        <item>）</item>
      </candidateList>
      <explain>文本全半角错误。</explain>
      <paraID>4C9F3AC6</paraID>
      <start>11</start>
      <end>12</end>
      <status>unmodified</status>
      <modifiedWord/>
      <trackRevisions>false</trackRevisions>
    </reviewItem>
    <reviewItem>
      <errorID>5f1463c2-5f22-4bff-b570-86599891bba1</errorID>
      <errorWord>维护的</errorWord>
      <group>L1_Word</group>
      <groupName>字词问题</groupName>
      <ability>L2_Typo</ability>
      <abilityName>字词错误</abilityName>
      <candidateList>
        <item>维护</item>
      </candidateList>
      <explain/>
      <paraID>287C7B75</paraID>
      <start>3</start>
      <end>5</end>
      <status>modified</status>
      <modifiedWord>维护</modifiedWord>
      <trackRevisions>false</trackRevisions>
    </reviewItem>
    <reviewItem>
      <errorID>64e28da3-6df7-4541-b1bf-1e0311465b85</errorID>
      <errorWord>(</errorWord>
      <group>L1_Format</group>
      <groupName>格式问题</groupName>
      <ability>L2_HalfPunc_CN</ability>
      <abilityName>全半角问题</abilityName>
      <candidateList>
        <item>（</item>
      </candidateList>
      <explain>文本全半角错误。</explain>
      <paraID>6955BB84</paraID>
      <start>16</start>
      <end>17</end>
      <status>unmodified</status>
      <modifiedWord/>
      <trackRevisions>false</trackRevisions>
    </reviewItem>
    <reviewItem>
      <errorID>a52f3439-bac2-41ce-892d-82216893566d</errorID>
      <errorWord>)</errorWord>
      <group>L1_Format</group>
      <groupName>格式问题</groupName>
      <ability>L2_HalfPunc_CN</ability>
      <abilityName>全半角问题</abilityName>
      <candidateList>
        <item>）</item>
      </candidateList>
      <explain>文本全半角错误。</explain>
      <paraID>6955BB84</paraID>
      <start>19</start>
      <end>20</end>
      <status>unmodified</status>
      <modifiedWord/>
      <trackRevisions>false</trackRevisions>
    </reviewItem>
    <reviewItem>
      <errorID>1334d1e9-b3ad-4a8f-a7a1-60ba5bd78444</errorID>
      <errorWord>）</errorWord>
      <group>L1_Word</group>
      <groupName>字词问题</groupName>
      <ability>L2_Typo</ability>
      <abilityName>字词错误</abilityName>
      <candidateList>
        <item>）在</item>
      </candidateList>
      <explain/>
      <paraID>38757091</paraID>
      <start>6</start>
      <end>7</end>
      <status>unmodified</status>
      <modifiedWord/>
      <trackRevisions>false</trackRevisions>
    </reviewItem>
    <reviewItem>
      <errorID>8bd1aeb8-348d-4b06-aecd-d817ff05993f</errorID>
      <errorWord>，</errorWord>
      <group>L1_Word</group>
      <groupName>字词问题</groupName>
      <ability>L2_Typo</ability>
      <abilityName>字词错误</abilityName>
      <candidateList>
        <item>，在</item>
      </candidateList>
      <explain/>
      <paraID>21891566</paraID>
      <start>11</start>
      <end>12</end>
      <status>unmodified</status>
      <modifiedWord/>
      <trackRevisions>false</trackRevisions>
    </reviewItem>
    <reviewItem>
      <errorID>d97afef6-cabc-47af-b43a-c25a0edd720a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2306A28E</paraID>
      <start>0</start>
      <end>2</end>
      <status>unmodified</status>
      <modifiedWord/>
      <trackRevisions>false</trackRevisions>
    </reviewItem>
    <reviewItem>
      <errorID>57e9153a-1116-4b03-9280-476a4cfa49bd</errorID>
      <errorWord>(</errorWord>
      <group>L1_Format</group>
      <groupName>格式问题</groupName>
      <ability>L2_HalfPunc_CN</ability>
      <abilityName>全半角问题</abilityName>
      <candidateList>
        <item>（</item>
      </candidateList>
      <explain>文本全半角错误。</explain>
      <paraID>1B46BBDD</paraID>
      <start>92</start>
      <end>93</end>
      <status>unmodified</status>
      <modifiedWord/>
      <trackRevisions>false</trackRevisions>
    </reviewItem>
    <reviewItem>
      <errorID>27efb608-9bc7-4c9d-80fc-8ce7651f54e8</errorID>
      <errorWord>)</errorWord>
      <group>L1_Format</group>
      <groupName>格式问题</groupName>
      <ability>L2_HalfPunc_CN</ability>
      <abilityName>全半角问题</abilityName>
      <candidateList>
        <item>）</item>
      </candidateList>
      <explain>文本全半角错误。</explain>
      <paraID>1B46BBDD</paraID>
      <start>102</start>
      <end>103</end>
      <status>unmodified</status>
      <modifiedWord/>
      <trackRevisions>false</trackRevisions>
    </reviewItem>
    <reviewItem>
      <errorID>8a369b3d-c3d4-40b7-bb22-3e3101a753b7</errorID>
      <errorWord>(</errorWord>
      <group>L1_Format</group>
      <groupName>格式问题</groupName>
      <ability>L2_HalfPunc_CN</ability>
      <abilityName>全半角问题</abilityName>
      <candidateList>
        <item>（</item>
      </candidateList>
      <explain>文本全半角错误。</explain>
      <paraID>45E14A76</paraID>
      <start>28</start>
      <end>29</end>
      <status>unmodified</status>
      <modifiedWord/>
      <trackRevisions>false</trackRevisions>
    </reviewItem>
    <reviewItem>
      <errorID>9b32f116-7a54-4342-98f0-f9627c67731f</errorID>
      <errorWord>)</errorWord>
      <group>L1_Format</group>
      <groupName>格式问题</groupName>
      <ability>L2_HalfPunc_CN</ability>
      <abilityName>全半角问题</abilityName>
      <candidateList>
        <item>）</item>
      </candidateList>
      <explain>文本全半角错误。</explain>
      <paraID>45E14A76</paraID>
      <start>31</start>
      <end>32</end>
      <status>unmodified</status>
      <modifiedWord/>
      <trackRevisions>false</trackRevisions>
    </reviewItem>
    <reviewItem>
      <errorID>e917ab14-c854-4fe9-a4d6-badab32cdf59</errorID>
      <errorWord>(</errorWord>
      <group>L1_Format</group>
      <groupName>格式问题</groupName>
      <ability>L2_HalfPunc_CN</ability>
      <abilityName>全半角问题</abilityName>
      <candidateList>
        <item>（</item>
      </candidateList>
      <explain>文本全半角错误。</explain>
      <paraID>20FE5DD9</paraID>
      <start>7</start>
      <end>8</end>
      <status>unmodified</status>
      <modifiedWord/>
      <trackRevisions>false</trackRevisions>
    </reviewItem>
    <reviewItem>
      <errorID>7b81a175-1921-485b-9a76-1948e257e1ee</errorID>
      <errorWord>)</errorWord>
      <group>L1_Format</group>
      <groupName>格式问题</groupName>
      <ability>L2_HalfPunc_CN</ability>
      <abilityName>全半角问题</abilityName>
      <candidateList>
        <item>）</item>
      </candidateList>
      <explain>文本全半角错误。</explain>
      <paraID>20FE5DD9</paraID>
      <start>10</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F0C0F2-A462-41C5-B378-53568A425CF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王洲银</cp:lastModifiedBy>
  <cp:revision>24</cp:revision>
  <dcterms:created xsi:type="dcterms:W3CDTF">2026-07-17T11:24:00Z</dcterms:created>
  <dcterms:modified xsi:type="dcterms:W3CDTF">2026-07-27T08:26:02Z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1D1F52003530409F96867234BC21D2F3_13</vt:lpwstr>
  </property>
  <property fmtid="{D5CDD505-2E9C-101B-9397-08002B2CF9AE}" pid="4" name="KSOTemplateDocerSaveRecord">
    <vt:lpwstr>eyJoZGlkIjoiYjE2ZTk4OGJkMzc5YTU2ODE5ZjUxZjhlYmRjZjdkYTUiLCJ1c2VySWQiOiIxMTI0ODc5NzgzIn0=</vt:lpwstr>
  </property>
</Properties>
</file>